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036700" w:rsidRDefault="00FA0585" w:rsidP="00F67F3C">
      <w:pPr>
        <w:pStyle w:val="PBACHeading1"/>
        <w:numPr>
          <w:ilvl w:val="0"/>
          <w:numId w:val="0"/>
        </w:numPr>
        <w:ind w:left="720" w:hanging="720"/>
      </w:pPr>
      <w:bookmarkStart w:id="0" w:name="_Toc440963721"/>
      <w:bookmarkStart w:id="1" w:name="_GoBack"/>
      <w:bookmarkEnd w:id="1"/>
      <w:r w:rsidRPr="00036700">
        <w:t>5.09</w:t>
      </w:r>
      <w:r w:rsidR="00B60939" w:rsidRPr="00036700">
        <w:tab/>
      </w:r>
      <w:r w:rsidR="002E6EBF" w:rsidRPr="00036700">
        <w:t>Grazoprevir 10</w:t>
      </w:r>
      <w:r w:rsidR="006D3837" w:rsidRPr="00036700">
        <w:t>0 mg</w:t>
      </w:r>
      <w:r w:rsidR="002E6EBF" w:rsidRPr="00036700">
        <w:t xml:space="preserve"> / Elbasvir 5</w:t>
      </w:r>
      <w:r w:rsidR="006D3837" w:rsidRPr="00036700">
        <w:t>0 mg</w:t>
      </w:r>
      <w:r w:rsidR="002E6EBF" w:rsidRPr="00036700">
        <w:t xml:space="preserve">, fixed dose combination tablet, </w:t>
      </w:r>
      <w:r w:rsidR="00EE7524" w:rsidRPr="00036700">
        <w:t>Zepatier</w:t>
      </w:r>
      <w:r w:rsidR="002E6EBF" w:rsidRPr="00036700">
        <w:rPr>
          <w:vertAlign w:val="superscript"/>
        </w:rPr>
        <w:t>®</w:t>
      </w:r>
      <w:r w:rsidR="002E6EBF" w:rsidRPr="00036700">
        <w:t>, Merck Sharp &amp; Dohme Pty Ltd</w:t>
      </w:r>
      <w:r w:rsidR="00B60939" w:rsidRPr="00036700">
        <w:t>.</w:t>
      </w:r>
      <w:bookmarkEnd w:id="0"/>
    </w:p>
    <w:p w:rsidR="002A68DC" w:rsidRDefault="002A68DC" w:rsidP="00277A70">
      <w:pPr>
        <w:widowControl/>
      </w:pPr>
    </w:p>
    <w:p w:rsidR="005E5DEF" w:rsidRPr="00036700" w:rsidRDefault="005E5DEF" w:rsidP="00277A70">
      <w:pPr>
        <w:widowControl/>
      </w:pPr>
    </w:p>
    <w:p w:rsidR="00B50DB8" w:rsidRPr="009F1E19" w:rsidRDefault="00B50DB8" w:rsidP="009F1E19">
      <w:pPr>
        <w:pStyle w:val="PBACHeading1"/>
        <w:rPr>
          <w:sz w:val="22"/>
        </w:rPr>
      </w:pPr>
      <w:bookmarkStart w:id="2" w:name="_Toc440963723"/>
      <w:r w:rsidRPr="009F1E19">
        <w:rPr>
          <w:sz w:val="22"/>
        </w:rPr>
        <w:t>Purpose of Application</w:t>
      </w:r>
      <w:bookmarkEnd w:id="2"/>
    </w:p>
    <w:p w:rsidR="00B60939" w:rsidRPr="00036700" w:rsidRDefault="00B60939" w:rsidP="00277A70">
      <w:pPr>
        <w:widowControl/>
        <w:rPr>
          <w:szCs w:val="22"/>
        </w:rPr>
      </w:pPr>
    </w:p>
    <w:p w:rsidR="00D100AE" w:rsidRDefault="004564BE" w:rsidP="00D100AE">
      <w:pPr>
        <w:pStyle w:val="ListParagraph"/>
        <w:widowControl/>
        <w:numPr>
          <w:ilvl w:val="1"/>
          <w:numId w:val="1"/>
        </w:numPr>
      </w:pPr>
      <w:r w:rsidRPr="00036700">
        <w:t xml:space="preserve">The submission requested </w:t>
      </w:r>
      <w:r w:rsidR="006C77FE" w:rsidRPr="00036700">
        <w:t xml:space="preserve">a Section 85 </w:t>
      </w:r>
      <w:r w:rsidRPr="00036700">
        <w:t xml:space="preserve">Authority Required (STREAMLINED) listing for the </w:t>
      </w:r>
      <w:r w:rsidR="006C77FE" w:rsidRPr="00036700">
        <w:t>fixed dose combination (FDC)</w:t>
      </w:r>
      <w:r w:rsidRPr="00036700">
        <w:t xml:space="preserve"> of </w:t>
      </w:r>
      <w:r w:rsidR="006C77FE" w:rsidRPr="00036700">
        <w:t xml:space="preserve">grazoprevir/elbasvir (GRZ/EBR) </w:t>
      </w:r>
      <w:r w:rsidRPr="00036700">
        <w:t>for treatment of patients infected with genotype</w:t>
      </w:r>
      <w:r w:rsidR="006C77FE" w:rsidRPr="00036700">
        <w:t xml:space="preserve">s 1, 4 or 6 </w:t>
      </w:r>
      <w:r w:rsidRPr="00036700">
        <w:t>chronic hepatitis C (CHC), irrespective of previous treatment history</w:t>
      </w:r>
      <w:r w:rsidR="006C77FE" w:rsidRPr="00036700">
        <w:t xml:space="preserve"> and for </w:t>
      </w:r>
      <w:r w:rsidR="00FA7C18" w:rsidRPr="00036700">
        <w:t xml:space="preserve">the </w:t>
      </w:r>
      <w:r w:rsidR="006C77FE" w:rsidRPr="00036700">
        <w:t xml:space="preserve">treatment of </w:t>
      </w:r>
      <w:r w:rsidR="00F70DE5" w:rsidRPr="00036700">
        <w:t xml:space="preserve">genotype 3 CHC </w:t>
      </w:r>
      <w:r w:rsidR="006C77FE" w:rsidRPr="00036700">
        <w:t xml:space="preserve">treatment-naïve </w:t>
      </w:r>
      <w:r w:rsidR="00F70DE5" w:rsidRPr="00036700">
        <w:t>patients</w:t>
      </w:r>
      <w:r w:rsidRPr="00036700">
        <w:t>.</w:t>
      </w:r>
    </w:p>
    <w:p w:rsidR="005E5DEF" w:rsidRPr="00036700" w:rsidRDefault="00D100AE" w:rsidP="00D100AE">
      <w:pPr>
        <w:pStyle w:val="ListParagraph"/>
        <w:widowControl/>
      </w:pPr>
      <w:r w:rsidRPr="00036700">
        <w:t xml:space="preserve"> </w:t>
      </w:r>
    </w:p>
    <w:p w:rsidR="00B50DB8" w:rsidRPr="009F1E19" w:rsidRDefault="00B50DB8" w:rsidP="00277A70">
      <w:pPr>
        <w:pStyle w:val="PBACHeading1"/>
        <w:rPr>
          <w:sz w:val="22"/>
        </w:rPr>
      </w:pPr>
      <w:bookmarkStart w:id="3" w:name="_Toc440963724"/>
      <w:r w:rsidRPr="009F1E19">
        <w:rPr>
          <w:sz w:val="22"/>
        </w:rPr>
        <w:t>Requested listing</w:t>
      </w:r>
      <w:bookmarkEnd w:id="3"/>
    </w:p>
    <w:p w:rsidR="00B60939" w:rsidRPr="00036700" w:rsidRDefault="00B60939" w:rsidP="00277A70">
      <w:pPr>
        <w:widowControl/>
      </w:pPr>
    </w:p>
    <w:p w:rsidR="00986BD2" w:rsidRPr="00036700" w:rsidRDefault="002E06A0" w:rsidP="002E06A0">
      <w:pPr>
        <w:pStyle w:val="ListParagraph"/>
        <w:widowControl/>
        <w:numPr>
          <w:ilvl w:val="1"/>
          <w:numId w:val="1"/>
        </w:numPr>
        <w:rPr>
          <w:szCs w:val="22"/>
        </w:rPr>
      </w:pPr>
      <w:r w:rsidRPr="00036700">
        <w:t>The submission was originally made before the restrictions of other direct acting antiviral</w:t>
      </w:r>
      <w:r w:rsidR="00CE40BD" w:rsidRPr="00036700">
        <w:t xml:space="preserve"> (DAA)</w:t>
      </w:r>
      <w:r w:rsidRPr="00036700">
        <w:t xml:space="preserve"> treatments were finalised. The requested listings were </w:t>
      </w:r>
      <w:r w:rsidR="00A84E5D" w:rsidRPr="00036700">
        <w:t>aligned</w:t>
      </w:r>
      <w:r w:rsidRPr="00036700">
        <w:t xml:space="preserve"> with the common structure for </w:t>
      </w:r>
      <w:r w:rsidR="00CE40BD" w:rsidRPr="00036700">
        <w:t xml:space="preserve">DAA </w:t>
      </w:r>
      <w:r w:rsidRPr="00036700">
        <w:t xml:space="preserve">treatments for hepatitis C. Additions to the proposed restriction are in </w:t>
      </w:r>
      <w:r w:rsidRPr="00036700">
        <w:rPr>
          <w:i/>
        </w:rPr>
        <w:t>italics</w:t>
      </w:r>
      <w:r w:rsidRPr="00036700">
        <w:t xml:space="preserve">, deletions in </w:t>
      </w:r>
      <w:r w:rsidRPr="00036700">
        <w:rPr>
          <w:strike/>
        </w:rPr>
        <w:t>strikethrough</w:t>
      </w:r>
      <w:r w:rsidRPr="00036700">
        <w:t>.</w:t>
      </w:r>
    </w:p>
    <w:p w:rsidR="00B775AD" w:rsidRPr="00036700" w:rsidRDefault="00B775AD" w:rsidP="00277A70">
      <w:pPr>
        <w:widowControl/>
      </w:pPr>
    </w:p>
    <w:tbl>
      <w:tblPr>
        <w:tblW w:w="4660" w:type="pct"/>
        <w:tblInd w:w="737" w:type="dxa"/>
        <w:tblCellMar>
          <w:left w:w="28" w:type="dxa"/>
          <w:right w:w="28" w:type="dxa"/>
        </w:tblCellMar>
        <w:tblLook w:val="0000" w:firstRow="0" w:lastRow="0" w:firstColumn="0" w:lastColumn="0" w:noHBand="0" w:noVBand="0"/>
      </w:tblPr>
      <w:tblGrid>
        <w:gridCol w:w="1701"/>
        <w:gridCol w:w="990"/>
        <w:gridCol w:w="603"/>
        <w:gridCol w:w="906"/>
        <w:gridCol w:w="1469"/>
        <w:gridCol w:w="2795"/>
      </w:tblGrid>
      <w:tr w:rsidR="0021326F" w:rsidRPr="00036700" w:rsidTr="0021326F">
        <w:trPr>
          <w:cantSplit/>
          <w:trHeight w:val="471"/>
        </w:trPr>
        <w:tc>
          <w:tcPr>
            <w:tcW w:w="1590" w:type="pct"/>
            <w:gridSpan w:val="2"/>
            <w:tcBorders>
              <w:bottom w:val="single" w:sz="4" w:space="0" w:color="auto"/>
            </w:tcBorders>
          </w:tcPr>
          <w:p w:rsidR="0021326F" w:rsidRPr="00036700" w:rsidRDefault="0021326F" w:rsidP="00277A70">
            <w:pPr>
              <w:keepNext/>
              <w:widowControl/>
              <w:rPr>
                <w:sz w:val="20"/>
              </w:rPr>
            </w:pPr>
            <w:r w:rsidRPr="00036700">
              <w:rPr>
                <w:sz w:val="20"/>
              </w:rPr>
              <w:t>Name, Restriction,</w:t>
            </w:r>
          </w:p>
          <w:p w:rsidR="0021326F" w:rsidRPr="00036700" w:rsidRDefault="0021326F" w:rsidP="00277A70">
            <w:pPr>
              <w:keepNext/>
              <w:widowControl/>
              <w:rPr>
                <w:sz w:val="20"/>
              </w:rPr>
            </w:pPr>
            <w:r w:rsidRPr="00036700">
              <w:rPr>
                <w:sz w:val="20"/>
              </w:rPr>
              <w:t>Manner of administration and form</w:t>
            </w:r>
          </w:p>
        </w:tc>
        <w:tc>
          <w:tcPr>
            <w:tcW w:w="356" w:type="pct"/>
            <w:tcBorders>
              <w:bottom w:val="single" w:sz="4" w:space="0" w:color="auto"/>
            </w:tcBorders>
          </w:tcPr>
          <w:p w:rsidR="0021326F" w:rsidRPr="00036700" w:rsidRDefault="0021326F" w:rsidP="00277A70">
            <w:pPr>
              <w:keepNext/>
              <w:widowControl/>
              <w:jc w:val="center"/>
              <w:rPr>
                <w:sz w:val="20"/>
              </w:rPr>
            </w:pPr>
            <w:r w:rsidRPr="00036700">
              <w:rPr>
                <w:sz w:val="20"/>
              </w:rPr>
              <w:t>Max.</w:t>
            </w:r>
          </w:p>
          <w:p w:rsidR="0021326F" w:rsidRPr="00036700" w:rsidRDefault="0021326F" w:rsidP="00277A70">
            <w:pPr>
              <w:keepNext/>
              <w:widowControl/>
              <w:jc w:val="center"/>
              <w:rPr>
                <w:sz w:val="20"/>
              </w:rPr>
            </w:pPr>
            <w:r w:rsidRPr="00036700">
              <w:rPr>
                <w:sz w:val="20"/>
              </w:rPr>
              <w:t>Qty</w:t>
            </w:r>
          </w:p>
        </w:tc>
        <w:tc>
          <w:tcPr>
            <w:tcW w:w="535" w:type="pct"/>
            <w:tcBorders>
              <w:bottom w:val="single" w:sz="4" w:space="0" w:color="auto"/>
            </w:tcBorders>
          </w:tcPr>
          <w:p w:rsidR="0021326F" w:rsidRPr="00036700" w:rsidRDefault="0021326F" w:rsidP="00277A70">
            <w:pPr>
              <w:keepNext/>
              <w:widowControl/>
              <w:jc w:val="center"/>
              <w:rPr>
                <w:sz w:val="20"/>
              </w:rPr>
            </w:pPr>
            <w:r w:rsidRPr="00036700">
              <w:rPr>
                <w:sz w:val="20"/>
              </w:rPr>
              <w:t>№.of</w:t>
            </w:r>
          </w:p>
          <w:p w:rsidR="0021326F" w:rsidRPr="00036700" w:rsidRDefault="0021326F" w:rsidP="00277A70">
            <w:pPr>
              <w:keepNext/>
              <w:widowControl/>
              <w:jc w:val="center"/>
              <w:rPr>
                <w:sz w:val="20"/>
              </w:rPr>
            </w:pPr>
            <w:r w:rsidRPr="00036700">
              <w:rPr>
                <w:sz w:val="20"/>
              </w:rPr>
              <w:t>Rpts</w:t>
            </w:r>
          </w:p>
        </w:tc>
        <w:tc>
          <w:tcPr>
            <w:tcW w:w="2519" w:type="pct"/>
            <w:gridSpan w:val="2"/>
            <w:tcBorders>
              <w:bottom w:val="single" w:sz="4" w:space="0" w:color="auto"/>
            </w:tcBorders>
          </w:tcPr>
          <w:p w:rsidR="0021326F" w:rsidRPr="002C3191" w:rsidRDefault="0021326F" w:rsidP="00277A70">
            <w:pPr>
              <w:keepNext/>
              <w:widowControl/>
              <w:jc w:val="center"/>
              <w:rPr>
                <w:sz w:val="20"/>
              </w:rPr>
            </w:pPr>
            <w:r w:rsidRPr="00036700">
              <w:rPr>
                <w:sz w:val="20"/>
              </w:rPr>
              <w:t>Proprietary Name and Manufacturer</w:t>
            </w:r>
          </w:p>
        </w:tc>
      </w:tr>
      <w:tr w:rsidR="0021326F" w:rsidRPr="00036700" w:rsidTr="0021326F">
        <w:trPr>
          <w:cantSplit/>
          <w:trHeight w:val="577"/>
        </w:trPr>
        <w:tc>
          <w:tcPr>
            <w:tcW w:w="1590" w:type="pct"/>
            <w:gridSpan w:val="2"/>
          </w:tcPr>
          <w:p w:rsidR="0021326F" w:rsidRPr="002C3191" w:rsidRDefault="0021326F" w:rsidP="00277A70">
            <w:pPr>
              <w:keepNext/>
              <w:widowControl/>
              <w:rPr>
                <w:sz w:val="20"/>
              </w:rPr>
            </w:pPr>
            <w:r w:rsidRPr="002C3191">
              <w:rPr>
                <w:smallCaps/>
                <w:sz w:val="20"/>
              </w:rPr>
              <w:t>Grazoprevir/elbasvir</w:t>
            </w:r>
          </w:p>
          <w:p w:rsidR="0021326F" w:rsidRPr="002C3191" w:rsidRDefault="0021326F" w:rsidP="00277A70">
            <w:pPr>
              <w:keepNext/>
              <w:widowControl/>
              <w:rPr>
                <w:sz w:val="20"/>
              </w:rPr>
            </w:pPr>
            <w:r w:rsidRPr="002C3191">
              <w:rPr>
                <w:sz w:val="20"/>
              </w:rPr>
              <w:t>Tablet 100 mg/50 mg</w:t>
            </w:r>
          </w:p>
        </w:tc>
        <w:tc>
          <w:tcPr>
            <w:tcW w:w="356" w:type="pct"/>
          </w:tcPr>
          <w:p w:rsidR="0021326F" w:rsidRPr="00036700" w:rsidRDefault="0021326F" w:rsidP="00277A70">
            <w:pPr>
              <w:keepNext/>
              <w:widowControl/>
              <w:jc w:val="center"/>
              <w:rPr>
                <w:sz w:val="20"/>
              </w:rPr>
            </w:pPr>
            <w:r w:rsidRPr="00036700">
              <w:rPr>
                <w:sz w:val="20"/>
              </w:rPr>
              <w:t>28</w:t>
            </w:r>
          </w:p>
        </w:tc>
        <w:tc>
          <w:tcPr>
            <w:tcW w:w="535" w:type="pct"/>
          </w:tcPr>
          <w:p w:rsidR="0021326F" w:rsidRPr="00036700" w:rsidRDefault="0021326F" w:rsidP="00277A70">
            <w:pPr>
              <w:keepNext/>
              <w:widowControl/>
              <w:jc w:val="center"/>
              <w:rPr>
                <w:sz w:val="20"/>
              </w:rPr>
            </w:pPr>
            <w:r w:rsidRPr="00036700">
              <w:rPr>
                <w:sz w:val="20"/>
              </w:rPr>
              <w:t>2</w:t>
            </w:r>
          </w:p>
        </w:tc>
        <w:tc>
          <w:tcPr>
            <w:tcW w:w="868" w:type="pct"/>
          </w:tcPr>
          <w:p w:rsidR="0021326F" w:rsidRPr="00036700" w:rsidRDefault="0021326F" w:rsidP="00277A70">
            <w:pPr>
              <w:keepNext/>
              <w:widowControl/>
              <w:jc w:val="center"/>
              <w:rPr>
                <w:sz w:val="20"/>
              </w:rPr>
            </w:pPr>
            <w:r w:rsidRPr="00036700">
              <w:rPr>
                <w:sz w:val="20"/>
              </w:rPr>
              <w:t>Zepatier</w:t>
            </w:r>
            <w:r w:rsidRPr="00036700">
              <w:rPr>
                <w:sz w:val="20"/>
                <w:vertAlign w:val="superscript"/>
              </w:rPr>
              <w:t>®</w:t>
            </w:r>
          </w:p>
        </w:tc>
        <w:tc>
          <w:tcPr>
            <w:tcW w:w="1651" w:type="pct"/>
          </w:tcPr>
          <w:p w:rsidR="0021326F" w:rsidRPr="00036700" w:rsidRDefault="0021326F" w:rsidP="00277A70">
            <w:pPr>
              <w:keepNext/>
              <w:widowControl/>
              <w:jc w:val="center"/>
              <w:rPr>
                <w:sz w:val="20"/>
              </w:rPr>
            </w:pPr>
            <w:r w:rsidRPr="00036700">
              <w:rPr>
                <w:sz w:val="20"/>
              </w:rPr>
              <w:t>Merck Sharp &amp; Dohme (Australia) Pty Ltd</w:t>
            </w:r>
          </w:p>
        </w:tc>
      </w:tr>
      <w:tr w:rsidR="00D313FF" w:rsidRPr="00036700" w:rsidTr="00D313FF">
        <w:trPr>
          <w:cantSplit/>
          <w:trHeight w:val="360"/>
        </w:trPr>
        <w:tc>
          <w:tcPr>
            <w:tcW w:w="1005" w:type="pct"/>
          </w:tcPr>
          <w:p w:rsidR="00D313FF" w:rsidRPr="00036700" w:rsidRDefault="00D313FF" w:rsidP="00277A70">
            <w:pPr>
              <w:widowControl/>
              <w:rPr>
                <w:sz w:val="20"/>
              </w:rPr>
            </w:pPr>
            <w:r w:rsidRPr="00036700">
              <w:rPr>
                <w:rFonts w:ascii="Arial Narrow" w:hAnsi="Arial Narrow"/>
                <w:b/>
                <w:sz w:val="20"/>
              </w:rPr>
              <w:t>Category / Program</w:t>
            </w:r>
          </w:p>
        </w:tc>
        <w:tc>
          <w:tcPr>
            <w:tcW w:w="3995" w:type="pct"/>
            <w:gridSpan w:val="5"/>
          </w:tcPr>
          <w:p w:rsidR="00D313FF" w:rsidRPr="00036700" w:rsidRDefault="00D313FF" w:rsidP="00277A70">
            <w:pPr>
              <w:widowControl/>
              <w:rPr>
                <w:sz w:val="20"/>
              </w:rPr>
            </w:pPr>
            <w:r w:rsidRPr="00036700">
              <w:rPr>
                <w:rFonts w:ascii="Arial Narrow" w:hAnsi="Arial Narrow"/>
                <w:sz w:val="20"/>
              </w:rPr>
              <w:t>GENERAL – General Schedule (Code GE)</w:t>
            </w:r>
          </w:p>
        </w:tc>
      </w:tr>
      <w:tr w:rsidR="00D313FF" w:rsidRPr="00036700" w:rsidTr="00D313FF">
        <w:trPr>
          <w:cantSplit/>
          <w:trHeight w:val="360"/>
        </w:trPr>
        <w:tc>
          <w:tcPr>
            <w:tcW w:w="1005" w:type="pct"/>
          </w:tcPr>
          <w:p w:rsidR="00D313FF" w:rsidRPr="00036700" w:rsidRDefault="00D313FF" w:rsidP="00277A70">
            <w:pPr>
              <w:widowControl/>
              <w:rPr>
                <w:sz w:val="20"/>
              </w:rPr>
            </w:pPr>
            <w:r w:rsidRPr="00036700">
              <w:rPr>
                <w:rFonts w:ascii="Arial Narrow" w:hAnsi="Arial Narrow"/>
                <w:b/>
                <w:sz w:val="20"/>
              </w:rPr>
              <w:t>Prescriber type:</w:t>
            </w:r>
          </w:p>
        </w:tc>
        <w:tc>
          <w:tcPr>
            <w:tcW w:w="3995" w:type="pct"/>
            <w:gridSpan w:val="5"/>
          </w:tcPr>
          <w:p w:rsidR="00D313FF" w:rsidRPr="00036700" w:rsidRDefault="00D313FF" w:rsidP="00277A70">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D313FF" w:rsidRPr="00036700" w:rsidRDefault="00D313FF" w:rsidP="00277A70">
            <w:pPr>
              <w:widowControl/>
              <w:rPr>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B775AD" w:rsidRPr="00036700" w:rsidTr="00F7268F">
        <w:trPr>
          <w:cantSplit/>
          <w:trHeight w:val="360"/>
        </w:trPr>
        <w:tc>
          <w:tcPr>
            <w:tcW w:w="5000" w:type="pct"/>
            <w:gridSpan w:val="6"/>
          </w:tcPr>
          <w:p w:rsidR="00B775AD" w:rsidRPr="00036700" w:rsidRDefault="00B775AD" w:rsidP="00277A70">
            <w:pPr>
              <w:widowControl/>
              <w:rPr>
                <w:sz w:val="20"/>
              </w:rPr>
            </w:pPr>
            <w:r w:rsidRPr="00036700">
              <w:rPr>
                <w:sz w:val="20"/>
              </w:rPr>
              <w:t>Chronic hepatitis C infection</w:t>
            </w:r>
          </w:p>
          <w:p w:rsidR="00B775AD" w:rsidRPr="00036700" w:rsidRDefault="00B775AD" w:rsidP="00277A70">
            <w:pPr>
              <w:widowControl/>
              <w:rPr>
                <w:strike/>
                <w:sz w:val="20"/>
              </w:rPr>
            </w:pPr>
            <w:r w:rsidRPr="00036700">
              <w:rPr>
                <w:strike/>
                <w:sz w:val="20"/>
              </w:rPr>
              <w:t>GT 1, 4 and 6 treatment-naïve and treatment-experienced relapsers</w:t>
            </w:r>
          </w:p>
          <w:p w:rsidR="00B775AD" w:rsidRPr="00036700" w:rsidRDefault="00B775AD" w:rsidP="00277A70">
            <w:pPr>
              <w:widowControl/>
              <w:rPr>
                <w:strike/>
                <w:sz w:val="20"/>
              </w:rPr>
            </w:pPr>
            <w:r w:rsidRPr="00036700">
              <w:rPr>
                <w:strike/>
                <w:sz w:val="20"/>
              </w:rPr>
              <w:t>GT1b treatment-experienced on-treatment failures</w:t>
            </w:r>
          </w:p>
          <w:p w:rsidR="00B775AD" w:rsidRPr="00036700" w:rsidRDefault="00B775AD" w:rsidP="00277A70">
            <w:pPr>
              <w:widowControl/>
              <w:rPr>
                <w:sz w:val="20"/>
              </w:rPr>
            </w:pPr>
            <w:r w:rsidRPr="00036700">
              <w:rPr>
                <w:strike/>
                <w:sz w:val="20"/>
              </w:rPr>
              <w:t>GT 3 treatment-naïve</w:t>
            </w:r>
          </w:p>
        </w:tc>
      </w:tr>
    </w:tbl>
    <w:p w:rsidR="00B775AD" w:rsidRPr="00036700" w:rsidRDefault="00B775AD" w:rsidP="00277A70">
      <w:pPr>
        <w:widowControl/>
      </w:pPr>
    </w:p>
    <w:tbl>
      <w:tblPr>
        <w:tblW w:w="4661" w:type="pct"/>
        <w:tblInd w:w="737" w:type="dxa"/>
        <w:tblCellMar>
          <w:left w:w="28" w:type="dxa"/>
          <w:right w:w="28" w:type="dxa"/>
        </w:tblCellMar>
        <w:tblLook w:val="0000" w:firstRow="0" w:lastRow="0" w:firstColumn="0" w:lastColumn="0" w:noHBand="0" w:noVBand="0"/>
      </w:tblPr>
      <w:tblGrid>
        <w:gridCol w:w="1702"/>
        <w:gridCol w:w="991"/>
        <w:gridCol w:w="604"/>
        <w:gridCol w:w="908"/>
        <w:gridCol w:w="1466"/>
        <w:gridCol w:w="2795"/>
      </w:tblGrid>
      <w:tr w:rsidR="0021326F" w:rsidRPr="00036700" w:rsidTr="0021326F">
        <w:trPr>
          <w:cantSplit/>
          <w:trHeight w:val="471"/>
        </w:trPr>
        <w:tc>
          <w:tcPr>
            <w:tcW w:w="1590" w:type="pct"/>
            <w:gridSpan w:val="2"/>
            <w:tcBorders>
              <w:bottom w:val="single" w:sz="4" w:space="0" w:color="auto"/>
            </w:tcBorders>
          </w:tcPr>
          <w:p w:rsidR="0021326F" w:rsidRPr="00036700" w:rsidRDefault="0021326F" w:rsidP="00277A70">
            <w:pPr>
              <w:keepNext/>
              <w:widowControl/>
              <w:rPr>
                <w:sz w:val="20"/>
              </w:rPr>
            </w:pPr>
            <w:r w:rsidRPr="00036700">
              <w:rPr>
                <w:sz w:val="20"/>
              </w:rPr>
              <w:t>Name, Restriction,</w:t>
            </w:r>
          </w:p>
          <w:p w:rsidR="0021326F" w:rsidRPr="00036700" w:rsidRDefault="0021326F" w:rsidP="00277A70">
            <w:pPr>
              <w:keepNext/>
              <w:widowControl/>
              <w:rPr>
                <w:sz w:val="20"/>
              </w:rPr>
            </w:pPr>
            <w:r w:rsidRPr="00036700">
              <w:rPr>
                <w:sz w:val="20"/>
              </w:rPr>
              <w:t>Manner of administration and form</w:t>
            </w:r>
          </w:p>
        </w:tc>
        <w:tc>
          <w:tcPr>
            <w:tcW w:w="357" w:type="pct"/>
            <w:tcBorders>
              <w:bottom w:val="single" w:sz="4" w:space="0" w:color="auto"/>
            </w:tcBorders>
          </w:tcPr>
          <w:p w:rsidR="0021326F" w:rsidRPr="00036700" w:rsidRDefault="0021326F" w:rsidP="00277A70">
            <w:pPr>
              <w:keepNext/>
              <w:widowControl/>
              <w:jc w:val="center"/>
              <w:rPr>
                <w:sz w:val="20"/>
              </w:rPr>
            </w:pPr>
            <w:r w:rsidRPr="00036700">
              <w:rPr>
                <w:sz w:val="20"/>
              </w:rPr>
              <w:t>Max.</w:t>
            </w:r>
          </w:p>
          <w:p w:rsidR="0021326F" w:rsidRPr="00036700" w:rsidRDefault="0021326F" w:rsidP="00277A70">
            <w:pPr>
              <w:keepNext/>
              <w:widowControl/>
              <w:jc w:val="center"/>
              <w:rPr>
                <w:sz w:val="20"/>
              </w:rPr>
            </w:pPr>
            <w:r w:rsidRPr="00036700">
              <w:rPr>
                <w:sz w:val="20"/>
              </w:rPr>
              <w:t>Qty</w:t>
            </w:r>
          </w:p>
        </w:tc>
        <w:tc>
          <w:tcPr>
            <w:tcW w:w="536" w:type="pct"/>
            <w:tcBorders>
              <w:bottom w:val="single" w:sz="4" w:space="0" w:color="auto"/>
            </w:tcBorders>
          </w:tcPr>
          <w:p w:rsidR="0021326F" w:rsidRPr="00036700" w:rsidRDefault="0021326F" w:rsidP="00277A70">
            <w:pPr>
              <w:keepNext/>
              <w:widowControl/>
              <w:jc w:val="center"/>
              <w:rPr>
                <w:sz w:val="20"/>
              </w:rPr>
            </w:pPr>
            <w:r w:rsidRPr="00036700">
              <w:rPr>
                <w:sz w:val="20"/>
              </w:rPr>
              <w:t>№.of</w:t>
            </w:r>
          </w:p>
          <w:p w:rsidR="0021326F" w:rsidRPr="00036700" w:rsidRDefault="0021326F" w:rsidP="00277A70">
            <w:pPr>
              <w:keepNext/>
              <w:widowControl/>
              <w:jc w:val="center"/>
              <w:rPr>
                <w:sz w:val="20"/>
              </w:rPr>
            </w:pPr>
            <w:r w:rsidRPr="00036700">
              <w:rPr>
                <w:sz w:val="20"/>
              </w:rPr>
              <w:t>Rpts</w:t>
            </w:r>
          </w:p>
        </w:tc>
        <w:tc>
          <w:tcPr>
            <w:tcW w:w="2517" w:type="pct"/>
            <w:gridSpan w:val="2"/>
            <w:tcBorders>
              <w:bottom w:val="single" w:sz="4" w:space="0" w:color="auto"/>
            </w:tcBorders>
          </w:tcPr>
          <w:p w:rsidR="0021326F" w:rsidRPr="002C3191" w:rsidRDefault="0021326F" w:rsidP="00277A70">
            <w:pPr>
              <w:keepNext/>
              <w:widowControl/>
              <w:jc w:val="center"/>
              <w:rPr>
                <w:sz w:val="20"/>
              </w:rPr>
            </w:pPr>
            <w:r w:rsidRPr="00036700">
              <w:rPr>
                <w:sz w:val="20"/>
              </w:rPr>
              <w:t>Proprietary Name and Manufacturer</w:t>
            </w:r>
          </w:p>
        </w:tc>
      </w:tr>
      <w:tr w:rsidR="0021326F" w:rsidRPr="00036700" w:rsidTr="0021326F">
        <w:trPr>
          <w:cantSplit/>
          <w:trHeight w:val="577"/>
        </w:trPr>
        <w:tc>
          <w:tcPr>
            <w:tcW w:w="1590" w:type="pct"/>
            <w:gridSpan w:val="2"/>
          </w:tcPr>
          <w:p w:rsidR="0021326F" w:rsidRPr="002C3191" w:rsidRDefault="0021326F" w:rsidP="00277A70">
            <w:pPr>
              <w:keepNext/>
              <w:widowControl/>
              <w:jc w:val="left"/>
              <w:rPr>
                <w:sz w:val="20"/>
              </w:rPr>
            </w:pPr>
            <w:r w:rsidRPr="002C3191">
              <w:rPr>
                <w:smallCaps/>
                <w:sz w:val="20"/>
              </w:rPr>
              <w:t>Grazoprevir/elbasvir</w:t>
            </w:r>
          </w:p>
          <w:p w:rsidR="0021326F" w:rsidRPr="002C3191" w:rsidRDefault="0021326F" w:rsidP="00277A70">
            <w:pPr>
              <w:keepNext/>
              <w:widowControl/>
              <w:jc w:val="left"/>
              <w:rPr>
                <w:sz w:val="20"/>
              </w:rPr>
            </w:pPr>
            <w:r w:rsidRPr="002C3191">
              <w:rPr>
                <w:sz w:val="20"/>
              </w:rPr>
              <w:t>Tablet 100 mg/50 mg</w:t>
            </w:r>
          </w:p>
        </w:tc>
        <w:tc>
          <w:tcPr>
            <w:tcW w:w="357" w:type="pct"/>
          </w:tcPr>
          <w:p w:rsidR="0021326F" w:rsidRPr="00036700" w:rsidRDefault="0021326F" w:rsidP="00277A70">
            <w:pPr>
              <w:keepNext/>
              <w:widowControl/>
              <w:jc w:val="center"/>
              <w:rPr>
                <w:sz w:val="20"/>
              </w:rPr>
            </w:pPr>
            <w:r w:rsidRPr="00036700">
              <w:rPr>
                <w:sz w:val="20"/>
              </w:rPr>
              <w:t>28</w:t>
            </w:r>
          </w:p>
        </w:tc>
        <w:tc>
          <w:tcPr>
            <w:tcW w:w="536" w:type="pct"/>
          </w:tcPr>
          <w:p w:rsidR="0021326F" w:rsidRPr="00036700" w:rsidRDefault="0021326F" w:rsidP="00277A70">
            <w:pPr>
              <w:keepNext/>
              <w:widowControl/>
              <w:jc w:val="center"/>
              <w:rPr>
                <w:sz w:val="20"/>
              </w:rPr>
            </w:pPr>
            <w:r w:rsidRPr="00036700">
              <w:rPr>
                <w:sz w:val="20"/>
              </w:rPr>
              <w:t>3</w:t>
            </w:r>
          </w:p>
        </w:tc>
        <w:tc>
          <w:tcPr>
            <w:tcW w:w="866" w:type="pct"/>
          </w:tcPr>
          <w:p w:rsidR="0021326F" w:rsidRPr="00036700" w:rsidRDefault="0021326F" w:rsidP="00277A70">
            <w:pPr>
              <w:keepNext/>
              <w:widowControl/>
              <w:jc w:val="center"/>
              <w:rPr>
                <w:sz w:val="20"/>
              </w:rPr>
            </w:pPr>
            <w:r w:rsidRPr="00036700">
              <w:rPr>
                <w:sz w:val="20"/>
              </w:rPr>
              <w:t>Zepatier</w:t>
            </w:r>
            <w:r w:rsidRPr="00036700">
              <w:rPr>
                <w:sz w:val="20"/>
                <w:vertAlign w:val="superscript"/>
              </w:rPr>
              <w:t>®</w:t>
            </w:r>
          </w:p>
        </w:tc>
        <w:tc>
          <w:tcPr>
            <w:tcW w:w="1651" w:type="pct"/>
          </w:tcPr>
          <w:p w:rsidR="0021326F" w:rsidRPr="00036700" w:rsidRDefault="0021326F" w:rsidP="00277A70">
            <w:pPr>
              <w:keepNext/>
              <w:widowControl/>
              <w:jc w:val="center"/>
              <w:rPr>
                <w:sz w:val="20"/>
              </w:rPr>
            </w:pPr>
            <w:r w:rsidRPr="00036700">
              <w:rPr>
                <w:sz w:val="20"/>
              </w:rPr>
              <w:t>Merck Sharp &amp; Dohme (Australia) Pty Ltd</w:t>
            </w:r>
          </w:p>
        </w:tc>
      </w:tr>
      <w:tr w:rsidR="00A73610" w:rsidRPr="00036700" w:rsidTr="00A73610">
        <w:trPr>
          <w:cantSplit/>
          <w:trHeight w:val="360"/>
        </w:trPr>
        <w:tc>
          <w:tcPr>
            <w:tcW w:w="1005" w:type="pct"/>
          </w:tcPr>
          <w:p w:rsidR="00A73610" w:rsidRPr="00036700" w:rsidRDefault="00A73610" w:rsidP="00277A70">
            <w:pPr>
              <w:widowControl/>
              <w:tabs>
                <w:tab w:val="left" w:pos="6060"/>
              </w:tabs>
              <w:rPr>
                <w:strike/>
                <w:sz w:val="20"/>
              </w:rPr>
            </w:pPr>
            <w:r w:rsidRPr="00036700">
              <w:rPr>
                <w:rFonts w:ascii="Arial Narrow" w:hAnsi="Arial Narrow"/>
                <w:b/>
                <w:sz w:val="20"/>
              </w:rPr>
              <w:t>Category / Program</w:t>
            </w:r>
          </w:p>
        </w:tc>
        <w:tc>
          <w:tcPr>
            <w:tcW w:w="3995" w:type="pct"/>
            <w:gridSpan w:val="5"/>
          </w:tcPr>
          <w:p w:rsidR="00A73610" w:rsidRPr="00036700" w:rsidRDefault="00A73610" w:rsidP="00277A70">
            <w:pPr>
              <w:widowControl/>
              <w:tabs>
                <w:tab w:val="left" w:pos="6060"/>
              </w:tabs>
              <w:rPr>
                <w:strike/>
                <w:sz w:val="20"/>
              </w:rPr>
            </w:pPr>
            <w:r w:rsidRPr="00036700">
              <w:rPr>
                <w:rFonts w:ascii="Arial Narrow" w:hAnsi="Arial Narrow"/>
                <w:sz w:val="20"/>
              </w:rPr>
              <w:t>GENERAL – General Schedule (Code GE)</w:t>
            </w:r>
          </w:p>
        </w:tc>
      </w:tr>
      <w:tr w:rsidR="00A73610" w:rsidRPr="00036700" w:rsidTr="00A73610">
        <w:trPr>
          <w:cantSplit/>
          <w:trHeight w:val="360"/>
        </w:trPr>
        <w:tc>
          <w:tcPr>
            <w:tcW w:w="1005" w:type="pct"/>
          </w:tcPr>
          <w:p w:rsidR="00A73610" w:rsidRPr="00036700" w:rsidRDefault="00A73610" w:rsidP="00277A70">
            <w:pPr>
              <w:widowControl/>
              <w:tabs>
                <w:tab w:val="left" w:pos="6060"/>
              </w:tabs>
              <w:rPr>
                <w:strike/>
                <w:sz w:val="20"/>
              </w:rPr>
            </w:pPr>
            <w:r w:rsidRPr="00036700">
              <w:rPr>
                <w:rFonts w:ascii="Arial Narrow" w:hAnsi="Arial Narrow"/>
                <w:b/>
                <w:sz w:val="20"/>
              </w:rPr>
              <w:t>Prescriber type:</w:t>
            </w:r>
          </w:p>
        </w:tc>
        <w:tc>
          <w:tcPr>
            <w:tcW w:w="3995" w:type="pct"/>
            <w:gridSpan w:val="5"/>
          </w:tcPr>
          <w:p w:rsidR="00A73610" w:rsidRPr="00036700" w:rsidRDefault="00A73610" w:rsidP="00277A70">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A73610" w:rsidRPr="00036700" w:rsidRDefault="00A73610" w:rsidP="00277A70">
            <w:pPr>
              <w:widowControl/>
              <w:tabs>
                <w:tab w:val="left" w:pos="6060"/>
              </w:tabs>
              <w:rPr>
                <w:strike/>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B775AD" w:rsidRPr="00036700" w:rsidTr="00F7268F">
        <w:trPr>
          <w:cantSplit/>
          <w:trHeight w:val="360"/>
        </w:trPr>
        <w:tc>
          <w:tcPr>
            <w:tcW w:w="5000" w:type="pct"/>
            <w:gridSpan w:val="6"/>
          </w:tcPr>
          <w:p w:rsidR="00B775AD" w:rsidRPr="00036700" w:rsidRDefault="00B775AD" w:rsidP="00277A70">
            <w:pPr>
              <w:widowControl/>
              <w:tabs>
                <w:tab w:val="left" w:pos="6060"/>
              </w:tabs>
              <w:rPr>
                <w:strike/>
                <w:sz w:val="20"/>
              </w:rPr>
            </w:pPr>
            <w:r w:rsidRPr="00036700">
              <w:rPr>
                <w:strike/>
                <w:sz w:val="20"/>
              </w:rPr>
              <w:t>GT 1a, 4 and 6 treatment-experienced on-treatment failures</w:t>
            </w:r>
          </w:p>
          <w:p w:rsidR="00B775AD" w:rsidRPr="00036700" w:rsidRDefault="00B775AD" w:rsidP="00277A70">
            <w:pPr>
              <w:widowControl/>
              <w:tabs>
                <w:tab w:val="left" w:pos="6060"/>
              </w:tabs>
              <w:rPr>
                <w:sz w:val="20"/>
              </w:rPr>
            </w:pPr>
            <w:r w:rsidRPr="00036700">
              <w:rPr>
                <w:sz w:val="20"/>
              </w:rPr>
              <w:t>Chronic hepatitis C infection</w:t>
            </w:r>
          </w:p>
        </w:tc>
      </w:tr>
    </w:tbl>
    <w:p w:rsidR="00B775AD" w:rsidRPr="00036700" w:rsidRDefault="00B775AD" w:rsidP="00277A70">
      <w:pPr>
        <w:widowControl/>
      </w:pPr>
    </w:p>
    <w:tbl>
      <w:tblPr>
        <w:tblW w:w="4660" w:type="pct"/>
        <w:tblInd w:w="737" w:type="dxa"/>
        <w:tblCellMar>
          <w:left w:w="28" w:type="dxa"/>
          <w:right w:w="28" w:type="dxa"/>
        </w:tblCellMar>
        <w:tblLook w:val="0000" w:firstRow="0" w:lastRow="0" w:firstColumn="0" w:lastColumn="0" w:noHBand="0" w:noVBand="0"/>
      </w:tblPr>
      <w:tblGrid>
        <w:gridCol w:w="1701"/>
        <w:gridCol w:w="990"/>
        <w:gridCol w:w="603"/>
        <w:gridCol w:w="906"/>
        <w:gridCol w:w="1469"/>
        <w:gridCol w:w="2795"/>
      </w:tblGrid>
      <w:tr w:rsidR="0021326F" w:rsidRPr="00036700" w:rsidTr="0021326F">
        <w:trPr>
          <w:cantSplit/>
          <w:trHeight w:val="471"/>
        </w:trPr>
        <w:tc>
          <w:tcPr>
            <w:tcW w:w="1590" w:type="pct"/>
            <w:gridSpan w:val="2"/>
            <w:tcBorders>
              <w:bottom w:val="single" w:sz="4" w:space="0" w:color="auto"/>
            </w:tcBorders>
          </w:tcPr>
          <w:p w:rsidR="0021326F" w:rsidRPr="00036700" w:rsidRDefault="0021326F" w:rsidP="00277A70">
            <w:pPr>
              <w:keepNext/>
              <w:widowControl/>
              <w:rPr>
                <w:sz w:val="20"/>
              </w:rPr>
            </w:pPr>
            <w:r w:rsidRPr="00036700">
              <w:rPr>
                <w:sz w:val="20"/>
              </w:rPr>
              <w:t>Name, Restriction,</w:t>
            </w:r>
          </w:p>
          <w:p w:rsidR="0021326F" w:rsidRPr="00036700" w:rsidRDefault="0021326F" w:rsidP="00277A70">
            <w:pPr>
              <w:keepNext/>
              <w:widowControl/>
              <w:rPr>
                <w:sz w:val="20"/>
              </w:rPr>
            </w:pPr>
            <w:r w:rsidRPr="00036700">
              <w:rPr>
                <w:sz w:val="20"/>
              </w:rPr>
              <w:t>Manner of administration and form</w:t>
            </w:r>
          </w:p>
        </w:tc>
        <w:tc>
          <w:tcPr>
            <w:tcW w:w="356" w:type="pct"/>
            <w:tcBorders>
              <w:bottom w:val="single" w:sz="4" w:space="0" w:color="auto"/>
            </w:tcBorders>
          </w:tcPr>
          <w:p w:rsidR="0021326F" w:rsidRPr="00036700" w:rsidRDefault="0021326F" w:rsidP="00277A70">
            <w:pPr>
              <w:keepNext/>
              <w:widowControl/>
              <w:jc w:val="center"/>
              <w:rPr>
                <w:sz w:val="20"/>
              </w:rPr>
            </w:pPr>
            <w:r w:rsidRPr="00036700">
              <w:rPr>
                <w:sz w:val="20"/>
              </w:rPr>
              <w:t>Max.</w:t>
            </w:r>
          </w:p>
          <w:p w:rsidR="0021326F" w:rsidRPr="00036700" w:rsidRDefault="0021326F" w:rsidP="00277A70">
            <w:pPr>
              <w:keepNext/>
              <w:widowControl/>
              <w:jc w:val="center"/>
              <w:rPr>
                <w:sz w:val="20"/>
              </w:rPr>
            </w:pPr>
            <w:r w:rsidRPr="00036700">
              <w:rPr>
                <w:sz w:val="20"/>
              </w:rPr>
              <w:t>Qty</w:t>
            </w:r>
          </w:p>
        </w:tc>
        <w:tc>
          <w:tcPr>
            <w:tcW w:w="535" w:type="pct"/>
            <w:tcBorders>
              <w:bottom w:val="single" w:sz="4" w:space="0" w:color="auto"/>
            </w:tcBorders>
          </w:tcPr>
          <w:p w:rsidR="0021326F" w:rsidRPr="00036700" w:rsidRDefault="0021326F" w:rsidP="00277A70">
            <w:pPr>
              <w:keepNext/>
              <w:widowControl/>
              <w:jc w:val="center"/>
              <w:rPr>
                <w:sz w:val="20"/>
              </w:rPr>
            </w:pPr>
            <w:r w:rsidRPr="00036700">
              <w:rPr>
                <w:sz w:val="20"/>
              </w:rPr>
              <w:t>№.of</w:t>
            </w:r>
          </w:p>
          <w:p w:rsidR="0021326F" w:rsidRPr="00036700" w:rsidRDefault="0021326F" w:rsidP="00277A70">
            <w:pPr>
              <w:keepNext/>
              <w:widowControl/>
              <w:jc w:val="center"/>
              <w:rPr>
                <w:sz w:val="20"/>
              </w:rPr>
            </w:pPr>
            <w:r w:rsidRPr="00036700">
              <w:rPr>
                <w:sz w:val="20"/>
              </w:rPr>
              <w:t>Rpts</w:t>
            </w:r>
          </w:p>
        </w:tc>
        <w:tc>
          <w:tcPr>
            <w:tcW w:w="2519" w:type="pct"/>
            <w:gridSpan w:val="2"/>
            <w:tcBorders>
              <w:bottom w:val="single" w:sz="4" w:space="0" w:color="auto"/>
            </w:tcBorders>
          </w:tcPr>
          <w:p w:rsidR="0021326F" w:rsidRPr="002C3191" w:rsidRDefault="0021326F" w:rsidP="00277A70">
            <w:pPr>
              <w:keepNext/>
              <w:widowControl/>
              <w:jc w:val="center"/>
              <w:rPr>
                <w:sz w:val="20"/>
              </w:rPr>
            </w:pPr>
            <w:r w:rsidRPr="00036700">
              <w:rPr>
                <w:sz w:val="20"/>
              </w:rPr>
              <w:t>Proprietary Name and Manufacturer</w:t>
            </w:r>
          </w:p>
        </w:tc>
      </w:tr>
      <w:tr w:rsidR="0021326F" w:rsidRPr="00036700" w:rsidTr="0021326F">
        <w:trPr>
          <w:cantSplit/>
          <w:trHeight w:val="577"/>
        </w:trPr>
        <w:tc>
          <w:tcPr>
            <w:tcW w:w="1590" w:type="pct"/>
            <w:gridSpan w:val="2"/>
          </w:tcPr>
          <w:p w:rsidR="0021326F" w:rsidRPr="002C3191" w:rsidRDefault="0021326F" w:rsidP="00277A70">
            <w:pPr>
              <w:keepNext/>
              <w:widowControl/>
              <w:rPr>
                <w:sz w:val="20"/>
              </w:rPr>
            </w:pPr>
            <w:r w:rsidRPr="002C3191">
              <w:rPr>
                <w:smallCaps/>
                <w:sz w:val="20"/>
              </w:rPr>
              <w:t>Grazoprevir/elbasvir</w:t>
            </w:r>
          </w:p>
          <w:p w:rsidR="0021326F" w:rsidRPr="002C3191" w:rsidRDefault="0021326F" w:rsidP="00277A70">
            <w:pPr>
              <w:keepNext/>
              <w:widowControl/>
              <w:rPr>
                <w:sz w:val="20"/>
              </w:rPr>
            </w:pPr>
            <w:r w:rsidRPr="002C3191">
              <w:rPr>
                <w:sz w:val="20"/>
              </w:rPr>
              <w:t>Tablet 100 mg/50 mg</w:t>
            </w:r>
          </w:p>
        </w:tc>
        <w:tc>
          <w:tcPr>
            <w:tcW w:w="356" w:type="pct"/>
          </w:tcPr>
          <w:p w:rsidR="0021326F" w:rsidRPr="00036700" w:rsidRDefault="0021326F" w:rsidP="00277A70">
            <w:pPr>
              <w:keepNext/>
              <w:widowControl/>
              <w:jc w:val="center"/>
              <w:rPr>
                <w:sz w:val="20"/>
              </w:rPr>
            </w:pPr>
            <w:r w:rsidRPr="00036700">
              <w:rPr>
                <w:sz w:val="20"/>
              </w:rPr>
              <w:t>28</w:t>
            </w:r>
          </w:p>
        </w:tc>
        <w:tc>
          <w:tcPr>
            <w:tcW w:w="535" w:type="pct"/>
          </w:tcPr>
          <w:p w:rsidR="0021326F" w:rsidRPr="00036700" w:rsidRDefault="0021326F" w:rsidP="00277A70">
            <w:pPr>
              <w:keepNext/>
              <w:widowControl/>
              <w:jc w:val="center"/>
              <w:rPr>
                <w:sz w:val="20"/>
              </w:rPr>
            </w:pPr>
            <w:r w:rsidRPr="00036700">
              <w:rPr>
                <w:sz w:val="20"/>
              </w:rPr>
              <w:t>2</w:t>
            </w:r>
          </w:p>
        </w:tc>
        <w:tc>
          <w:tcPr>
            <w:tcW w:w="868" w:type="pct"/>
          </w:tcPr>
          <w:p w:rsidR="0021326F" w:rsidRPr="00036700" w:rsidRDefault="0021326F" w:rsidP="00277A70">
            <w:pPr>
              <w:keepNext/>
              <w:widowControl/>
              <w:jc w:val="center"/>
              <w:rPr>
                <w:sz w:val="20"/>
              </w:rPr>
            </w:pPr>
            <w:r w:rsidRPr="00036700">
              <w:rPr>
                <w:sz w:val="20"/>
              </w:rPr>
              <w:t>Zepatier</w:t>
            </w:r>
            <w:r w:rsidRPr="00036700">
              <w:rPr>
                <w:sz w:val="20"/>
                <w:vertAlign w:val="superscript"/>
              </w:rPr>
              <w:t>®</w:t>
            </w:r>
          </w:p>
        </w:tc>
        <w:tc>
          <w:tcPr>
            <w:tcW w:w="1651" w:type="pct"/>
          </w:tcPr>
          <w:p w:rsidR="0021326F" w:rsidRPr="00036700" w:rsidRDefault="0021326F" w:rsidP="00277A70">
            <w:pPr>
              <w:keepNext/>
              <w:widowControl/>
              <w:jc w:val="center"/>
              <w:rPr>
                <w:sz w:val="20"/>
              </w:rPr>
            </w:pPr>
            <w:r w:rsidRPr="00036700">
              <w:rPr>
                <w:sz w:val="20"/>
              </w:rPr>
              <w:t>Merck Sharp &amp; Dohme (Australia) Pty Ltd</w:t>
            </w:r>
          </w:p>
        </w:tc>
      </w:tr>
      <w:tr w:rsidR="00A73610" w:rsidRPr="00036700" w:rsidTr="0041620B">
        <w:trPr>
          <w:cantSplit/>
          <w:trHeight w:val="360"/>
        </w:trPr>
        <w:tc>
          <w:tcPr>
            <w:tcW w:w="1005" w:type="pct"/>
          </w:tcPr>
          <w:p w:rsidR="00A73610" w:rsidRPr="00036700" w:rsidRDefault="00A73610" w:rsidP="00277A70">
            <w:pPr>
              <w:widowControl/>
              <w:rPr>
                <w:sz w:val="20"/>
              </w:rPr>
            </w:pPr>
            <w:r w:rsidRPr="00036700">
              <w:rPr>
                <w:rFonts w:ascii="Arial Narrow" w:hAnsi="Arial Narrow"/>
                <w:b/>
                <w:sz w:val="20"/>
              </w:rPr>
              <w:t>Category / Program</w:t>
            </w:r>
          </w:p>
        </w:tc>
        <w:tc>
          <w:tcPr>
            <w:tcW w:w="3995" w:type="pct"/>
            <w:gridSpan w:val="5"/>
          </w:tcPr>
          <w:p w:rsidR="00A73610" w:rsidRPr="00036700" w:rsidRDefault="00C606C5" w:rsidP="00277A70">
            <w:pPr>
              <w:widowControl/>
              <w:rPr>
                <w:sz w:val="20"/>
              </w:rPr>
            </w:pPr>
            <w:r w:rsidRPr="00036700">
              <w:rPr>
                <w:rFonts w:ascii="Arial Narrow" w:hAnsi="Arial Narrow"/>
                <w:sz w:val="20"/>
              </w:rPr>
              <w:t>Section 100 – Highly Specialised Drugs Program</w:t>
            </w:r>
          </w:p>
        </w:tc>
      </w:tr>
      <w:tr w:rsidR="00A73610" w:rsidRPr="00036700" w:rsidTr="0041620B">
        <w:trPr>
          <w:cantSplit/>
          <w:trHeight w:val="360"/>
        </w:trPr>
        <w:tc>
          <w:tcPr>
            <w:tcW w:w="1005" w:type="pct"/>
          </w:tcPr>
          <w:p w:rsidR="00A73610" w:rsidRPr="00036700" w:rsidRDefault="00A73610" w:rsidP="00277A70">
            <w:pPr>
              <w:widowControl/>
              <w:rPr>
                <w:sz w:val="20"/>
              </w:rPr>
            </w:pPr>
            <w:r w:rsidRPr="00036700">
              <w:rPr>
                <w:rFonts w:ascii="Arial Narrow" w:hAnsi="Arial Narrow"/>
                <w:b/>
                <w:sz w:val="20"/>
              </w:rPr>
              <w:lastRenderedPageBreak/>
              <w:t>Prescriber type:</w:t>
            </w:r>
          </w:p>
        </w:tc>
        <w:tc>
          <w:tcPr>
            <w:tcW w:w="3995" w:type="pct"/>
            <w:gridSpan w:val="5"/>
          </w:tcPr>
          <w:p w:rsidR="00A73610" w:rsidRPr="00036700" w:rsidRDefault="00A73610" w:rsidP="00277A70">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A73610" w:rsidRPr="00036700" w:rsidRDefault="00A73610" w:rsidP="00277A70">
            <w:pPr>
              <w:widowControl/>
              <w:rPr>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A73610" w:rsidRPr="00036700" w:rsidTr="0041620B">
        <w:trPr>
          <w:cantSplit/>
          <w:trHeight w:val="360"/>
        </w:trPr>
        <w:tc>
          <w:tcPr>
            <w:tcW w:w="5000" w:type="pct"/>
            <w:gridSpan w:val="6"/>
          </w:tcPr>
          <w:p w:rsidR="00A73610" w:rsidRPr="00036700" w:rsidRDefault="00A73610" w:rsidP="00277A70">
            <w:pPr>
              <w:widowControl/>
              <w:rPr>
                <w:sz w:val="20"/>
              </w:rPr>
            </w:pPr>
            <w:r w:rsidRPr="00036700">
              <w:rPr>
                <w:sz w:val="20"/>
              </w:rPr>
              <w:t>Chronic hepatitis C infection</w:t>
            </w:r>
          </w:p>
          <w:p w:rsidR="00A73610" w:rsidRPr="00036700" w:rsidRDefault="00A73610" w:rsidP="00277A70">
            <w:pPr>
              <w:widowControl/>
              <w:rPr>
                <w:strike/>
                <w:sz w:val="20"/>
              </w:rPr>
            </w:pPr>
            <w:r w:rsidRPr="00036700">
              <w:rPr>
                <w:strike/>
                <w:sz w:val="20"/>
              </w:rPr>
              <w:t>GT 1, 4 and 6 treatment-naïve and treatment-experienced relapsers</w:t>
            </w:r>
          </w:p>
          <w:p w:rsidR="00A73610" w:rsidRPr="00036700" w:rsidRDefault="00A73610" w:rsidP="00277A70">
            <w:pPr>
              <w:widowControl/>
              <w:rPr>
                <w:strike/>
                <w:sz w:val="20"/>
              </w:rPr>
            </w:pPr>
            <w:r w:rsidRPr="00036700">
              <w:rPr>
                <w:strike/>
                <w:sz w:val="20"/>
              </w:rPr>
              <w:t>GT1b treatment-experienced on-treatment failures</w:t>
            </w:r>
          </w:p>
          <w:p w:rsidR="00A73610" w:rsidRPr="00036700" w:rsidRDefault="00A73610" w:rsidP="00277A70">
            <w:pPr>
              <w:widowControl/>
              <w:rPr>
                <w:sz w:val="20"/>
              </w:rPr>
            </w:pPr>
            <w:r w:rsidRPr="00036700">
              <w:rPr>
                <w:strike/>
                <w:sz w:val="20"/>
              </w:rPr>
              <w:t>GT 3 treatment-naïve</w:t>
            </w:r>
          </w:p>
        </w:tc>
      </w:tr>
    </w:tbl>
    <w:p w:rsidR="00A73610" w:rsidRPr="00036700" w:rsidRDefault="00A73610" w:rsidP="00277A70">
      <w:pPr>
        <w:widowControl/>
      </w:pPr>
    </w:p>
    <w:tbl>
      <w:tblPr>
        <w:tblW w:w="4661" w:type="pct"/>
        <w:tblInd w:w="737" w:type="dxa"/>
        <w:tblCellMar>
          <w:left w:w="28" w:type="dxa"/>
          <w:right w:w="28" w:type="dxa"/>
        </w:tblCellMar>
        <w:tblLook w:val="0000" w:firstRow="0" w:lastRow="0" w:firstColumn="0" w:lastColumn="0" w:noHBand="0" w:noVBand="0"/>
      </w:tblPr>
      <w:tblGrid>
        <w:gridCol w:w="1702"/>
        <w:gridCol w:w="991"/>
        <w:gridCol w:w="604"/>
        <w:gridCol w:w="908"/>
        <w:gridCol w:w="1466"/>
        <w:gridCol w:w="2795"/>
      </w:tblGrid>
      <w:tr w:rsidR="0021326F" w:rsidRPr="00036700" w:rsidTr="0021326F">
        <w:trPr>
          <w:cantSplit/>
          <w:trHeight w:val="471"/>
        </w:trPr>
        <w:tc>
          <w:tcPr>
            <w:tcW w:w="1590" w:type="pct"/>
            <w:gridSpan w:val="2"/>
            <w:tcBorders>
              <w:bottom w:val="single" w:sz="4" w:space="0" w:color="auto"/>
            </w:tcBorders>
          </w:tcPr>
          <w:p w:rsidR="0021326F" w:rsidRPr="00036700" w:rsidRDefault="0021326F" w:rsidP="00277A70">
            <w:pPr>
              <w:keepNext/>
              <w:widowControl/>
              <w:rPr>
                <w:sz w:val="20"/>
              </w:rPr>
            </w:pPr>
            <w:r w:rsidRPr="00036700">
              <w:rPr>
                <w:sz w:val="20"/>
              </w:rPr>
              <w:t>Name, Restriction,</w:t>
            </w:r>
          </w:p>
          <w:p w:rsidR="0021326F" w:rsidRPr="00036700" w:rsidRDefault="0021326F" w:rsidP="00277A70">
            <w:pPr>
              <w:keepNext/>
              <w:widowControl/>
              <w:rPr>
                <w:sz w:val="20"/>
              </w:rPr>
            </w:pPr>
            <w:r w:rsidRPr="00036700">
              <w:rPr>
                <w:sz w:val="20"/>
              </w:rPr>
              <w:t>Manner of administration and form</w:t>
            </w:r>
          </w:p>
        </w:tc>
        <w:tc>
          <w:tcPr>
            <w:tcW w:w="357" w:type="pct"/>
            <w:tcBorders>
              <w:bottom w:val="single" w:sz="4" w:space="0" w:color="auto"/>
            </w:tcBorders>
          </w:tcPr>
          <w:p w:rsidR="0021326F" w:rsidRPr="00036700" w:rsidRDefault="0021326F" w:rsidP="00277A70">
            <w:pPr>
              <w:keepNext/>
              <w:widowControl/>
              <w:jc w:val="center"/>
              <w:rPr>
                <w:sz w:val="20"/>
              </w:rPr>
            </w:pPr>
            <w:r w:rsidRPr="00036700">
              <w:rPr>
                <w:sz w:val="20"/>
              </w:rPr>
              <w:t>Max.</w:t>
            </w:r>
          </w:p>
          <w:p w:rsidR="0021326F" w:rsidRPr="00036700" w:rsidRDefault="0021326F" w:rsidP="00277A70">
            <w:pPr>
              <w:keepNext/>
              <w:widowControl/>
              <w:jc w:val="center"/>
              <w:rPr>
                <w:sz w:val="20"/>
              </w:rPr>
            </w:pPr>
            <w:r w:rsidRPr="00036700">
              <w:rPr>
                <w:sz w:val="20"/>
              </w:rPr>
              <w:t>Qty</w:t>
            </w:r>
          </w:p>
        </w:tc>
        <w:tc>
          <w:tcPr>
            <w:tcW w:w="536" w:type="pct"/>
            <w:tcBorders>
              <w:bottom w:val="single" w:sz="4" w:space="0" w:color="auto"/>
            </w:tcBorders>
          </w:tcPr>
          <w:p w:rsidR="0021326F" w:rsidRPr="00036700" w:rsidRDefault="0021326F" w:rsidP="00277A70">
            <w:pPr>
              <w:keepNext/>
              <w:widowControl/>
              <w:jc w:val="center"/>
              <w:rPr>
                <w:sz w:val="20"/>
              </w:rPr>
            </w:pPr>
            <w:r w:rsidRPr="00036700">
              <w:rPr>
                <w:sz w:val="20"/>
              </w:rPr>
              <w:t>№.of</w:t>
            </w:r>
          </w:p>
          <w:p w:rsidR="0021326F" w:rsidRPr="00036700" w:rsidRDefault="0021326F" w:rsidP="00277A70">
            <w:pPr>
              <w:keepNext/>
              <w:widowControl/>
              <w:jc w:val="center"/>
              <w:rPr>
                <w:sz w:val="20"/>
              </w:rPr>
            </w:pPr>
            <w:r w:rsidRPr="00036700">
              <w:rPr>
                <w:sz w:val="20"/>
              </w:rPr>
              <w:t>Rpts</w:t>
            </w:r>
          </w:p>
        </w:tc>
        <w:tc>
          <w:tcPr>
            <w:tcW w:w="2517" w:type="pct"/>
            <w:gridSpan w:val="2"/>
            <w:tcBorders>
              <w:bottom w:val="single" w:sz="4" w:space="0" w:color="auto"/>
            </w:tcBorders>
          </w:tcPr>
          <w:p w:rsidR="0021326F" w:rsidRPr="002C3191" w:rsidRDefault="0021326F" w:rsidP="00277A70">
            <w:pPr>
              <w:keepNext/>
              <w:widowControl/>
              <w:jc w:val="center"/>
              <w:rPr>
                <w:sz w:val="20"/>
              </w:rPr>
            </w:pPr>
            <w:r w:rsidRPr="00036700">
              <w:rPr>
                <w:sz w:val="20"/>
              </w:rPr>
              <w:t>Proprietary Name and Manufacturer</w:t>
            </w:r>
          </w:p>
        </w:tc>
      </w:tr>
      <w:tr w:rsidR="0021326F" w:rsidRPr="00036700" w:rsidTr="0021326F">
        <w:trPr>
          <w:cantSplit/>
          <w:trHeight w:val="577"/>
        </w:trPr>
        <w:tc>
          <w:tcPr>
            <w:tcW w:w="1590" w:type="pct"/>
            <w:gridSpan w:val="2"/>
          </w:tcPr>
          <w:p w:rsidR="0021326F" w:rsidRPr="002C3191" w:rsidRDefault="0021326F" w:rsidP="00277A70">
            <w:pPr>
              <w:keepNext/>
              <w:widowControl/>
              <w:jc w:val="left"/>
              <w:rPr>
                <w:sz w:val="20"/>
              </w:rPr>
            </w:pPr>
            <w:r w:rsidRPr="002C3191">
              <w:rPr>
                <w:smallCaps/>
                <w:sz w:val="20"/>
              </w:rPr>
              <w:t>Grazoprevir/elbasvir</w:t>
            </w:r>
          </w:p>
          <w:p w:rsidR="0021326F" w:rsidRPr="002C3191" w:rsidRDefault="0021326F" w:rsidP="00277A70">
            <w:pPr>
              <w:keepNext/>
              <w:widowControl/>
              <w:jc w:val="left"/>
              <w:rPr>
                <w:sz w:val="20"/>
              </w:rPr>
            </w:pPr>
            <w:r w:rsidRPr="002C3191">
              <w:rPr>
                <w:sz w:val="20"/>
              </w:rPr>
              <w:t>Tablet 100 mg/50 mg</w:t>
            </w:r>
          </w:p>
        </w:tc>
        <w:tc>
          <w:tcPr>
            <w:tcW w:w="357" w:type="pct"/>
          </w:tcPr>
          <w:p w:rsidR="0021326F" w:rsidRPr="00036700" w:rsidRDefault="0021326F" w:rsidP="00277A70">
            <w:pPr>
              <w:keepNext/>
              <w:widowControl/>
              <w:jc w:val="center"/>
              <w:rPr>
                <w:sz w:val="20"/>
              </w:rPr>
            </w:pPr>
            <w:r w:rsidRPr="00036700">
              <w:rPr>
                <w:sz w:val="20"/>
              </w:rPr>
              <w:t>28</w:t>
            </w:r>
          </w:p>
        </w:tc>
        <w:tc>
          <w:tcPr>
            <w:tcW w:w="536" w:type="pct"/>
          </w:tcPr>
          <w:p w:rsidR="0021326F" w:rsidRPr="00036700" w:rsidRDefault="0021326F" w:rsidP="00277A70">
            <w:pPr>
              <w:keepNext/>
              <w:widowControl/>
              <w:jc w:val="center"/>
              <w:rPr>
                <w:sz w:val="20"/>
              </w:rPr>
            </w:pPr>
            <w:r w:rsidRPr="00036700">
              <w:rPr>
                <w:sz w:val="20"/>
              </w:rPr>
              <w:t>3</w:t>
            </w:r>
          </w:p>
        </w:tc>
        <w:tc>
          <w:tcPr>
            <w:tcW w:w="866" w:type="pct"/>
          </w:tcPr>
          <w:p w:rsidR="0021326F" w:rsidRPr="00036700" w:rsidRDefault="0021326F" w:rsidP="00277A70">
            <w:pPr>
              <w:keepNext/>
              <w:widowControl/>
              <w:jc w:val="center"/>
              <w:rPr>
                <w:sz w:val="20"/>
              </w:rPr>
            </w:pPr>
            <w:r w:rsidRPr="00036700">
              <w:rPr>
                <w:sz w:val="20"/>
              </w:rPr>
              <w:t>Zepatier</w:t>
            </w:r>
            <w:r w:rsidRPr="00036700">
              <w:rPr>
                <w:sz w:val="20"/>
                <w:vertAlign w:val="superscript"/>
              </w:rPr>
              <w:t>®</w:t>
            </w:r>
          </w:p>
        </w:tc>
        <w:tc>
          <w:tcPr>
            <w:tcW w:w="1651" w:type="pct"/>
          </w:tcPr>
          <w:p w:rsidR="0021326F" w:rsidRPr="00036700" w:rsidRDefault="0021326F" w:rsidP="00277A70">
            <w:pPr>
              <w:keepNext/>
              <w:widowControl/>
              <w:jc w:val="center"/>
              <w:rPr>
                <w:sz w:val="20"/>
              </w:rPr>
            </w:pPr>
            <w:r w:rsidRPr="00036700">
              <w:rPr>
                <w:sz w:val="20"/>
              </w:rPr>
              <w:t>Merck Sharp &amp; Dohme (Australia) Pty Ltd</w:t>
            </w:r>
          </w:p>
        </w:tc>
      </w:tr>
      <w:tr w:rsidR="00A73610" w:rsidRPr="00036700" w:rsidTr="0041620B">
        <w:trPr>
          <w:cantSplit/>
          <w:trHeight w:val="360"/>
        </w:trPr>
        <w:tc>
          <w:tcPr>
            <w:tcW w:w="1005" w:type="pct"/>
          </w:tcPr>
          <w:p w:rsidR="00A73610" w:rsidRPr="00036700" w:rsidRDefault="00A73610" w:rsidP="00277A70">
            <w:pPr>
              <w:widowControl/>
              <w:tabs>
                <w:tab w:val="left" w:pos="6060"/>
              </w:tabs>
              <w:rPr>
                <w:strike/>
                <w:sz w:val="20"/>
              </w:rPr>
            </w:pPr>
            <w:r w:rsidRPr="00036700">
              <w:rPr>
                <w:rFonts w:ascii="Arial Narrow" w:hAnsi="Arial Narrow"/>
                <w:b/>
                <w:sz w:val="20"/>
              </w:rPr>
              <w:t>Category / Program</w:t>
            </w:r>
          </w:p>
        </w:tc>
        <w:tc>
          <w:tcPr>
            <w:tcW w:w="3995" w:type="pct"/>
            <w:gridSpan w:val="5"/>
          </w:tcPr>
          <w:p w:rsidR="00A73610" w:rsidRPr="00036700" w:rsidRDefault="00C606C5" w:rsidP="00277A70">
            <w:pPr>
              <w:widowControl/>
              <w:tabs>
                <w:tab w:val="left" w:pos="6060"/>
              </w:tabs>
              <w:rPr>
                <w:strike/>
                <w:sz w:val="20"/>
              </w:rPr>
            </w:pPr>
            <w:r w:rsidRPr="00036700">
              <w:rPr>
                <w:rFonts w:ascii="Arial Narrow" w:hAnsi="Arial Narrow"/>
                <w:sz w:val="20"/>
              </w:rPr>
              <w:t>Section 100 – Highly Specialised Drugs Program</w:t>
            </w:r>
          </w:p>
        </w:tc>
      </w:tr>
      <w:tr w:rsidR="00A73610" w:rsidRPr="00036700" w:rsidTr="0041620B">
        <w:trPr>
          <w:cantSplit/>
          <w:trHeight w:val="360"/>
        </w:trPr>
        <w:tc>
          <w:tcPr>
            <w:tcW w:w="1005" w:type="pct"/>
          </w:tcPr>
          <w:p w:rsidR="00A73610" w:rsidRPr="00036700" w:rsidRDefault="00A73610" w:rsidP="00277A70">
            <w:pPr>
              <w:widowControl/>
              <w:tabs>
                <w:tab w:val="left" w:pos="6060"/>
              </w:tabs>
              <w:rPr>
                <w:strike/>
                <w:sz w:val="20"/>
              </w:rPr>
            </w:pPr>
            <w:r w:rsidRPr="00036700">
              <w:rPr>
                <w:rFonts w:ascii="Arial Narrow" w:hAnsi="Arial Narrow"/>
                <w:b/>
                <w:sz w:val="20"/>
              </w:rPr>
              <w:t>Prescriber type:</w:t>
            </w:r>
          </w:p>
        </w:tc>
        <w:tc>
          <w:tcPr>
            <w:tcW w:w="3995" w:type="pct"/>
            <w:gridSpan w:val="5"/>
          </w:tcPr>
          <w:p w:rsidR="00A73610" w:rsidRPr="00036700" w:rsidRDefault="00A73610" w:rsidP="00277A70">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A73610" w:rsidRPr="00036700" w:rsidRDefault="00A73610" w:rsidP="00277A70">
            <w:pPr>
              <w:widowControl/>
              <w:tabs>
                <w:tab w:val="left" w:pos="6060"/>
              </w:tabs>
              <w:rPr>
                <w:strike/>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A73610" w:rsidRPr="00036700" w:rsidTr="0041620B">
        <w:trPr>
          <w:cantSplit/>
          <w:trHeight w:val="360"/>
        </w:trPr>
        <w:tc>
          <w:tcPr>
            <w:tcW w:w="5000" w:type="pct"/>
            <w:gridSpan w:val="6"/>
          </w:tcPr>
          <w:p w:rsidR="00A73610" w:rsidRPr="00036700" w:rsidRDefault="00A73610" w:rsidP="00277A70">
            <w:pPr>
              <w:widowControl/>
              <w:tabs>
                <w:tab w:val="left" w:pos="6060"/>
              </w:tabs>
              <w:rPr>
                <w:strike/>
                <w:sz w:val="20"/>
              </w:rPr>
            </w:pPr>
            <w:r w:rsidRPr="00036700">
              <w:rPr>
                <w:strike/>
                <w:sz w:val="20"/>
              </w:rPr>
              <w:t>GT 1a, 4 and 6 treatment-experienced on-treatment failures</w:t>
            </w:r>
          </w:p>
          <w:p w:rsidR="00A73610" w:rsidRPr="00036700" w:rsidRDefault="00A73610" w:rsidP="00277A70">
            <w:pPr>
              <w:widowControl/>
              <w:tabs>
                <w:tab w:val="left" w:pos="6060"/>
              </w:tabs>
              <w:rPr>
                <w:sz w:val="20"/>
              </w:rPr>
            </w:pPr>
            <w:r w:rsidRPr="00036700">
              <w:rPr>
                <w:sz w:val="20"/>
              </w:rPr>
              <w:t>Chronic hepatitis C infection</w:t>
            </w:r>
          </w:p>
        </w:tc>
      </w:tr>
    </w:tbl>
    <w:p w:rsidR="00A73610" w:rsidRPr="00036700" w:rsidRDefault="00A73610" w:rsidP="00277A70">
      <w:pPr>
        <w:widowControl/>
      </w:pPr>
    </w:p>
    <w:p w:rsidR="00B775AD" w:rsidRPr="00036700" w:rsidRDefault="00B775AD" w:rsidP="00277A70">
      <w:pPr>
        <w:widowControl/>
        <w:ind w:left="709"/>
        <w:rPr>
          <w:b/>
          <w:sz w:val="20"/>
        </w:rPr>
      </w:pPr>
      <w:r w:rsidRPr="00036700">
        <w:rPr>
          <w:b/>
          <w:sz w:val="20"/>
        </w:rPr>
        <w:t>Proposed listing 1:</w:t>
      </w:r>
    </w:p>
    <w:tbl>
      <w:tblPr>
        <w:tblStyle w:val="TableGrid"/>
        <w:tblW w:w="4645" w:type="pct"/>
        <w:tblInd w:w="737" w:type="dxa"/>
        <w:tblLook w:val="04A0" w:firstRow="1" w:lastRow="0" w:firstColumn="1" w:lastColumn="0" w:noHBand="0" w:noVBand="1"/>
        <w:tblCaption w:val="Proposed listing 1"/>
      </w:tblPr>
      <w:tblGrid>
        <w:gridCol w:w="1779"/>
        <w:gridCol w:w="6807"/>
      </w:tblGrid>
      <w:tr w:rsidR="00B775AD" w:rsidRPr="00036700" w:rsidTr="00D100AE">
        <w:trPr>
          <w:tblHeader/>
        </w:trPr>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Restriction</w:t>
            </w:r>
          </w:p>
        </w:tc>
        <w:tc>
          <w:tcPr>
            <w:tcW w:w="3964" w:type="pct"/>
          </w:tcPr>
          <w:p w:rsidR="00B775AD" w:rsidRPr="00036700" w:rsidRDefault="00B775AD" w:rsidP="00277A70">
            <w:pPr>
              <w:widowControl/>
              <w:jc w:val="left"/>
              <w:rPr>
                <w:rFonts w:ascii="Arial Narrow" w:eastAsiaTheme="majorEastAsia" w:hAnsi="Arial Narrow" w:cstheme="majorBidi"/>
                <w:i/>
                <w:snapToGrid/>
                <w:sz w:val="20"/>
                <w:szCs w:val="22"/>
                <w:lang w:bidi="en-US"/>
              </w:rPr>
            </w:pPr>
            <w:r w:rsidRPr="00036700">
              <w:rPr>
                <w:rFonts w:ascii="Arial Narrow" w:eastAsiaTheme="majorEastAsia" w:hAnsi="Arial Narrow" w:cstheme="majorBidi"/>
                <w:i/>
                <w:snapToGrid/>
                <w:sz w:val="20"/>
                <w:szCs w:val="22"/>
                <w:lang w:bidi="en-US"/>
              </w:rPr>
              <w:t>Authority Required</w:t>
            </w:r>
          </w:p>
        </w:tc>
      </w:tr>
      <w:tr w:rsidR="00B775AD" w:rsidRPr="00036700" w:rsidTr="00F7268F">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Clinical criteria</w:t>
            </w:r>
          </w:p>
        </w:tc>
        <w:tc>
          <w:tcPr>
            <w:tcW w:w="3964" w:type="pct"/>
          </w:tcPr>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Patient must meet the criteria set out in the General Statement for Drugs for the Treatment of Hepatitis C,</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Patient must be taking this drug as part of a regimen set out in the matrix in the General Statement for Drugs for the Treatment of Hepatitis C, based on the hepatitis C virus genotype, patient history and cirrhotic status,</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The treatment must be limited to a maximum duration of 12 weeks.</w:t>
            </w:r>
          </w:p>
        </w:tc>
      </w:tr>
      <w:tr w:rsidR="00B775AD" w:rsidRPr="00036700" w:rsidTr="00F7268F">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Population criteria</w:t>
            </w:r>
          </w:p>
        </w:tc>
        <w:tc>
          <w:tcPr>
            <w:tcW w:w="3964" w:type="pct"/>
          </w:tcPr>
          <w:p w:rsidR="00B775AD" w:rsidRPr="00036700" w:rsidRDefault="00B775AD" w:rsidP="00277A70">
            <w:pPr>
              <w:pStyle w:val="TableText1"/>
              <w:keepNext/>
              <w:keepLines/>
              <w:spacing w:before="0" w:after="0"/>
              <w:rPr>
                <w:rFonts w:ascii="Arial Narrow" w:hAnsi="Arial Narrow"/>
                <w:strike/>
                <w:sz w:val="20"/>
                <w:szCs w:val="20"/>
              </w:rPr>
            </w:pPr>
            <w:r w:rsidRPr="00036700">
              <w:rPr>
                <w:rFonts w:ascii="Arial Narrow" w:hAnsi="Arial Narrow"/>
                <w:strike/>
                <w:sz w:val="20"/>
                <w:szCs w:val="20"/>
                <w:lang w:eastAsia="en-AU"/>
              </w:rPr>
              <w:t>Patient must be aged 18 years or older</w:t>
            </w:r>
          </w:p>
        </w:tc>
      </w:tr>
      <w:tr w:rsidR="00B775AD" w:rsidRPr="00036700" w:rsidTr="00F7268F">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Prescriber instruction</w:t>
            </w:r>
          </w:p>
        </w:tc>
        <w:tc>
          <w:tcPr>
            <w:tcW w:w="3964"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quantity or number of units may be authorised.</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number of repeats may be authorised.</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The treatment must be lim</w:t>
            </w:r>
            <w:r w:rsidR="00AC595C" w:rsidRPr="00036700">
              <w:rPr>
                <w:rFonts w:ascii="Arial Narrow" w:eastAsiaTheme="majorEastAsia" w:hAnsi="Arial Narrow" w:cstheme="majorBidi"/>
                <w:snapToGrid/>
                <w:sz w:val="20"/>
                <w:szCs w:val="22"/>
                <w:lang w:bidi="en-US"/>
              </w:rPr>
              <w:t>ited to a maximum duration of 1</w:t>
            </w:r>
            <w:r w:rsidR="00125EFF" w:rsidRPr="00036700">
              <w:rPr>
                <w:rFonts w:ascii="Arial Narrow" w:eastAsiaTheme="majorEastAsia" w:hAnsi="Arial Narrow" w:cstheme="majorBidi"/>
                <w:snapToGrid/>
                <w:sz w:val="20"/>
                <w:szCs w:val="22"/>
                <w:lang w:bidi="en-US"/>
              </w:rPr>
              <w:t>2</w:t>
            </w:r>
            <w:r w:rsidRPr="00036700">
              <w:rPr>
                <w:rFonts w:ascii="Arial Narrow" w:eastAsiaTheme="majorEastAsia" w:hAnsi="Arial Narrow" w:cstheme="majorBidi"/>
                <w:snapToGrid/>
                <w:sz w:val="20"/>
                <w:szCs w:val="22"/>
                <w:lang w:bidi="en-US"/>
              </w:rPr>
              <w:t xml:space="preserve"> weeks.</w:t>
            </w:r>
          </w:p>
        </w:tc>
      </w:tr>
    </w:tbl>
    <w:p w:rsidR="00B775AD" w:rsidRPr="00036700" w:rsidRDefault="00B775AD" w:rsidP="00277A70">
      <w:pPr>
        <w:widowControl/>
        <w:ind w:left="709"/>
        <w:rPr>
          <w:b/>
          <w:sz w:val="20"/>
        </w:rPr>
      </w:pPr>
    </w:p>
    <w:p w:rsidR="00B775AD" w:rsidRPr="00036700" w:rsidRDefault="00B775AD" w:rsidP="00277A70">
      <w:pPr>
        <w:keepNext/>
        <w:widowControl/>
        <w:ind w:left="709"/>
        <w:rPr>
          <w:b/>
          <w:sz w:val="20"/>
        </w:rPr>
      </w:pPr>
      <w:r w:rsidRPr="00036700">
        <w:rPr>
          <w:b/>
          <w:sz w:val="20"/>
        </w:rPr>
        <w:lastRenderedPageBreak/>
        <w:t>Proposed listing 2</w:t>
      </w:r>
    </w:p>
    <w:tbl>
      <w:tblPr>
        <w:tblStyle w:val="TableGrid"/>
        <w:tblW w:w="4645" w:type="pct"/>
        <w:tblInd w:w="737" w:type="dxa"/>
        <w:tblLook w:val="04A0" w:firstRow="1" w:lastRow="0" w:firstColumn="1" w:lastColumn="0" w:noHBand="0" w:noVBand="1"/>
        <w:tblCaption w:val="Proposed listing 2"/>
      </w:tblPr>
      <w:tblGrid>
        <w:gridCol w:w="1779"/>
        <w:gridCol w:w="6807"/>
      </w:tblGrid>
      <w:tr w:rsidR="00B775AD" w:rsidRPr="00036700" w:rsidTr="00D100AE">
        <w:trPr>
          <w:tblHeader/>
        </w:trPr>
        <w:tc>
          <w:tcPr>
            <w:tcW w:w="1036" w:type="pct"/>
          </w:tcPr>
          <w:p w:rsidR="00B775AD" w:rsidRPr="00036700" w:rsidRDefault="00B775AD" w:rsidP="00277A70">
            <w:pPr>
              <w:keepNext/>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Restriction</w:t>
            </w:r>
          </w:p>
        </w:tc>
        <w:tc>
          <w:tcPr>
            <w:tcW w:w="3964" w:type="pct"/>
          </w:tcPr>
          <w:p w:rsidR="00B775AD" w:rsidRPr="00036700" w:rsidRDefault="00B775AD" w:rsidP="00277A70">
            <w:pPr>
              <w:keepNext/>
              <w:widowControl/>
              <w:jc w:val="left"/>
              <w:rPr>
                <w:rFonts w:ascii="Arial Narrow" w:eastAsiaTheme="majorEastAsia" w:hAnsi="Arial Narrow" w:cstheme="majorBidi"/>
                <w:i/>
                <w:snapToGrid/>
                <w:sz w:val="20"/>
                <w:szCs w:val="22"/>
                <w:lang w:bidi="en-US"/>
              </w:rPr>
            </w:pPr>
            <w:r w:rsidRPr="00036700">
              <w:rPr>
                <w:rFonts w:ascii="Arial Narrow" w:eastAsiaTheme="majorEastAsia" w:hAnsi="Arial Narrow" w:cstheme="majorBidi"/>
                <w:i/>
                <w:snapToGrid/>
                <w:sz w:val="20"/>
                <w:szCs w:val="22"/>
                <w:lang w:bidi="en-US"/>
              </w:rPr>
              <w:t>Authority Required</w:t>
            </w:r>
          </w:p>
        </w:tc>
      </w:tr>
      <w:tr w:rsidR="00B775AD" w:rsidRPr="00036700" w:rsidTr="00F7268F">
        <w:tc>
          <w:tcPr>
            <w:tcW w:w="1036" w:type="pct"/>
          </w:tcPr>
          <w:p w:rsidR="00B775AD" w:rsidRPr="00036700" w:rsidRDefault="00B775AD" w:rsidP="00277A70">
            <w:pPr>
              <w:keepNext/>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Clinical criteria</w:t>
            </w:r>
          </w:p>
        </w:tc>
        <w:tc>
          <w:tcPr>
            <w:tcW w:w="3964" w:type="pct"/>
          </w:tcPr>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Patient must meet the criteria set out in the General Statement for Drugs for the Treatment of Hepatitis C,</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Patient must be taking this drug as part of a regimen set out in the matrix in the General Statement for Drugs for the Treatment of Hepatitis C, based on the hepatitis C virus genotype, patient history and cirrhotic status,</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B775AD" w:rsidP="00277A70">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B775AD" w:rsidRPr="00036700" w:rsidRDefault="00B775AD" w:rsidP="00277A70">
            <w:pPr>
              <w:pStyle w:val="TableText1"/>
              <w:keepNext/>
              <w:keepLines/>
              <w:spacing w:before="0" w:after="0"/>
              <w:rPr>
                <w:rFonts w:ascii="Arial Narrow" w:hAnsi="Arial Narrow"/>
                <w:sz w:val="20"/>
                <w:szCs w:val="20"/>
              </w:rPr>
            </w:pPr>
          </w:p>
          <w:p w:rsidR="00B775AD" w:rsidRPr="00036700" w:rsidRDefault="00277A70" w:rsidP="00277A70">
            <w:pPr>
              <w:pStyle w:val="TableText1"/>
              <w:keepNext/>
              <w:keepLines/>
              <w:spacing w:before="0" w:after="0"/>
              <w:rPr>
                <w:rFonts w:ascii="Arial Narrow" w:hAnsi="Arial Narrow"/>
                <w:sz w:val="20"/>
                <w:szCs w:val="20"/>
              </w:rPr>
            </w:pPr>
            <w:r w:rsidRPr="00036700">
              <w:rPr>
                <w:rFonts w:ascii="Arial Narrow" w:hAnsi="Arial Narrow"/>
                <w:sz w:val="20"/>
                <w:szCs w:val="20"/>
              </w:rPr>
              <w:t xml:space="preserve">The treatment </w:t>
            </w:r>
            <w:r w:rsidR="00B775AD" w:rsidRPr="00036700">
              <w:rPr>
                <w:rFonts w:ascii="Arial Narrow" w:hAnsi="Arial Narrow"/>
                <w:sz w:val="20"/>
                <w:szCs w:val="20"/>
              </w:rPr>
              <w:t>must be limited to a maximum duration of 1</w:t>
            </w:r>
            <w:r w:rsidR="00125EFF" w:rsidRPr="00036700">
              <w:rPr>
                <w:rFonts w:ascii="Arial Narrow" w:hAnsi="Arial Narrow"/>
                <w:sz w:val="20"/>
                <w:szCs w:val="20"/>
              </w:rPr>
              <w:t>6</w:t>
            </w:r>
            <w:r w:rsidR="00B775AD" w:rsidRPr="00036700">
              <w:rPr>
                <w:rFonts w:ascii="Arial Narrow" w:hAnsi="Arial Narrow"/>
                <w:sz w:val="20"/>
                <w:szCs w:val="20"/>
              </w:rPr>
              <w:t xml:space="preserve"> weeks.</w:t>
            </w:r>
          </w:p>
        </w:tc>
      </w:tr>
      <w:tr w:rsidR="00B775AD" w:rsidRPr="00036700" w:rsidTr="00F7268F">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Population criteria</w:t>
            </w:r>
          </w:p>
        </w:tc>
        <w:tc>
          <w:tcPr>
            <w:tcW w:w="3964" w:type="pct"/>
          </w:tcPr>
          <w:p w:rsidR="00B775AD" w:rsidRPr="00036700" w:rsidRDefault="00B775AD" w:rsidP="00277A70">
            <w:pPr>
              <w:pStyle w:val="TableText1"/>
              <w:keepNext/>
              <w:keepLines/>
              <w:spacing w:before="0" w:after="0"/>
              <w:rPr>
                <w:rFonts w:ascii="Arial Narrow" w:hAnsi="Arial Narrow"/>
                <w:strike/>
                <w:sz w:val="20"/>
                <w:szCs w:val="20"/>
              </w:rPr>
            </w:pPr>
            <w:r w:rsidRPr="00036700">
              <w:rPr>
                <w:rFonts w:ascii="Arial Narrow" w:hAnsi="Arial Narrow"/>
                <w:strike/>
                <w:sz w:val="20"/>
                <w:szCs w:val="20"/>
                <w:lang w:eastAsia="en-AU"/>
              </w:rPr>
              <w:t>Patient must be aged 18 years or older</w:t>
            </w:r>
          </w:p>
        </w:tc>
      </w:tr>
      <w:tr w:rsidR="00B775AD" w:rsidRPr="00036700" w:rsidTr="00F7268F">
        <w:tc>
          <w:tcPr>
            <w:tcW w:w="1036"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Prescriber instruction</w:t>
            </w:r>
          </w:p>
        </w:tc>
        <w:tc>
          <w:tcPr>
            <w:tcW w:w="3964" w:type="pct"/>
          </w:tcPr>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quantity or number of units may be authorised.</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number of repeats may be authorised.</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B775AD" w:rsidRPr="00036700" w:rsidRDefault="00B775AD" w:rsidP="00277A70">
            <w:pPr>
              <w:widowControl/>
              <w:jc w:val="left"/>
              <w:rPr>
                <w:rFonts w:ascii="Arial Narrow" w:eastAsiaTheme="majorEastAsia" w:hAnsi="Arial Narrow" w:cstheme="majorBidi"/>
                <w:snapToGrid/>
                <w:sz w:val="20"/>
                <w:szCs w:val="22"/>
                <w:lang w:bidi="en-US"/>
              </w:rPr>
            </w:pPr>
          </w:p>
          <w:p w:rsidR="00B775AD" w:rsidRPr="00036700" w:rsidRDefault="00B775AD" w:rsidP="00277A70">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The treatment must be limited to a maximum duration of 1</w:t>
            </w:r>
            <w:r w:rsidR="00125EFF" w:rsidRPr="00036700">
              <w:rPr>
                <w:rFonts w:ascii="Arial Narrow" w:eastAsiaTheme="majorEastAsia" w:hAnsi="Arial Narrow" w:cstheme="majorBidi"/>
                <w:snapToGrid/>
                <w:sz w:val="20"/>
                <w:szCs w:val="22"/>
                <w:lang w:bidi="en-US"/>
              </w:rPr>
              <w:t>6</w:t>
            </w:r>
            <w:r w:rsidRPr="00036700">
              <w:rPr>
                <w:rFonts w:ascii="Arial Narrow" w:eastAsiaTheme="majorEastAsia" w:hAnsi="Arial Narrow" w:cstheme="majorBidi"/>
                <w:snapToGrid/>
                <w:sz w:val="20"/>
                <w:szCs w:val="22"/>
                <w:lang w:bidi="en-US"/>
              </w:rPr>
              <w:t xml:space="preserve"> weeks.</w:t>
            </w:r>
          </w:p>
        </w:tc>
      </w:tr>
    </w:tbl>
    <w:p w:rsidR="00B56985" w:rsidRPr="00036700" w:rsidRDefault="00B56985" w:rsidP="00277A70">
      <w:pPr>
        <w:widowControl/>
      </w:pPr>
    </w:p>
    <w:p w:rsidR="008D43FC" w:rsidRPr="00036700" w:rsidRDefault="008D43FC" w:rsidP="00277A70">
      <w:pPr>
        <w:pStyle w:val="TableHeader"/>
        <w:widowControl/>
        <w:ind w:left="567"/>
        <w:rPr>
          <w:rFonts w:ascii="Arial" w:hAnsi="Arial"/>
        </w:rPr>
      </w:pPr>
      <w:r w:rsidRPr="00036700">
        <w:rPr>
          <w:rFonts w:ascii="Arial" w:hAnsi="Arial"/>
        </w:rPr>
        <w:t>Requested changes to the General statement for drugs used in the treatment of hepatitis C</w:t>
      </w:r>
    </w:p>
    <w:p w:rsidR="008D43FC" w:rsidRPr="00036700" w:rsidRDefault="008D43FC" w:rsidP="00277A70">
      <w:pPr>
        <w:widowControl/>
        <w:ind w:left="567"/>
      </w:pPr>
    </w:p>
    <w:p w:rsidR="008D43FC" w:rsidRPr="00036700" w:rsidRDefault="008D43FC" w:rsidP="00277A70">
      <w:pPr>
        <w:widowControl/>
        <w:ind w:left="567"/>
      </w:pPr>
      <w:r w:rsidRPr="00036700">
        <w:t xml:space="preserve">To align the </w:t>
      </w:r>
      <w:r w:rsidR="00C11B10" w:rsidRPr="00036700">
        <w:t>requested</w:t>
      </w:r>
      <w:r w:rsidR="00822A31" w:rsidRPr="00036700">
        <w:t xml:space="preserve"> listing</w:t>
      </w:r>
      <w:r w:rsidRPr="00036700">
        <w:t xml:space="preserve"> with other direct </w:t>
      </w:r>
      <w:r w:rsidR="00C11B10" w:rsidRPr="00036700">
        <w:t>acting antivirals for the treatment of hepatitis C, grazoprevir and elbasvir would be inserted into the treatment matrix in the g</w:t>
      </w:r>
      <w:r w:rsidR="007976B6" w:rsidRPr="00036700">
        <w:t>eneral statement as shown below.</w:t>
      </w:r>
    </w:p>
    <w:p w:rsidR="00C11B10" w:rsidRPr="00036700" w:rsidRDefault="00C11B10" w:rsidP="00277A70">
      <w:pPr>
        <w:widowControl/>
        <w:ind w:left="567"/>
      </w:pPr>
    </w:p>
    <w:p w:rsidR="00C11B10" w:rsidRPr="00036700" w:rsidRDefault="00C11B10" w:rsidP="00277A70">
      <w:pPr>
        <w:widowControl/>
        <w:ind w:left="567"/>
      </w:pPr>
      <w:r w:rsidRPr="00036700">
        <w:t>For non-cirrhotic patients:</w:t>
      </w:r>
    </w:p>
    <w:p w:rsidR="00C11B10" w:rsidRPr="00036700" w:rsidRDefault="00C11B10" w:rsidP="00277A70">
      <w:pPr>
        <w:widowControl/>
      </w:pPr>
    </w:p>
    <w:tbl>
      <w:tblPr>
        <w:tblStyle w:val="TableGrid"/>
        <w:tblW w:w="0" w:type="auto"/>
        <w:tblInd w:w="675" w:type="dxa"/>
        <w:tblLook w:val="04A0" w:firstRow="1" w:lastRow="0" w:firstColumn="1" w:lastColumn="0" w:noHBand="0" w:noVBand="1"/>
        <w:tblCaption w:val="For non-cirrhotic patients:"/>
      </w:tblPr>
      <w:tblGrid>
        <w:gridCol w:w="1560"/>
        <w:gridCol w:w="3402"/>
        <w:gridCol w:w="3543"/>
      </w:tblGrid>
      <w:tr w:rsidR="00C11B10" w:rsidRPr="00036700" w:rsidTr="00D100AE">
        <w:trPr>
          <w:tblHeader/>
        </w:trPr>
        <w:tc>
          <w:tcPr>
            <w:tcW w:w="1560" w:type="dxa"/>
          </w:tcPr>
          <w:p w:rsidR="00C11B10" w:rsidRPr="00036700" w:rsidRDefault="00C11B10" w:rsidP="00277A70">
            <w:pPr>
              <w:widowControl/>
              <w:rPr>
                <w:b/>
                <w:sz w:val="18"/>
                <w:szCs w:val="18"/>
              </w:rPr>
            </w:pPr>
          </w:p>
        </w:tc>
        <w:tc>
          <w:tcPr>
            <w:tcW w:w="3402" w:type="dxa"/>
          </w:tcPr>
          <w:p w:rsidR="00C11B10" w:rsidRPr="00036700" w:rsidRDefault="00C11B10" w:rsidP="00277A70">
            <w:pPr>
              <w:widowControl/>
              <w:rPr>
                <w:b/>
                <w:sz w:val="18"/>
                <w:szCs w:val="18"/>
              </w:rPr>
            </w:pPr>
            <w:r w:rsidRPr="00036700">
              <w:rPr>
                <w:b/>
                <w:sz w:val="18"/>
                <w:szCs w:val="18"/>
              </w:rPr>
              <w:t>Treatment naïve</w:t>
            </w:r>
          </w:p>
        </w:tc>
        <w:tc>
          <w:tcPr>
            <w:tcW w:w="3543" w:type="dxa"/>
          </w:tcPr>
          <w:p w:rsidR="00C11B10" w:rsidRPr="00036700" w:rsidRDefault="00C11B10" w:rsidP="00277A70">
            <w:pPr>
              <w:widowControl/>
              <w:rPr>
                <w:b/>
                <w:sz w:val="18"/>
                <w:szCs w:val="18"/>
              </w:rPr>
            </w:pPr>
            <w:r w:rsidRPr="00036700">
              <w:rPr>
                <w:b/>
                <w:sz w:val="18"/>
                <w:szCs w:val="18"/>
              </w:rPr>
              <w:t>Treatment experienced</w:t>
            </w:r>
          </w:p>
        </w:tc>
      </w:tr>
      <w:tr w:rsidR="00C11B10" w:rsidRPr="00036700" w:rsidTr="00277A70">
        <w:tc>
          <w:tcPr>
            <w:tcW w:w="1560" w:type="dxa"/>
          </w:tcPr>
          <w:p w:rsidR="00C11B10" w:rsidRPr="00036700" w:rsidRDefault="00C11B10" w:rsidP="00277A70">
            <w:pPr>
              <w:widowControl/>
              <w:rPr>
                <w:b/>
                <w:sz w:val="18"/>
                <w:szCs w:val="18"/>
              </w:rPr>
            </w:pPr>
            <w:r w:rsidRPr="00036700">
              <w:rPr>
                <w:b/>
                <w:sz w:val="18"/>
                <w:szCs w:val="18"/>
              </w:rPr>
              <w:t>Genotype 1</w:t>
            </w:r>
          </w:p>
        </w:tc>
        <w:tc>
          <w:tcPr>
            <w:tcW w:w="3402" w:type="dxa"/>
          </w:tcPr>
          <w:p w:rsidR="00C11B10" w:rsidRPr="00036700" w:rsidRDefault="00C11B10" w:rsidP="00277A70">
            <w:pPr>
              <w:widowControl/>
              <w:rPr>
                <w:sz w:val="18"/>
                <w:szCs w:val="18"/>
              </w:rPr>
            </w:pPr>
            <w:r w:rsidRPr="00036700">
              <w:rPr>
                <w:sz w:val="18"/>
                <w:szCs w:val="18"/>
              </w:rPr>
              <w:t xml:space="preserve">LEDIPASVIR + SOFOSBUVIR </w:t>
            </w:r>
          </w:p>
          <w:p w:rsidR="00C11B10" w:rsidRPr="00036700" w:rsidRDefault="00C11B10" w:rsidP="00277A70">
            <w:pPr>
              <w:widowControl/>
              <w:rPr>
                <w:sz w:val="18"/>
                <w:szCs w:val="18"/>
              </w:rPr>
            </w:pPr>
            <w:r w:rsidRPr="00036700">
              <w:rPr>
                <w:sz w:val="18"/>
                <w:szCs w:val="18"/>
              </w:rPr>
              <w:t>[8 or 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 xml:space="preserve">DACLATASVIR and SOFOSBUVIR </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PEG-IFN (&amp;) RBV</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 xml:space="preserve">PARITAPREVIR + RITONAVIR + OMBITASVIR (&amp;) DASABUVIR </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 xml:space="preserve">PARITAPREVIR + RITONAVIR + </w:t>
            </w:r>
            <w:r w:rsidRPr="00036700">
              <w:rPr>
                <w:sz w:val="18"/>
                <w:szCs w:val="18"/>
              </w:rPr>
              <w:lastRenderedPageBreak/>
              <w:t>OMBITASVIR (&amp;) DASABUVIR (&amp;) RBV [12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i/>
                <w:sz w:val="18"/>
                <w:szCs w:val="18"/>
              </w:rPr>
            </w:pPr>
            <w:r w:rsidRPr="00036700">
              <w:rPr>
                <w:i/>
                <w:sz w:val="18"/>
                <w:szCs w:val="18"/>
              </w:rPr>
              <w:t>GRAZOPREVIR + ELBASVIR [12 weeks]</w:t>
            </w:r>
          </w:p>
          <w:p w:rsidR="00C11B10" w:rsidRPr="00036700" w:rsidRDefault="00C11B10" w:rsidP="00277A70">
            <w:pPr>
              <w:widowControl/>
              <w:rPr>
                <w:sz w:val="18"/>
                <w:szCs w:val="18"/>
              </w:rPr>
            </w:pPr>
          </w:p>
        </w:tc>
        <w:tc>
          <w:tcPr>
            <w:tcW w:w="3543" w:type="dxa"/>
          </w:tcPr>
          <w:p w:rsidR="00C11B10" w:rsidRPr="00036700" w:rsidRDefault="00C11B10" w:rsidP="00277A70">
            <w:pPr>
              <w:widowControl/>
              <w:rPr>
                <w:sz w:val="18"/>
                <w:szCs w:val="18"/>
              </w:rPr>
            </w:pPr>
            <w:r w:rsidRPr="00036700">
              <w:rPr>
                <w:sz w:val="18"/>
                <w:szCs w:val="18"/>
              </w:rPr>
              <w:lastRenderedPageBreak/>
              <w:t>LEDIPASVIR +SOFOSBUVIR</w:t>
            </w:r>
          </w:p>
          <w:p w:rsidR="00C11B10" w:rsidRPr="00036700" w:rsidRDefault="00C11B10" w:rsidP="00277A70">
            <w:pPr>
              <w:widowControl/>
              <w:rPr>
                <w:sz w:val="18"/>
                <w:szCs w:val="18"/>
                <w:vertAlign w:val="superscript"/>
              </w:rPr>
            </w:pPr>
            <w:r w:rsidRPr="00036700">
              <w:rPr>
                <w:sz w:val="18"/>
                <w:szCs w:val="18"/>
              </w:rPr>
              <w:t>[12 weeks]</w:t>
            </w:r>
            <w:r w:rsidRPr="00036700">
              <w:rPr>
                <w:sz w:val="18"/>
                <w:szCs w:val="18"/>
                <w:vertAlign w:val="superscript"/>
              </w:rPr>
              <w:t xml:space="preserve"> </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DACLATASVIR and SOFOSBUVIR</w:t>
            </w:r>
          </w:p>
          <w:p w:rsidR="00C11B10" w:rsidRPr="00036700" w:rsidRDefault="00C11B10" w:rsidP="00277A70">
            <w:pPr>
              <w:widowControl/>
              <w:rPr>
                <w:sz w:val="18"/>
                <w:szCs w:val="18"/>
              </w:rPr>
            </w:pPr>
            <w:r w:rsidRPr="00036700">
              <w:rPr>
                <w:sz w:val="18"/>
                <w:szCs w:val="18"/>
              </w:rPr>
              <w:t xml:space="preserve">[12 or 24 weeks] </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PEG-IFN (&amp;) RBV</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 xml:space="preserve">PARITAPREVIR + RITONAVIR + OMBITASVIR (&amp;) DASABUVIR </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 xml:space="preserve">PARITAPREVIR + RITONAVIR + </w:t>
            </w:r>
            <w:r w:rsidRPr="00036700">
              <w:rPr>
                <w:sz w:val="18"/>
                <w:szCs w:val="18"/>
              </w:rPr>
              <w:lastRenderedPageBreak/>
              <w:t>OMBITASVIR (&amp;) DASABUVIR (&amp;) RBV [12 weeks]</w:t>
            </w:r>
          </w:p>
          <w:p w:rsidR="00FC0C19" w:rsidRPr="00036700" w:rsidRDefault="00FC0C19" w:rsidP="00277A70">
            <w:pPr>
              <w:widowControl/>
              <w:rPr>
                <w:sz w:val="18"/>
                <w:szCs w:val="18"/>
              </w:rPr>
            </w:pPr>
          </w:p>
          <w:p w:rsidR="00FC0C19" w:rsidRPr="00036700" w:rsidRDefault="00FC0C19" w:rsidP="00277A70">
            <w:pPr>
              <w:widowControl/>
              <w:rPr>
                <w:sz w:val="18"/>
                <w:szCs w:val="18"/>
              </w:rPr>
            </w:pPr>
            <w:r w:rsidRPr="00036700">
              <w:rPr>
                <w:sz w:val="18"/>
                <w:szCs w:val="18"/>
              </w:rPr>
              <w:t>OR</w:t>
            </w:r>
          </w:p>
          <w:p w:rsidR="00FC0C19" w:rsidRPr="00036700" w:rsidRDefault="00FC0C19" w:rsidP="00277A70">
            <w:pPr>
              <w:widowControl/>
              <w:rPr>
                <w:sz w:val="18"/>
                <w:szCs w:val="18"/>
              </w:rPr>
            </w:pPr>
          </w:p>
          <w:p w:rsidR="00FC0C19" w:rsidRPr="00036700" w:rsidRDefault="00FC0C19" w:rsidP="00277A70">
            <w:pPr>
              <w:widowControl/>
              <w:rPr>
                <w:i/>
                <w:sz w:val="18"/>
                <w:szCs w:val="18"/>
              </w:rPr>
            </w:pPr>
            <w:r w:rsidRPr="00036700">
              <w:rPr>
                <w:i/>
                <w:sz w:val="18"/>
                <w:szCs w:val="18"/>
              </w:rPr>
              <w:t>GRAZOPREVIR + ELBASVIR [12 weeks]</w:t>
            </w:r>
            <w:r w:rsidRPr="00036700">
              <w:rPr>
                <w:rStyle w:val="FootnoteReference"/>
                <w:i/>
                <w:sz w:val="18"/>
                <w:szCs w:val="18"/>
              </w:rPr>
              <w:footnoteReference w:id="1"/>
            </w:r>
          </w:p>
          <w:p w:rsidR="00C11B10" w:rsidRPr="00036700" w:rsidRDefault="00C11B10" w:rsidP="00277A70">
            <w:pPr>
              <w:widowControl/>
              <w:rPr>
                <w:i/>
                <w:sz w:val="18"/>
                <w:szCs w:val="18"/>
              </w:rPr>
            </w:pPr>
          </w:p>
          <w:p w:rsidR="00C11B10" w:rsidRPr="00036700" w:rsidRDefault="00C11B10"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GRAZOPREVIR + ELBASVIR [16 weeks]</w:t>
            </w:r>
            <w:r w:rsidRPr="00036700">
              <w:rPr>
                <w:rStyle w:val="FootnoteReference"/>
                <w:i/>
                <w:sz w:val="18"/>
                <w:szCs w:val="18"/>
              </w:rPr>
              <w:footnoteReference w:id="2"/>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OR</w:t>
            </w:r>
          </w:p>
          <w:p w:rsidR="00C11B10" w:rsidRPr="00036700" w:rsidRDefault="00C11B10" w:rsidP="00277A70">
            <w:pPr>
              <w:widowControl/>
              <w:rPr>
                <w:i/>
                <w:sz w:val="18"/>
                <w:szCs w:val="18"/>
              </w:rPr>
            </w:pPr>
          </w:p>
          <w:p w:rsidR="00C11B10" w:rsidRPr="00036700" w:rsidRDefault="00C11B10" w:rsidP="00277A70">
            <w:pPr>
              <w:widowControl/>
              <w:rPr>
                <w:sz w:val="18"/>
                <w:szCs w:val="18"/>
              </w:rPr>
            </w:pPr>
            <w:r w:rsidRPr="00E32435">
              <w:rPr>
                <w:i/>
                <w:sz w:val="18"/>
                <w:szCs w:val="18"/>
              </w:rPr>
              <w:t>GRAZOPREVIR + ELBASVIR</w:t>
            </w:r>
            <w:r w:rsidR="00745443" w:rsidRPr="00E32435">
              <w:rPr>
                <w:i/>
                <w:sz w:val="18"/>
                <w:szCs w:val="18"/>
              </w:rPr>
              <w:t xml:space="preserve"> </w:t>
            </w:r>
            <w:r w:rsidR="00FC0C19" w:rsidRPr="00E32435">
              <w:rPr>
                <w:i/>
                <w:sz w:val="18"/>
                <w:szCs w:val="18"/>
              </w:rPr>
              <w:t>(&amp;)</w:t>
            </w:r>
            <w:r w:rsidR="00745443" w:rsidRPr="00E32435">
              <w:rPr>
                <w:i/>
                <w:sz w:val="18"/>
                <w:szCs w:val="18"/>
              </w:rPr>
              <w:t xml:space="preserve"> RBV</w:t>
            </w:r>
            <w:r w:rsidRPr="00E32435">
              <w:rPr>
                <w:i/>
                <w:sz w:val="18"/>
                <w:szCs w:val="18"/>
              </w:rPr>
              <w:t xml:space="preserve"> [16 weeks]</w:t>
            </w:r>
            <w:r w:rsidR="00FC0C19" w:rsidRPr="00E32435">
              <w:rPr>
                <w:rStyle w:val="FootnoteReference"/>
                <w:i/>
                <w:sz w:val="18"/>
                <w:szCs w:val="18"/>
              </w:rPr>
              <w:footnoteReference w:id="3"/>
            </w:r>
          </w:p>
        </w:tc>
      </w:tr>
      <w:tr w:rsidR="00C11B10" w:rsidRPr="00036700" w:rsidTr="00277A70">
        <w:tc>
          <w:tcPr>
            <w:tcW w:w="1560" w:type="dxa"/>
          </w:tcPr>
          <w:p w:rsidR="00C11B10" w:rsidRPr="00036700" w:rsidRDefault="00C11B10" w:rsidP="00277A70">
            <w:pPr>
              <w:widowControl/>
              <w:rPr>
                <w:b/>
                <w:sz w:val="18"/>
                <w:szCs w:val="18"/>
              </w:rPr>
            </w:pPr>
            <w:r w:rsidRPr="00036700">
              <w:rPr>
                <w:b/>
                <w:sz w:val="18"/>
                <w:szCs w:val="18"/>
              </w:rPr>
              <w:lastRenderedPageBreak/>
              <w:t>Genotype 2</w:t>
            </w:r>
          </w:p>
        </w:tc>
        <w:tc>
          <w:tcPr>
            <w:tcW w:w="3402" w:type="dxa"/>
          </w:tcPr>
          <w:p w:rsidR="00C11B10" w:rsidRPr="00036700" w:rsidRDefault="00C11B10" w:rsidP="00277A70">
            <w:pPr>
              <w:widowControl/>
              <w:rPr>
                <w:sz w:val="18"/>
                <w:szCs w:val="18"/>
              </w:rPr>
            </w:pPr>
            <w:r w:rsidRPr="00036700">
              <w:rPr>
                <w:sz w:val="18"/>
                <w:szCs w:val="18"/>
              </w:rPr>
              <w:t>SOFOSBUVIR and RBV [12 weeks]</w:t>
            </w:r>
          </w:p>
          <w:p w:rsidR="00C11B10" w:rsidRPr="00036700" w:rsidRDefault="00C11B10" w:rsidP="00277A70">
            <w:pPr>
              <w:widowControl/>
              <w:rPr>
                <w:sz w:val="18"/>
                <w:szCs w:val="18"/>
              </w:rPr>
            </w:pPr>
          </w:p>
        </w:tc>
        <w:tc>
          <w:tcPr>
            <w:tcW w:w="3543" w:type="dxa"/>
          </w:tcPr>
          <w:p w:rsidR="00C11B10" w:rsidRPr="00036700" w:rsidRDefault="00C11B10" w:rsidP="00277A70">
            <w:pPr>
              <w:widowControl/>
              <w:rPr>
                <w:sz w:val="18"/>
                <w:szCs w:val="18"/>
              </w:rPr>
            </w:pPr>
            <w:r w:rsidRPr="00036700">
              <w:rPr>
                <w:sz w:val="18"/>
                <w:szCs w:val="18"/>
              </w:rPr>
              <w:t>SOFOSBUVIR and RBV [12 weeks]</w:t>
            </w:r>
          </w:p>
        </w:tc>
      </w:tr>
      <w:tr w:rsidR="00C11B10" w:rsidRPr="00036700" w:rsidTr="00277A70">
        <w:tc>
          <w:tcPr>
            <w:tcW w:w="1560" w:type="dxa"/>
          </w:tcPr>
          <w:p w:rsidR="00C11B10" w:rsidRPr="00036700" w:rsidRDefault="00C11B10" w:rsidP="00277A70">
            <w:pPr>
              <w:widowControl/>
              <w:rPr>
                <w:b/>
                <w:sz w:val="18"/>
                <w:szCs w:val="18"/>
              </w:rPr>
            </w:pPr>
            <w:r w:rsidRPr="00036700">
              <w:rPr>
                <w:b/>
                <w:sz w:val="18"/>
                <w:szCs w:val="18"/>
              </w:rPr>
              <w:t>Genotype 3</w:t>
            </w:r>
          </w:p>
        </w:tc>
        <w:tc>
          <w:tcPr>
            <w:tcW w:w="3402" w:type="dxa"/>
          </w:tcPr>
          <w:p w:rsidR="00C11B10" w:rsidRPr="00036700" w:rsidRDefault="00C11B10" w:rsidP="00277A70">
            <w:pPr>
              <w:widowControl/>
              <w:rPr>
                <w:sz w:val="18"/>
                <w:szCs w:val="18"/>
              </w:rPr>
            </w:pPr>
            <w:r w:rsidRPr="00036700">
              <w:rPr>
                <w:sz w:val="18"/>
                <w:szCs w:val="18"/>
              </w:rPr>
              <w:t>DACLATASVIR and SOFOSBUVIR</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RBV</w:t>
            </w:r>
          </w:p>
          <w:p w:rsidR="00C11B10" w:rsidRPr="00036700" w:rsidRDefault="00C11B10" w:rsidP="00277A70">
            <w:pPr>
              <w:widowControl/>
              <w:rPr>
                <w:sz w:val="18"/>
                <w:szCs w:val="18"/>
              </w:rPr>
            </w:pPr>
            <w:r w:rsidRPr="00036700">
              <w:rPr>
                <w:sz w:val="18"/>
                <w:szCs w:val="18"/>
              </w:rPr>
              <w:t>[</w:t>
            </w:r>
            <w:r w:rsidR="0097581C">
              <w:rPr>
                <w:sz w:val="18"/>
                <w:szCs w:val="18"/>
              </w:rPr>
              <w:t>24</w:t>
            </w:r>
            <w:r w:rsidRPr="00036700">
              <w:rPr>
                <w:sz w:val="18"/>
                <w:szCs w:val="18"/>
              </w:rPr>
              <w:t xml:space="preserve">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i/>
                <w:sz w:val="18"/>
                <w:szCs w:val="18"/>
              </w:rPr>
            </w:pPr>
            <w:r w:rsidRPr="00036700">
              <w:rPr>
                <w:i/>
                <w:sz w:val="18"/>
                <w:szCs w:val="18"/>
              </w:rPr>
              <w:t>OR</w:t>
            </w:r>
          </w:p>
          <w:p w:rsidR="00C11B10" w:rsidRPr="00036700" w:rsidRDefault="00C11B10" w:rsidP="00277A70">
            <w:pPr>
              <w:widowControl/>
              <w:rPr>
                <w:i/>
                <w:sz w:val="18"/>
                <w:szCs w:val="18"/>
              </w:rPr>
            </w:pPr>
          </w:p>
          <w:p w:rsidR="00C11B10" w:rsidRPr="00036700" w:rsidRDefault="00C11B10" w:rsidP="00277A70">
            <w:pPr>
              <w:widowControl/>
              <w:rPr>
                <w:i/>
                <w:sz w:val="18"/>
                <w:szCs w:val="18"/>
              </w:rPr>
            </w:pPr>
            <w:r w:rsidRPr="00036700">
              <w:rPr>
                <w:i/>
                <w:sz w:val="18"/>
                <w:szCs w:val="18"/>
              </w:rPr>
              <w:t>GRAZOPREVIR + ELBASVIR</w:t>
            </w:r>
            <w:r w:rsidR="00D52644" w:rsidRPr="00036700">
              <w:rPr>
                <w:i/>
                <w:sz w:val="18"/>
                <w:szCs w:val="18"/>
              </w:rPr>
              <w:t xml:space="preserve"> and SOFOSBUVIR</w:t>
            </w:r>
            <w:r w:rsidRPr="00036700">
              <w:rPr>
                <w:i/>
                <w:sz w:val="18"/>
                <w:szCs w:val="18"/>
              </w:rPr>
              <w:t xml:space="preserve"> [12 weeks]</w:t>
            </w:r>
          </w:p>
          <w:p w:rsidR="00C11B10" w:rsidRPr="00036700" w:rsidRDefault="00C11B10" w:rsidP="00277A70">
            <w:pPr>
              <w:widowControl/>
              <w:rPr>
                <w:sz w:val="18"/>
                <w:szCs w:val="18"/>
              </w:rPr>
            </w:pPr>
          </w:p>
        </w:tc>
        <w:tc>
          <w:tcPr>
            <w:tcW w:w="3543" w:type="dxa"/>
          </w:tcPr>
          <w:p w:rsidR="00C11B10" w:rsidRPr="00036700" w:rsidRDefault="00C11B10" w:rsidP="00277A70">
            <w:pPr>
              <w:widowControl/>
              <w:rPr>
                <w:sz w:val="18"/>
                <w:szCs w:val="18"/>
              </w:rPr>
            </w:pPr>
            <w:r w:rsidRPr="00036700">
              <w:rPr>
                <w:sz w:val="18"/>
                <w:szCs w:val="18"/>
              </w:rPr>
              <w:t>DACLATASVIR and SOFOSBUVIR</w:t>
            </w:r>
          </w:p>
          <w:p w:rsidR="00C11B10" w:rsidRPr="00036700" w:rsidRDefault="00C11B10" w:rsidP="00277A70">
            <w:pPr>
              <w:widowControl/>
              <w:rPr>
                <w:sz w:val="18"/>
                <w:szCs w:val="18"/>
                <w:vertAlign w:val="superscript"/>
              </w:rPr>
            </w:pPr>
            <w:r w:rsidRPr="00036700">
              <w:rPr>
                <w:sz w:val="18"/>
                <w:szCs w:val="18"/>
              </w:rPr>
              <w:t>[12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RBV</w:t>
            </w:r>
          </w:p>
          <w:p w:rsidR="00C11B10" w:rsidRPr="00036700" w:rsidRDefault="00C11B10" w:rsidP="00277A70">
            <w:pPr>
              <w:widowControl/>
              <w:rPr>
                <w:sz w:val="18"/>
                <w:szCs w:val="18"/>
              </w:rPr>
            </w:pPr>
            <w:r w:rsidRPr="00036700">
              <w:rPr>
                <w:sz w:val="18"/>
                <w:szCs w:val="18"/>
              </w:rPr>
              <w:t>[</w:t>
            </w:r>
            <w:r w:rsidR="0097581C">
              <w:rPr>
                <w:sz w:val="18"/>
                <w:szCs w:val="18"/>
              </w:rPr>
              <w:t>24</w:t>
            </w:r>
            <w:r w:rsidRPr="00036700">
              <w:rPr>
                <w:sz w:val="18"/>
                <w:szCs w:val="18"/>
              </w:rPr>
              <w:t xml:space="preserve"> weeks]</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OR</w:t>
            </w:r>
          </w:p>
          <w:p w:rsidR="00C11B10" w:rsidRPr="00036700" w:rsidRDefault="00C11B10" w:rsidP="00277A70">
            <w:pPr>
              <w:widowControl/>
              <w:rPr>
                <w:sz w:val="18"/>
                <w:szCs w:val="18"/>
              </w:rPr>
            </w:pPr>
          </w:p>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C11B10" w:rsidRPr="00036700" w:rsidRDefault="00C11B10" w:rsidP="00277A70">
            <w:pPr>
              <w:widowControl/>
              <w:rPr>
                <w:sz w:val="18"/>
                <w:szCs w:val="18"/>
              </w:rPr>
            </w:pPr>
          </w:p>
        </w:tc>
      </w:tr>
      <w:tr w:rsidR="00C11B10" w:rsidRPr="00036700" w:rsidTr="00277A70">
        <w:tc>
          <w:tcPr>
            <w:tcW w:w="1560" w:type="dxa"/>
          </w:tcPr>
          <w:p w:rsidR="00C11B10" w:rsidRPr="00036700" w:rsidRDefault="00C11B10" w:rsidP="00277A70">
            <w:pPr>
              <w:widowControl/>
              <w:rPr>
                <w:b/>
                <w:i/>
                <w:sz w:val="18"/>
                <w:szCs w:val="18"/>
              </w:rPr>
            </w:pPr>
            <w:r w:rsidRPr="00036700">
              <w:rPr>
                <w:b/>
                <w:i/>
                <w:sz w:val="18"/>
                <w:szCs w:val="18"/>
              </w:rPr>
              <w:t xml:space="preserve">Genotype 4, </w:t>
            </w:r>
            <w:r w:rsidRPr="00036700">
              <w:rPr>
                <w:b/>
                <w:i/>
                <w:strike/>
                <w:sz w:val="18"/>
                <w:szCs w:val="18"/>
              </w:rPr>
              <w:t>5, 6</w:t>
            </w:r>
          </w:p>
        </w:tc>
        <w:tc>
          <w:tcPr>
            <w:tcW w:w="3402" w:type="dxa"/>
          </w:tcPr>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i/>
                <w:sz w:val="18"/>
                <w:szCs w:val="18"/>
              </w:rPr>
            </w:pPr>
            <w:r w:rsidRPr="00036700">
              <w:rPr>
                <w:i/>
                <w:sz w:val="18"/>
                <w:szCs w:val="18"/>
              </w:rPr>
              <w:t>OR</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t>GRAZOPREVIR + ELBASVIR [12 weeks]</w:t>
            </w:r>
          </w:p>
          <w:p w:rsidR="00745443" w:rsidRPr="00036700" w:rsidRDefault="00745443" w:rsidP="00277A70">
            <w:pPr>
              <w:widowControl/>
              <w:rPr>
                <w:sz w:val="18"/>
                <w:szCs w:val="18"/>
              </w:rPr>
            </w:pPr>
          </w:p>
        </w:tc>
        <w:tc>
          <w:tcPr>
            <w:tcW w:w="3543" w:type="dxa"/>
          </w:tcPr>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i/>
                <w:sz w:val="18"/>
                <w:szCs w:val="18"/>
              </w:rPr>
            </w:pPr>
            <w:r w:rsidRPr="00036700">
              <w:rPr>
                <w:i/>
                <w:sz w:val="18"/>
                <w:szCs w:val="18"/>
              </w:rPr>
              <w:t>OR</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t>GRAZOPREVIR + ELBASVIR (&amp;) RBV [16 weeks]</w:t>
            </w:r>
          </w:p>
          <w:p w:rsidR="00745443" w:rsidRPr="00036700" w:rsidRDefault="00745443" w:rsidP="00277A70">
            <w:pPr>
              <w:widowControl/>
              <w:rPr>
                <w:sz w:val="18"/>
                <w:szCs w:val="18"/>
              </w:rPr>
            </w:pPr>
          </w:p>
        </w:tc>
      </w:tr>
      <w:tr w:rsidR="00C11B10" w:rsidRPr="00036700" w:rsidTr="00277A70">
        <w:tc>
          <w:tcPr>
            <w:tcW w:w="1560" w:type="dxa"/>
          </w:tcPr>
          <w:p w:rsidR="00C11B10" w:rsidRPr="00036700" w:rsidRDefault="00C11B10" w:rsidP="00277A70">
            <w:pPr>
              <w:widowControl/>
              <w:rPr>
                <w:b/>
                <w:i/>
                <w:sz w:val="18"/>
                <w:szCs w:val="18"/>
              </w:rPr>
            </w:pPr>
            <w:r w:rsidRPr="00036700">
              <w:rPr>
                <w:b/>
                <w:i/>
                <w:sz w:val="18"/>
                <w:szCs w:val="18"/>
              </w:rPr>
              <w:t>Genotype 5</w:t>
            </w:r>
          </w:p>
        </w:tc>
        <w:tc>
          <w:tcPr>
            <w:tcW w:w="3402" w:type="dxa"/>
          </w:tcPr>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745443" w:rsidRPr="00036700" w:rsidRDefault="00745443" w:rsidP="00277A70">
            <w:pPr>
              <w:widowControl/>
              <w:rPr>
                <w:i/>
                <w:sz w:val="18"/>
                <w:szCs w:val="18"/>
              </w:rPr>
            </w:pPr>
          </w:p>
        </w:tc>
        <w:tc>
          <w:tcPr>
            <w:tcW w:w="3543" w:type="dxa"/>
          </w:tcPr>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i/>
                <w:sz w:val="18"/>
                <w:szCs w:val="18"/>
              </w:rPr>
            </w:pPr>
            <w:r w:rsidRPr="00036700">
              <w:rPr>
                <w:sz w:val="18"/>
                <w:szCs w:val="18"/>
              </w:rPr>
              <w:t>[12 weeks]</w:t>
            </w:r>
          </w:p>
        </w:tc>
      </w:tr>
      <w:tr w:rsidR="00C11B10" w:rsidRPr="00036700" w:rsidTr="00277A70">
        <w:tc>
          <w:tcPr>
            <w:tcW w:w="1560" w:type="dxa"/>
          </w:tcPr>
          <w:p w:rsidR="00C11B10" w:rsidRPr="00036700" w:rsidRDefault="00C11B10" w:rsidP="00277A70">
            <w:pPr>
              <w:widowControl/>
              <w:rPr>
                <w:b/>
                <w:i/>
                <w:sz w:val="18"/>
                <w:szCs w:val="18"/>
              </w:rPr>
            </w:pPr>
            <w:r w:rsidRPr="00036700">
              <w:rPr>
                <w:b/>
                <w:i/>
                <w:sz w:val="18"/>
                <w:szCs w:val="18"/>
              </w:rPr>
              <w:t>Genotype 6</w:t>
            </w:r>
          </w:p>
        </w:tc>
        <w:tc>
          <w:tcPr>
            <w:tcW w:w="3402" w:type="dxa"/>
          </w:tcPr>
          <w:p w:rsidR="00C11B10" w:rsidRPr="00036700" w:rsidRDefault="00C11B10" w:rsidP="00277A70">
            <w:pPr>
              <w:widowControl/>
              <w:rPr>
                <w:sz w:val="18"/>
                <w:szCs w:val="18"/>
              </w:rPr>
            </w:pPr>
            <w:r w:rsidRPr="00036700">
              <w:rPr>
                <w:sz w:val="18"/>
                <w:szCs w:val="18"/>
              </w:rPr>
              <w:t>SOFOSBUVIR and PEG-IFN/RBV</w:t>
            </w:r>
          </w:p>
          <w:p w:rsidR="00C11B10" w:rsidRPr="00036700" w:rsidRDefault="00C11B10" w:rsidP="00277A70">
            <w:pPr>
              <w:widowControl/>
              <w:rPr>
                <w:sz w:val="18"/>
                <w:szCs w:val="18"/>
              </w:rPr>
            </w:pPr>
            <w:r w:rsidRPr="00036700">
              <w:rPr>
                <w:sz w:val="18"/>
                <w:szCs w:val="18"/>
              </w:rPr>
              <w:t>[12 weeks]</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t>OR</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lastRenderedPageBreak/>
              <w:t>GRAZOPREVIR + ELBASVIR [12 weeks]</w:t>
            </w:r>
          </w:p>
          <w:p w:rsidR="00745443" w:rsidRPr="00036700" w:rsidRDefault="00745443" w:rsidP="00277A70">
            <w:pPr>
              <w:widowControl/>
              <w:rPr>
                <w:i/>
                <w:sz w:val="18"/>
                <w:szCs w:val="18"/>
              </w:rPr>
            </w:pPr>
          </w:p>
        </w:tc>
        <w:tc>
          <w:tcPr>
            <w:tcW w:w="3543" w:type="dxa"/>
          </w:tcPr>
          <w:p w:rsidR="00C11B10" w:rsidRPr="00036700" w:rsidRDefault="00C11B10" w:rsidP="00277A70">
            <w:pPr>
              <w:widowControl/>
              <w:rPr>
                <w:sz w:val="18"/>
                <w:szCs w:val="18"/>
              </w:rPr>
            </w:pPr>
            <w:r w:rsidRPr="00036700">
              <w:rPr>
                <w:sz w:val="18"/>
                <w:szCs w:val="18"/>
              </w:rPr>
              <w:lastRenderedPageBreak/>
              <w:t>SOFOSBUVIR and PEG-IFN/RBV</w:t>
            </w:r>
          </w:p>
          <w:p w:rsidR="00C11B10" w:rsidRPr="00036700" w:rsidRDefault="00C11B10" w:rsidP="00277A70">
            <w:pPr>
              <w:widowControl/>
              <w:rPr>
                <w:sz w:val="18"/>
                <w:szCs w:val="18"/>
              </w:rPr>
            </w:pPr>
            <w:r w:rsidRPr="00036700">
              <w:rPr>
                <w:sz w:val="18"/>
                <w:szCs w:val="18"/>
              </w:rPr>
              <w:t>[12 weeks]</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t>OR</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lastRenderedPageBreak/>
              <w:t>GRAZOPREVIR + ELBASVIR (&amp;) RBV [16 weeks]</w:t>
            </w:r>
          </w:p>
          <w:p w:rsidR="00745443" w:rsidRPr="00036700" w:rsidRDefault="00745443" w:rsidP="00277A70">
            <w:pPr>
              <w:widowControl/>
              <w:rPr>
                <w:i/>
                <w:sz w:val="18"/>
                <w:szCs w:val="18"/>
              </w:rPr>
            </w:pPr>
          </w:p>
        </w:tc>
      </w:tr>
    </w:tbl>
    <w:p w:rsidR="00C11B10" w:rsidRPr="00036700" w:rsidRDefault="00C11B10" w:rsidP="00277A70">
      <w:pPr>
        <w:widowControl/>
      </w:pPr>
    </w:p>
    <w:p w:rsidR="00745443" w:rsidRPr="00036700" w:rsidRDefault="00745443" w:rsidP="00277A70">
      <w:pPr>
        <w:widowControl/>
        <w:ind w:firstLine="567"/>
      </w:pPr>
      <w:r w:rsidRPr="00036700">
        <w:t>For cirrhotic patients:</w:t>
      </w:r>
    </w:p>
    <w:p w:rsidR="00745443" w:rsidRPr="00036700" w:rsidRDefault="00745443" w:rsidP="00277A70">
      <w:pPr>
        <w:widowControl/>
      </w:pPr>
    </w:p>
    <w:tbl>
      <w:tblPr>
        <w:tblStyle w:val="TableGrid"/>
        <w:tblW w:w="0" w:type="auto"/>
        <w:tblInd w:w="675" w:type="dxa"/>
        <w:tblLook w:val="04A0" w:firstRow="1" w:lastRow="0" w:firstColumn="1" w:lastColumn="0" w:noHBand="0" w:noVBand="1"/>
        <w:tblCaption w:val="For cirrhotic patients"/>
      </w:tblPr>
      <w:tblGrid>
        <w:gridCol w:w="1560"/>
        <w:gridCol w:w="3402"/>
        <w:gridCol w:w="3543"/>
      </w:tblGrid>
      <w:tr w:rsidR="00745443" w:rsidRPr="00036700" w:rsidTr="00D100AE">
        <w:trPr>
          <w:tblHeader/>
        </w:trPr>
        <w:tc>
          <w:tcPr>
            <w:tcW w:w="1560" w:type="dxa"/>
          </w:tcPr>
          <w:p w:rsidR="00745443" w:rsidRPr="00036700" w:rsidRDefault="00745443" w:rsidP="00277A70">
            <w:pPr>
              <w:widowControl/>
              <w:rPr>
                <w:b/>
                <w:sz w:val="18"/>
                <w:szCs w:val="18"/>
              </w:rPr>
            </w:pPr>
          </w:p>
        </w:tc>
        <w:tc>
          <w:tcPr>
            <w:tcW w:w="3402" w:type="dxa"/>
          </w:tcPr>
          <w:p w:rsidR="00745443" w:rsidRPr="00036700" w:rsidRDefault="00745443" w:rsidP="00277A70">
            <w:pPr>
              <w:widowControl/>
              <w:rPr>
                <w:b/>
                <w:sz w:val="18"/>
                <w:szCs w:val="18"/>
              </w:rPr>
            </w:pPr>
            <w:r w:rsidRPr="00036700">
              <w:rPr>
                <w:b/>
                <w:sz w:val="18"/>
                <w:szCs w:val="18"/>
              </w:rPr>
              <w:t>Treatment naïve</w:t>
            </w:r>
          </w:p>
        </w:tc>
        <w:tc>
          <w:tcPr>
            <w:tcW w:w="3543" w:type="dxa"/>
          </w:tcPr>
          <w:p w:rsidR="00745443" w:rsidRPr="00036700" w:rsidRDefault="00745443" w:rsidP="00277A70">
            <w:pPr>
              <w:widowControl/>
              <w:rPr>
                <w:b/>
                <w:sz w:val="18"/>
                <w:szCs w:val="18"/>
              </w:rPr>
            </w:pPr>
            <w:r w:rsidRPr="00036700">
              <w:rPr>
                <w:b/>
                <w:sz w:val="18"/>
                <w:szCs w:val="18"/>
              </w:rPr>
              <w:t>Treatment experienced</w:t>
            </w:r>
          </w:p>
        </w:tc>
      </w:tr>
      <w:tr w:rsidR="00745443" w:rsidRPr="00036700" w:rsidTr="00277A70">
        <w:tc>
          <w:tcPr>
            <w:tcW w:w="1560" w:type="dxa"/>
          </w:tcPr>
          <w:p w:rsidR="00745443" w:rsidRPr="00036700" w:rsidRDefault="00745443" w:rsidP="00277A70">
            <w:pPr>
              <w:widowControl/>
              <w:rPr>
                <w:b/>
                <w:sz w:val="18"/>
                <w:szCs w:val="18"/>
              </w:rPr>
            </w:pPr>
            <w:r w:rsidRPr="00036700">
              <w:rPr>
                <w:b/>
                <w:sz w:val="18"/>
                <w:szCs w:val="18"/>
              </w:rPr>
              <w:t>Genotype 1</w:t>
            </w:r>
          </w:p>
        </w:tc>
        <w:tc>
          <w:tcPr>
            <w:tcW w:w="3402" w:type="dxa"/>
          </w:tcPr>
          <w:p w:rsidR="00745443" w:rsidRPr="00036700" w:rsidRDefault="00745443" w:rsidP="00277A70">
            <w:pPr>
              <w:widowControl/>
              <w:rPr>
                <w:sz w:val="18"/>
                <w:szCs w:val="18"/>
              </w:rPr>
            </w:pPr>
            <w:r w:rsidRPr="00036700">
              <w:rPr>
                <w:sz w:val="18"/>
                <w:szCs w:val="18"/>
              </w:rPr>
              <w:t xml:space="preserve">LEDIPASVIR + SOFOSBUVIR </w:t>
            </w:r>
          </w:p>
          <w:p w:rsidR="00745443" w:rsidRPr="00036700" w:rsidRDefault="00745443"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 xml:space="preserve">DACLATASVIR and SOFOSBUVIR </w:t>
            </w:r>
          </w:p>
          <w:p w:rsidR="00745443" w:rsidRPr="00036700" w:rsidRDefault="00745443"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r w:rsidRPr="00036700">
              <w:rPr>
                <w:sz w:val="18"/>
                <w:szCs w:val="18"/>
              </w:rPr>
              <w:br/>
            </w:r>
          </w:p>
          <w:p w:rsidR="00745443" w:rsidRPr="00036700" w:rsidRDefault="00745443" w:rsidP="00277A70">
            <w:pPr>
              <w:widowControl/>
              <w:rPr>
                <w:sz w:val="18"/>
                <w:szCs w:val="18"/>
              </w:rPr>
            </w:pPr>
            <w:r w:rsidRPr="00036700">
              <w:rPr>
                <w:sz w:val="18"/>
                <w:szCs w:val="18"/>
              </w:rPr>
              <w:t>DACLATASVIR and SOFOSBUVIR and RBV [24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PEG-IFN (&amp;) RBV</w:t>
            </w:r>
          </w:p>
          <w:p w:rsidR="00745443" w:rsidRPr="00036700" w:rsidRDefault="00745443"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PARITAPREVIR + RITONAVIR + OMBITASVIR (&amp;) DASABUVIR (&amp;) RBV [12 weeks]</w:t>
            </w:r>
          </w:p>
          <w:p w:rsidR="00745443" w:rsidRPr="00036700" w:rsidRDefault="00745443" w:rsidP="00277A70">
            <w:pPr>
              <w:widowControl/>
              <w:rPr>
                <w:sz w:val="18"/>
                <w:szCs w:val="18"/>
              </w:rPr>
            </w:pPr>
          </w:p>
          <w:p w:rsidR="00745443" w:rsidRPr="00036700" w:rsidRDefault="00745443" w:rsidP="00277A70">
            <w:pPr>
              <w:widowControl/>
              <w:rPr>
                <w:i/>
                <w:sz w:val="18"/>
                <w:szCs w:val="18"/>
              </w:rPr>
            </w:pPr>
            <w:r w:rsidRPr="00036700">
              <w:rPr>
                <w:i/>
                <w:sz w:val="18"/>
                <w:szCs w:val="18"/>
              </w:rPr>
              <w:t>OR</w:t>
            </w:r>
          </w:p>
          <w:p w:rsidR="00745443" w:rsidRPr="00036700" w:rsidRDefault="00745443" w:rsidP="00277A70">
            <w:pPr>
              <w:widowControl/>
              <w:rPr>
                <w:i/>
                <w:sz w:val="18"/>
                <w:szCs w:val="18"/>
              </w:rPr>
            </w:pPr>
          </w:p>
          <w:p w:rsidR="00745443" w:rsidRPr="00036700" w:rsidRDefault="00745443" w:rsidP="00277A70">
            <w:pPr>
              <w:widowControl/>
              <w:rPr>
                <w:i/>
                <w:sz w:val="18"/>
                <w:szCs w:val="18"/>
              </w:rPr>
            </w:pPr>
            <w:r w:rsidRPr="00036700">
              <w:rPr>
                <w:i/>
                <w:sz w:val="18"/>
                <w:szCs w:val="18"/>
              </w:rPr>
              <w:t>GRAZOPREVIR + ELBASVIR [12 weeks]</w:t>
            </w:r>
          </w:p>
          <w:p w:rsidR="00745443" w:rsidRPr="00036700" w:rsidRDefault="00745443" w:rsidP="00277A70">
            <w:pPr>
              <w:widowControl/>
              <w:rPr>
                <w:sz w:val="18"/>
                <w:szCs w:val="18"/>
              </w:rPr>
            </w:pPr>
          </w:p>
        </w:tc>
        <w:tc>
          <w:tcPr>
            <w:tcW w:w="3543" w:type="dxa"/>
          </w:tcPr>
          <w:p w:rsidR="00745443" w:rsidRPr="00036700" w:rsidRDefault="00745443" w:rsidP="00277A70">
            <w:pPr>
              <w:widowControl/>
              <w:rPr>
                <w:sz w:val="18"/>
                <w:szCs w:val="18"/>
              </w:rPr>
            </w:pPr>
            <w:r w:rsidRPr="00036700">
              <w:rPr>
                <w:sz w:val="18"/>
                <w:szCs w:val="18"/>
              </w:rPr>
              <w:t>LEDIPASVIR +SOFOSBUVIR</w:t>
            </w:r>
          </w:p>
          <w:p w:rsidR="00745443" w:rsidRPr="00036700" w:rsidRDefault="00745443" w:rsidP="00277A70">
            <w:pPr>
              <w:widowControl/>
              <w:rPr>
                <w:sz w:val="18"/>
                <w:szCs w:val="18"/>
                <w:vertAlign w:val="superscript"/>
              </w:rPr>
            </w:pPr>
            <w:r w:rsidRPr="00036700">
              <w:rPr>
                <w:sz w:val="18"/>
                <w:szCs w:val="18"/>
              </w:rPr>
              <w:t>[24 weeks]</w:t>
            </w:r>
            <w:r w:rsidRPr="00036700">
              <w:rPr>
                <w:sz w:val="18"/>
                <w:szCs w:val="18"/>
                <w:vertAlign w:val="superscript"/>
              </w:rPr>
              <w:t xml:space="preserve"> </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DACLATASVIR and SOFOSBUVIR</w:t>
            </w:r>
          </w:p>
          <w:p w:rsidR="00745443" w:rsidRPr="00036700" w:rsidRDefault="00745443" w:rsidP="00277A70">
            <w:pPr>
              <w:widowControl/>
              <w:rPr>
                <w:sz w:val="18"/>
                <w:szCs w:val="18"/>
              </w:rPr>
            </w:pPr>
            <w:r w:rsidRPr="00036700">
              <w:rPr>
                <w:sz w:val="18"/>
                <w:szCs w:val="18"/>
              </w:rPr>
              <w:t xml:space="preserve">[24 weeks] </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DACLATASVIR and SOFOSBUVIR and RBV [12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PEG-IFN (&amp;) RBV</w:t>
            </w:r>
          </w:p>
          <w:p w:rsidR="00745443" w:rsidRPr="00036700" w:rsidRDefault="00745443"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PARITAPREVIR + RITONAVIR + OMBITASVIR (&amp;) DASABUVIR (&amp;) RBV [12 or 24 weeks]</w:t>
            </w:r>
          </w:p>
          <w:p w:rsidR="00FC0C19" w:rsidRPr="00036700" w:rsidRDefault="00FC0C19" w:rsidP="00277A70">
            <w:pPr>
              <w:widowControl/>
              <w:rPr>
                <w:sz w:val="18"/>
                <w:szCs w:val="18"/>
              </w:rPr>
            </w:pPr>
          </w:p>
          <w:p w:rsidR="00FC0C19" w:rsidRPr="00036700" w:rsidRDefault="00FC0C19"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E32435" w:rsidRDefault="00FC0C19" w:rsidP="00277A70">
            <w:pPr>
              <w:widowControl/>
              <w:rPr>
                <w:i/>
                <w:sz w:val="18"/>
                <w:szCs w:val="18"/>
              </w:rPr>
            </w:pPr>
            <w:r w:rsidRPr="00E32435">
              <w:rPr>
                <w:i/>
                <w:sz w:val="18"/>
                <w:szCs w:val="18"/>
              </w:rPr>
              <w:t>GRAZOPREVIR + ELBASVIR [12 weeks]</w:t>
            </w:r>
            <w:r w:rsidRPr="00E32435">
              <w:rPr>
                <w:rStyle w:val="FootnoteReference"/>
                <w:i/>
                <w:sz w:val="18"/>
                <w:szCs w:val="18"/>
              </w:rPr>
              <w:footnoteReference w:id="4"/>
            </w:r>
          </w:p>
          <w:p w:rsidR="00FC0C19" w:rsidRPr="00E32435" w:rsidRDefault="00FC0C19" w:rsidP="00277A70">
            <w:pPr>
              <w:widowControl/>
              <w:rPr>
                <w:i/>
                <w:sz w:val="18"/>
                <w:szCs w:val="18"/>
              </w:rPr>
            </w:pPr>
          </w:p>
          <w:p w:rsidR="00FC0C19" w:rsidRPr="00E32435" w:rsidRDefault="00FC0C19" w:rsidP="00277A70">
            <w:pPr>
              <w:widowControl/>
              <w:rPr>
                <w:i/>
                <w:sz w:val="18"/>
                <w:szCs w:val="18"/>
              </w:rPr>
            </w:pPr>
            <w:r w:rsidRPr="00E32435">
              <w:rPr>
                <w:i/>
                <w:sz w:val="18"/>
                <w:szCs w:val="18"/>
              </w:rPr>
              <w:t>OR</w:t>
            </w:r>
          </w:p>
          <w:p w:rsidR="00FC0C19" w:rsidRPr="00E32435" w:rsidRDefault="00FC0C19" w:rsidP="00277A70">
            <w:pPr>
              <w:widowControl/>
              <w:rPr>
                <w:i/>
                <w:sz w:val="18"/>
                <w:szCs w:val="18"/>
              </w:rPr>
            </w:pPr>
          </w:p>
          <w:p w:rsidR="00FC0C19" w:rsidRPr="00E32435" w:rsidRDefault="00FC0C19" w:rsidP="00277A70">
            <w:pPr>
              <w:widowControl/>
              <w:rPr>
                <w:i/>
                <w:sz w:val="18"/>
                <w:szCs w:val="18"/>
              </w:rPr>
            </w:pPr>
            <w:r w:rsidRPr="00E32435">
              <w:rPr>
                <w:i/>
                <w:sz w:val="18"/>
                <w:szCs w:val="18"/>
              </w:rPr>
              <w:t>GRAZOPREVIR + ELBASVIR [16 weeks]</w:t>
            </w:r>
            <w:r w:rsidRPr="00E32435">
              <w:rPr>
                <w:rStyle w:val="FootnoteReference"/>
                <w:i/>
                <w:sz w:val="18"/>
                <w:szCs w:val="18"/>
              </w:rPr>
              <w:footnoteReference w:id="5"/>
            </w:r>
          </w:p>
          <w:p w:rsidR="00FC0C19" w:rsidRPr="00E32435" w:rsidRDefault="00FC0C19" w:rsidP="00277A70">
            <w:pPr>
              <w:widowControl/>
              <w:rPr>
                <w:i/>
                <w:sz w:val="18"/>
                <w:szCs w:val="18"/>
              </w:rPr>
            </w:pPr>
          </w:p>
          <w:p w:rsidR="00FC0C19" w:rsidRPr="00E32435" w:rsidRDefault="00FC0C19" w:rsidP="00277A70">
            <w:pPr>
              <w:widowControl/>
              <w:rPr>
                <w:i/>
                <w:sz w:val="18"/>
                <w:szCs w:val="18"/>
              </w:rPr>
            </w:pPr>
            <w:r w:rsidRPr="00E32435">
              <w:rPr>
                <w:i/>
                <w:sz w:val="18"/>
                <w:szCs w:val="18"/>
              </w:rPr>
              <w:t>OR</w:t>
            </w:r>
          </w:p>
          <w:p w:rsidR="00FC0C19" w:rsidRPr="00E32435" w:rsidRDefault="00FC0C19" w:rsidP="00277A70">
            <w:pPr>
              <w:widowControl/>
              <w:rPr>
                <w:i/>
                <w:sz w:val="18"/>
                <w:szCs w:val="18"/>
              </w:rPr>
            </w:pPr>
          </w:p>
          <w:p w:rsidR="00FC0C19" w:rsidRPr="00036700" w:rsidRDefault="00FC0C19" w:rsidP="00277A70">
            <w:pPr>
              <w:widowControl/>
              <w:rPr>
                <w:sz w:val="18"/>
                <w:szCs w:val="18"/>
              </w:rPr>
            </w:pPr>
            <w:r w:rsidRPr="00E32435">
              <w:rPr>
                <w:i/>
                <w:sz w:val="18"/>
                <w:szCs w:val="18"/>
              </w:rPr>
              <w:t>GRAZOPREVIR + ELBASVIR (&amp;) RBV [16 weeks]</w:t>
            </w:r>
            <w:r w:rsidRPr="00E32435">
              <w:rPr>
                <w:rStyle w:val="FootnoteReference"/>
                <w:i/>
                <w:sz w:val="18"/>
                <w:szCs w:val="18"/>
              </w:rPr>
              <w:footnoteReference w:id="6"/>
            </w:r>
          </w:p>
        </w:tc>
      </w:tr>
      <w:tr w:rsidR="00745443" w:rsidRPr="00036700" w:rsidTr="00277A70">
        <w:tc>
          <w:tcPr>
            <w:tcW w:w="1560" w:type="dxa"/>
          </w:tcPr>
          <w:p w:rsidR="00745443" w:rsidRPr="00036700" w:rsidRDefault="00745443" w:rsidP="00277A70">
            <w:pPr>
              <w:widowControl/>
              <w:rPr>
                <w:b/>
                <w:sz w:val="18"/>
                <w:szCs w:val="18"/>
              </w:rPr>
            </w:pPr>
            <w:r w:rsidRPr="00036700">
              <w:rPr>
                <w:b/>
                <w:sz w:val="18"/>
                <w:szCs w:val="18"/>
              </w:rPr>
              <w:t>Genotype 2</w:t>
            </w:r>
          </w:p>
        </w:tc>
        <w:tc>
          <w:tcPr>
            <w:tcW w:w="3402" w:type="dxa"/>
          </w:tcPr>
          <w:p w:rsidR="00745443" w:rsidRPr="00036700" w:rsidRDefault="00745443" w:rsidP="00277A70">
            <w:pPr>
              <w:widowControl/>
              <w:rPr>
                <w:sz w:val="18"/>
                <w:szCs w:val="18"/>
              </w:rPr>
            </w:pPr>
            <w:r w:rsidRPr="00036700">
              <w:rPr>
                <w:sz w:val="18"/>
                <w:szCs w:val="18"/>
              </w:rPr>
              <w:t>SOFOSBUVIR and RBV [12 weeks]</w:t>
            </w:r>
          </w:p>
          <w:p w:rsidR="00745443" w:rsidRPr="00036700" w:rsidRDefault="00745443" w:rsidP="00277A70">
            <w:pPr>
              <w:widowControl/>
              <w:rPr>
                <w:sz w:val="18"/>
                <w:szCs w:val="18"/>
              </w:rPr>
            </w:pPr>
          </w:p>
        </w:tc>
        <w:tc>
          <w:tcPr>
            <w:tcW w:w="3543" w:type="dxa"/>
          </w:tcPr>
          <w:p w:rsidR="00745443" w:rsidRPr="00036700" w:rsidRDefault="00745443" w:rsidP="00277A70">
            <w:pPr>
              <w:widowControl/>
              <w:rPr>
                <w:sz w:val="18"/>
                <w:szCs w:val="18"/>
              </w:rPr>
            </w:pPr>
            <w:r w:rsidRPr="00036700">
              <w:rPr>
                <w:sz w:val="18"/>
                <w:szCs w:val="18"/>
              </w:rPr>
              <w:t>SOFOSBUVIR and RBV [12 weeks]</w:t>
            </w:r>
          </w:p>
        </w:tc>
      </w:tr>
      <w:tr w:rsidR="00745443" w:rsidRPr="00036700" w:rsidTr="00277A70">
        <w:tc>
          <w:tcPr>
            <w:tcW w:w="1560" w:type="dxa"/>
          </w:tcPr>
          <w:p w:rsidR="00745443" w:rsidRPr="00036700" w:rsidRDefault="00745443" w:rsidP="00277A70">
            <w:pPr>
              <w:widowControl/>
              <w:rPr>
                <w:b/>
                <w:sz w:val="18"/>
                <w:szCs w:val="18"/>
              </w:rPr>
            </w:pPr>
            <w:r w:rsidRPr="00036700">
              <w:rPr>
                <w:b/>
                <w:sz w:val="18"/>
                <w:szCs w:val="18"/>
              </w:rPr>
              <w:t>Genotype 3</w:t>
            </w:r>
          </w:p>
        </w:tc>
        <w:tc>
          <w:tcPr>
            <w:tcW w:w="3402" w:type="dxa"/>
          </w:tcPr>
          <w:p w:rsidR="00745443" w:rsidRPr="00036700" w:rsidRDefault="00745443" w:rsidP="00277A70">
            <w:pPr>
              <w:widowControl/>
              <w:rPr>
                <w:sz w:val="18"/>
                <w:szCs w:val="18"/>
              </w:rPr>
            </w:pPr>
            <w:r w:rsidRPr="00036700">
              <w:rPr>
                <w:sz w:val="18"/>
                <w:szCs w:val="18"/>
              </w:rPr>
              <w:t>DACLATASVIR and SOFOSBUVIR</w:t>
            </w:r>
          </w:p>
          <w:p w:rsidR="00745443" w:rsidRPr="00036700" w:rsidRDefault="00745443" w:rsidP="00277A70">
            <w:pPr>
              <w:widowControl/>
              <w:rPr>
                <w:sz w:val="18"/>
                <w:szCs w:val="18"/>
              </w:rPr>
            </w:pPr>
            <w:r w:rsidRPr="00036700">
              <w:rPr>
                <w:sz w:val="18"/>
                <w:szCs w:val="18"/>
              </w:rPr>
              <w:t>[24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RBV</w:t>
            </w:r>
          </w:p>
          <w:p w:rsidR="00745443" w:rsidRPr="00036700" w:rsidRDefault="00745443" w:rsidP="00277A70">
            <w:pPr>
              <w:widowControl/>
              <w:rPr>
                <w:sz w:val="18"/>
                <w:szCs w:val="18"/>
              </w:rPr>
            </w:pPr>
            <w:r w:rsidRPr="00036700">
              <w:rPr>
                <w:sz w:val="18"/>
                <w:szCs w:val="18"/>
              </w:rPr>
              <w:lastRenderedPageBreak/>
              <w:t>[24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PEG-IFN/RBV</w:t>
            </w:r>
          </w:p>
          <w:p w:rsidR="00745443" w:rsidRPr="00036700" w:rsidRDefault="00745443" w:rsidP="00277A70">
            <w:pPr>
              <w:widowControl/>
              <w:rPr>
                <w:sz w:val="18"/>
                <w:szCs w:val="18"/>
              </w:rPr>
            </w:pPr>
            <w:r w:rsidRPr="00036700">
              <w:rPr>
                <w:sz w:val="18"/>
                <w:szCs w:val="18"/>
              </w:rPr>
              <w:t>[12 weeks]</w:t>
            </w:r>
          </w:p>
          <w:p w:rsidR="002934E6" w:rsidRPr="00036700" w:rsidRDefault="002934E6" w:rsidP="00277A70">
            <w:pPr>
              <w:widowControl/>
              <w:rPr>
                <w:sz w:val="18"/>
                <w:szCs w:val="18"/>
              </w:rPr>
            </w:pPr>
          </w:p>
          <w:p w:rsidR="002934E6" w:rsidRPr="00036700" w:rsidRDefault="002934E6" w:rsidP="00277A70">
            <w:pPr>
              <w:widowControl/>
              <w:rPr>
                <w:i/>
                <w:sz w:val="18"/>
                <w:szCs w:val="18"/>
              </w:rPr>
            </w:pPr>
            <w:r w:rsidRPr="00036700">
              <w:rPr>
                <w:i/>
                <w:sz w:val="18"/>
                <w:szCs w:val="18"/>
              </w:rPr>
              <w:t>OR</w:t>
            </w:r>
          </w:p>
          <w:p w:rsidR="002934E6" w:rsidRPr="00036700" w:rsidRDefault="002934E6" w:rsidP="00277A70">
            <w:pPr>
              <w:widowControl/>
              <w:rPr>
                <w:i/>
                <w:sz w:val="18"/>
                <w:szCs w:val="18"/>
              </w:rPr>
            </w:pPr>
          </w:p>
          <w:p w:rsidR="002934E6" w:rsidRPr="00036700" w:rsidRDefault="002934E6" w:rsidP="00277A70">
            <w:pPr>
              <w:widowControl/>
              <w:rPr>
                <w:i/>
                <w:sz w:val="18"/>
                <w:szCs w:val="18"/>
              </w:rPr>
            </w:pPr>
            <w:r w:rsidRPr="00036700">
              <w:rPr>
                <w:i/>
                <w:sz w:val="18"/>
                <w:szCs w:val="18"/>
              </w:rPr>
              <w:t>GRAZOPREVIR + ELBASVIR</w:t>
            </w:r>
            <w:r w:rsidR="00D52644" w:rsidRPr="00036700">
              <w:rPr>
                <w:i/>
                <w:sz w:val="18"/>
                <w:szCs w:val="18"/>
              </w:rPr>
              <w:t xml:space="preserve"> and SOFOSBUVIR</w:t>
            </w:r>
            <w:r w:rsidRPr="00036700">
              <w:rPr>
                <w:i/>
                <w:sz w:val="18"/>
                <w:szCs w:val="18"/>
              </w:rPr>
              <w:t xml:space="preserve"> [12 weeks]</w:t>
            </w:r>
          </w:p>
          <w:p w:rsidR="00745443" w:rsidRPr="00036700" w:rsidRDefault="00745443" w:rsidP="00277A70">
            <w:pPr>
              <w:widowControl/>
              <w:rPr>
                <w:sz w:val="18"/>
                <w:szCs w:val="18"/>
              </w:rPr>
            </w:pPr>
          </w:p>
        </w:tc>
        <w:tc>
          <w:tcPr>
            <w:tcW w:w="3543" w:type="dxa"/>
          </w:tcPr>
          <w:p w:rsidR="00745443" w:rsidRPr="00036700" w:rsidRDefault="00745443" w:rsidP="00277A70">
            <w:pPr>
              <w:widowControl/>
              <w:rPr>
                <w:sz w:val="18"/>
                <w:szCs w:val="18"/>
              </w:rPr>
            </w:pPr>
            <w:r w:rsidRPr="00036700">
              <w:rPr>
                <w:sz w:val="18"/>
                <w:szCs w:val="18"/>
              </w:rPr>
              <w:lastRenderedPageBreak/>
              <w:t>DACLATASVIR and SOFOSBUVIR</w:t>
            </w:r>
          </w:p>
          <w:p w:rsidR="00745443" w:rsidRPr="00036700" w:rsidRDefault="00745443" w:rsidP="00277A70">
            <w:pPr>
              <w:widowControl/>
              <w:rPr>
                <w:sz w:val="18"/>
                <w:szCs w:val="18"/>
                <w:vertAlign w:val="superscript"/>
              </w:rPr>
            </w:pPr>
            <w:r w:rsidRPr="00036700">
              <w:rPr>
                <w:sz w:val="18"/>
                <w:szCs w:val="18"/>
              </w:rPr>
              <w:t>[24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RBV</w:t>
            </w:r>
          </w:p>
          <w:p w:rsidR="00745443" w:rsidRPr="00036700" w:rsidRDefault="00745443" w:rsidP="00277A70">
            <w:pPr>
              <w:widowControl/>
              <w:rPr>
                <w:sz w:val="18"/>
                <w:szCs w:val="18"/>
              </w:rPr>
            </w:pPr>
            <w:r w:rsidRPr="00036700">
              <w:rPr>
                <w:sz w:val="18"/>
                <w:szCs w:val="18"/>
              </w:rPr>
              <w:lastRenderedPageBreak/>
              <w:t>[24 weeks]</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OR</w:t>
            </w:r>
          </w:p>
          <w:p w:rsidR="00745443" w:rsidRPr="00036700" w:rsidRDefault="00745443" w:rsidP="00277A70">
            <w:pPr>
              <w:widowControl/>
              <w:rPr>
                <w:sz w:val="18"/>
                <w:szCs w:val="18"/>
              </w:rPr>
            </w:pPr>
          </w:p>
          <w:p w:rsidR="00745443" w:rsidRPr="00036700" w:rsidRDefault="00745443" w:rsidP="00277A70">
            <w:pPr>
              <w:widowControl/>
              <w:rPr>
                <w:sz w:val="18"/>
                <w:szCs w:val="18"/>
              </w:rPr>
            </w:pPr>
            <w:r w:rsidRPr="00036700">
              <w:rPr>
                <w:sz w:val="18"/>
                <w:szCs w:val="18"/>
              </w:rPr>
              <w:t>SOFOSBUVIR and PEG-IFN/RBV</w:t>
            </w:r>
          </w:p>
          <w:p w:rsidR="00745443" w:rsidRPr="00036700" w:rsidRDefault="00745443" w:rsidP="00277A70">
            <w:pPr>
              <w:widowControl/>
              <w:rPr>
                <w:sz w:val="18"/>
                <w:szCs w:val="18"/>
              </w:rPr>
            </w:pPr>
            <w:r w:rsidRPr="00036700">
              <w:rPr>
                <w:sz w:val="18"/>
                <w:szCs w:val="18"/>
              </w:rPr>
              <w:t>[12 weeks]</w:t>
            </w:r>
          </w:p>
          <w:p w:rsidR="00745443" w:rsidRPr="00036700" w:rsidRDefault="00745443" w:rsidP="00277A70">
            <w:pPr>
              <w:widowControl/>
              <w:rPr>
                <w:sz w:val="18"/>
                <w:szCs w:val="18"/>
              </w:rPr>
            </w:pPr>
          </w:p>
        </w:tc>
      </w:tr>
      <w:tr w:rsidR="00FC0C19" w:rsidRPr="00036700" w:rsidTr="00277A70">
        <w:tc>
          <w:tcPr>
            <w:tcW w:w="1560" w:type="dxa"/>
          </w:tcPr>
          <w:p w:rsidR="00FC0C19" w:rsidRPr="00036700" w:rsidRDefault="00FC0C19" w:rsidP="00277A70">
            <w:pPr>
              <w:widowControl/>
              <w:rPr>
                <w:b/>
                <w:i/>
                <w:sz w:val="18"/>
                <w:szCs w:val="18"/>
              </w:rPr>
            </w:pPr>
            <w:r w:rsidRPr="00036700">
              <w:rPr>
                <w:b/>
                <w:i/>
                <w:sz w:val="18"/>
                <w:szCs w:val="18"/>
              </w:rPr>
              <w:lastRenderedPageBreak/>
              <w:t xml:space="preserve">Genotype 4, </w:t>
            </w:r>
            <w:r w:rsidRPr="00036700">
              <w:rPr>
                <w:b/>
                <w:i/>
                <w:strike/>
                <w:sz w:val="18"/>
                <w:szCs w:val="18"/>
              </w:rPr>
              <w:t>5, 6</w:t>
            </w:r>
          </w:p>
        </w:tc>
        <w:tc>
          <w:tcPr>
            <w:tcW w:w="3402" w:type="dxa"/>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sz w:val="18"/>
                <w:szCs w:val="18"/>
              </w:rPr>
            </w:pPr>
            <w:r w:rsidRPr="00036700">
              <w:rPr>
                <w:sz w:val="18"/>
                <w:szCs w:val="18"/>
              </w:rPr>
              <w:t>[12 weeks]</w:t>
            </w:r>
          </w:p>
          <w:p w:rsidR="00FC0C19" w:rsidRPr="00036700" w:rsidRDefault="00FC0C19" w:rsidP="00277A70">
            <w:pPr>
              <w:widowControl/>
              <w:rPr>
                <w:sz w:val="18"/>
                <w:szCs w:val="18"/>
              </w:rPr>
            </w:pPr>
          </w:p>
          <w:p w:rsidR="00FC0C19" w:rsidRPr="00036700" w:rsidRDefault="00FC0C19"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GRAZOPREVIR + ELBASVIR [12 weeks]</w:t>
            </w:r>
          </w:p>
          <w:p w:rsidR="00FC0C19" w:rsidRPr="00036700" w:rsidRDefault="00FC0C19" w:rsidP="00277A70">
            <w:pPr>
              <w:widowControl/>
              <w:rPr>
                <w:b/>
                <w:sz w:val="18"/>
                <w:szCs w:val="18"/>
              </w:rPr>
            </w:pPr>
          </w:p>
        </w:tc>
        <w:tc>
          <w:tcPr>
            <w:tcW w:w="3543" w:type="dxa"/>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sz w:val="18"/>
                <w:szCs w:val="18"/>
              </w:rPr>
            </w:pPr>
            <w:r w:rsidRPr="00036700">
              <w:rPr>
                <w:sz w:val="18"/>
                <w:szCs w:val="18"/>
              </w:rPr>
              <w:t>[12 weeks]</w:t>
            </w:r>
          </w:p>
          <w:p w:rsidR="00FC0C19" w:rsidRPr="00036700" w:rsidRDefault="00FC0C19" w:rsidP="00277A70">
            <w:pPr>
              <w:widowControl/>
              <w:rPr>
                <w:sz w:val="18"/>
                <w:szCs w:val="18"/>
              </w:rPr>
            </w:pPr>
          </w:p>
          <w:p w:rsidR="00FC0C19" w:rsidRPr="00036700" w:rsidRDefault="00FC0C19"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GRAZOPREVIR + ELBASVIR (&amp;) RBV [16 weeks]</w:t>
            </w:r>
          </w:p>
          <w:p w:rsidR="00FC0C19" w:rsidRPr="00036700" w:rsidRDefault="00FC0C19" w:rsidP="00277A70">
            <w:pPr>
              <w:widowControl/>
              <w:rPr>
                <w:sz w:val="18"/>
                <w:szCs w:val="18"/>
              </w:rPr>
            </w:pPr>
          </w:p>
        </w:tc>
      </w:tr>
      <w:tr w:rsidR="00FC0C19" w:rsidRPr="00036700" w:rsidTr="00277A70">
        <w:tc>
          <w:tcPr>
            <w:tcW w:w="1560" w:type="dxa"/>
            <w:shd w:val="clear" w:color="auto" w:fill="auto"/>
          </w:tcPr>
          <w:p w:rsidR="00FC0C19" w:rsidRPr="00036700" w:rsidRDefault="00FC0C19" w:rsidP="00277A70">
            <w:pPr>
              <w:widowControl/>
              <w:rPr>
                <w:b/>
                <w:i/>
                <w:sz w:val="18"/>
                <w:szCs w:val="18"/>
              </w:rPr>
            </w:pPr>
            <w:r w:rsidRPr="00036700">
              <w:rPr>
                <w:b/>
                <w:i/>
                <w:sz w:val="18"/>
                <w:szCs w:val="18"/>
              </w:rPr>
              <w:t>Genotype 5</w:t>
            </w:r>
          </w:p>
        </w:tc>
        <w:tc>
          <w:tcPr>
            <w:tcW w:w="3402" w:type="dxa"/>
            <w:shd w:val="clear" w:color="auto" w:fill="auto"/>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sz w:val="18"/>
                <w:szCs w:val="18"/>
              </w:rPr>
            </w:pPr>
            <w:r w:rsidRPr="00036700">
              <w:rPr>
                <w:sz w:val="18"/>
                <w:szCs w:val="18"/>
              </w:rPr>
              <w:t>[12 weeks]</w:t>
            </w:r>
          </w:p>
          <w:p w:rsidR="00FC0C19" w:rsidRPr="00036700" w:rsidRDefault="00FC0C19" w:rsidP="00277A70">
            <w:pPr>
              <w:widowControl/>
              <w:rPr>
                <w:i/>
                <w:sz w:val="18"/>
                <w:szCs w:val="18"/>
              </w:rPr>
            </w:pPr>
          </w:p>
        </w:tc>
        <w:tc>
          <w:tcPr>
            <w:tcW w:w="3543" w:type="dxa"/>
            <w:shd w:val="clear" w:color="auto" w:fill="auto"/>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i/>
                <w:sz w:val="18"/>
                <w:szCs w:val="18"/>
              </w:rPr>
            </w:pPr>
            <w:r w:rsidRPr="00036700">
              <w:rPr>
                <w:sz w:val="18"/>
                <w:szCs w:val="18"/>
              </w:rPr>
              <w:t>[12 weeks]</w:t>
            </w:r>
          </w:p>
        </w:tc>
      </w:tr>
      <w:tr w:rsidR="00FC0C19" w:rsidRPr="00036700" w:rsidTr="00277A70">
        <w:tc>
          <w:tcPr>
            <w:tcW w:w="1560" w:type="dxa"/>
            <w:shd w:val="clear" w:color="auto" w:fill="auto"/>
          </w:tcPr>
          <w:p w:rsidR="00FC0C19" w:rsidRPr="00036700" w:rsidRDefault="00FC0C19" w:rsidP="00277A70">
            <w:pPr>
              <w:widowControl/>
              <w:rPr>
                <w:b/>
                <w:i/>
                <w:sz w:val="18"/>
                <w:szCs w:val="18"/>
              </w:rPr>
            </w:pPr>
            <w:r w:rsidRPr="00036700">
              <w:rPr>
                <w:b/>
                <w:i/>
                <w:sz w:val="18"/>
                <w:szCs w:val="18"/>
              </w:rPr>
              <w:t>Genotype 6</w:t>
            </w:r>
          </w:p>
        </w:tc>
        <w:tc>
          <w:tcPr>
            <w:tcW w:w="3402" w:type="dxa"/>
            <w:shd w:val="clear" w:color="auto" w:fill="auto"/>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sz w:val="18"/>
                <w:szCs w:val="18"/>
              </w:rPr>
            </w:pPr>
            <w:r w:rsidRPr="00036700">
              <w:rPr>
                <w:sz w:val="18"/>
                <w:szCs w:val="18"/>
              </w:rPr>
              <w:t>[12 weeks]</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GRAZOPREVIR + ELBASVIR [12 weeks]</w:t>
            </w:r>
          </w:p>
          <w:p w:rsidR="00FC0C19" w:rsidRPr="00036700" w:rsidRDefault="00FC0C19" w:rsidP="00277A70">
            <w:pPr>
              <w:widowControl/>
              <w:rPr>
                <w:i/>
                <w:sz w:val="18"/>
                <w:szCs w:val="18"/>
              </w:rPr>
            </w:pPr>
          </w:p>
        </w:tc>
        <w:tc>
          <w:tcPr>
            <w:tcW w:w="3543" w:type="dxa"/>
            <w:shd w:val="clear" w:color="auto" w:fill="auto"/>
          </w:tcPr>
          <w:p w:rsidR="00FC0C19" w:rsidRPr="00036700" w:rsidRDefault="00FC0C19" w:rsidP="00277A70">
            <w:pPr>
              <w:widowControl/>
              <w:rPr>
                <w:sz w:val="18"/>
                <w:szCs w:val="18"/>
              </w:rPr>
            </w:pPr>
            <w:r w:rsidRPr="00036700">
              <w:rPr>
                <w:sz w:val="18"/>
                <w:szCs w:val="18"/>
              </w:rPr>
              <w:t>SOFOSBUVIR and PEG-IFN/RBV</w:t>
            </w:r>
          </w:p>
          <w:p w:rsidR="00FC0C19" w:rsidRPr="00036700" w:rsidRDefault="00FC0C19" w:rsidP="00277A70">
            <w:pPr>
              <w:widowControl/>
              <w:rPr>
                <w:sz w:val="18"/>
                <w:szCs w:val="18"/>
              </w:rPr>
            </w:pPr>
            <w:r w:rsidRPr="00036700">
              <w:rPr>
                <w:sz w:val="18"/>
                <w:szCs w:val="18"/>
              </w:rPr>
              <w:t>[12 weeks]</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OR</w:t>
            </w:r>
          </w:p>
          <w:p w:rsidR="00FC0C19" w:rsidRPr="00036700" w:rsidRDefault="00FC0C19" w:rsidP="00277A70">
            <w:pPr>
              <w:widowControl/>
              <w:rPr>
                <w:i/>
                <w:sz w:val="18"/>
                <w:szCs w:val="18"/>
              </w:rPr>
            </w:pPr>
          </w:p>
          <w:p w:rsidR="00FC0C19" w:rsidRPr="00036700" w:rsidRDefault="00FC0C19" w:rsidP="00277A70">
            <w:pPr>
              <w:widowControl/>
              <w:rPr>
                <w:i/>
                <w:sz w:val="18"/>
                <w:szCs w:val="18"/>
              </w:rPr>
            </w:pPr>
            <w:r w:rsidRPr="00036700">
              <w:rPr>
                <w:i/>
                <w:sz w:val="18"/>
                <w:szCs w:val="18"/>
              </w:rPr>
              <w:t>GRAZOPREVIR + ELBASVIR (&amp;) RBV [16 weeks]</w:t>
            </w:r>
          </w:p>
          <w:p w:rsidR="00FC0C19" w:rsidRPr="00036700" w:rsidRDefault="00FC0C19" w:rsidP="00277A70">
            <w:pPr>
              <w:widowControl/>
              <w:rPr>
                <w:i/>
                <w:sz w:val="18"/>
                <w:szCs w:val="18"/>
              </w:rPr>
            </w:pPr>
          </w:p>
        </w:tc>
      </w:tr>
    </w:tbl>
    <w:p w:rsidR="008D43FC" w:rsidRPr="00036700" w:rsidRDefault="008D43FC" w:rsidP="00277A70">
      <w:pPr>
        <w:widowControl/>
      </w:pPr>
    </w:p>
    <w:p w:rsidR="00274522" w:rsidRPr="00036700" w:rsidRDefault="00274522" w:rsidP="00D9008B">
      <w:pPr>
        <w:pStyle w:val="ListParagraph"/>
        <w:widowControl/>
        <w:numPr>
          <w:ilvl w:val="1"/>
          <w:numId w:val="1"/>
        </w:numPr>
        <w:rPr>
          <w:szCs w:val="22"/>
        </w:rPr>
      </w:pPr>
      <w:r w:rsidRPr="00036700">
        <w:t xml:space="preserve">The submission </w:t>
      </w:r>
      <w:r w:rsidR="00302308" w:rsidRPr="00036700">
        <w:t>propos</w:t>
      </w:r>
      <w:r w:rsidRPr="00036700">
        <w:t xml:space="preserve">ed a </w:t>
      </w:r>
      <w:r w:rsidR="00CE20CA" w:rsidRPr="00036700">
        <w:t>S</w:t>
      </w:r>
      <w:r w:rsidRPr="00036700">
        <w:t xml:space="preserve">pecial </w:t>
      </w:r>
      <w:r w:rsidR="00414530" w:rsidRPr="00036700">
        <w:t>P</w:t>
      </w:r>
      <w:r w:rsidRPr="00036700">
        <w:t xml:space="preserve">ricing </w:t>
      </w:r>
      <w:r w:rsidR="00414530" w:rsidRPr="00036700">
        <w:t>A</w:t>
      </w:r>
      <w:r w:rsidRPr="00036700">
        <w:t>rrangement</w:t>
      </w:r>
      <w:r w:rsidR="00F007BB" w:rsidRPr="00036700">
        <w:t>. A</w:t>
      </w:r>
      <w:r w:rsidRPr="00036700">
        <w:t xml:space="preserve"> dispensed price for maximum quantity (DPMQ) of $</w:t>
      </w:r>
      <w:r w:rsidR="00270A63">
        <w:rPr>
          <w:noProof/>
          <w:color w:val="000000"/>
          <w:highlight w:val="black"/>
        </w:rPr>
        <w:t>''''''''''''''''</w:t>
      </w:r>
      <w:r w:rsidRPr="00036700">
        <w:t xml:space="preserve"> for GRZ/EBR </w:t>
      </w:r>
      <w:r w:rsidR="00F007BB" w:rsidRPr="00036700">
        <w:t>is to</w:t>
      </w:r>
      <w:r w:rsidRPr="00036700">
        <w:t xml:space="preserve"> be published on the PBS website. In the absence of a final decision on the prices for </w:t>
      </w:r>
      <w:r w:rsidR="00302308" w:rsidRPr="00036700">
        <w:t>nominated comparators (</w:t>
      </w:r>
      <w:r w:rsidR="006654BF" w:rsidRPr="00036700">
        <w:t>sofosbuvir (SOF)</w:t>
      </w:r>
      <w:r w:rsidR="00302308" w:rsidRPr="00036700">
        <w:t xml:space="preserve">-containing therapies), </w:t>
      </w:r>
      <w:r w:rsidRPr="00036700">
        <w:t>the submission used a placeholder ex-manufacturer price (for illustrative purposes) of $</w:t>
      </w:r>
      <w:r w:rsidR="00270A63">
        <w:rPr>
          <w:noProof/>
          <w:color w:val="000000"/>
          <w:highlight w:val="black"/>
        </w:rPr>
        <w:t>''''''''''''''''''</w:t>
      </w:r>
      <w:r w:rsidRPr="00036700">
        <w:t xml:space="preserve"> per course of GRZ/EBR treatment regardless of </w:t>
      </w:r>
      <w:r w:rsidR="00401BA4" w:rsidRPr="00036700">
        <w:t>CHC</w:t>
      </w:r>
      <w:r w:rsidR="006654BF" w:rsidRPr="00036700">
        <w:t xml:space="preserve"> genotype treat</w:t>
      </w:r>
      <w:r w:rsidR="00CE20CA" w:rsidRPr="00036700">
        <w:t>ed</w:t>
      </w:r>
      <w:r w:rsidRPr="00036700">
        <w:t>.</w:t>
      </w:r>
      <w:r w:rsidR="006654BF" w:rsidRPr="00036700">
        <w:t xml:space="preserve"> This equa</w:t>
      </w:r>
      <w:r w:rsidR="00270072" w:rsidRPr="00036700">
        <w:t>tes</w:t>
      </w:r>
      <w:r w:rsidR="006654BF" w:rsidRPr="00036700">
        <w:t xml:space="preserve"> to a </w:t>
      </w:r>
      <w:r w:rsidR="00CE20CA" w:rsidRPr="00036700">
        <w:t xml:space="preserve">DPMQ </w:t>
      </w:r>
      <w:r w:rsidR="006654BF" w:rsidRPr="00036700">
        <w:t>of $</w:t>
      </w:r>
      <w:r w:rsidR="00270A63">
        <w:rPr>
          <w:noProof/>
          <w:color w:val="000000"/>
          <w:highlight w:val="black"/>
        </w:rPr>
        <w:t>'''''''''''''''''''''''</w:t>
      </w:r>
      <w:r w:rsidR="00795017" w:rsidRPr="00036700">
        <w:t>, assuming patients receiving a 12-week treatment with GRZ/EBR</w:t>
      </w:r>
      <w:r w:rsidR="006654BF" w:rsidRPr="00036700">
        <w:t xml:space="preserve">. </w:t>
      </w:r>
    </w:p>
    <w:p w:rsidR="00274522" w:rsidRPr="00036700" w:rsidRDefault="00274522" w:rsidP="00277A70">
      <w:pPr>
        <w:pStyle w:val="ListParagraph"/>
        <w:widowControl/>
        <w:rPr>
          <w:i/>
          <w:szCs w:val="22"/>
        </w:rPr>
      </w:pPr>
    </w:p>
    <w:p w:rsidR="00B541AC" w:rsidRDefault="00795017" w:rsidP="00D100AE">
      <w:pPr>
        <w:pStyle w:val="ListParagraph"/>
        <w:widowControl/>
      </w:pPr>
      <w:r w:rsidRPr="00036700">
        <w:t xml:space="preserve">The </w:t>
      </w:r>
      <w:r w:rsidR="009B17DE" w:rsidRPr="00036700">
        <w:t xml:space="preserve">requested </w:t>
      </w:r>
      <w:r w:rsidRPr="00036700">
        <w:t xml:space="preserve">separate </w:t>
      </w:r>
      <w:r w:rsidR="009B17DE" w:rsidRPr="00036700">
        <w:t>listing</w:t>
      </w:r>
      <w:r w:rsidRPr="00036700">
        <w:t xml:space="preserve">s </w:t>
      </w:r>
      <w:r w:rsidR="009B17DE" w:rsidRPr="00036700">
        <w:t>for GRZ/EBR reflect</w:t>
      </w:r>
      <w:r w:rsidR="00316459" w:rsidRPr="00036700">
        <w:t>ed</w:t>
      </w:r>
      <w:r w:rsidR="009B17DE" w:rsidRPr="00036700">
        <w:t xml:space="preserve"> various treatment regimens across the </w:t>
      </w:r>
      <w:r w:rsidR="00401BA4" w:rsidRPr="00036700">
        <w:t>CHC</w:t>
      </w:r>
      <w:r w:rsidR="00316459" w:rsidRPr="00036700">
        <w:t xml:space="preserve"> </w:t>
      </w:r>
      <w:r w:rsidR="00CE20CA" w:rsidRPr="00036700">
        <w:t>subgroups</w:t>
      </w:r>
      <w:r w:rsidR="002A68DC" w:rsidRPr="00036700">
        <w:t xml:space="preserve"> as proposed in the draft Product Information.  The PBAC noted that these regimens may require updating based on the final approved Product Information.</w:t>
      </w:r>
      <w:r w:rsidR="004F50A8" w:rsidRPr="00036700">
        <w:t xml:space="preserve"> </w:t>
      </w:r>
      <w:r w:rsidR="002908A7" w:rsidRPr="00036700">
        <w:t>Treatment of patients infected with genotype 2</w:t>
      </w:r>
      <w:r w:rsidR="009D5D40" w:rsidRPr="00036700">
        <w:t xml:space="preserve"> or 5</w:t>
      </w:r>
      <w:r w:rsidR="002908A7" w:rsidRPr="00036700">
        <w:t xml:space="preserve"> CHC was n</w:t>
      </w:r>
      <w:r w:rsidR="00D100AE">
        <w:t>ot proposed in the submission.</w:t>
      </w:r>
    </w:p>
    <w:p w:rsidR="00D100AE" w:rsidRPr="00D100AE" w:rsidRDefault="00D100AE" w:rsidP="00D100AE">
      <w:pPr>
        <w:widowControl/>
      </w:pPr>
    </w:p>
    <w:p w:rsidR="004E43B2" w:rsidRPr="00036700" w:rsidRDefault="00427ABD" w:rsidP="00D9008B">
      <w:pPr>
        <w:pStyle w:val="ListParagraph"/>
        <w:widowControl/>
        <w:numPr>
          <w:ilvl w:val="1"/>
          <w:numId w:val="1"/>
        </w:numPr>
      </w:pPr>
      <w:r w:rsidRPr="00036700">
        <w:t>Listing was sought on the basis that GRZ/</w:t>
      </w:r>
      <w:r w:rsidR="00CF0B4B" w:rsidRPr="00036700">
        <w:t>EBR</w:t>
      </w:r>
      <w:r w:rsidR="002E7BAA" w:rsidRPr="00036700">
        <w:t xml:space="preserve"> </w:t>
      </w:r>
      <w:r w:rsidR="00561F90" w:rsidRPr="00036700">
        <w:t xml:space="preserve">therapies are </w:t>
      </w:r>
      <w:r w:rsidRPr="00036700">
        <w:t>cost-minimising to LDV/SOF</w:t>
      </w:r>
      <w:r w:rsidR="00965884" w:rsidRPr="00036700">
        <w:t>,</w:t>
      </w:r>
      <w:r w:rsidR="00561F90" w:rsidRPr="00036700">
        <w:t xml:space="preserve"> </w:t>
      </w:r>
      <w:r w:rsidRPr="00036700">
        <w:t>SOF+</w:t>
      </w:r>
      <w:r w:rsidR="00E1410A" w:rsidRPr="00036700">
        <w:t xml:space="preserve"> ribavirin (RBV)</w:t>
      </w:r>
      <w:r w:rsidR="002E7BAA" w:rsidRPr="00036700">
        <w:t xml:space="preserve"> or SOF</w:t>
      </w:r>
      <w:r w:rsidR="00965884" w:rsidRPr="00036700">
        <w:t>+</w:t>
      </w:r>
      <w:r w:rsidR="00CC7774" w:rsidRPr="00036700">
        <w:t xml:space="preserve"> pegylated interferon alfa + ribavirin (</w:t>
      </w:r>
      <w:r w:rsidR="002E7BAA" w:rsidRPr="00036700">
        <w:t>PR</w:t>
      </w:r>
      <w:r w:rsidR="00CC7774" w:rsidRPr="00036700">
        <w:t>)</w:t>
      </w:r>
      <w:r w:rsidR="002E7BAA" w:rsidRPr="00036700">
        <w:t xml:space="preserve"> </w:t>
      </w:r>
      <w:r w:rsidRPr="00036700">
        <w:t xml:space="preserve">in the relevant </w:t>
      </w:r>
      <w:r w:rsidR="00401BA4" w:rsidRPr="00036700">
        <w:t>CHC</w:t>
      </w:r>
      <w:r w:rsidRPr="00036700">
        <w:t xml:space="preserve"> genotype and patient group</w:t>
      </w:r>
      <w:r w:rsidR="00E13CED" w:rsidRPr="00036700">
        <w:t>s</w:t>
      </w:r>
      <w:r w:rsidR="00BD7B20" w:rsidRPr="00036700">
        <w:t xml:space="preserve"> (see the “</w:t>
      </w:r>
      <w:r w:rsidR="00010E46" w:rsidRPr="00036700">
        <w:t>Comparator”</w:t>
      </w:r>
      <w:r w:rsidR="00561F90" w:rsidRPr="00036700">
        <w:t xml:space="preserve"> section</w:t>
      </w:r>
      <w:r w:rsidR="00E23AB4" w:rsidRPr="00036700">
        <w:t xml:space="preserve"> of the </w:t>
      </w:r>
      <w:r w:rsidR="000B4BDA">
        <w:t>Public Summary Document</w:t>
      </w:r>
      <w:r w:rsidR="00561F90" w:rsidRPr="00036700">
        <w:t>)</w:t>
      </w:r>
      <w:r w:rsidRPr="00036700">
        <w:t xml:space="preserve">. </w:t>
      </w:r>
    </w:p>
    <w:p w:rsidR="00C34D72" w:rsidRPr="00036700" w:rsidRDefault="00C34D72" w:rsidP="00F47912">
      <w:pPr>
        <w:widowControl/>
      </w:pPr>
    </w:p>
    <w:p w:rsidR="00762D6D" w:rsidRPr="00036700" w:rsidRDefault="00762D6D" w:rsidP="00762D6D">
      <w:pPr>
        <w:ind w:firstLine="720"/>
        <w:rPr>
          <w:bCs/>
          <w:szCs w:val="22"/>
        </w:rPr>
      </w:pPr>
      <w:r w:rsidRPr="00036700">
        <w:rPr>
          <w:bCs/>
          <w:i/>
          <w:szCs w:val="22"/>
        </w:rPr>
        <w:t>For more detail on PBAC’s view, see section 7 “PBAC outcome”</w:t>
      </w:r>
    </w:p>
    <w:p w:rsidR="003817C6" w:rsidRPr="00036700" w:rsidRDefault="003817C6" w:rsidP="00277A70">
      <w:pPr>
        <w:pStyle w:val="ListParagraph"/>
        <w:widowControl/>
      </w:pPr>
    </w:p>
    <w:p w:rsidR="005E5DEF" w:rsidRDefault="005E5DEF">
      <w:pPr>
        <w:widowControl/>
        <w:jc w:val="left"/>
        <w:rPr>
          <w:b/>
          <w:szCs w:val="22"/>
        </w:rPr>
      </w:pPr>
      <w:bookmarkStart w:id="4" w:name="_Toc440963725"/>
      <w:r>
        <w:br w:type="page"/>
      </w:r>
    </w:p>
    <w:p w:rsidR="00B50DB8" w:rsidRPr="009F1E19" w:rsidRDefault="00B50DB8" w:rsidP="00277A70">
      <w:pPr>
        <w:pStyle w:val="PBACHeading1"/>
        <w:rPr>
          <w:sz w:val="22"/>
        </w:rPr>
      </w:pPr>
      <w:r w:rsidRPr="009F1E19">
        <w:rPr>
          <w:sz w:val="22"/>
        </w:rPr>
        <w:lastRenderedPageBreak/>
        <w:t>Background</w:t>
      </w:r>
      <w:bookmarkEnd w:id="4"/>
    </w:p>
    <w:p w:rsidR="00B60939" w:rsidRPr="00036700" w:rsidRDefault="00B60939" w:rsidP="00277A70">
      <w:pPr>
        <w:widowControl/>
        <w:rPr>
          <w:szCs w:val="22"/>
        </w:rPr>
      </w:pPr>
    </w:p>
    <w:p w:rsidR="00C34D72" w:rsidRPr="00036700" w:rsidRDefault="008C473F" w:rsidP="00D9008B">
      <w:pPr>
        <w:pStyle w:val="ListParagraph"/>
        <w:widowControl/>
        <w:numPr>
          <w:ilvl w:val="1"/>
          <w:numId w:val="1"/>
        </w:numPr>
      </w:pPr>
      <w:r w:rsidRPr="00036700">
        <w:t>T</w:t>
      </w:r>
      <w:r w:rsidR="00277A70" w:rsidRPr="00036700">
        <w:t xml:space="preserve">GA status at time of </w:t>
      </w:r>
      <w:r w:rsidR="004500A1" w:rsidRPr="00036700">
        <w:t>PBAC consideration</w:t>
      </w:r>
      <w:r w:rsidRPr="00036700">
        <w:t xml:space="preserve">: </w:t>
      </w:r>
      <w:r w:rsidR="00C34D72" w:rsidRPr="00036700">
        <w:t xml:space="preserve">The submission was made under </w:t>
      </w:r>
      <w:r w:rsidR="00B812DB" w:rsidRPr="00036700">
        <w:t xml:space="preserve">the </w:t>
      </w:r>
      <w:r w:rsidR="00C34D72" w:rsidRPr="00036700">
        <w:t xml:space="preserve">TGA/PBAC Parallel Process. </w:t>
      </w:r>
      <w:r w:rsidR="004500A1" w:rsidRPr="00036700">
        <w:t>The TGA Delegate’s Overview was available for consideration at the Committee meeting.</w:t>
      </w:r>
    </w:p>
    <w:p w:rsidR="00B60939" w:rsidRPr="00036700" w:rsidRDefault="00B60939" w:rsidP="00277A70">
      <w:pPr>
        <w:pStyle w:val="ListParagraph"/>
        <w:widowControl/>
        <w:rPr>
          <w:szCs w:val="22"/>
        </w:rPr>
      </w:pPr>
    </w:p>
    <w:p w:rsidR="002C2775" w:rsidRPr="00036700" w:rsidRDefault="00595276" w:rsidP="00D9008B">
      <w:pPr>
        <w:pStyle w:val="ListParagraph"/>
        <w:widowControl/>
        <w:numPr>
          <w:ilvl w:val="1"/>
          <w:numId w:val="1"/>
        </w:numPr>
        <w:rPr>
          <w:szCs w:val="22"/>
        </w:rPr>
      </w:pPr>
      <w:r w:rsidRPr="00036700">
        <w:rPr>
          <w:szCs w:val="22"/>
        </w:rPr>
        <w:t>This was the first submission of GRZ/EBR to the PBAC for the treatment of CHC.</w:t>
      </w:r>
    </w:p>
    <w:p w:rsidR="00EA2720" w:rsidRPr="00036700" w:rsidRDefault="00EA2720" w:rsidP="00277A70">
      <w:pPr>
        <w:pStyle w:val="ListParagraph"/>
        <w:widowControl/>
        <w:rPr>
          <w:szCs w:val="22"/>
        </w:rPr>
      </w:pPr>
    </w:p>
    <w:p w:rsidR="00B60939" w:rsidRPr="00036700" w:rsidRDefault="003F204D" w:rsidP="001B3F51">
      <w:pPr>
        <w:pStyle w:val="ListParagraph"/>
        <w:widowControl/>
        <w:numPr>
          <w:ilvl w:val="1"/>
          <w:numId w:val="1"/>
        </w:numPr>
      </w:pPr>
      <w:r w:rsidRPr="00036700">
        <w:rPr>
          <w:szCs w:val="22"/>
        </w:rPr>
        <w:t xml:space="preserve">SOF </w:t>
      </w:r>
      <w:r w:rsidR="00A450EE" w:rsidRPr="00036700">
        <w:rPr>
          <w:szCs w:val="22"/>
        </w:rPr>
        <w:t>and</w:t>
      </w:r>
      <w:r w:rsidRPr="00036700">
        <w:rPr>
          <w:szCs w:val="22"/>
        </w:rPr>
        <w:t xml:space="preserve"> RBV w</w:t>
      </w:r>
      <w:r w:rsidR="00A450EE" w:rsidRPr="00036700">
        <w:rPr>
          <w:szCs w:val="22"/>
        </w:rPr>
        <w:t>ere</w:t>
      </w:r>
      <w:r w:rsidRPr="00036700">
        <w:rPr>
          <w:szCs w:val="22"/>
        </w:rPr>
        <w:t xml:space="preserve"> proposed to be used in combination with GRZ/EBR in </w:t>
      </w:r>
      <w:r w:rsidR="00401BA4" w:rsidRPr="00036700">
        <w:rPr>
          <w:szCs w:val="22"/>
        </w:rPr>
        <w:t>CHC</w:t>
      </w:r>
      <w:r w:rsidR="002E7BAA" w:rsidRPr="00036700">
        <w:rPr>
          <w:szCs w:val="22"/>
        </w:rPr>
        <w:t xml:space="preserve"> </w:t>
      </w:r>
      <w:r w:rsidRPr="00036700">
        <w:rPr>
          <w:szCs w:val="22"/>
        </w:rPr>
        <w:t xml:space="preserve">genotype 3 </w:t>
      </w:r>
      <w:r w:rsidR="002E7BAA" w:rsidRPr="00036700">
        <w:rPr>
          <w:szCs w:val="22"/>
        </w:rPr>
        <w:t xml:space="preserve">treatment-naïve </w:t>
      </w:r>
      <w:r w:rsidRPr="00036700">
        <w:rPr>
          <w:szCs w:val="22"/>
        </w:rPr>
        <w:t xml:space="preserve">patients and in genotype 1a, 4 or 6 patients who </w:t>
      </w:r>
      <w:r w:rsidR="00FD0BD7" w:rsidRPr="00036700">
        <w:rPr>
          <w:szCs w:val="22"/>
        </w:rPr>
        <w:t xml:space="preserve">have </w:t>
      </w:r>
      <w:r w:rsidRPr="00036700">
        <w:rPr>
          <w:szCs w:val="22"/>
        </w:rPr>
        <w:t>experienced on-treatment virologic failure</w:t>
      </w:r>
      <w:r w:rsidR="002C3191">
        <w:rPr>
          <w:szCs w:val="22"/>
        </w:rPr>
        <w:t>.</w:t>
      </w:r>
      <w:r w:rsidRPr="00036700">
        <w:rPr>
          <w:szCs w:val="22"/>
        </w:rPr>
        <w:t xml:space="preserve"> </w:t>
      </w:r>
    </w:p>
    <w:p w:rsidR="00E1410A" w:rsidRPr="00036700" w:rsidRDefault="00E1410A" w:rsidP="00E1410A"/>
    <w:p w:rsidR="00762D6D" w:rsidRPr="00036700" w:rsidRDefault="00762D6D" w:rsidP="00762D6D">
      <w:pPr>
        <w:ind w:firstLine="720"/>
        <w:rPr>
          <w:bCs/>
          <w:szCs w:val="22"/>
        </w:rPr>
      </w:pPr>
      <w:r w:rsidRPr="00036700">
        <w:rPr>
          <w:bCs/>
          <w:i/>
          <w:szCs w:val="22"/>
        </w:rPr>
        <w:t>For more detail on PBAC’s view, see section 7 “PBAC outcome”</w:t>
      </w:r>
    </w:p>
    <w:p w:rsidR="00762D6D" w:rsidRPr="00036700" w:rsidRDefault="00762D6D" w:rsidP="00277A70">
      <w:pPr>
        <w:widowControl/>
      </w:pPr>
    </w:p>
    <w:p w:rsidR="00E55BB5" w:rsidRPr="00036700" w:rsidRDefault="00E55BB5" w:rsidP="00277A70">
      <w:pPr>
        <w:widowControl/>
      </w:pPr>
    </w:p>
    <w:p w:rsidR="00B50DB8" w:rsidRPr="009F1E19" w:rsidRDefault="00B50DB8" w:rsidP="00277A70">
      <w:pPr>
        <w:pStyle w:val="PBACHeading1"/>
        <w:rPr>
          <w:sz w:val="22"/>
        </w:rPr>
      </w:pPr>
      <w:bookmarkStart w:id="5" w:name="_Toc440963726"/>
      <w:r w:rsidRPr="009F1E19">
        <w:rPr>
          <w:sz w:val="22"/>
        </w:rPr>
        <w:t>Clinical place for the proposed therapy</w:t>
      </w:r>
      <w:bookmarkEnd w:id="5"/>
    </w:p>
    <w:p w:rsidR="00B60939" w:rsidRPr="00036700" w:rsidRDefault="00B60939" w:rsidP="00277A70">
      <w:pPr>
        <w:widowControl/>
        <w:rPr>
          <w:szCs w:val="22"/>
        </w:rPr>
      </w:pPr>
    </w:p>
    <w:p w:rsidR="00965884" w:rsidRPr="00036700" w:rsidRDefault="00401BA4" w:rsidP="00D9008B">
      <w:pPr>
        <w:pStyle w:val="ListParagraph"/>
        <w:widowControl/>
        <w:numPr>
          <w:ilvl w:val="1"/>
          <w:numId w:val="1"/>
        </w:numPr>
        <w:rPr>
          <w:szCs w:val="22"/>
        </w:rPr>
      </w:pPr>
      <w:r w:rsidRPr="00036700">
        <w:t>CHC</w:t>
      </w:r>
      <w:r w:rsidR="00965884" w:rsidRPr="00036700">
        <w:t xml:space="preserve">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 varices. Currently, genotype 1 or 3 </w:t>
      </w:r>
      <w:r w:rsidRPr="00036700">
        <w:t>CHC</w:t>
      </w:r>
      <w:r w:rsidR="00965884" w:rsidRPr="00036700">
        <w:t xml:space="preserve"> account for 88-92% of infections in Australia.</w:t>
      </w:r>
    </w:p>
    <w:p w:rsidR="00AD2B3A" w:rsidRPr="00036700" w:rsidRDefault="00AD2B3A" w:rsidP="00277A70">
      <w:pPr>
        <w:pStyle w:val="ListParagraph"/>
        <w:widowControl/>
      </w:pPr>
    </w:p>
    <w:p w:rsidR="00A84E5D" w:rsidRPr="00036700" w:rsidRDefault="00A84E5D" w:rsidP="00E1410A">
      <w:pPr>
        <w:widowControl/>
        <w:autoSpaceDE w:val="0"/>
        <w:autoSpaceDN w:val="0"/>
        <w:adjustRightInd w:val="0"/>
        <w:rPr>
          <w:rFonts w:ascii="Arial Narrow" w:hAnsi="Arial Narrow"/>
          <w:snapToGrid/>
          <w:color w:val="000000"/>
          <w:szCs w:val="22"/>
          <w:lang w:eastAsia="en-AU"/>
        </w:rPr>
      </w:pPr>
    </w:p>
    <w:p w:rsidR="00B50DB8" w:rsidRPr="009F1E19" w:rsidRDefault="00B50DB8" w:rsidP="00277A70">
      <w:pPr>
        <w:pStyle w:val="PBACHeading1"/>
        <w:rPr>
          <w:sz w:val="22"/>
        </w:rPr>
      </w:pPr>
      <w:bookmarkStart w:id="6" w:name="_Toc440963727"/>
      <w:r w:rsidRPr="009F1E19">
        <w:rPr>
          <w:sz w:val="22"/>
        </w:rPr>
        <w:t>Comparator</w:t>
      </w:r>
      <w:bookmarkEnd w:id="6"/>
    </w:p>
    <w:p w:rsidR="00B60939" w:rsidRPr="00036700" w:rsidRDefault="00B60939" w:rsidP="00277A70">
      <w:pPr>
        <w:widowControl/>
      </w:pPr>
    </w:p>
    <w:p w:rsidR="004233CA" w:rsidRPr="00036700" w:rsidRDefault="004233CA" w:rsidP="00D9008B">
      <w:pPr>
        <w:pStyle w:val="ListParagraph"/>
        <w:widowControl/>
        <w:numPr>
          <w:ilvl w:val="1"/>
          <w:numId w:val="1"/>
        </w:numPr>
        <w:rPr>
          <w:szCs w:val="22"/>
        </w:rPr>
      </w:pPr>
      <w:r w:rsidRPr="00036700">
        <w:t>The submission nominated:</w:t>
      </w:r>
    </w:p>
    <w:p w:rsidR="004233CA" w:rsidRPr="00036700" w:rsidRDefault="004233CA" w:rsidP="00D9008B">
      <w:pPr>
        <w:pStyle w:val="ListParagraph"/>
        <w:widowControl/>
        <w:numPr>
          <w:ilvl w:val="0"/>
          <w:numId w:val="6"/>
        </w:numPr>
      </w:pPr>
      <w:r w:rsidRPr="00036700">
        <w:t xml:space="preserve">LDV/SOF 8 as the main comparator for </w:t>
      </w:r>
      <w:r w:rsidR="00277A70" w:rsidRPr="00036700">
        <w:t>genotype 1 treatment-naïve, non</w:t>
      </w:r>
      <w:r w:rsidR="00277A70" w:rsidRPr="00036700">
        <w:noBreakHyphen/>
      </w:r>
      <w:r w:rsidRPr="00036700">
        <w:t>cirrhotic patients;</w:t>
      </w:r>
    </w:p>
    <w:p w:rsidR="004233CA" w:rsidRPr="00036700" w:rsidRDefault="004233CA" w:rsidP="00D9008B">
      <w:pPr>
        <w:pStyle w:val="ListParagraph"/>
        <w:widowControl/>
        <w:numPr>
          <w:ilvl w:val="0"/>
          <w:numId w:val="6"/>
        </w:numPr>
      </w:pPr>
      <w:r w:rsidRPr="00036700">
        <w:t>LDV/SOF12 as the main comparator for genotype 1 treatment-naive, cirrhotic and genotype 1 treatment-experienced (both relapsers and on-treatment virologic failures) patients;</w:t>
      </w:r>
    </w:p>
    <w:p w:rsidR="004233CA" w:rsidRPr="00036700" w:rsidRDefault="004233CA" w:rsidP="00D9008B">
      <w:pPr>
        <w:pStyle w:val="ListParagraph"/>
        <w:widowControl/>
        <w:numPr>
          <w:ilvl w:val="0"/>
          <w:numId w:val="6"/>
        </w:numPr>
      </w:pPr>
      <w:r w:rsidRPr="00036700">
        <w:t xml:space="preserve">SOF24+RBV24 as the main comparator for genotype 3 treatment-naïve patients; </w:t>
      </w:r>
    </w:p>
    <w:p w:rsidR="004233CA" w:rsidRPr="00036700" w:rsidRDefault="004233CA" w:rsidP="00D9008B">
      <w:pPr>
        <w:pStyle w:val="ListParagraph"/>
        <w:widowControl/>
        <w:numPr>
          <w:ilvl w:val="0"/>
          <w:numId w:val="6"/>
        </w:numPr>
      </w:pPr>
      <w:r w:rsidRPr="00036700">
        <w:t xml:space="preserve">SOF12+PR12 as the main comparator for genotypes 4 and 6 treatment-naïve patients; and </w:t>
      </w:r>
    </w:p>
    <w:p w:rsidR="004233CA" w:rsidRPr="00036700" w:rsidRDefault="004233CA" w:rsidP="00D9008B">
      <w:pPr>
        <w:pStyle w:val="ListParagraph"/>
        <w:widowControl/>
        <w:numPr>
          <w:ilvl w:val="0"/>
          <w:numId w:val="6"/>
        </w:numPr>
      </w:pPr>
      <w:r w:rsidRPr="00036700">
        <w:t>No treatment as the main comparator for genotypes 4 and 6 treatment-experienced (both relapsers and on-treatment virologic failures) patients.</w:t>
      </w:r>
    </w:p>
    <w:p w:rsidR="00E44EA4" w:rsidRPr="00036700" w:rsidRDefault="00E44EA4" w:rsidP="001B3F51">
      <w:pPr>
        <w:widowControl/>
        <w:rPr>
          <w:szCs w:val="22"/>
        </w:rPr>
      </w:pPr>
    </w:p>
    <w:p w:rsidR="00C776AE" w:rsidRPr="00036700" w:rsidRDefault="002A68DC" w:rsidP="00E1410A">
      <w:pPr>
        <w:pStyle w:val="ListParagraph"/>
        <w:widowControl/>
        <w:numPr>
          <w:ilvl w:val="1"/>
          <w:numId w:val="1"/>
        </w:numPr>
      </w:pPr>
      <w:r w:rsidRPr="00036700">
        <w:t xml:space="preserve">The PBAC agreed that the </w:t>
      </w:r>
      <w:r w:rsidR="0099758A" w:rsidRPr="00036700">
        <w:t xml:space="preserve">nominated </w:t>
      </w:r>
      <w:r w:rsidRPr="00036700">
        <w:t>comparators</w:t>
      </w:r>
      <w:r w:rsidR="0099758A" w:rsidRPr="00036700">
        <w:t xml:space="preserve"> for genotypes 1 and 3</w:t>
      </w:r>
      <w:r w:rsidRPr="00036700">
        <w:t xml:space="preserve"> were appropriate</w:t>
      </w:r>
      <w:r w:rsidR="0097581C">
        <w:t>, with the exception that the treatment duration for LDV/SOF for genotype 1 treatment experienced, cirrhotic patients should be 24 weeks rather than 12</w:t>
      </w:r>
      <w:r w:rsidR="0099758A" w:rsidRPr="00036700">
        <w:t xml:space="preserve">, </w:t>
      </w:r>
      <w:r w:rsidR="0097581C">
        <w:t xml:space="preserve">and </w:t>
      </w:r>
      <w:r w:rsidR="0099758A" w:rsidRPr="00036700">
        <w:t xml:space="preserve">noting the Department’s advice that these comparators are the least expensive of the currently listed treatment regimens for the specified genotype. </w:t>
      </w:r>
    </w:p>
    <w:p w:rsidR="00E1410A" w:rsidRPr="00036700" w:rsidRDefault="00E1410A" w:rsidP="00E1410A"/>
    <w:p w:rsidR="00FE2BA5" w:rsidRPr="00036700" w:rsidRDefault="009D2CC1" w:rsidP="00E1410A">
      <w:pPr>
        <w:pStyle w:val="ListParagraph"/>
        <w:widowControl/>
        <w:numPr>
          <w:ilvl w:val="1"/>
          <w:numId w:val="1"/>
        </w:numPr>
        <w:rPr>
          <w:szCs w:val="22"/>
        </w:rPr>
      </w:pPr>
      <w:r w:rsidRPr="00036700">
        <w:t xml:space="preserve">At present no interferon-free regimens have been recommended for listing on the PBS for </w:t>
      </w:r>
      <w:r w:rsidR="008B6190" w:rsidRPr="00036700">
        <w:t xml:space="preserve">CHC </w:t>
      </w:r>
      <w:r w:rsidR="00F21951" w:rsidRPr="00036700">
        <w:t xml:space="preserve">genotypes 4 and </w:t>
      </w:r>
      <w:r w:rsidR="00EE7524" w:rsidRPr="00036700">
        <w:t>6 patients</w:t>
      </w:r>
      <w:r w:rsidR="0099758A" w:rsidRPr="00036700">
        <w:t xml:space="preserve"> and the PBAC has previously consider</w:t>
      </w:r>
      <w:r w:rsidR="006206BC" w:rsidRPr="00036700">
        <w:t>e</w:t>
      </w:r>
      <w:r w:rsidR="0099758A" w:rsidRPr="00036700">
        <w:t>d “no treatment” to be the appropriate comparator in these circumstances.  However, given the small number of</w:t>
      </w:r>
      <w:r w:rsidR="0099758A" w:rsidRPr="00036700">
        <w:rPr>
          <w:szCs w:val="22"/>
        </w:rPr>
        <w:t xml:space="preserve"> patients</w:t>
      </w:r>
      <w:r w:rsidR="006206BC" w:rsidRPr="00036700">
        <w:rPr>
          <w:szCs w:val="22"/>
        </w:rPr>
        <w:t xml:space="preserve"> with these genotypes, the PBAC considered a </w:t>
      </w:r>
      <w:r w:rsidR="006206BC" w:rsidRPr="00036700">
        <w:rPr>
          <w:szCs w:val="22"/>
        </w:rPr>
        <w:lastRenderedPageBreak/>
        <w:t xml:space="preserve">clinical and economic comparison against </w:t>
      </w:r>
      <w:r w:rsidRPr="00036700">
        <w:rPr>
          <w:szCs w:val="22"/>
        </w:rPr>
        <w:t>SOF12+PR12</w:t>
      </w:r>
      <w:r w:rsidR="006206BC" w:rsidRPr="00036700">
        <w:rPr>
          <w:szCs w:val="22"/>
        </w:rPr>
        <w:t xml:space="preserve"> was reasonable</w:t>
      </w:r>
      <w:r w:rsidR="0097581C">
        <w:rPr>
          <w:szCs w:val="22"/>
        </w:rPr>
        <w:t xml:space="preserve"> for both treatment naïve and treatment experienced patients.</w:t>
      </w:r>
    </w:p>
    <w:p w:rsidR="002E06A0" w:rsidRPr="00036700" w:rsidRDefault="002E06A0" w:rsidP="00D100AE">
      <w:pPr>
        <w:rPr>
          <w:bCs/>
          <w:szCs w:val="22"/>
        </w:rPr>
      </w:pPr>
    </w:p>
    <w:p w:rsidR="00B50DB8" w:rsidRPr="009F1E19" w:rsidRDefault="00BD6CF3" w:rsidP="009F1E19">
      <w:pPr>
        <w:pStyle w:val="PBACHeading1"/>
        <w:rPr>
          <w:sz w:val="22"/>
        </w:rPr>
      </w:pPr>
      <w:bookmarkStart w:id="7" w:name="_Toc440963728"/>
      <w:r w:rsidRPr="009F1E19">
        <w:rPr>
          <w:sz w:val="22"/>
        </w:rPr>
        <w:t>C</w:t>
      </w:r>
      <w:r w:rsidR="00B50DB8" w:rsidRPr="009F1E19">
        <w:rPr>
          <w:sz w:val="22"/>
        </w:rPr>
        <w:t>onsideration of the evidence</w:t>
      </w:r>
      <w:bookmarkEnd w:id="7"/>
    </w:p>
    <w:p w:rsidR="00B60939" w:rsidRPr="00036700" w:rsidRDefault="00B60939" w:rsidP="00277A70">
      <w:pPr>
        <w:keepNext/>
        <w:widowControl/>
      </w:pPr>
    </w:p>
    <w:p w:rsidR="00762D6D" w:rsidRPr="009F1E19" w:rsidRDefault="00762D6D" w:rsidP="009F1E19">
      <w:pPr>
        <w:pStyle w:val="Heading2"/>
        <w:keepNext/>
        <w:widowControl/>
        <w:rPr>
          <w:i/>
        </w:rPr>
      </w:pPr>
      <w:r w:rsidRPr="009F1E19">
        <w:rPr>
          <w:i/>
        </w:rPr>
        <w:t>Sponsor hearing</w:t>
      </w:r>
    </w:p>
    <w:p w:rsidR="005E5DEF" w:rsidRPr="00036700" w:rsidRDefault="005E5DEF" w:rsidP="005E5DEF">
      <w:pPr>
        <w:widowControl/>
        <w:jc w:val="left"/>
        <w:rPr>
          <w:b/>
          <w:bCs/>
          <w:szCs w:val="22"/>
        </w:rPr>
      </w:pPr>
    </w:p>
    <w:p w:rsidR="00762D6D" w:rsidRPr="00036700" w:rsidRDefault="00762D6D" w:rsidP="005E5DEF">
      <w:pPr>
        <w:widowControl/>
        <w:numPr>
          <w:ilvl w:val="1"/>
          <w:numId w:val="1"/>
        </w:numPr>
        <w:jc w:val="left"/>
        <w:rPr>
          <w:bCs/>
          <w:szCs w:val="22"/>
        </w:rPr>
      </w:pPr>
      <w:r w:rsidRPr="00036700">
        <w:rPr>
          <w:bCs/>
          <w:szCs w:val="22"/>
        </w:rPr>
        <w:t>There was no hearing for this item.</w:t>
      </w:r>
    </w:p>
    <w:p w:rsidR="00762D6D" w:rsidRPr="00036700" w:rsidRDefault="00762D6D" w:rsidP="005E5DEF">
      <w:pPr>
        <w:jc w:val="left"/>
        <w:rPr>
          <w:bCs/>
          <w:szCs w:val="22"/>
        </w:rPr>
      </w:pPr>
    </w:p>
    <w:p w:rsidR="00762D6D" w:rsidRPr="009F1E19" w:rsidRDefault="00762D6D" w:rsidP="009F1E19">
      <w:pPr>
        <w:pStyle w:val="Heading2"/>
        <w:keepNext/>
        <w:widowControl/>
        <w:rPr>
          <w:i/>
        </w:rPr>
      </w:pPr>
      <w:r w:rsidRPr="009F1E19">
        <w:rPr>
          <w:i/>
        </w:rPr>
        <w:t>Consumer comments</w:t>
      </w:r>
    </w:p>
    <w:p w:rsidR="005E5DEF" w:rsidRPr="00036700" w:rsidRDefault="005E5DEF" w:rsidP="005E5DEF">
      <w:pPr>
        <w:widowControl/>
        <w:jc w:val="left"/>
        <w:rPr>
          <w:b/>
          <w:bCs/>
          <w:szCs w:val="22"/>
        </w:rPr>
      </w:pPr>
    </w:p>
    <w:p w:rsidR="000F1092" w:rsidRPr="00036700" w:rsidRDefault="00762D6D" w:rsidP="00CE40BD">
      <w:pPr>
        <w:widowControl/>
        <w:numPr>
          <w:ilvl w:val="1"/>
          <w:numId w:val="1"/>
        </w:numPr>
        <w:spacing w:after="120"/>
        <w:rPr>
          <w:bCs/>
          <w:szCs w:val="22"/>
        </w:rPr>
      </w:pPr>
      <w:r w:rsidRPr="00036700">
        <w:rPr>
          <w:bCs/>
          <w:szCs w:val="22"/>
        </w:rPr>
        <w:t>The PBAC noted and welcom</w:t>
      </w:r>
      <w:r w:rsidR="00277560" w:rsidRPr="00036700">
        <w:rPr>
          <w:bCs/>
          <w:szCs w:val="22"/>
        </w:rPr>
        <w:t>ed the input from individuals (6), health care professionals (1</w:t>
      </w:r>
      <w:r w:rsidRPr="00036700">
        <w:rPr>
          <w:bCs/>
          <w:szCs w:val="22"/>
        </w:rPr>
        <w:t>) and organisations (1</w:t>
      </w:r>
      <w:r w:rsidR="00277560" w:rsidRPr="00036700">
        <w:rPr>
          <w:bCs/>
          <w:szCs w:val="22"/>
        </w:rPr>
        <w:t>1</w:t>
      </w:r>
      <w:r w:rsidRPr="00036700">
        <w:rPr>
          <w:bCs/>
          <w:szCs w:val="22"/>
        </w:rPr>
        <w:t>) via the Consumer Comment</w:t>
      </w:r>
      <w:r w:rsidR="00AF0E57">
        <w:rPr>
          <w:bCs/>
          <w:szCs w:val="22"/>
        </w:rPr>
        <w:t xml:space="preserve">s facility on the PBS website. </w:t>
      </w:r>
      <w:r w:rsidRPr="00036700">
        <w:rPr>
          <w:bCs/>
          <w:szCs w:val="22"/>
        </w:rPr>
        <w:t xml:space="preserve">The comments described a range of benefits of treatment with </w:t>
      </w:r>
      <w:r w:rsidR="00277560" w:rsidRPr="00036700">
        <w:rPr>
          <w:bCs/>
          <w:szCs w:val="22"/>
        </w:rPr>
        <w:t>grazoprevir and elbasvir</w:t>
      </w:r>
      <w:r w:rsidRPr="00036700">
        <w:rPr>
          <w:bCs/>
          <w:szCs w:val="22"/>
        </w:rPr>
        <w:t xml:space="preserve"> including </w:t>
      </w:r>
      <w:r w:rsidR="00277560" w:rsidRPr="00036700">
        <w:rPr>
          <w:bCs/>
          <w:szCs w:val="22"/>
        </w:rPr>
        <w:t>increasing the range of direct acting antiviral treatments for hepatitis C and offering the first interferon-free treatment regimens for genotypes 4 and 6.</w:t>
      </w:r>
    </w:p>
    <w:p w:rsidR="00CE40BD" w:rsidRPr="00036700" w:rsidRDefault="00CE40BD" w:rsidP="00CE40BD"/>
    <w:p w:rsidR="00277560" w:rsidRPr="00036700" w:rsidRDefault="00762D6D" w:rsidP="00D9008B">
      <w:pPr>
        <w:widowControl/>
        <w:numPr>
          <w:ilvl w:val="1"/>
          <w:numId w:val="1"/>
        </w:numPr>
        <w:spacing w:after="120"/>
        <w:jc w:val="left"/>
        <w:rPr>
          <w:bCs/>
          <w:szCs w:val="22"/>
        </w:rPr>
      </w:pPr>
      <w:r w:rsidRPr="00036700">
        <w:rPr>
          <w:bCs/>
          <w:szCs w:val="22"/>
        </w:rPr>
        <w:t>The P</w:t>
      </w:r>
      <w:r w:rsidR="00277560" w:rsidRPr="00036700">
        <w:rPr>
          <w:bCs/>
          <w:szCs w:val="22"/>
        </w:rPr>
        <w:t>BAC noted the advice received</w:t>
      </w:r>
      <w:r w:rsidR="00011F74" w:rsidRPr="00036700">
        <w:rPr>
          <w:bCs/>
          <w:szCs w:val="22"/>
        </w:rPr>
        <w:t xml:space="preserve"> from</w:t>
      </w:r>
      <w:r w:rsidR="00277560" w:rsidRPr="00036700">
        <w:rPr>
          <w:bCs/>
          <w:szCs w:val="22"/>
        </w:rPr>
        <w:t xml:space="preserve"> the following clinical groups:</w:t>
      </w:r>
    </w:p>
    <w:p w:rsidR="00277560" w:rsidRPr="00036700" w:rsidRDefault="00277560" w:rsidP="00277560">
      <w:pPr>
        <w:pStyle w:val="ListParagraph"/>
        <w:numPr>
          <w:ilvl w:val="0"/>
          <w:numId w:val="17"/>
        </w:numPr>
        <w:rPr>
          <w:bCs/>
          <w:szCs w:val="22"/>
        </w:rPr>
      </w:pPr>
      <w:r w:rsidRPr="00036700">
        <w:rPr>
          <w:bCs/>
          <w:szCs w:val="22"/>
        </w:rPr>
        <w:t>Hepatitis Australia, supported by state based hepatitis groups in Victoria, South Australia and the Australian Capital Territory</w:t>
      </w:r>
      <w:r w:rsidR="006D126C" w:rsidRPr="00036700">
        <w:rPr>
          <w:bCs/>
          <w:szCs w:val="22"/>
        </w:rPr>
        <w:t>;</w:t>
      </w:r>
    </w:p>
    <w:p w:rsidR="00277560" w:rsidRPr="00036700" w:rsidRDefault="00277560" w:rsidP="00277560">
      <w:pPr>
        <w:pStyle w:val="ListParagraph"/>
        <w:numPr>
          <w:ilvl w:val="0"/>
          <w:numId w:val="17"/>
        </w:numPr>
        <w:rPr>
          <w:bCs/>
          <w:szCs w:val="22"/>
        </w:rPr>
      </w:pPr>
      <w:r w:rsidRPr="00036700">
        <w:rPr>
          <w:bCs/>
          <w:szCs w:val="22"/>
        </w:rPr>
        <w:t>Hepatitis New South Wales, supported by Positive Life NSW</w:t>
      </w:r>
      <w:r w:rsidR="006D126C" w:rsidRPr="00036700">
        <w:rPr>
          <w:bCs/>
          <w:szCs w:val="22"/>
        </w:rPr>
        <w:t>, the NSW Users and AIDS Association (NUAA), the Network of Alcohol and other Drugs Agencies NSW (NADA) and ACON NSW;</w:t>
      </w:r>
    </w:p>
    <w:p w:rsidR="00277560" w:rsidRPr="00036700" w:rsidRDefault="00EE7524" w:rsidP="00277560">
      <w:pPr>
        <w:pStyle w:val="ListParagraph"/>
        <w:numPr>
          <w:ilvl w:val="0"/>
          <w:numId w:val="17"/>
        </w:numPr>
        <w:rPr>
          <w:bCs/>
          <w:szCs w:val="22"/>
        </w:rPr>
      </w:pPr>
      <w:r w:rsidRPr="00036700">
        <w:rPr>
          <w:bCs/>
          <w:szCs w:val="22"/>
        </w:rPr>
        <w:t>The Australian Hepatology</w:t>
      </w:r>
      <w:r w:rsidR="006D126C" w:rsidRPr="00036700">
        <w:rPr>
          <w:bCs/>
          <w:szCs w:val="22"/>
        </w:rPr>
        <w:t xml:space="preserve"> Association; and</w:t>
      </w:r>
    </w:p>
    <w:p w:rsidR="006D126C" w:rsidRPr="00036700" w:rsidRDefault="006D126C" w:rsidP="00277560">
      <w:pPr>
        <w:pStyle w:val="ListParagraph"/>
        <w:numPr>
          <w:ilvl w:val="0"/>
          <w:numId w:val="17"/>
        </w:numPr>
        <w:rPr>
          <w:bCs/>
          <w:szCs w:val="22"/>
        </w:rPr>
      </w:pPr>
      <w:r w:rsidRPr="00036700">
        <w:rPr>
          <w:bCs/>
          <w:szCs w:val="22"/>
        </w:rPr>
        <w:t>Haemophilia Foundation Australia (HFA).</w:t>
      </w:r>
    </w:p>
    <w:p w:rsidR="006D126C" w:rsidRPr="00036700" w:rsidRDefault="006D126C" w:rsidP="006D126C">
      <w:pPr>
        <w:rPr>
          <w:bCs/>
          <w:szCs w:val="22"/>
        </w:rPr>
      </w:pPr>
    </w:p>
    <w:p w:rsidR="00762D6D" w:rsidRPr="00036700" w:rsidRDefault="006D126C" w:rsidP="005E5DEF">
      <w:pPr>
        <w:widowControl/>
        <w:ind w:left="720"/>
        <w:rPr>
          <w:bCs/>
          <w:szCs w:val="22"/>
        </w:rPr>
      </w:pPr>
      <w:r w:rsidRPr="00036700">
        <w:rPr>
          <w:bCs/>
          <w:szCs w:val="22"/>
        </w:rPr>
        <w:t>The input from all of these groups</w:t>
      </w:r>
      <w:r w:rsidR="00762D6D" w:rsidRPr="00036700">
        <w:rPr>
          <w:bCs/>
          <w:szCs w:val="22"/>
        </w:rPr>
        <w:t xml:space="preserve"> </w:t>
      </w:r>
      <w:r w:rsidRPr="00036700">
        <w:rPr>
          <w:bCs/>
          <w:szCs w:val="22"/>
        </w:rPr>
        <w:t xml:space="preserve">were strongly supportive of the listing of grazoprevir and elbasvir for the treatment of </w:t>
      </w:r>
      <w:r w:rsidR="00401BA4" w:rsidRPr="00036700">
        <w:rPr>
          <w:bCs/>
          <w:szCs w:val="22"/>
        </w:rPr>
        <w:t>CHC</w:t>
      </w:r>
      <w:r w:rsidRPr="00036700">
        <w:rPr>
          <w:bCs/>
          <w:szCs w:val="22"/>
        </w:rPr>
        <w:t xml:space="preserve"> infection, particularly as it would provide an additional treatment regimen for patients who have failed prior therapies, and would offer the first interferon free treatment regimens for patients with genotypes 4 and 6. </w:t>
      </w:r>
      <w:r w:rsidR="00C91CF9" w:rsidRPr="00036700">
        <w:rPr>
          <w:bCs/>
          <w:szCs w:val="22"/>
        </w:rPr>
        <w:t>A number of these groups also identified grazoprevir and elbasvir as being useful for people who have other medical conditions, such as bleeding disorders or HIV/</w:t>
      </w:r>
      <w:r w:rsidR="00401BA4" w:rsidRPr="00036700">
        <w:rPr>
          <w:bCs/>
          <w:szCs w:val="22"/>
        </w:rPr>
        <w:t>HCV</w:t>
      </w:r>
      <w:r w:rsidR="00C91CF9" w:rsidRPr="00036700">
        <w:rPr>
          <w:bCs/>
          <w:szCs w:val="22"/>
        </w:rPr>
        <w:t xml:space="preserve"> co-infection.</w:t>
      </w:r>
    </w:p>
    <w:p w:rsidR="00762D6D" w:rsidRPr="00036700" w:rsidRDefault="00762D6D" w:rsidP="005E5DEF">
      <w:pPr>
        <w:keepNext/>
        <w:widowControl/>
      </w:pPr>
    </w:p>
    <w:p w:rsidR="00B60939" w:rsidRPr="005E5DEF" w:rsidRDefault="00B60939" w:rsidP="005E5DEF">
      <w:pPr>
        <w:pStyle w:val="Heading2"/>
        <w:keepNext/>
        <w:widowControl/>
        <w:rPr>
          <w:i/>
        </w:rPr>
      </w:pPr>
      <w:bookmarkStart w:id="8" w:name="_Toc440963729"/>
      <w:r w:rsidRPr="005E5DEF">
        <w:rPr>
          <w:i/>
        </w:rPr>
        <w:t>Clinical trials</w:t>
      </w:r>
      <w:bookmarkEnd w:id="8"/>
    </w:p>
    <w:p w:rsidR="00B60939" w:rsidRPr="00036700" w:rsidRDefault="00B60939" w:rsidP="005E5DEF">
      <w:pPr>
        <w:keepNext/>
        <w:widowControl/>
        <w:rPr>
          <w:szCs w:val="22"/>
        </w:rPr>
      </w:pPr>
    </w:p>
    <w:p w:rsidR="007F1017" w:rsidRPr="00036700" w:rsidRDefault="00562DF7" w:rsidP="005E5DEF">
      <w:pPr>
        <w:pStyle w:val="ListParagraph"/>
        <w:widowControl/>
        <w:numPr>
          <w:ilvl w:val="1"/>
          <w:numId w:val="1"/>
        </w:numPr>
        <w:rPr>
          <w:szCs w:val="22"/>
        </w:rPr>
      </w:pPr>
      <w:r w:rsidRPr="00036700">
        <w:t xml:space="preserve">There were no head-to-head comparisons of GRZ/EBR-containing therapies with any of the active </w:t>
      </w:r>
      <w:r w:rsidR="00401BA4" w:rsidRPr="00036700">
        <w:t>CHC</w:t>
      </w:r>
      <w:r w:rsidRPr="00036700">
        <w:t xml:space="preserve"> therapies. The submission was based on six studies involving GRZ/EBR, four LDV/SOF studies, one SOF+RBV study and two SOF+PR studies.</w:t>
      </w:r>
      <w:r w:rsidR="00702F8F" w:rsidRPr="00036700">
        <w:t xml:space="preserve"> </w:t>
      </w:r>
      <w:r w:rsidR="008C096D" w:rsidRPr="00036700">
        <w:t>The comparison of GRZ/EBR</w:t>
      </w:r>
      <w:r w:rsidR="00416609" w:rsidRPr="00036700">
        <w:t xml:space="preserve">±RBV </w:t>
      </w:r>
      <w:r w:rsidR="008C096D" w:rsidRPr="00036700">
        <w:t>or SOF versus LDV/SOF or SOF+P</w:t>
      </w:r>
      <w:r w:rsidR="00416609" w:rsidRPr="00036700">
        <w:t xml:space="preserve">R in the submission was based on unadjusted indirect comparison of </w:t>
      </w:r>
      <w:r w:rsidR="005E630B" w:rsidRPr="00036700">
        <w:t xml:space="preserve">the </w:t>
      </w:r>
      <w:r w:rsidR="00416609" w:rsidRPr="00036700">
        <w:t xml:space="preserve">single arms of individual studies. </w:t>
      </w:r>
      <w:r w:rsidR="00146214" w:rsidRPr="00036700">
        <w:t xml:space="preserve">For comparison of </w:t>
      </w:r>
      <w:r w:rsidRPr="00036700">
        <w:t>GRZ/EBR±RBV</w:t>
      </w:r>
      <w:r w:rsidR="00146214" w:rsidRPr="00036700">
        <w:t xml:space="preserve"> versus no treatment, sustained virologic response (SVR) rat</w:t>
      </w:r>
      <w:r w:rsidR="009E0C94" w:rsidRPr="00036700">
        <w:t>es</w:t>
      </w:r>
      <w:r w:rsidR="00146214" w:rsidRPr="00036700">
        <w:t xml:space="preserve"> </w:t>
      </w:r>
      <w:r w:rsidR="00B13B5D" w:rsidRPr="00036700">
        <w:t xml:space="preserve">were extracted </w:t>
      </w:r>
      <w:r w:rsidR="00146214" w:rsidRPr="00036700">
        <w:t>from single arms of GRZ/EBR studies that used the correct regimen</w:t>
      </w:r>
      <w:r w:rsidR="00B13B5D" w:rsidRPr="00036700">
        <w:t>. A</w:t>
      </w:r>
      <w:r w:rsidRPr="00036700">
        <w:t xml:space="preserve">s patients receiving no treatment </w:t>
      </w:r>
      <w:r w:rsidR="005E630B" w:rsidRPr="00036700">
        <w:t xml:space="preserve">are unlikely to </w:t>
      </w:r>
      <w:r w:rsidRPr="00036700">
        <w:t xml:space="preserve">achieve </w:t>
      </w:r>
      <w:r w:rsidR="005E630B" w:rsidRPr="00036700">
        <w:t xml:space="preserve">an </w:t>
      </w:r>
      <w:r w:rsidRPr="00036700">
        <w:t xml:space="preserve">SVR, </w:t>
      </w:r>
      <w:r w:rsidR="000F29AC" w:rsidRPr="00036700">
        <w:t>it is probabl</w:t>
      </w:r>
      <w:r w:rsidR="008167E2" w:rsidRPr="00036700">
        <w:t>e</w:t>
      </w:r>
      <w:r w:rsidR="000F29AC" w:rsidRPr="00036700">
        <w:t xml:space="preserve"> that any hypothetical </w:t>
      </w:r>
      <w:r w:rsidRPr="00036700">
        <w:t xml:space="preserve">trials </w:t>
      </w:r>
      <w:r w:rsidR="000F29AC" w:rsidRPr="00036700">
        <w:t xml:space="preserve">that included </w:t>
      </w:r>
      <w:r w:rsidRPr="00036700">
        <w:t xml:space="preserve">a </w:t>
      </w:r>
      <w:r w:rsidR="000F29AC" w:rsidRPr="00036700">
        <w:t xml:space="preserve">placebo </w:t>
      </w:r>
      <w:r w:rsidRPr="00036700">
        <w:t xml:space="preserve">comparator </w:t>
      </w:r>
      <w:r w:rsidR="000F29AC" w:rsidRPr="00036700">
        <w:t>would</w:t>
      </w:r>
      <w:r w:rsidRPr="00036700">
        <w:t xml:space="preserve"> provide the same incremental estimate of SVR as </w:t>
      </w:r>
      <w:r w:rsidR="000F29AC" w:rsidRPr="00036700">
        <w:t xml:space="preserve">the </w:t>
      </w:r>
      <w:r w:rsidRPr="00036700">
        <w:t xml:space="preserve">single arm of a </w:t>
      </w:r>
      <w:r w:rsidR="000F29AC" w:rsidRPr="00036700">
        <w:t xml:space="preserve">GRZ/EBR </w:t>
      </w:r>
      <w:r w:rsidRPr="00036700">
        <w:t>study against an assumed SVR rate of zero.</w:t>
      </w:r>
      <w:r w:rsidR="007A5377" w:rsidRPr="00036700">
        <w:t xml:space="preserve"> </w:t>
      </w:r>
    </w:p>
    <w:p w:rsidR="00862502" w:rsidRPr="00036700" w:rsidRDefault="00862502" w:rsidP="00277A70">
      <w:pPr>
        <w:widowControl/>
        <w:rPr>
          <w:szCs w:val="22"/>
        </w:rPr>
      </w:pPr>
    </w:p>
    <w:p w:rsidR="00862502" w:rsidRPr="00036700" w:rsidRDefault="00862502" w:rsidP="00D9008B">
      <w:pPr>
        <w:pStyle w:val="ListParagraph"/>
        <w:widowControl/>
        <w:numPr>
          <w:ilvl w:val="1"/>
          <w:numId w:val="1"/>
        </w:numPr>
        <w:rPr>
          <w:szCs w:val="22"/>
        </w:rPr>
      </w:pPr>
      <w:r w:rsidRPr="00036700">
        <w:rPr>
          <w:szCs w:val="22"/>
        </w:rPr>
        <w:lastRenderedPageBreak/>
        <w:t xml:space="preserve">Details of the </w:t>
      </w:r>
      <w:r w:rsidR="007A5377" w:rsidRPr="00036700">
        <w:rPr>
          <w:szCs w:val="22"/>
        </w:rPr>
        <w:t>studie</w:t>
      </w:r>
      <w:r w:rsidRPr="00036700">
        <w:rPr>
          <w:szCs w:val="22"/>
        </w:rPr>
        <w:t>s presented in the submission a</w:t>
      </w:r>
      <w:r w:rsidR="007A5377" w:rsidRPr="00036700">
        <w:rPr>
          <w:szCs w:val="22"/>
        </w:rPr>
        <w:t xml:space="preserve">re provided in </w:t>
      </w:r>
      <w:r w:rsidR="000F29AC" w:rsidRPr="00036700">
        <w:rPr>
          <w:szCs w:val="22"/>
        </w:rPr>
        <w:t xml:space="preserve">Table </w:t>
      </w:r>
      <w:r w:rsidR="00281270">
        <w:rPr>
          <w:szCs w:val="22"/>
        </w:rPr>
        <w:t>1</w:t>
      </w:r>
      <w:r w:rsidR="007A5377" w:rsidRPr="00036700">
        <w:rPr>
          <w:szCs w:val="22"/>
        </w:rPr>
        <w:t>.</w:t>
      </w:r>
      <w:r w:rsidRPr="00036700">
        <w:rPr>
          <w:szCs w:val="22"/>
        </w:rPr>
        <w:t xml:space="preserve"> </w:t>
      </w:r>
    </w:p>
    <w:p w:rsidR="00862502" w:rsidRPr="00036700" w:rsidRDefault="00862502" w:rsidP="00277A70">
      <w:pPr>
        <w:widowControl/>
        <w:rPr>
          <w:szCs w:val="22"/>
        </w:rPr>
      </w:pPr>
    </w:p>
    <w:p w:rsidR="008F120A" w:rsidRPr="00036700" w:rsidRDefault="008F120A" w:rsidP="00D40338">
      <w:pPr>
        <w:pStyle w:val="TableHeader"/>
        <w:widowControl/>
        <w:ind w:left="709"/>
      </w:pPr>
      <w:r w:rsidRPr="00036700">
        <w:t>Table</w:t>
      </w:r>
      <w:r w:rsidR="004F330E" w:rsidRPr="00036700">
        <w:t xml:space="preserve"> </w:t>
      </w:r>
      <w:r w:rsidR="00281270">
        <w:t>1</w:t>
      </w:r>
      <w:r w:rsidR="009A0F61" w:rsidRPr="00036700">
        <w:t>:</w:t>
      </w:r>
      <w:r w:rsidRPr="00036700">
        <w:t xml:space="preserve"> </w:t>
      </w:r>
      <w:r w:rsidR="009A0F61" w:rsidRPr="00036700">
        <w:t>Studie</w:t>
      </w:r>
      <w:r w:rsidRPr="00036700">
        <w:t>s and associated reports presented in the submission</w:t>
      </w:r>
    </w:p>
    <w:tbl>
      <w:tblPr>
        <w:tblW w:w="466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5103"/>
        <w:gridCol w:w="2097"/>
      </w:tblGrid>
      <w:tr w:rsidR="009A0F61" w:rsidRPr="00036700" w:rsidTr="00277A70">
        <w:trPr>
          <w:cantSplit/>
          <w:tblHeader/>
        </w:trPr>
        <w:tc>
          <w:tcPr>
            <w:tcW w:w="753" w:type="pct"/>
          </w:tcPr>
          <w:p w:rsidR="009A0F61" w:rsidRPr="00036700" w:rsidRDefault="009A0F61" w:rsidP="00D40338">
            <w:pPr>
              <w:keepNext/>
              <w:widowControl/>
              <w:jc w:val="left"/>
              <w:rPr>
                <w:rFonts w:ascii="Arial Narrow" w:hAnsi="Arial Narrow"/>
                <w:b/>
                <w:sz w:val="20"/>
              </w:rPr>
            </w:pPr>
            <w:r w:rsidRPr="00036700">
              <w:rPr>
                <w:rFonts w:ascii="Arial Narrow" w:hAnsi="Arial Narrow"/>
                <w:b/>
                <w:sz w:val="20"/>
              </w:rPr>
              <w:t>Study ID</w:t>
            </w:r>
          </w:p>
        </w:tc>
        <w:tc>
          <w:tcPr>
            <w:tcW w:w="3010" w:type="pct"/>
          </w:tcPr>
          <w:p w:rsidR="009A0F61" w:rsidRPr="00036700" w:rsidRDefault="009A0F61" w:rsidP="00D40338">
            <w:pPr>
              <w:keepNext/>
              <w:widowControl/>
              <w:jc w:val="center"/>
              <w:rPr>
                <w:rFonts w:ascii="Arial Narrow" w:hAnsi="Arial Narrow"/>
                <w:b/>
                <w:sz w:val="20"/>
              </w:rPr>
            </w:pPr>
            <w:r w:rsidRPr="00036700">
              <w:rPr>
                <w:rFonts w:ascii="Arial Narrow" w:hAnsi="Arial Narrow"/>
                <w:b/>
                <w:sz w:val="20"/>
              </w:rPr>
              <w:t>Protocol title/ Publication title</w:t>
            </w:r>
          </w:p>
        </w:tc>
        <w:tc>
          <w:tcPr>
            <w:tcW w:w="1237" w:type="pct"/>
          </w:tcPr>
          <w:p w:rsidR="009A0F61" w:rsidRPr="00036700" w:rsidRDefault="009A0F61" w:rsidP="00D40338">
            <w:pPr>
              <w:keepNext/>
              <w:widowControl/>
              <w:jc w:val="center"/>
              <w:rPr>
                <w:rFonts w:ascii="Arial Narrow" w:hAnsi="Arial Narrow"/>
                <w:b/>
                <w:sz w:val="20"/>
              </w:rPr>
            </w:pPr>
            <w:r w:rsidRPr="00036700">
              <w:rPr>
                <w:rFonts w:ascii="Arial Narrow" w:hAnsi="Arial Narrow"/>
                <w:b/>
                <w:sz w:val="20"/>
              </w:rPr>
              <w:t>Publication citation</w:t>
            </w:r>
          </w:p>
        </w:tc>
      </w:tr>
      <w:tr w:rsidR="009A0F61" w:rsidRPr="00036700" w:rsidTr="00277A70">
        <w:trPr>
          <w:cantSplit/>
        </w:trPr>
        <w:tc>
          <w:tcPr>
            <w:tcW w:w="5000" w:type="pct"/>
            <w:gridSpan w:val="3"/>
            <w:tcBorders>
              <w:bottom w:val="single" w:sz="4" w:space="0" w:color="auto"/>
            </w:tcBorders>
          </w:tcPr>
          <w:p w:rsidR="009A0F61" w:rsidRPr="00036700" w:rsidRDefault="009A0F61" w:rsidP="00D40338">
            <w:pPr>
              <w:keepNext/>
              <w:widowControl/>
              <w:jc w:val="left"/>
              <w:rPr>
                <w:rFonts w:ascii="Arial Narrow" w:hAnsi="Arial Narrow"/>
                <w:b/>
                <w:sz w:val="20"/>
              </w:rPr>
            </w:pPr>
            <w:r w:rsidRPr="00036700">
              <w:rPr>
                <w:rFonts w:ascii="Arial Narrow" w:hAnsi="Arial Narrow"/>
                <w:b/>
                <w:sz w:val="20"/>
              </w:rPr>
              <w:t>Studies involving grazoprevir/elbasvir</w:t>
            </w:r>
          </w:p>
        </w:tc>
      </w:tr>
      <w:tr w:rsidR="009A0F61" w:rsidRPr="00036700" w:rsidTr="00277A70">
        <w:trPr>
          <w:cantSplit/>
        </w:trPr>
        <w:tc>
          <w:tcPr>
            <w:tcW w:w="753" w:type="pct"/>
            <w:tcBorders>
              <w:bottom w:val="nil"/>
            </w:tcBorders>
          </w:tcPr>
          <w:p w:rsidR="009A0F61" w:rsidRPr="00036700" w:rsidRDefault="009A0F61" w:rsidP="00D40338">
            <w:pPr>
              <w:keepNext/>
              <w:widowControl/>
              <w:jc w:val="left"/>
              <w:rPr>
                <w:rFonts w:ascii="Arial Narrow" w:hAnsi="Arial Narrow"/>
                <w:sz w:val="20"/>
              </w:rPr>
            </w:pPr>
            <w:r w:rsidRPr="00036700">
              <w:rPr>
                <w:rFonts w:ascii="Arial Narrow" w:hAnsi="Arial Narrow"/>
                <w:sz w:val="20"/>
              </w:rPr>
              <w:t xml:space="preserve">C-EDGE TN </w:t>
            </w:r>
          </w:p>
          <w:p w:rsidR="009A0F61" w:rsidRPr="00036700" w:rsidRDefault="009A0F61" w:rsidP="00D40338">
            <w:pPr>
              <w:keepNext/>
              <w:widowControl/>
              <w:jc w:val="left"/>
              <w:rPr>
                <w:rFonts w:ascii="Arial Narrow" w:hAnsi="Arial Narrow"/>
                <w:sz w:val="20"/>
              </w:rPr>
            </w:pPr>
          </w:p>
        </w:tc>
        <w:tc>
          <w:tcPr>
            <w:tcW w:w="3010" w:type="pct"/>
            <w:tcBorders>
              <w:bottom w:val="dotted" w:sz="4" w:space="0" w:color="auto"/>
            </w:tcBorders>
          </w:tcPr>
          <w:p w:rsidR="009A0F61" w:rsidRPr="00036700" w:rsidRDefault="009A0F61" w:rsidP="00D40338">
            <w:pPr>
              <w:keepNext/>
              <w:widowControl/>
              <w:jc w:val="left"/>
              <w:rPr>
                <w:rFonts w:ascii="Arial Narrow" w:hAnsi="Arial Narrow"/>
                <w:b/>
                <w:sz w:val="20"/>
              </w:rPr>
            </w:pPr>
            <w:r w:rsidRPr="00036700">
              <w:rPr>
                <w:rFonts w:ascii="Arial Narrow" w:hAnsi="Arial Narrow"/>
                <w:sz w:val="20"/>
              </w:rPr>
              <w:t>Clinical study report P060V01. A phase III randomized clinical trial to study the efficacy and safety of the combination regimen of grazoprevir (GRZ) and elbasvir (EBR) in treatment-naïve subjects with chronic HCV GT1, GT4, and GT6 infection</w:t>
            </w:r>
            <w:r w:rsidR="00336A8C" w:rsidRPr="00036700">
              <w:rPr>
                <w:rFonts w:ascii="Arial Narrow" w:hAnsi="Arial Narrow"/>
                <w:sz w:val="20"/>
              </w:rPr>
              <w:t>.</w:t>
            </w:r>
          </w:p>
        </w:tc>
        <w:tc>
          <w:tcPr>
            <w:tcW w:w="1237" w:type="pct"/>
            <w:tcBorders>
              <w:bottom w:val="dotted" w:sz="4" w:space="0" w:color="auto"/>
            </w:tcBorders>
          </w:tcPr>
          <w:p w:rsidR="009A0F61" w:rsidRPr="00036700" w:rsidRDefault="009A0F61" w:rsidP="00D40338">
            <w:pPr>
              <w:keepNext/>
              <w:widowControl/>
              <w:jc w:val="left"/>
              <w:rPr>
                <w:rFonts w:ascii="Arial Narrow" w:hAnsi="Arial Narrow"/>
                <w:sz w:val="20"/>
              </w:rPr>
            </w:pPr>
            <w:r w:rsidRPr="00036700">
              <w:rPr>
                <w:rFonts w:ascii="Arial Narrow" w:hAnsi="Arial Narrow"/>
                <w:sz w:val="20"/>
              </w:rPr>
              <w:t>August 2015</w:t>
            </w:r>
          </w:p>
        </w:tc>
      </w:tr>
      <w:tr w:rsidR="009A0F61" w:rsidRPr="00036700" w:rsidTr="00277A70">
        <w:trPr>
          <w:cantSplit/>
        </w:trPr>
        <w:tc>
          <w:tcPr>
            <w:tcW w:w="753" w:type="pct"/>
            <w:tcBorders>
              <w:top w:val="nil"/>
            </w:tcBorders>
          </w:tcPr>
          <w:p w:rsidR="009A0F61" w:rsidRPr="00036700" w:rsidRDefault="009A0F61" w:rsidP="00D40338">
            <w:pPr>
              <w:keepNext/>
              <w:widowControl/>
              <w:jc w:val="left"/>
              <w:rPr>
                <w:rFonts w:ascii="Arial Narrow" w:hAnsi="Arial Narrow"/>
                <w:sz w:val="20"/>
              </w:rPr>
            </w:pPr>
          </w:p>
        </w:tc>
        <w:tc>
          <w:tcPr>
            <w:tcW w:w="3010" w:type="pct"/>
            <w:tcBorders>
              <w:top w:val="dotted" w:sz="4" w:space="0" w:color="auto"/>
            </w:tcBorders>
          </w:tcPr>
          <w:p w:rsidR="009A0F61" w:rsidRPr="00036700" w:rsidRDefault="009A0F61" w:rsidP="00D40338">
            <w:pPr>
              <w:keepNext/>
              <w:widowControl/>
              <w:jc w:val="left"/>
              <w:rPr>
                <w:rFonts w:ascii="Arial Narrow" w:hAnsi="Arial Narrow"/>
                <w:sz w:val="20"/>
              </w:rPr>
            </w:pPr>
            <w:r w:rsidRPr="002C3191">
              <w:rPr>
                <w:rFonts w:ascii="Arial Narrow" w:hAnsi="Arial Narrow"/>
                <w:sz w:val="20"/>
              </w:rPr>
              <w:t xml:space="preserve">Zeuzem S., Ghalib R., Reddy K. et al. </w:t>
            </w:r>
            <w:r w:rsidRPr="00036700">
              <w:rPr>
                <w:rFonts w:ascii="Arial Narrow" w:hAnsi="Arial Narrow"/>
                <w:sz w:val="20"/>
              </w:rPr>
              <w:t xml:space="preserve">Grazoprevir-elbasvir </w:t>
            </w:r>
            <w:r w:rsidR="00571855" w:rsidRPr="00036700">
              <w:rPr>
                <w:rFonts w:ascii="Arial Narrow" w:hAnsi="Arial Narrow"/>
                <w:sz w:val="20"/>
              </w:rPr>
              <w:t>c</w:t>
            </w:r>
            <w:r w:rsidRPr="00036700">
              <w:rPr>
                <w:rFonts w:ascii="Arial Narrow" w:hAnsi="Arial Narrow"/>
                <w:sz w:val="20"/>
              </w:rPr>
              <w:t xml:space="preserve">ombination therapy for treatment-naïve cirrhotic and noncirrhotic patients with chronic hepatitis C virus genotype 1, 4, or 6 infection. </w:t>
            </w:r>
          </w:p>
        </w:tc>
        <w:tc>
          <w:tcPr>
            <w:tcW w:w="1237" w:type="pct"/>
            <w:tcBorders>
              <w:top w:val="dotted" w:sz="4" w:space="0" w:color="auto"/>
            </w:tcBorders>
          </w:tcPr>
          <w:p w:rsidR="009A0F61" w:rsidRPr="00036700" w:rsidRDefault="009A0F61" w:rsidP="00D40338">
            <w:pPr>
              <w:keepNext/>
              <w:widowControl/>
              <w:jc w:val="left"/>
              <w:rPr>
                <w:rFonts w:ascii="Arial Narrow" w:hAnsi="Arial Narrow"/>
                <w:sz w:val="20"/>
              </w:rPr>
            </w:pPr>
            <w:r w:rsidRPr="00036700">
              <w:rPr>
                <w:rFonts w:ascii="Arial Narrow" w:hAnsi="Arial Narrow"/>
                <w:i/>
                <w:sz w:val="20"/>
              </w:rPr>
              <w:t>Annals of Internal Medicine</w:t>
            </w:r>
            <w:r w:rsidRPr="00036700">
              <w:rPr>
                <w:rFonts w:ascii="Arial Narrow" w:hAnsi="Arial Narrow"/>
                <w:sz w:val="20"/>
              </w:rPr>
              <w:t xml:space="preserve"> 2015; 163: 1-13</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C-EDGE TE </w:t>
            </w:r>
            <w:r w:rsidRPr="00036700">
              <w:rPr>
                <w:rFonts w:ascii="Arial Narrow" w:hAnsi="Arial Narrow"/>
                <w:sz w:val="20"/>
              </w:rPr>
              <w:br/>
            </w:r>
          </w:p>
          <w:p w:rsidR="009A0F61" w:rsidRPr="00036700" w:rsidRDefault="009A0F61" w:rsidP="00277A70">
            <w:pPr>
              <w:widowControl/>
              <w:jc w:val="left"/>
              <w:rPr>
                <w:rFonts w:ascii="Arial Narrow" w:hAnsi="Arial Narrow"/>
                <w:sz w:val="20"/>
              </w:rPr>
            </w:pPr>
          </w:p>
        </w:tc>
        <w:tc>
          <w:tcPr>
            <w:tcW w:w="3010"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Clinical Study Report P068V01. A phase III randomized clinical trial to study the efficacy and safety of the combination regimen of GZR/EBR in subjects who have failed prior treatment with pegylated interferon and ribavirin (P/R) with chronic HCV GT1, GT4, and GT6 Infection.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August 2015</w:t>
            </w:r>
          </w:p>
        </w:tc>
      </w:tr>
      <w:tr w:rsidR="009A0F61" w:rsidRPr="00036700" w:rsidTr="00277A70">
        <w:trPr>
          <w:cantSplit/>
        </w:trPr>
        <w:tc>
          <w:tcPr>
            <w:tcW w:w="753" w:type="pct"/>
            <w:tcBorders>
              <w:bottom w:val="single"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C-SWIFT</w:t>
            </w:r>
          </w:p>
          <w:p w:rsidR="009A0F61" w:rsidRPr="00036700" w:rsidRDefault="009A0F61" w:rsidP="00277A70">
            <w:pPr>
              <w:widowControl/>
              <w:jc w:val="left"/>
              <w:rPr>
                <w:rFonts w:ascii="Arial Narrow" w:hAnsi="Arial Narrow"/>
                <w:sz w:val="20"/>
              </w:rPr>
            </w:pPr>
          </w:p>
        </w:tc>
        <w:tc>
          <w:tcPr>
            <w:tcW w:w="3010" w:type="pct"/>
            <w:tcBorders>
              <w:bottom w:val="single"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Clinical Study Report P074V01. A Phase II open-label clinical trial to study the efficacy and safety of the combination regimen of grazoprevir (GZR) and elbasvir (EBR), and sofosbuvir in treatment-naïve subjects with chronic HCV GT1 and GT3 Infection. </w:t>
            </w:r>
          </w:p>
        </w:tc>
        <w:tc>
          <w:tcPr>
            <w:tcW w:w="1237" w:type="pct"/>
            <w:tcBorders>
              <w:bottom w:val="single"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April 2015</w:t>
            </w:r>
          </w:p>
        </w:tc>
      </w:tr>
      <w:tr w:rsidR="009A0F61" w:rsidRPr="00036700" w:rsidTr="00277A70">
        <w:trPr>
          <w:cantSplit/>
        </w:trPr>
        <w:tc>
          <w:tcPr>
            <w:tcW w:w="753" w:type="pct"/>
            <w:tcBorders>
              <w:bottom w:val="nil"/>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C-WORTHY</w:t>
            </w:r>
          </w:p>
          <w:p w:rsidR="009A0F61" w:rsidRPr="00036700" w:rsidRDefault="009A0F61" w:rsidP="00277A70">
            <w:pPr>
              <w:widowControl/>
              <w:jc w:val="left"/>
              <w:rPr>
                <w:rFonts w:ascii="Arial Narrow" w:hAnsi="Arial Narrow"/>
                <w:sz w:val="20"/>
              </w:rPr>
            </w:pPr>
          </w:p>
        </w:tc>
        <w:tc>
          <w:tcPr>
            <w:tcW w:w="3010" w:type="pct"/>
            <w:tcBorders>
              <w:bottom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Clinical Study Report P035V01. A phase II randomized clinical trial to study the efficacy and safety of the combination regimen of MK-5172 and MK-8742 ± ribavirin (RBV) in subjects with chronic hepatitis C virus Infection</w:t>
            </w:r>
          </w:p>
        </w:tc>
        <w:tc>
          <w:tcPr>
            <w:tcW w:w="1237" w:type="pct"/>
            <w:tcBorders>
              <w:bottom w:val="dotted" w:sz="4" w:space="0" w:color="auto"/>
            </w:tcBorders>
          </w:tcPr>
          <w:p w:rsidR="009A0F61" w:rsidRPr="00036700" w:rsidRDefault="009A0F61" w:rsidP="00277A70">
            <w:pPr>
              <w:widowControl/>
              <w:jc w:val="left"/>
              <w:rPr>
                <w:rFonts w:ascii="Arial Narrow" w:hAnsi="Arial Narrow"/>
                <w:b/>
                <w:sz w:val="20"/>
              </w:rPr>
            </w:pPr>
            <w:r w:rsidRPr="00036700">
              <w:rPr>
                <w:rFonts w:ascii="Arial Narrow" w:hAnsi="Arial Narrow"/>
                <w:sz w:val="20"/>
              </w:rPr>
              <w:t>April 2015</w:t>
            </w:r>
          </w:p>
        </w:tc>
      </w:tr>
      <w:tr w:rsidR="009A0F61" w:rsidRPr="00036700" w:rsidTr="00277A70">
        <w:trPr>
          <w:cantSplit/>
        </w:trPr>
        <w:tc>
          <w:tcPr>
            <w:tcW w:w="753" w:type="pct"/>
            <w:tcBorders>
              <w:top w:val="nil"/>
              <w:bottom w:val="nil"/>
            </w:tcBorders>
          </w:tcPr>
          <w:p w:rsidR="009A0F61" w:rsidRPr="00036700" w:rsidRDefault="009A0F61" w:rsidP="00277A70">
            <w:pPr>
              <w:widowControl/>
              <w:jc w:val="left"/>
              <w:rPr>
                <w:rFonts w:ascii="Arial Narrow" w:hAnsi="Arial Narrow"/>
                <w:sz w:val="20"/>
              </w:rPr>
            </w:pPr>
          </w:p>
        </w:tc>
        <w:tc>
          <w:tcPr>
            <w:tcW w:w="3010" w:type="pct"/>
            <w:tcBorders>
              <w:top w:val="dotted" w:sz="4" w:space="0" w:color="auto"/>
              <w:bottom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Lawitz E., Gane E., Pearlman B., et al. Efficacy and safety of 12 weeks versus 18 weeks of treatment with grazoprevir (MK-5172) and elbasvir (MK-8742) with or without ribavirin for hepatitis C virus genotype 1 infection in previously untreated patients with cirrhosis and patients with previous null response with or without cirrhosis (C-WORTHY): a randomised, open-label phase 2 trial. </w:t>
            </w:r>
          </w:p>
        </w:tc>
        <w:tc>
          <w:tcPr>
            <w:tcW w:w="1237" w:type="pct"/>
            <w:tcBorders>
              <w:top w:val="dotted" w:sz="4" w:space="0" w:color="auto"/>
              <w:bottom w:val="dotted" w:sz="4" w:space="0" w:color="auto"/>
            </w:tcBorders>
          </w:tcPr>
          <w:p w:rsidR="009A0F61" w:rsidRPr="00036700" w:rsidRDefault="009A0F61" w:rsidP="00277A70">
            <w:pPr>
              <w:widowControl/>
              <w:jc w:val="left"/>
              <w:rPr>
                <w:rFonts w:ascii="Arial Narrow" w:hAnsi="Arial Narrow"/>
                <w:b/>
                <w:sz w:val="20"/>
              </w:rPr>
            </w:pPr>
            <w:r w:rsidRPr="00036700">
              <w:rPr>
                <w:rFonts w:ascii="Arial Narrow" w:hAnsi="Arial Narrow"/>
                <w:i/>
                <w:sz w:val="20"/>
              </w:rPr>
              <w:t>Lancet</w:t>
            </w:r>
            <w:r w:rsidRPr="00036700">
              <w:rPr>
                <w:rFonts w:ascii="Arial Narrow" w:hAnsi="Arial Narrow"/>
                <w:sz w:val="20"/>
              </w:rPr>
              <w:t xml:space="preserve"> 2015; 385: 1075-86</w:t>
            </w:r>
          </w:p>
        </w:tc>
      </w:tr>
      <w:tr w:rsidR="009A0F61" w:rsidRPr="00036700" w:rsidTr="00277A70">
        <w:trPr>
          <w:cantSplit/>
        </w:trPr>
        <w:tc>
          <w:tcPr>
            <w:tcW w:w="753" w:type="pct"/>
            <w:tcBorders>
              <w:top w:val="nil"/>
              <w:bottom w:val="single" w:sz="4" w:space="0" w:color="auto"/>
            </w:tcBorders>
          </w:tcPr>
          <w:p w:rsidR="009A0F61" w:rsidRPr="00036700" w:rsidRDefault="009A0F61" w:rsidP="00277A70">
            <w:pPr>
              <w:widowControl/>
              <w:jc w:val="left"/>
              <w:rPr>
                <w:rFonts w:ascii="Arial Narrow" w:hAnsi="Arial Narrow"/>
                <w:sz w:val="20"/>
              </w:rPr>
            </w:pPr>
          </w:p>
        </w:tc>
        <w:tc>
          <w:tcPr>
            <w:tcW w:w="3010" w:type="pct"/>
            <w:tcBorders>
              <w:top w:val="dotted" w:sz="4" w:space="0" w:color="auto"/>
              <w:bottom w:val="single" w:sz="4" w:space="0" w:color="auto"/>
            </w:tcBorders>
          </w:tcPr>
          <w:p w:rsidR="009A0F61" w:rsidRPr="00036700" w:rsidRDefault="009A0F61" w:rsidP="00277A70">
            <w:pPr>
              <w:widowControl/>
              <w:jc w:val="left"/>
              <w:rPr>
                <w:rFonts w:ascii="Arial Narrow" w:hAnsi="Arial Narrow"/>
                <w:sz w:val="20"/>
              </w:rPr>
            </w:pPr>
            <w:r w:rsidRPr="002C3191">
              <w:rPr>
                <w:rFonts w:ascii="Arial Narrow" w:hAnsi="Arial Narrow"/>
                <w:sz w:val="20"/>
              </w:rPr>
              <w:t xml:space="preserve">Sulkowski M., Hezode C., Gerstoft J., et al. </w:t>
            </w:r>
            <w:r w:rsidRPr="00036700">
              <w:rPr>
                <w:rFonts w:ascii="Arial Narrow" w:hAnsi="Arial Narrow"/>
                <w:sz w:val="20"/>
              </w:rPr>
              <w:t xml:space="preserve">Efficacy and safety of 8 weeks versus 12 weeks of treatment with grazoprevir (MK-5172) and elbasvir (MK-8742) with or without ribavirin in patients with hepatitis C virus genotype 1 mono-infection and HIV/hepatitis C virus co-infection (C-WORTHY): a randomised, open-label phase 2 trial. </w:t>
            </w:r>
          </w:p>
        </w:tc>
        <w:tc>
          <w:tcPr>
            <w:tcW w:w="1237" w:type="pct"/>
            <w:tcBorders>
              <w:top w:val="dotted" w:sz="4" w:space="0" w:color="auto"/>
              <w:bottom w:val="single" w:sz="4" w:space="0" w:color="auto"/>
            </w:tcBorders>
          </w:tcPr>
          <w:p w:rsidR="009A0F61" w:rsidRPr="00036700" w:rsidRDefault="009A0F61" w:rsidP="00277A70">
            <w:pPr>
              <w:widowControl/>
              <w:jc w:val="left"/>
              <w:rPr>
                <w:rFonts w:ascii="Arial Narrow" w:hAnsi="Arial Narrow"/>
                <w:b/>
                <w:sz w:val="20"/>
              </w:rPr>
            </w:pPr>
            <w:r w:rsidRPr="00036700">
              <w:rPr>
                <w:rFonts w:ascii="Arial Narrow" w:hAnsi="Arial Narrow"/>
                <w:i/>
                <w:sz w:val="20"/>
              </w:rPr>
              <w:t>Lancet</w:t>
            </w:r>
            <w:r w:rsidRPr="00036700">
              <w:rPr>
                <w:rFonts w:ascii="Arial Narrow" w:hAnsi="Arial Narrow"/>
                <w:sz w:val="20"/>
              </w:rPr>
              <w:t xml:space="preserve"> 2015; 385: 1087–97</w:t>
            </w:r>
          </w:p>
        </w:tc>
      </w:tr>
      <w:tr w:rsidR="009A0F61" w:rsidRPr="00036700" w:rsidTr="00277A70">
        <w:trPr>
          <w:cantSplit/>
        </w:trPr>
        <w:tc>
          <w:tcPr>
            <w:tcW w:w="753" w:type="pct"/>
            <w:tcBorders>
              <w:bottom w:val="nil"/>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C-SALVAGE</w:t>
            </w:r>
          </w:p>
          <w:p w:rsidR="009A0F61" w:rsidRPr="00036700" w:rsidRDefault="009A0F61" w:rsidP="00277A70">
            <w:pPr>
              <w:widowControl/>
              <w:jc w:val="left"/>
              <w:rPr>
                <w:rFonts w:ascii="Arial Narrow" w:hAnsi="Arial Narrow"/>
                <w:sz w:val="20"/>
              </w:rPr>
            </w:pPr>
          </w:p>
        </w:tc>
        <w:tc>
          <w:tcPr>
            <w:tcW w:w="3010" w:type="pct"/>
            <w:tcBorders>
              <w:bottom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Clinical study report P048V01. A phase II clinical trial to study the efficacy and safety of the combination regimen of MK-5172 + MK-8742 + ribavirin (R) in subjects with chronic hepatitis C virus infection who failed prior direct acting antiviral therapy. </w:t>
            </w:r>
          </w:p>
        </w:tc>
        <w:tc>
          <w:tcPr>
            <w:tcW w:w="1237" w:type="pct"/>
            <w:tcBorders>
              <w:bottom w:val="dotted" w:sz="4" w:space="0" w:color="auto"/>
            </w:tcBorders>
          </w:tcPr>
          <w:p w:rsidR="009A0F61" w:rsidRPr="00036700" w:rsidRDefault="009A0F61" w:rsidP="00277A70">
            <w:pPr>
              <w:widowControl/>
              <w:jc w:val="left"/>
              <w:rPr>
                <w:rFonts w:ascii="Arial Narrow" w:hAnsi="Arial Narrow"/>
                <w:b/>
                <w:sz w:val="20"/>
              </w:rPr>
            </w:pPr>
            <w:r w:rsidRPr="00036700">
              <w:rPr>
                <w:rFonts w:ascii="Arial Narrow" w:hAnsi="Arial Narrow"/>
                <w:sz w:val="20"/>
              </w:rPr>
              <w:t>March 2015</w:t>
            </w:r>
          </w:p>
        </w:tc>
      </w:tr>
      <w:tr w:rsidR="009A0F61" w:rsidRPr="00036700" w:rsidTr="00277A70">
        <w:trPr>
          <w:cantSplit/>
        </w:trPr>
        <w:tc>
          <w:tcPr>
            <w:tcW w:w="753" w:type="pct"/>
            <w:tcBorders>
              <w:top w:val="nil"/>
              <w:bottom w:val="nil"/>
            </w:tcBorders>
          </w:tcPr>
          <w:p w:rsidR="009A0F61" w:rsidRPr="00036700" w:rsidRDefault="009A0F61" w:rsidP="00277A70">
            <w:pPr>
              <w:widowControl/>
              <w:jc w:val="left"/>
              <w:rPr>
                <w:rFonts w:ascii="Arial Narrow" w:hAnsi="Arial Narrow"/>
                <w:sz w:val="20"/>
              </w:rPr>
            </w:pPr>
          </w:p>
        </w:tc>
        <w:tc>
          <w:tcPr>
            <w:tcW w:w="3010" w:type="pct"/>
            <w:tcBorders>
              <w:top w:val="dotted" w:sz="4" w:space="0" w:color="auto"/>
              <w:bottom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Buti M., Gordon S., Zuckerman E., et al. Grazoprevir, elbasvir, and ribavirin for chronic hepatitis C virus genotype 1 infection after failure of pegylated interferon and ribavirin with an earlier-generation protease inhibitor: final 24-week results from C-SALVAGE.</w:t>
            </w:r>
            <w:r w:rsidR="00CF4851" w:rsidRPr="00036700">
              <w:rPr>
                <w:rFonts w:ascii="Arial Narrow" w:hAnsi="Arial Narrow"/>
                <w:sz w:val="20"/>
                <w:vertAlign w:val="superscript"/>
              </w:rPr>
              <w:t>a</w:t>
            </w:r>
          </w:p>
        </w:tc>
        <w:tc>
          <w:tcPr>
            <w:tcW w:w="1237" w:type="pct"/>
            <w:tcBorders>
              <w:top w:val="dotted" w:sz="4" w:space="0" w:color="auto"/>
              <w:bottom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i/>
                <w:sz w:val="20"/>
              </w:rPr>
              <w:t>Clinical Infectious Disease</w:t>
            </w:r>
            <w:r w:rsidRPr="00036700">
              <w:rPr>
                <w:rFonts w:ascii="Arial Narrow" w:hAnsi="Arial Narrow"/>
                <w:sz w:val="20"/>
              </w:rPr>
              <w:t xml:space="preserve"> 2015. [Epub ahead of print]</w:t>
            </w:r>
          </w:p>
        </w:tc>
      </w:tr>
      <w:tr w:rsidR="009A0F61" w:rsidRPr="00036700" w:rsidTr="00277A70">
        <w:trPr>
          <w:cantSplit/>
        </w:trPr>
        <w:tc>
          <w:tcPr>
            <w:tcW w:w="753" w:type="pct"/>
            <w:tcBorders>
              <w:top w:val="nil"/>
            </w:tcBorders>
          </w:tcPr>
          <w:p w:rsidR="009A0F61" w:rsidRPr="00036700" w:rsidRDefault="009A0F61" w:rsidP="00277A70">
            <w:pPr>
              <w:widowControl/>
              <w:jc w:val="left"/>
              <w:rPr>
                <w:rFonts w:ascii="Arial Narrow" w:hAnsi="Arial Narrow"/>
                <w:sz w:val="20"/>
              </w:rPr>
            </w:pPr>
          </w:p>
        </w:tc>
        <w:tc>
          <w:tcPr>
            <w:tcW w:w="3010" w:type="pct"/>
            <w:tcBorders>
              <w:top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sz w:val="20"/>
              </w:rPr>
              <w:t>Forns X., Gordon S., Zuckerman E., et al. Grazoprevir and elbasvir plus ribavirin for chronic HCV genotype-1 infection after failure of combination therapy containing a direct-acting antiviral agent.</w:t>
            </w:r>
            <w:r w:rsidR="00CF4851" w:rsidRPr="00036700">
              <w:rPr>
                <w:rFonts w:ascii="Arial Narrow" w:hAnsi="Arial Narrow"/>
                <w:sz w:val="20"/>
                <w:vertAlign w:val="superscript"/>
              </w:rPr>
              <w:t>a</w:t>
            </w:r>
          </w:p>
        </w:tc>
        <w:tc>
          <w:tcPr>
            <w:tcW w:w="1237" w:type="pct"/>
            <w:tcBorders>
              <w:top w:val="dotted" w:sz="4" w:space="0" w:color="auto"/>
            </w:tcBorders>
          </w:tcPr>
          <w:p w:rsidR="009A0F61" w:rsidRPr="00036700" w:rsidRDefault="009A0F61" w:rsidP="00277A70">
            <w:pPr>
              <w:widowControl/>
              <w:jc w:val="left"/>
              <w:rPr>
                <w:rFonts w:ascii="Arial Narrow" w:hAnsi="Arial Narrow"/>
                <w:sz w:val="20"/>
              </w:rPr>
            </w:pPr>
            <w:r w:rsidRPr="00036700">
              <w:rPr>
                <w:rFonts w:ascii="Arial Narrow" w:hAnsi="Arial Narrow"/>
                <w:i/>
                <w:sz w:val="20"/>
              </w:rPr>
              <w:t>Journal of Hepatology</w:t>
            </w:r>
            <w:r w:rsidRPr="00036700">
              <w:rPr>
                <w:rFonts w:ascii="Arial Narrow" w:hAnsi="Arial Narrow"/>
                <w:sz w:val="20"/>
              </w:rPr>
              <w:t xml:space="preserve"> 2015; 63(3): 564-72.</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C-SCAPE </w:t>
            </w:r>
          </w:p>
        </w:tc>
        <w:tc>
          <w:tcPr>
            <w:tcW w:w="3010"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Clinical study report P047. A phase II clinical trial to evaluate the efficacy and safety of a combination regimen of MK-5172 with/without MK-8742 and/or ribavirin (RBV) in treatment-naïve subjects with chronic hepatitis C genotype 2, 4, 5 and 6 infection.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April 2015</w:t>
            </w:r>
          </w:p>
        </w:tc>
      </w:tr>
      <w:tr w:rsidR="009A0F61" w:rsidRPr="00036700" w:rsidTr="00277A70">
        <w:trPr>
          <w:cantSplit/>
        </w:trPr>
        <w:tc>
          <w:tcPr>
            <w:tcW w:w="5000" w:type="pct"/>
            <w:gridSpan w:val="3"/>
          </w:tcPr>
          <w:p w:rsidR="009A0F61" w:rsidRPr="00036700" w:rsidRDefault="009A0F61" w:rsidP="00277A70">
            <w:pPr>
              <w:widowControl/>
              <w:jc w:val="left"/>
              <w:rPr>
                <w:rFonts w:ascii="Arial Narrow" w:hAnsi="Arial Narrow"/>
                <w:b/>
                <w:sz w:val="20"/>
              </w:rPr>
            </w:pPr>
            <w:r w:rsidRPr="00036700">
              <w:rPr>
                <w:rFonts w:ascii="Arial Narrow" w:hAnsi="Arial Narrow"/>
                <w:b/>
                <w:sz w:val="20"/>
              </w:rPr>
              <w:t>Studies involving ledipasvir/sofosbuvir</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ION-1</w:t>
            </w:r>
          </w:p>
        </w:tc>
        <w:tc>
          <w:tcPr>
            <w:tcW w:w="3010" w:type="pct"/>
          </w:tcPr>
          <w:p w:rsidR="009A0F61" w:rsidRPr="00036700" w:rsidRDefault="009A0F61" w:rsidP="00277A70">
            <w:pPr>
              <w:widowControl/>
              <w:jc w:val="left"/>
              <w:rPr>
                <w:rFonts w:ascii="Arial Narrow" w:hAnsi="Arial Narrow"/>
                <w:b/>
                <w:sz w:val="20"/>
              </w:rPr>
            </w:pPr>
            <w:r w:rsidRPr="002C3191">
              <w:rPr>
                <w:rFonts w:ascii="Arial Narrow" w:hAnsi="Arial Narrow"/>
                <w:sz w:val="20"/>
              </w:rPr>
              <w:t xml:space="preserve">Afdhal N., Zeuzem S., Kwo P., et al. </w:t>
            </w:r>
            <w:r w:rsidRPr="00036700">
              <w:rPr>
                <w:rFonts w:ascii="Arial Narrow" w:hAnsi="Arial Narrow"/>
                <w:sz w:val="20"/>
              </w:rPr>
              <w:t xml:space="preserve">Ledipasvir and sofosbuvir for untreated HCV genotype 1 infection. </w:t>
            </w:r>
          </w:p>
        </w:tc>
        <w:tc>
          <w:tcPr>
            <w:tcW w:w="1237" w:type="pct"/>
          </w:tcPr>
          <w:p w:rsidR="009A0F61" w:rsidRPr="00036700" w:rsidRDefault="009A0F61" w:rsidP="00277A70">
            <w:pPr>
              <w:widowControl/>
              <w:jc w:val="left"/>
              <w:rPr>
                <w:rFonts w:ascii="Arial Narrow" w:hAnsi="Arial Narrow"/>
                <w:b/>
                <w:sz w:val="20"/>
              </w:rPr>
            </w:pPr>
            <w:r w:rsidRPr="00036700">
              <w:rPr>
                <w:rFonts w:ascii="Arial Narrow" w:hAnsi="Arial Narrow"/>
                <w:i/>
                <w:sz w:val="20"/>
              </w:rPr>
              <w:t>New England Journal of Medicine</w:t>
            </w:r>
            <w:r w:rsidRPr="00036700">
              <w:rPr>
                <w:rFonts w:ascii="Arial Narrow" w:hAnsi="Arial Narrow"/>
                <w:sz w:val="20"/>
              </w:rPr>
              <w:t xml:space="preserve"> 2014; 370: 1889-98.</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lastRenderedPageBreak/>
              <w:t>ION-2</w:t>
            </w:r>
          </w:p>
          <w:p w:rsidR="009A0F61" w:rsidRPr="00036700" w:rsidRDefault="009A0F61" w:rsidP="00277A70">
            <w:pPr>
              <w:widowControl/>
              <w:jc w:val="left"/>
              <w:rPr>
                <w:rFonts w:ascii="Arial Narrow" w:hAnsi="Arial Narrow"/>
                <w:sz w:val="20"/>
              </w:rPr>
            </w:pPr>
          </w:p>
        </w:tc>
        <w:tc>
          <w:tcPr>
            <w:tcW w:w="3010" w:type="pct"/>
          </w:tcPr>
          <w:p w:rsidR="009A0F61" w:rsidRPr="00036700" w:rsidRDefault="009A0F61" w:rsidP="00277A70">
            <w:pPr>
              <w:widowControl/>
              <w:jc w:val="left"/>
              <w:rPr>
                <w:rFonts w:ascii="Arial Narrow" w:hAnsi="Arial Narrow"/>
                <w:b/>
                <w:sz w:val="20"/>
              </w:rPr>
            </w:pPr>
            <w:r w:rsidRPr="002C3191">
              <w:rPr>
                <w:rFonts w:ascii="Arial Narrow" w:hAnsi="Arial Narrow"/>
                <w:sz w:val="20"/>
              </w:rPr>
              <w:t xml:space="preserve">Afdhal N., Reddy K., Nelson D., et al. </w:t>
            </w:r>
            <w:r w:rsidRPr="00036700">
              <w:rPr>
                <w:rFonts w:ascii="Arial Narrow" w:hAnsi="Arial Narrow"/>
                <w:sz w:val="20"/>
              </w:rPr>
              <w:t xml:space="preserve">Ledipasvir and sofosbuvir for previously treated HCV genotype 1 infection. </w:t>
            </w:r>
          </w:p>
        </w:tc>
        <w:tc>
          <w:tcPr>
            <w:tcW w:w="1237" w:type="pct"/>
          </w:tcPr>
          <w:p w:rsidR="009A0F61" w:rsidRPr="00036700" w:rsidRDefault="009A0F61" w:rsidP="00277A70">
            <w:pPr>
              <w:widowControl/>
              <w:jc w:val="left"/>
              <w:rPr>
                <w:rFonts w:ascii="Arial Narrow" w:hAnsi="Arial Narrow"/>
                <w:b/>
                <w:sz w:val="20"/>
              </w:rPr>
            </w:pPr>
            <w:r w:rsidRPr="00036700">
              <w:rPr>
                <w:rFonts w:ascii="Arial Narrow" w:hAnsi="Arial Narrow"/>
                <w:i/>
                <w:sz w:val="20"/>
              </w:rPr>
              <w:t xml:space="preserve">New England Journal of Medicine </w:t>
            </w:r>
            <w:r w:rsidRPr="00036700">
              <w:rPr>
                <w:rFonts w:ascii="Arial Narrow" w:hAnsi="Arial Narrow"/>
                <w:sz w:val="20"/>
              </w:rPr>
              <w:t>2014; 370: 1483-93.</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ION-3</w:t>
            </w:r>
          </w:p>
        </w:tc>
        <w:tc>
          <w:tcPr>
            <w:tcW w:w="3010"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Kowdley K., Gordon S., Reddy K., et al. Ledipasvir and sofosbuvir for 8 or 12 weeks for chronic HCV without cirrhosis.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i/>
                <w:sz w:val="20"/>
              </w:rPr>
              <w:t xml:space="preserve">New England Journal of Medicine </w:t>
            </w:r>
            <w:r w:rsidRPr="00036700">
              <w:rPr>
                <w:rFonts w:ascii="Arial Narrow" w:hAnsi="Arial Narrow"/>
                <w:sz w:val="20"/>
              </w:rPr>
              <w:t>2014; 370: 1879-88.</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LONESTAR</w:t>
            </w:r>
          </w:p>
        </w:tc>
        <w:tc>
          <w:tcPr>
            <w:tcW w:w="3010"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Lawitz E., Poordad F., Pang P., et al. Sofosbuvir and ledipasvir fixed-dose combination with and without ribavirin in treatment-naive and previously treated patients with genotype 1 hepatitis C virus infection (LONESTAR): an open-label, randomised, phase 2 </w:t>
            </w:r>
            <w:proofErr w:type="gramStart"/>
            <w:r w:rsidRPr="00036700">
              <w:rPr>
                <w:rFonts w:ascii="Arial Narrow" w:hAnsi="Arial Narrow"/>
                <w:sz w:val="20"/>
              </w:rPr>
              <w:t>trial</w:t>
            </w:r>
            <w:proofErr w:type="gramEnd"/>
            <w:r w:rsidRPr="00036700">
              <w:rPr>
                <w:rFonts w:ascii="Arial Narrow" w:hAnsi="Arial Narrow"/>
                <w:sz w:val="20"/>
              </w:rPr>
              <w:t xml:space="preserve">.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i/>
                <w:sz w:val="20"/>
              </w:rPr>
              <w:t>Lancet</w:t>
            </w:r>
            <w:r w:rsidRPr="00036700">
              <w:rPr>
                <w:rFonts w:ascii="Arial Narrow" w:hAnsi="Arial Narrow"/>
                <w:sz w:val="20"/>
              </w:rPr>
              <w:t xml:space="preserve"> 2014; 383: 515-23.</w:t>
            </w:r>
          </w:p>
        </w:tc>
      </w:tr>
      <w:tr w:rsidR="009A0F61" w:rsidRPr="00036700" w:rsidTr="00277A70">
        <w:trPr>
          <w:cantSplit/>
        </w:trPr>
        <w:tc>
          <w:tcPr>
            <w:tcW w:w="5000" w:type="pct"/>
            <w:gridSpan w:val="3"/>
          </w:tcPr>
          <w:p w:rsidR="009A0F61" w:rsidRPr="00036700" w:rsidRDefault="009A0F61" w:rsidP="00277A70">
            <w:pPr>
              <w:widowControl/>
              <w:jc w:val="left"/>
              <w:rPr>
                <w:rFonts w:ascii="Arial Narrow" w:hAnsi="Arial Narrow"/>
                <w:b/>
                <w:sz w:val="20"/>
              </w:rPr>
            </w:pPr>
            <w:r w:rsidRPr="00036700">
              <w:rPr>
                <w:rFonts w:ascii="Arial Narrow" w:hAnsi="Arial Narrow"/>
                <w:b/>
                <w:sz w:val="20"/>
              </w:rPr>
              <w:t>Studies involving sofosbuvir and ribavirin</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VALENCE </w:t>
            </w:r>
          </w:p>
        </w:tc>
        <w:tc>
          <w:tcPr>
            <w:tcW w:w="3010" w:type="pct"/>
          </w:tcPr>
          <w:p w:rsidR="009A0F61" w:rsidRPr="00036700" w:rsidRDefault="009A0F61" w:rsidP="00277A70">
            <w:pPr>
              <w:widowControl/>
              <w:jc w:val="left"/>
              <w:rPr>
                <w:rFonts w:ascii="Arial Narrow" w:hAnsi="Arial Narrow"/>
                <w:sz w:val="20"/>
              </w:rPr>
            </w:pPr>
            <w:r w:rsidRPr="002C3191">
              <w:rPr>
                <w:rFonts w:ascii="Arial Narrow" w:hAnsi="Arial Narrow"/>
                <w:sz w:val="20"/>
              </w:rPr>
              <w:t xml:space="preserve">Zeuzem S., Dusheiko G., Salupere R., et al. </w:t>
            </w:r>
            <w:r w:rsidRPr="00036700">
              <w:rPr>
                <w:rFonts w:ascii="Arial Narrow" w:hAnsi="Arial Narrow"/>
                <w:sz w:val="20"/>
              </w:rPr>
              <w:t>Sofosbuvir and ribavirin in HCV genotypes 2 and 3.</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i/>
                <w:sz w:val="20"/>
              </w:rPr>
              <w:t>New England Journal of Medicine</w:t>
            </w:r>
            <w:r w:rsidRPr="00036700">
              <w:rPr>
                <w:rFonts w:ascii="Arial Narrow" w:hAnsi="Arial Narrow"/>
                <w:sz w:val="20"/>
              </w:rPr>
              <w:t xml:space="preserve"> 2014; 370: 1993-2001.</w:t>
            </w:r>
          </w:p>
        </w:tc>
      </w:tr>
      <w:tr w:rsidR="009A0F61" w:rsidRPr="00036700" w:rsidTr="00277A70">
        <w:trPr>
          <w:cantSplit/>
        </w:trPr>
        <w:tc>
          <w:tcPr>
            <w:tcW w:w="5000" w:type="pct"/>
            <w:gridSpan w:val="3"/>
          </w:tcPr>
          <w:p w:rsidR="009A0F61" w:rsidRPr="00036700" w:rsidRDefault="009A0F61" w:rsidP="00277A70">
            <w:pPr>
              <w:widowControl/>
              <w:jc w:val="left"/>
              <w:rPr>
                <w:rFonts w:ascii="Arial Narrow" w:hAnsi="Arial Narrow"/>
                <w:b/>
                <w:sz w:val="20"/>
              </w:rPr>
            </w:pPr>
            <w:r w:rsidRPr="00036700">
              <w:rPr>
                <w:rFonts w:ascii="Arial Narrow" w:hAnsi="Arial Narrow"/>
                <w:b/>
                <w:sz w:val="20"/>
              </w:rPr>
              <w:t>Studies involving sofosbuvir, peginterferon and ribavirin</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 xml:space="preserve">NEUTRINO </w:t>
            </w:r>
          </w:p>
        </w:tc>
        <w:tc>
          <w:tcPr>
            <w:tcW w:w="3010" w:type="pct"/>
          </w:tcPr>
          <w:p w:rsidR="009A0F61" w:rsidRPr="00036700" w:rsidRDefault="009A0F61" w:rsidP="00277A70">
            <w:pPr>
              <w:widowControl/>
              <w:jc w:val="left"/>
              <w:rPr>
                <w:rFonts w:ascii="Arial Narrow" w:hAnsi="Arial Narrow"/>
                <w:sz w:val="20"/>
              </w:rPr>
            </w:pPr>
            <w:r w:rsidRPr="002C3191">
              <w:rPr>
                <w:rFonts w:ascii="Arial Narrow" w:hAnsi="Arial Narrow"/>
                <w:sz w:val="20"/>
              </w:rPr>
              <w:t xml:space="preserve">Lawitz E., Mangia A., Wyles D., et al. </w:t>
            </w:r>
            <w:r w:rsidRPr="00036700">
              <w:rPr>
                <w:rFonts w:ascii="Arial Narrow" w:hAnsi="Arial Narrow"/>
                <w:sz w:val="20"/>
              </w:rPr>
              <w:t xml:space="preserve">Sofosbuvir for previously untreated chronic hepatitis C infection.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i/>
                <w:sz w:val="20"/>
              </w:rPr>
              <w:t>New England Journal of Medicine</w:t>
            </w:r>
            <w:r w:rsidRPr="00036700">
              <w:rPr>
                <w:rFonts w:ascii="Arial Narrow" w:hAnsi="Arial Narrow"/>
                <w:sz w:val="20"/>
              </w:rPr>
              <w:t xml:space="preserve"> 2013; 368: 1878-87.</w:t>
            </w:r>
          </w:p>
        </w:tc>
      </w:tr>
      <w:tr w:rsidR="009A0F61" w:rsidRPr="00036700" w:rsidTr="00277A70">
        <w:trPr>
          <w:cantSplit/>
        </w:trPr>
        <w:tc>
          <w:tcPr>
            <w:tcW w:w="753" w:type="pct"/>
          </w:tcPr>
          <w:p w:rsidR="009A0F61" w:rsidRPr="00036700" w:rsidRDefault="009A0F61" w:rsidP="00277A70">
            <w:pPr>
              <w:widowControl/>
              <w:jc w:val="left"/>
              <w:rPr>
                <w:rFonts w:ascii="Arial Narrow" w:hAnsi="Arial Narrow"/>
                <w:sz w:val="20"/>
              </w:rPr>
            </w:pPr>
            <w:r w:rsidRPr="00036700">
              <w:rPr>
                <w:rFonts w:ascii="Arial Narrow" w:hAnsi="Arial Narrow"/>
                <w:sz w:val="20"/>
              </w:rPr>
              <w:t>Wehmeyer 2015</w:t>
            </w:r>
          </w:p>
          <w:p w:rsidR="009A0F61" w:rsidRPr="00036700" w:rsidRDefault="009A0F61" w:rsidP="00277A70">
            <w:pPr>
              <w:widowControl/>
              <w:jc w:val="left"/>
              <w:rPr>
                <w:rFonts w:ascii="Arial Narrow" w:hAnsi="Arial Narrow"/>
                <w:sz w:val="20"/>
              </w:rPr>
            </w:pPr>
          </w:p>
        </w:tc>
        <w:tc>
          <w:tcPr>
            <w:tcW w:w="3010" w:type="pct"/>
          </w:tcPr>
          <w:p w:rsidR="009A0F61" w:rsidRPr="00036700" w:rsidRDefault="009A0F61" w:rsidP="00277A70">
            <w:pPr>
              <w:widowControl/>
              <w:jc w:val="left"/>
              <w:rPr>
                <w:rFonts w:ascii="Arial Narrow" w:hAnsi="Arial Narrow"/>
                <w:sz w:val="20"/>
              </w:rPr>
            </w:pPr>
            <w:r w:rsidRPr="002C3191">
              <w:rPr>
                <w:rFonts w:ascii="Arial Narrow" w:hAnsi="Arial Narrow"/>
                <w:sz w:val="20"/>
              </w:rPr>
              <w:t xml:space="preserve">Wehmeyer M., Jordan S., Lütha S., et al. </w:t>
            </w:r>
            <w:r w:rsidRPr="00036700">
              <w:rPr>
                <w:rFonts w:ascii="Arial Narrow" w:hAnsi="Arial Narrow"/>
                <w:sz w:val="20"/>
              </w:rPr>
              <w:t xml:space="preserve">Efficacy and safety of sofosbuvir-based triple therapy in hepatitis C genotype 4 infection. </w:t>
            </w:r>
          </w:p>
        </w:tc>
        <w:tc>
          <w:tcPr>
            <w:tcW w:w="1237" w:type="pct"/>
          </w:tcPr>
          <w:p w:rsidR="009A0F61" w:rsidRPr="00036700" w:rsidRDefault="009A0F61" w:rsidP="00277A70">
            <w:pPr>
              <w:widowControl/>
              <w:jc w:val="left"/>
              <w:rPr>
                <w:rFonts w:ascii="Arial Narrow" w:hAnsi="Arial Narrow"/>
                <w:sz w:val="20"/>
              </w:rPr>
            </w:pPr>
            <w:r w:rsidRPr="00036700">
              <w:rPr>
                <w:rFonts w:ascii="Arial Narrow" w:hAnsi="Arial Narrow"/>
                <w:i/>
                <w:sz w:val="20"/>
              </w:rPr>
              <w:t>Digestive and Liver Disease</w:t>
            </w:r>
            <w:r w:rsidRPr="00036700">
              <w:rPr>
                <w:rFonts w:ascii="Arial Narrow" w:hAnsi="Arial Narrow"/>
                <w:sz w:val="20"/>
              </w:rPr>
              <w:t xml:space="preserve"> 2015;  47: 811–814</w:t>
            </w:r>
          </w:p>
        </w:tc>
      </w:tr>
    </w:tbl>
    <w:p w:rsidR="00CF4851" w:rsidRPr="00036700" w:rsidRDefault="00CF4851" w:rsidP="00277A70">
      <w:pPr>
        <w:pStyle w:val="TableFooter"/>
        <w:widowControl/>
        <w:ind w:left="737"/>
      </w:pPr>
      <w:proofErr w:type="gramStart"/>
      <w:r w:rsidRPr="00036700">
        <w:rPr>
          <w:vertAlign w:val="superscript"/>
        </w:rPr>
        <w:t>a</w:t>
      </w:r>
      <w:proofErr w:type="gramEnd"/>
      <w:r w:rsidRPr="00036700">
        <w:t xml:space="preserve"> Papers identified during the evaluation </w:t>
      </w:r>
    </w:p>
    <w:p w:rsidR="00D91C75" w:rsidRPr="00036700" w:rsidRDefault="00D91C75" w:rsidP="00277A70">
      <w:pPr>
        <w:pStyle w:val="TableFooter"/>
        <w:widowControl/>
        <w:ind w:left="709"/>
      </w:pPr>
      <w:r w:rsidRPr="00036700">
        <w:t>Source: Table B.2-3, pp66-68 of the submission</w:t>
      </w:r>
    </w:p>
    <w:p w:rsidR="006B701D" w:rsidRPr="00036700" w:rsidRDefault="006B701D" w:rsidP="00277A70">
      <w:pPr>
        <w:widowControl/>
      </w:pPr>
    </w:p>
    <w:p w:rsidR="006B701D" w:rsidRPr="00036700" w:rsidRDefault="006B701D" w:rsidP="00D9008B">
      <w:pPr>
        <w:pStyle w:val="ListParagraph"/>
        <w:widowControl/>
        <w:numPr>
          <w:ilvl w:val="1"/>
          <w:numId w:val="1"/>
        </w:numPr>
        <w:rPr>
          <w:szCs w:val="22"/>
        </w:rPr>
      </w:pPr>
      <w:r w:rsidRPr="00036700">
        <w:rPr>
          <w:szCs w:val="22"/>
        </w:rPr>
        <w:t xml:space="preserve">The key features of the included evidence are summarised in </w:t>
      </w:r>
      <w:r w:rsidR="004F330E" w:rsidRPr="00036700">
        <w:rPr>
          <w:szCs w:val="22"/>
        </w:rPr>
        <w:t xml:space="preserve">Table </w:t>
      </w:r>
      <w:r w:rsidR="00EA218D">
        <w:rPr>
          <w:szCs w:val="22"/>
        </w:rPr>
        <w:t>2</w:t>
      </w:r>
      <w:r w:rsidRPr="00036700">
        <w:rPr>
          <w:szCs w:val="22"/>
        </w:rPr>
        <w:t>.</w:t>
      </w:r>
    </w:p>
    <w:p w:rsidR="006B701D" w:rsidRPr="00036700" w:rsidRDefault="006B701D" w:rsidP="00277A70">
      <w:pPr>
        <w:pStyle w:val="ListParagraph"/>
        <w:widowControl/>
        <w:rPr>
          <w:szCs w:val="22"/>
        </w:rPr>
      </w:pPr>
    </w:p>
    <w:p w:rsidR="006B701D" w:rsidRPr="00036700" w:rsidRDefault="006B701D" w:rsidP="00277A70">
      <w:pPr>
        <w:pStyle w:val="TableHeader"/>
        <w:widowControl/>
        <w:ind w:left="709"/>
      </w:pPr>
      <w:r w:rsidRPr="00036700">
        <w:t xml:space="preserve">Table </w:t>
      </w:r>
      <w:r w:rsidR="00EA218D">
        <w:t>2</w:t>
      </w:r>
      <w:r w:rsidRPr="00036700">
        <w:t>: Key features of the included evidence – indirect comparison</w:t>
      </w:r>
    </w:p>
    <w:tbl>
      <w:tblPr>
        <w:tblW w:w="469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3"/>
        <w:gridCol w:w="1012"/>
        <w:gridCol w:w="657"/>
        <w:gridCol w:w="2037"/>
        <w:gridCol w:w="1232"/>
        <w:gridCol w:w="1370"/>
        <w:gridCol w:w="1251"/>
      </w:tblGrid>
      <w:tr w:rsidR="00A66797" w:rsidRPr="00036700" w:rsidTr="006D3837">
        <w:trPr>
          <w:tblHeader/>
        </w:trPr>
        <w:tc>
          <w:tcPr>
            <w:tcW w:w="570" w:type="pct"/>
            <w:tcBorders>
              <w:bottom w:val="single" w:sz="4" w:space="0" w:color="auto"/>
            </w:tcBorders>
            <w:shd w:val="clear" w:color="auto" w:fill="auto"/>
            <w:vAlign w:val="center"/>
          </w:tcPr>
          <w:p w:rsidR="006B701D" w:rsidRPr="002C3191" w:rsidRDefault="006B701D" w:rsidP="00277A70">
            <w:pPr>
              <w:widowControl/>
              <w:jc w:val="left"/>
              <w:rPr>
                <w:rFonts w:ascii="Arial Narrow" w:hAnsi="Arial Narrow"/>
                <w:b/>
                <w:sz w:val="20"/>
                <w:szCs w:val="16"/>
              </w:rPr>
            </w:pPr>
            <w:r w:rsidRPr="002C3191">
              <w:rPr>
                <w:rFonts w:ascii="Arial Narrow" w:hAnsi="Arial Narrow"/>
                <w:b/>
                <w:sz w:val="20"/>
                <w:szCs w:val="16"/>
              </w:rPr>
              <w:t>Study</w:t>
            </w:r>
          </w:p>
        </w:tc>
        <w:tc>
          <w:tcPr>
            <w:tcW w:w="593" w:type="pct"/>
            <w:tcBorders>
              <w:bottom w:val="single" w:sz="4" w:space="0" w:color="auto"/>
            </w:tcBorders>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Treatment group</w:t>
            </w:r>
            <w:r w:rsidRPr="002C3191">
              <w:rPr>
                <w:rFonts w:ascii="Arial Narrow" w:hAnsi="Arial Narrow"/>
                <w:b/>
                <w:sz w:val="20"/>
                <w:szCs w:val="16"/>
                <w:vertAlign w:val="superscript"/>
              </w:rPr>
              <w:t>a</w:t>
            </w:r>
          </w:p>
        </w:tc>
        <w:tc>
          <w:tcPr>
            <w:tcW w:w="385"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N</w:t>
            </w:r>
            <w:r w:rsidR="00DC28EF" w:rsidRPr="002C3191">
              <w:rPr>
                <w:rFonts w:ascii="Arial Narrow" w:hAnsi="Arial Narrow"/>
                <w:b/>
                <w:sz w:val="20"/>
                <w:szCs w:val="16"/>
                <w:vertAlign w:val="superscript"/>
              </w:rPr>
              <w:t>b</w:t>
            </w:r>
          </w:p>
        </w:tc>
        <w:tc>
          <w:tcPr>
            <w:tcW w:w="1194"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Design/ treatment / follow-up post treatment</w:t>
            </w:r>
          </w:p>
        </w:tc>
        <w:tc>
          <w:tcPr>
            <w:tcW w:w="722"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Risk of bias</w:t>
            </w:r>
            <w:r w:rsidR="00DC28EF" w:rsidRPr="002C3191">
              <w:rPr>
                <w:rFonts w:ascii="Arial Narrow" w:hAnsi="Arial Narrow"/>
                <w:b/>
                <w:sz w:val="20"/>
                <w:szCs w:val="16"/>
                <w:vertAlign w:val="superscript"/>
              </w:rPr>
              <w:t>c</w:t>
            </w:r>
          </w:p>
        </w:tc>
        <w:tc>
          <w:tcPr>
            <w:tcW w:w="803"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Patient population</w:t>
            </w:r>
          </w:p>
        </w:tc>
        <w:tc>
          <w:tcPr>
            <w:tcW w:w="733"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b/>
                <w:sz w:val="20"/>
                <w:szCs w:val="16"/>
              </w:rPr>
            </w:pPr>
            <w:r w:rsidRPr="002C3191">
              <w:rPr>
                <w:rFonts w:ascii="Arial Narrow" w:hAnsi="Arial Narrow"/>
                <w:b/>
                <w:sz w:val="20"/>
                <w:szCs w:val="16"/>
              </w:rPr>
              <w:t>Outcome</w:t>
            </w:r>
          </w:p>
        </w:tc>
      </w:tr>
      <w:tr w:rsidR="006B701D" w:rsidRPr="00036700" w:rsidTr="002F420B">
        <w:tc>
          <w:tcPr>
            <w:tcW w:w="5000" w:type="pct"/>
            <w:gridSpan w:val="7"/>
            <w:shd w:val="clear" w:color="auto" w:fill="D9D9D9" w:themeFill="background1" w:themeFillShade="D9"/>
          </w:tcPr>
          <w:p w:rsidR="006B701D" w:rsidRPr="002C3191" w:rsidRDefault="006B701D" w:rsidP="00277A70">
            <w:pPr>
              <w:widowControl/>
              <w:jc w:val="left"/>
              <w:rPr>
                <w:rFonts w:ascii="Arial Narrow" w:hAnsi="Arial Narrow"/>
                <w:b/>
                <w:sz w:val="20"/>
                <w:szCs w:val="16"/>
              </w:rPr>
            </w:pPr>
            <w:r w:rsidRPr="002C3191">
              <w:rPr>
                <w:rFonts w:ascii="Arial Narrow" w:hAnsi="Arial Narrow"/>
                <w:b/>
                <w:sz w:val="20"/>
                <w:szCs w:val="16"/>
              </w:rPr>
              <w:t>GRZ/EBR±RBV or SOF</w:t>
            </w: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C-EDGE TN</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1</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316</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Single arm of R, DB</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GRZ/EBR12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High</w:t>
            </w:r>
            <w:r w:rsidR="00965E1D" w:rsidRPr="002C3191">
              <w:rPr>
                <w:rFonts w:ascii="Arial Narrow" w:hAnsi="Arial Narrow"/>
                <w:sz w:val="20"/>
                <w:szCs w:val="16"/>
                <w:vertAlign w:val="superscript"/>
              </w:rPr>
              <w:t>d</w:t>
            </w: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 1/4/6,</w:t>
            </w:r>
            <w:r w:rsidR="006B701D" w:rsidRPr="002C3191">
              <w:rPr>
                <w:rFonts w:ascii="Arial Narrow" w:hAnsi="Arial Narrow"/>
                <w:sz w:val="20"/>
                <w:szCs w:val="16"/>
              </w:rPr>
              <w:t xml:space="preserve"> TN, non-cirr &amp; cirr</w:t>
            </w:r>
          </w:p>
        </w:tc>
        <w:tc>
          <w:tcPr>
            <w:tcW w:w="73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rPr>
              <w:t>SVR12</w:t>
            </w:r>
          </w:p>
        </w:tc>
      </w:tr>
      <w:tr w:rsidR="00A66797" w:rsidRPr="00036700" w:rsidTr="006D3837">
        <w:tc>
          <w:tcPr>
            <w:tcW w:w="570" w:type="pct"/>
            <w:vMerge w:val="restar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C-EDGE TE</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1</w:t>
            </w:r>
          </w:p>
        </w:tc>
        <w:tc>
          <w:tcPr>
            <w:tcW w:w="385" w:type="pct"/>
            <w:shd w:val="clear" w:color="auto" w:fill="auto"/>
            <w:vAlign w:val="center"/>
          </w:tcPr>
          <w:p w:rsidR="006B701D" w:rsidRPr="002C3191" w:rsidRDefault="003A7191" w:rsidP="00277A70">
            <w:pPr>
              <w:widowControl/>
              <w:jc w:val="center"/>
              <w:rPr>
                <w:rFonts w:ascii="Arial Narrow" w:hAnsi="Arial Narrow"/>
                <w:sz w:val="20"/>
                <w:szCs w:val="16"/>
              </w:rPr>
            </w:pPr>
            <w:r w:rsidRPr="002C3191">
              <w:rPr>
                <w:rFonts w:ascii="Arial Narrow" w:hAnsi="Arial Narrow"/>
                <w:sz w:val="20"/>
                <w:szCs w:val="16"/>
              </w:rPr>
              <w:t>54</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 xml:space="preserve">Single arm of R, </w:t>
            </w:r>
            <w:r w:rsidR="00CF4851" w:rsidRPr="002C3191">
              <w:rPr>
                <w:rFonts w:ascii="Arial Narrow" w:hAnsi="Arial Narrow"/>
                <w:sz w:val="20"/>
                <w:szCs w:val="16"/>
              </w:rPr>
              <w:t>DB</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GRZ/EBR12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High</w:t>
            </w:r>
            <w:r w:rsidR="00965E1D" w:rsidRPr="002C3191">
              <w:rPr>
                <w:rFonts w:ascii="Arial Narrow" w:hAnsi="Arial Narrow"/>
                <w:sz w:val="20"/>
                <w:szCs w:val="16"/>
                <w:vertAlign w:val="superscript"/>
              </w:rPr>
              <w:t>e</w:t>
            </w: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 1/4/6</w:t>
            </w:r>
            <w:r w:rsidR="006B701D" w:rsidRPr="002C3191">
              <w:rPr>
                <w:rFonts w:ascii="Arial Narrow" w:hAnsi="Arial Narrow"/>
                <w:sz w:val="20"/>
                <w:szCs w:val="16"/>
              </w:rPr>
              <w:t xml:space="preserve"> </w:t>
            </w:r>
            <w:r w:rsidRPr="002C3191">
              <w:rPr>
                <w:rFonts w:ascii="Arial Narrow" w:hAnsi="Arial Narrow"/>
                <w:sz w:val="20"/>
                <w:szCs w:val="16"/>
              </w:rPr>
              <w:t>PP &amp; GT1b OTVF</w:t>
            </w:r>
            <w:r w:rsidR="006B701D" w:rsidRPr="002C3191">
              <w:rPr>
                <w:rFonts w:ascii="Arial Narrow" w:hAnsi="Arial Narrow"/>
                <w:sz w:val="20"/>
                <w:szCs w:val="16"/>
              </w:rPr>
              <w:t xml:space="preserve">, </w:t>
            </w:r>
            <w:r w:rsidR="000F29AC" w:rsidRPr="002C3191">
              <w:rPr>
                <w:rFonts w:ascii="Arial Narrow" w:hAnsi="Arial Narrow"/>
                <w:sz w:val="20"/>
                <w:szCs w:val="16"/>
              </w:rPr>
              <w:br/>
            </w:r>
            <w:r w:rsidR="006B701D" w:rsidRPr="002C3191">
              <w:rPr>
                <w:rFonts w:ascii="Arial Narrow" w:hAnsi="Arial Narrow"/>
                <w:sz w:val="20"/>
                <w:szCs w:val="16"/>
              </w:rPr>
              <w:t>non-cirr &amp; cirr</w:t>
            </w:r>
          </w:p>
        </w:tc>
        <w:tc>
          <w:tcPr>
            <w:tcW w:w="733" w:type="pct"/>
            <w:vMerge w:val="restart"/>
            <w:shd w:val="clear" w:color="auto" w:fill="auto"/>
            <w:vAlign w:val="center"/>
          </w:tcPr>
          <w:p w:rsidR="006B701D" w:rsidRPr="00036700" w:rsidRDefault="006B701D" w:rsidP="00277A70">
            <w:pPr>
              <w:widowControl/>
              <w:jc w:val="center"/>
              <w:rPr>
                <w:rFonts w:ascii="Arial Narrow" w:hAnsi="Arial Narrow"/>
                <w:sz w:val="20"/>
                <w:szCs w:val="16"/>
              </w:rPr>
            </w:pPr>
            <w:r w:rsidRPr="002C3191">
              <w:rPr>
                <w:rFonts w:ascii="Arial Narrow" w:hAnsi="Arial Narrow"/>
                <w:sz w:val="20"/>
              </w:rPr>
              <w:t>SVR12</w:t>
            </w:r>
          </w:p>
        </w:tc>
      </w:tr>
      <w:tr w:rsidR="00A66797" w:rsidRPr="00036700" w:rsidTr="006D3837">
        <w:tc>
          <w:tcPr>
            <w:tcW w:w="570" w:type="pct"/>
            <w:vMerge/>
            <w:shd w:val="clear" w:color="auto" w:fill="auto"/>
            <w:vAlign w:val="center"/>
          </w:tcPr>
          <w:p w:rsidR="006B701D" w:rsidRPr="00036700" w:rsidRDefault="006B701D" w:rsidP="00277A70">
            <w:pPr>
              <w:widowControl/>
              <w:jc w:val="left"/>
              <w:rPr>
                <w:rFonts w:ascii="Arial Narrow" w:hAnsi="Arial Narrow"/>
                <w:sz w:val="20"/>
                <w:szCs w:val="16"/>
              </w:rPr>
            </w:pP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4</w:t>
            </w:r>
          </w:p>
        </w:tc>
        <w:tc>
          <w:tcPr>
            <w:tcW w:w="385"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42</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 xml:space="preserve">Single arm of R, </w:t>
            </w:r>
            <w:r w:rsidR="00786A2A" w:rsidRPr="002C3191">
              <w:rPr>
                <w:rFonts w:ascii="Arial Narrow" w:hAnsi="Arial Narrow"/>
                <w:sz w:val="20"/>
                <w:szCs w:val="16"/>
              </w:rPr>
              <w:t>DB</w:t>
            </w:r>
          </w:p>
          <w:p w:rsidR="006B701D" w:rsidRPr="002C3191" w:rsidRDefault="00E77627" w:rsidP="00277A70">
            <w:pPr>
              <w:widowControl/>
              <w:jc w:val="center"/>
              <w:rPr>
                <w:rFonts w:ascii="Arial Narrow" w:hAnsi="Arial Narrow"/>
                <w:sz w:val="20"/>
                <w:szCs w:val="16"/>
              </w:rPr>
            </w:pPr>
            <w:r w:rsidRPr="002C3191">
              <w:rPr>
                <w:rFonts w:ascii="Arial Narrow" w:hAnsi="Arial Narrow"/>
                <w:sz w:val="20"/>
                <w:szCs w:val="16"/>
              </w:rPr>
              <w:t>GRZ/EBR16+</w:t>
            </w:r>
            <w:r w:rsidR="006B701D" w:rsidRPr="002C3191">
              <w:rPr>
                <w:rFonts w:ascii="Arial Narrow" w:hAnsi="Arial Narrow"/>
                <w:sz w:val="20"/>
                <w:szCs w:val="16"/>
              </w:rPr>
              <w:t>RBV16</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 1</w:t>
            </w:r>
            <w:r w:rsidR="00A66797" w:rsidRPr="002C3191">
              <w:rPr>
                <w:rFonts w:ascii="Arial Narrow" w:hAnsi="Arial Narrow"/>
                <w:sz w:val="20"/>
                <w:szCs w:val="16"/>
              </w:rPr>
              <w:t>a/4/6, OTVF</w:t>
            </w:r>
            <w:r w:rsidRPr="002C3191">
              <w:rPr>
                <w:rFonts w:ascii="Arial Narrow" w:hAnsi="Arial Narrow"/>
                <w:sz w:val="20"/>
                <w:szCs w:val="16"/>
              </w:rPr>
              <w:t xml:space="preserve">, </w:t>
            </w:r>
            <w:r w:rsidR="000F29AC" w:rsidRPr="002C3191">
              <w:rPr>
                <w:rFonts w:ascii="Arial Narrow" w:hAnsi="Arial Narrow"/>
                <w:sz w:val="20"/>
                <w:szCs w:val="16"/>
              </w:rPr>
              <w:br/>
            </w:r>
            <w:r w:rsidRPr="002C3191">
              <w:rPr>
                <w:rFonts w:ascii="Arial Narrow" w:hAnsi="Arial Narrow"/>
                <w:sz w:val="20"/>
                <w:szCs w:val="16"/>
              </w:rPr>
              <w:t>non-cirr &amp; cirr</w:t>
            </w:r>
          </w:p>
        </w:tc>
        <w:tc>
          <w:tcPr>
            <w:tcW w:w="733" w:type="pct"/>
            <w:vMerge/>
            <w:shd w:val="clear" w:color="auto" w:fill="auto"/>
            <w:vAlign w:val="center"/>
          </w:tcPr>
          <w:p w:rsidR="006B701D" w:rsidRPr="002C3191" w:rsidRDefault="006B701D" w:rsidP="00277A70">
            <w:pPr>
              <w:widowControl/>
              <w:jc w:val="center"/>
              <w:rPr>
                <w:rFonts w:ascii="Arial Narrow" w:hAnsi="Arial Narrow"/>
                <w:sz w:val="20"/>
                <w:szCs w:val="16"/>
              </w:rPr>
            </w:pPr>
          </w:p>
        </w:tc>
      </w:tr>
      <w:tr w:rsidR="00A66797" w:rsidRPr="00036700" w:rsidTr="006D3837">
        <w:trPr>
          <w:trHeight w:val="376"/>
        </w:trPr>
        <w:tc>
          <w:tcPr>
            <w:tcW w:w="570" w:type="pct"/>
            <w:vMerge w:val="restar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C-SWIFT</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6</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14</w:t>
            </w:r>
          </w:p>
        </w:tc>
        <w:tc>
          <w:tcPr>
            <w:tcW w:w="1194"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Single arm of R, DB</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GRZ/EBR12+SOF12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High</w:t>
            </w: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 3</w:t>
            </w:r>
            <w:r w:rsidR="00A66797" w:rsidRPr="002C3191">
              <w:rPr>
                <w:rFonts w:ascii="Arial Narrow" w:hAnsi="Arial Narrow"/>
                <w:sz w:val="20"/>
                <w:szCs w:val="16"/>
              </w:rPr>
              <w:t>,</w:t>
            </w:r>
            <w:r w:rsidRPr="002C3191">
              <w:rPr>
                <w:rFonts w:ascii="Arial Narrow" w:hAnsi="Arial Narrow"/>
                <w:sz w:val="20"/>
                <w:szCs w:val="16"/>
              </w:rPr>
              <w:t xml:space="preserve"> TE, non-cirr </w:t>
            </w:r>
          </w:p>
        </w:tc>
        <w:tc>
          <w:tcPr>
            <w:tcW w:w="733"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rPr>
              <w:t>SVR12</w:t>
            </w:r>
          </w:p>
        </w:tc>
      </w:tr>
      <w:tr w:rsidR="00A66797" w:rsidRPr="00036700" w:rsidTr="006D3837">
        <w:tc>
          <w:tcPr>
            <w:tcW w:w="570" w:type="pct"/>
            <w:vMerge/>
            <w:shd w:val="clear" w:color="auto" w:fill="auto"/>
            <w:vAlign w:val="center"/>
          </w:tcPr>
          <w:p w:rsidR="006B701D" w:rsidRPr="002C3191" w:rsidRDefault="006B701D" w:rsidP="00277A70">
            <w:pPr>
              <w:widowControl/>
              <w:jc w:val="left"/>
              <w:rPr>
                <w:rFonts w:ascii="Arial Narrow" w:hAnsi="Arial Narrow"/>
                <w:sz w:val="20"/>
                <w:szCs w:val="16"/>
              </w:rPr>
            </w:pP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7</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12</w:t>
            </w:r>
          </w:p>
        </w:tc>
        <w:tc>
          <w:tcPr>
            <w:tcW w:w="1194"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722"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 3</w:t>
            </w:r>
            <w:r w:rsidR="00CF4851" w:rsidRPr="002C3191">
              <w:rPr>
                <w:rFonts w:ascii="Arial Narrow" w:hAnsi="Arial Narrow"/>
                <w:sz w:val="20"/>
                <w:szCs w:val="16"/>
              </w:rPr>
              <w:t>,</w:t>
            </w:r>
            <w:r w:rsidRPr="002C3191">
              <w:rPr>
                <w:rFonts w:ascii="Arial Narrow" w:hAnsi="Arial Narrow"/>
                <w:sz w:val="20"/>
                <w:szCs w:val="16"/>
              </w:rPr>
              <w:t xml:space="preserve"> TE, cirr</w:t>
            </w:r>
          </w:p>
        </w:tc>
        <w:tc>
          <w:tcPr>
            <w:tcW w:w="733" w:type="pct"/>
            <w:vMerge/>
            <w:shd w:val="clear" w:color="auto" w:fill="auto"/>
            <w:vAlign w:val="center"/>
          </w:tcPr>
          <w:p w:rsidR="006B701D" w:rsidRPr="002C3191" w:rsidRDefault="006B701D" w:rsidP="00277A70">
            <w:pPr>
              <w:widowControl/>
              <w:jc w:val="center"/>
              <w:rPr>
                <w:rFonts w:ascii="Arial Narrow" w:hAnsi="Arial Narrow"/>
                <w:sz w:val="20"/>
                <w:szCs w:val="16"/>
              </w:rPr>
            </w:pPr>
          </w:p>
        </w:tc>
      </w:tr>
      <w:tr w:rsidR="00A66797" w:rsidRPr="00036700" w:rsidTr="006D3837">
        <w:tc>
          <w:tcPr>
            <w:tcW w:w="570" w:type="pct"/>
            <w:vMerge w:val="restar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C-WORTHY</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A3</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13</w:t>
            </w:r>
          </w:p>
        </w:tc>
        <w:tc>
          <w:tcPr>
            <w:tcW w:w="1194"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Single arm of R, OL</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w:t>
            </w:r>
            <w:r w:rsidR="00AC5B25" w:rsidRPr="002C3191">
              <w:rPr>
                <w:rFonts w:ascii="Arial Narrow" w:hAnsi="Arial Narrow"/>
                <w:sz w:val="20"/>
                <w:szCs w:val="16"/>
              </w:rPr>
              <w:t>12+</w:t>
            </w:r>
            <w:r w:rsidRPr="002C3191">
              <w:rPr>
                <w:rFonts w:ascii="Arial Narrow" w:hAnsi="Arial Narrow"/>
                <w:sz w:val="20"/>
                <w:szCs w:val="16"/>
              </w:rPr>
              <w:t>EBR12</w:t>
            </w:r>
            <w:r w:rsidR="00965E1D" w:rsidRPr="002C3191">
              <w:rPr>
                <w:rFonts w:ascii="Arial Narrow" w:hAnsi="Arial Narrow"/>
                <w:sz w:val="20"/>
                <w:szCs w:val="16"/>
                <w:vertAlign w:val="superscript"/>
              </w:rPr>
              <w:t>f</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vMerge w:val="restar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High</w:t>
            </w: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 1b,</w:t>
            </w:r>
            <w:r w:rsidR="006B701D" w:rsidRPr="002C3191">
              <w:rPr>
                <w:rFonts w:ascii="Arial Narrow" w:hAnsi="Arial Narrow"/>
                <w:sz w:val="20"/>
                <w:szCs w:val="16"/>
              </w:rPr>
              <w:t xml:space="preserve"> TN, </w:t>
            </w:r>
            <w:r w:rsidR="000F29AC" w:rsidRPr="002C3191">
              <w:rPr>
                <w:rFonts w:ascii="Arial Narrow" w:hAnsi="Arial Narrow"/>
                <w:sz w:val="20"/>
                <w:szCs w:val="16"/>
              </w:rPr>
              <w:br/>
            </w:r>
            <w:r w:rsidR="006B701D" w:rsidRPr="002C3191">
              <w:rPr>
                <w:rFonts w:ascii="Arial Narrow" w:hAnsi="Arial Narrow"/>
                <w:sz w:val="20"/>
                <w:szCs w:val="16"/>
              </w:rPr>
              <w:t xml:space="preserve">non-cirr </w:t>
            </w:r>
          </w:p>
        </w:tc>
        <w:tc>
          <w:tcPr>
            <w:tcW w:w="733" w:type="pct"/>
            <w:vMerge w:val="restar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A66797" w:rsidRPr="00036700" w:rsidTr="006D3837">
        <w:tc>
          <w:tcPr>
            <w:tcW w:w="570" w:type="pct"/>
            <w:vMerge/>
            <w:shd w:val="clear" w:color="auto" w:fill="auto"/>
            <w:vAlign w:val="center"/>
          </w:tcPr>
          <w:p w:rsidR="006B701D" w:rsidRPr="00036700" w:rsidRDefault="006B701D" w:rsidP="00277A70">
            <w:pPr>
              <w:widowControl/>
              <w:jc w:val="left"/>
              <w:rPr>
                <w:rFonts w:ascii="Arial Narrow" w:hAnsi="Arial Narrow"/>
                <w:sz w:val="20"/>
                <w:szCs w:val="16"/>
              </w:rPr>
            </w:pP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B3</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31</w:t>
            </w:r>
          </w:p>
        </w:tc>
        <w:tc>
          <w:tcPr>
            <w:tcW w:w="1194"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722"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 1a</w:t>
            </w:r>
            <w:r w:rsidR="00A66797" w:rsidRPr="002C3191">
              <w:rPr>
                <w:rFonts w:ascii="Arial Narrow" w:hAnsi="Arial Narrow"/>
                <w:sz w:val="20"/>
                <w:szCs w:val="16"/>
              </w:rPr>
              <w:t>,</w:t>
            </w:r>
            <w:r w:rsidRPr="002C3191">
              <w:rPr>
                <w:rFonts w:ascii="Arial Narrow" w:hAnsi="Arial Narrow"/>
                <w:sz w:val="20"/>
                <w:szCs w:val="16"/>
              </w:rPr>
              <w:t xml:space="preserve"> TN, </w:t>
            </w:r>
            <w:r w:rsidR="000F29AC" w:rsidRPr="002C3191">
              <w:rPr>
                <w:rFonts w:ascii="Arial Narrow" w:hAnsi="Arial Narrow"/>
                <w:sz w:val="20"/>
                <w:szCs w:val="16"/>
              </w:rPr>
              <w:br/>
            </w:r>
            <w:r w:rsidRPr="002C3191">
              <w:rPr>
                <w:rFonts w:ascii="Arial Narrow" w:hAnsi="Arial Narrow"/>
                <w:sz w:val="20"/>
                <w:szCs w:val="16"/>
              </w:rPr>
              <w:t>non-cirr</w:t>
            </w:r>
          </w:p>
        </w:tc>
        <w:tc>
          <w:tcPr>
            <w:tcW w:w="733" w:type="pct"/>
            <w:vMerge/>
            <w:shd w:val="clear" w:color="auto" w:fill="auto"/>
            <w:vAlign w:val="center"/>
          </w:tcPr>
          <w:p w:rsidR="006B701D" w:rsidRPr="002C3191" w:rsidRDefault="006B701D" w:rsidP="00277A70">
            <w:pPr>
              <w:widowControl/>
              <w:jc w:val="center"/>
              <w:rPr>
                <w:rFonts w:ascii="Arial Narrow" w:hAnsi="Arial Narrow"/>
                <w:sz w:val="20"/>
                <w:szCs w:val="16"/>
              </w:rPr>
            </w:pPr>
          </w:p>
        </w:tc>
      </w:tr>
      <w:tr w:rsidR="00A66797" w:rsidRPr="00036700" w:rsidTr="006D3837">
        <w:tc>
          <w:tcPr>
            <w:tcW w:w="570" w:type="pct"/>
            <w:vMerge/>
            <w:shd w:val="clear" w:color="auto" w:fill="auto"/>
            <w:vAlign w:val="center"/>
          </w:tcPr>
          <w:p w:rsidR="006B701D" w:rsidRPr="002C3191" w:rsidRDefault="006B701D" w:rsidP="00277A70">
            <w:pPr>
              <w:widowControl/>
              <w:jc w:val="left"/>
              <w:rPr>
                <w:rFonts w:ascii="Arial Narrow" w:hAnsi="Arial Narrow"/>
                <w:sz w:val="20"/>
                <w:szCs w:val="16"/>
              </w:rPr>
            </w:pP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B5</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29</w:t>
            </w:r>
          </w:p>
        </w:tc>
        <w:tc>
          <w:tcPr>
            <w:tcW w:w="1194"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722"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G1,</w:t>
            </w:r>
            <w:r w:rsidR="006B701D" w:rsidRPr="002C3191">
              <w:rPr>
                <w:rFonts w:ascii="Arial Narrow" w:hAnsi="Arial Narrow"/>
                <w:sz w:val="20"/>
                <w:szCs w:val="16"/>
              </w:rPr>
              <w:t xml:space="preserve"> TN, cirr</w:t>
            </w:r>
          </w:p>
        </w:tc>
        <w:tc>
          <w:tcPr>
            <w:tcW w:w="733" w:type="pct"/>
            <w:vMerge/>
            <w:shd w:val="clear" w:color="auto" w:fill="auto"/>
            <w:vAlign w:val="center"/>
          </w:tcPr>
          <w:p w:rsidR="006B701D" w:rsidRPr="002C3191" w:rsidRDefault="006B701D" w:rsidP="00277A70">
            <w:pPr>
              <w:widowControl/>
              <w:jc w:val="center"/>
              <w:rPr>
                <w:rFonts w:ascii="Arial Narrow" w:hAnsi="Arial Narrow"/>
                <w:sz w:val="20"/>
                <w:szCs w:val="16"/>
              </w:rPr>
            </w:pPr>
          </w:p>
        </w:tc>
      </w:tr>
      <w:tr w:rsidR="00A66797" w:rsidRPr="00036700" w:rsidTr="006D3837">
        <w:tc>
          <w:tcPr>
            <w:tcW w:w="570" w:type="pct"/>
            <w:vMerge/>
            <w:shd w:val="clear" w:color="auto" w:fill="auto"/>
            <w:vAlign w:val="center"/>
          </w:tcPr>
          <w:p w:rsidR="006B701D" w:rsidRPr="002C3191" w:rsidRDefault="006B701D" w:rsidP="00277A70">
            <w:pPr>
              <w:widowControl/>
              <w:jc w:val="left"/>
              <w:rPr>
                <w:rFonts w:ascii="Arial Narrow" w:hAnsi="Arial Narrow"/>
                <w:sz w:val="20"/>
                <w:szCs w:val="16"/>
              </w:rPr>
            </w:pP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C2</w:t>
            </w:r>
          </w:p>
        </w:tc>
        <w:tc>
          <w:tcPr>
            <w:tcW w:w="385"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29</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Single arm of R, OL</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w:t>
            </w:r>
            <w:r w:rsidR="00AC5B25" w:rsidRPr="002C3191">
              <w:rPr>
                <w:rFonts w:ascii="Arial Narrow" w:hAnsi="Arial Narrow"/>
                <w:sz w:val="20"/>
                <w:szCs w:val="16"/>
              </w:rPr>
              <w:t>8+</w:t>
            </w:r>
            <w:r w:rsidRPr="002C3191">
              <w:rPr>
                <w:rFonts w:ascii="Arial Narrow" w:hAnsi="Arial Narrow"/>
                <w:sz w:val="20"/>
                <w:szCs w:val="16"/>
              </w:rPr>
              <w:t>EBR8</w:t>
            </w:r>
            <w:r w:rsidR="00DD0768" w:rsidRPr="002C3191">
              <w:rPr>
                <w:rFonts w:ascii="Arial Narrow" w:hAnsi="Arial Narrow"/>
                <w:sz w:val="20"/>
                <w:szCs w:val="16"/>
                <w:vertAlign w:val="superscript"/>
              </w:rPr>
              <w:t>f</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vMerge/>
            <w:shd w:val="clear" w:color="auto" w:fill="auto"/>
            <w:vAlign w:val="center"/>
          </w:tcPr>
          <w:p w:rsidR="006B701D" w:rsidRPr="002C3191" w:rsidRDefault="006B701D" w:rsidP="00277A70">
            <w:pPr>
              <w:widowControl/>
              <w:jc w:val="center"/>
              <w:rPr>
                <w:rFonts w:ascii="Arial Narrow" w:hAnsi="Arial Narrow"/>
                <w:sz w:val="20"/>
                <w:szCs w:val="16"/>
              </w:rPr>
            </w:pP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G1b</w:t>
            </w:r>
            <w:r w:rsidR="00A66797" w:rsidRPr="002C3191">
              <w:rPr>
                <w:rFonts w:ascii="Arial Narrow" w:hAnsi="Arial Narrow"/>
                <w:sz w:val="20"/>
                <w:szCs w:val="16"/>
              </w:rPr>
              <w:t>,</w:t>
            </w:r>
            <w:r w:rsidRPr="002C3191">
              <w:rPr>
                <w:rFonts w:ascii="Arial Narrow" w:hAnsi="Arial Narrow"/>
                <w:sz w:val="20"/>
                <w:szCs w:val="16"/>
              </w:rPr>
              <w:t xml:space="preserve"> TN, </w:t>
            </w:r>
            <w:r w:rsidR="00A66797" w:rsidRPr="002C3191">
              <w:rPr>
                <w:rFonts w:ascii="Arial Narrow" w:hAnsi="Arial Narrow"/>
                <w:sz w:val="20"/>
                <w:szCs w:val="16"/>
              </w:rPr>
              <w:t>F0-F2</w:t>
            </w:r>
          </w:p>
        </w:tc>
        <w:tc>
          <w:tcPr>
            <w:tcW w:w="733" w:type="pct"/>
            <w:vMerge/>
            <w:shd w:val="clear" w:color="auto" w:fill="auto"/>
            <w:vAlign w:val="center"/>
          </w:tcPr>
          <w:p w:rsidR="006B701D" w:rsidRPr="002C3191" w:rsidRDefault="006B701D" w:rsidP="00277A70">
            <w:pPr>
              <w:widowControl/>
              <w:jc w:val="center"/>
              <w:rPr>
                <w:rFonts w:ascii="Arial Narrow" w:hAnsi="Arial Narrow"/>
                <w:sz w:val="20"/>
                <w:szCs w:val="16"/>
              </w:rPr>
            </w:pP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C-SALVAGE</w:t>
            </w:r>
          </w:p>
        </w:tc>
        <w:tc>
          <w:tcPr>
            <w:tcW w:w="593" w:type="pct"/>
            <w:vAlign w:val="center"/>
          </w:tcPr>
          <w:p w:rsidR="006B701D" w:rsidRPr="002C3191" w:rsidRDefault="00CF4851" w:rsidP="00277A70">
            <w:pPr>
              <w:widowControl/>
              <w:jc w:val="center"/>
              <w:rPr>
                <w:rFonts w:ascii="Arial Narrow" w:hAnsi="Arial Narrow"/>
                <w:sz w:val="20"/>
                <w:szCs w:val="16"/>
              </w:rPr>
            </w:pPr>
            <w:r w:rsidRPr="002C3191">
              <w:rPr>
                <w:rFonts w:ascii="Arial Narrow" w:hAnsi="Arial Narrow"/>
                <w:sz w:val="20"/>
                <w:szCs w:val="16"/>
              </w:rPr>
              <w:t>Single-arm</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79</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NC</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GRZ12+EBR12</w:t>
            </w:r>
            <w:r w:rsidR="00DD0768" w:rsidRPr="002C3191">
              <w:rPr>
                <w:rFonts w:ascii="Arial Narrow" w:hAnsi="Arial Narrow"/>
                <w:sz w:val="20"/>
                <w:szCs w:val="16"/>
                <w:vertAlign w:val="superscript"/>
              </w:rPr>
              <w:t>f</w:t>
            </w:r>
            <w:r w:rsidRPr="002C3191">
              <w:rPr>
                <w:rFonts w:ascii="Arial Narrow" w:hAnsi="Arial Narrow"/>
                <w:sz w:val="20"/>
                <w:szCs w:val="16"/>
              </w:rPr>
              <w:t>+RBV12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High</w:t>
            </w: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GT1</w:t>
            </w:r>
            <w:r w:rsidR="00786A2A" w:rsidRPr="002C3191">
              <w:rPr>
                <w:rFonts w:ascii="Arial Narrow" w:hAnsi="Arial Narrow"/>
                <w:sz w:val="20"/>
                <w:szCs w:val="16"/>
              </w:rPr>
              <w:t>,</w:t>
            </w:r>
            <w:r w:rsidR="006B701D" w:rsidRPr="002C3191">
              <w:rPr>
                <w:rFonts w:ascii="Arial Narrow" w:hAnsi="Arial Narrow"/>
                <w:sz w:val="20"/>
                <w:szCs w:val="16"/>
              </w:rPr>
              <w:t xml:space="preserve"> TE, </w:t>
            </w:r>
            <w:r w:rsidR="000F29AC" w:rsidRPr="002C3191">
              <w:rPr>
                <w:rFonts w:ascii="Arial Narrow" w:hAnsi="Arial Narrow"/>
                <w:sz w:val="20"/>
                <w:szCs w:val="16"/>
              </w:rPr>
              <w:br/>
            </w:r>
            <w:r w:rsidR="006B701D" w:rsidRPr="002C3191">
              <w:rPr>
                <w:rFonts w:ascii="Arial Narrow" w:hAnsi="Arial Narrow"/>
                <w:sz w:val="20"/>
                <w:szCs w:val="16"/>
              </w:rPr>
              <w:t>non-cirr &amp; cirr</w:t>
            </w:r>
          </w:p>
        </w:tc>
        <w:tc>
          <w:tcPr>
            <w:tcW w:w="73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A66797" w:rsidRPr="00036700" w:rsidTr="006D3837">
        <w:tc>
          <w:tcPr>
            <w:tcW w:w="570" w:type="pct"/>
            <w:shd w:val="clear" w:color="auto" w:fill="auto"/>
            <w:vAlign w:val="center"/>
          </w:tcPr>
          <w:p w:rsidR="006B701D" w:rsidRPr="00036700" w:rsidRDefault="006B701D" w:rsidP="00277A70">
            <w:pPr>
              <w:widowControl/>
              <w:jc w:val="left"/>
              <w:rPr>
                <w:rFonts w:ascii="Arial Narrow" w:hAnsi="Arial Narrow"/>
                <w:sz w:val="20"/>
                <w:szCs w:val="16"/>
              </w:rPr>
            </w:pPr>
            <w:r w:rsidRPr="00036700">
              <w:rPr>
                <w:rFonts w:ascii="Arial Narrow" w:hAnsi="Arial Narrow"/>
                <w:sz w:val="20"/>
                <w:szCs w:val="16"/>
              </w:rPr>
              <w:t>C-SCAPE</w:t>
            </w:r>
          </w:p>
        </w:tc>
        <w:tc>
          <w:tcPr>
            <w:tcW w:w="593" w:type="pct"/>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Group B3</w:t>
            </w:r>
          </w:p>
        </w:tc>
        <w:tc>
          <w:tcPr>
            <w:tcW w:w="385"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1</w:t>
            </w:r>
            <w:r w:rsidR="00A66797" w:rsidRPr="00036700">
              <w:rPr>
                <w:rFonts w:ascii="Arial Narrow" w:hAnsi="Arial Narrow"/>
                <w:sz w:val="20"/>
                <w:szCs w:val="16"/>
              </w:rPr>
              <w:t>4</w:t>
            </w:r>
          </w:p>
        </w:tc>
        <w:tc>
          <w:tcPr>
            <w:tcW w:w="1194"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GRZ12+EBR12</w:t>
            </w:r>
            <w:r w:rsidR="00DD0768" w:rsidRPr="002C3191">
              <w:rPr>
                <w:rFonts w:ascii="Arial Narrow" w:hAnsi="Arial Narrow"/>
                <w:sz w:val="20"/>
                <w:szCs w:val="16"/>
                <w:vertAlign w:val="superscript"/>
              </w:rPr>
              <w:t>f</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lastRenderedPageBreak/>
              <w:t>24 weeks</w:t>
            </w:r>
          </w:p>
        </w:tc>
        <w:tc>
          <w:tcPr>
            <w:tcW w:w="722"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lastRenderedPageBreak/>
              <w:t>High</w:t>
            </w:r>
          </w:p>
        </w:tc>
        <w:tc>
          <w:tcPr>
            <w:tcW w:w="803"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GT4/6,</w:t>
            </w:r>
            <w:r w:rsidR="006B701D" w:rsidRPr="002C3191">
              <w:rPr>
                <w:rFonts w:ascii="Arial Narrow" w:hAnsi="Arial Narrow"/>
                <w:sz w:val="20"/>
                <w:szCs w:val="16"/>
              </w:rPr>
              <w:t xml:space="preserve"> TN, </w:t>
            </w:r>
            <w:r w:rsidR="000F29AC" w:rsidRPr="002C3191">
              <w:rPr>
                <w:rFonts w:ascii="Arial Narrow" w:hAnsi="Arial Narrow"/>
                <w:sz w:val="20"/>
                <w:szCs w:val="16"/>
              </w:rPr>
              <w:br/>
            </w:r>
            <w:r w:rsidR="006B701D" w:rsidRPr="002C3191">
              <w:rPr>
                <w:rFonts w:ascii="Arial Narrow" w:hAnsi="Arial Narrow"/>
                <w:sz w:val="20"/>
                <w:szCs w:val="16"/>
              </w:rPr>
              <w:t>non-cirr &amp; cirr</w:t>
            </w:r>
          </w:p>
        </w:tc>
        <w:tc>
          <w:tcPr>
            <w:tcW w:w="73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6B701D" w:rsidRPr="00036700" w:rsidTr="002F420B">
        <w:tc>
          <w:tcPr>
            <w:tcW w:w="5000" w:type="pct"/>
            <w:gridSpan w:val="7"/>
            <w:shd w:val="clear" w:color="auto" w:fill="D9D9D9" w:themeFill="background1" w:themeFillShade="D9"/>
          </w:tcPr>
          <w:p w:rsidR="006B701D" w:rsidRPr="00036700" w:rsidRDefault="006B701D" w:rsidP="00277A70">
            <w:pPr>
              <w:widowControl/>
              <w:jc w:val="left"/>
              <w:rPr>
                <w:rFonts w:ascii="Arial Narrow" w:hAnsi="Arial Narrow"/>
                <w:b/>
                <w:sz w:val="20"/>
                <w:szCs w:val="16"/>
              </w:rPr>
            </w:pPr>
            <w:r w:rsidRPr="00036700">
              <w:rPr>
                <w:rFonts w:ascii="Arial Narrow" w:hAnsi="Arial Narrow"/>
                <w:b/>
                <w:sz w:val="20"/>
                <w:szCs w:val="16"/>
              </w:rPr>
              <w:lastRenderedPageBreak/>
              <w:t>LDV/SOF</w:t>
            </w:r>
          </w:p>
        </w:tc>
      </w:tr>
      <w:tr w:rsidR="00A66797" w:rsidRPr="00036700" w:rsidTr="006D3837">
        <w:tc>
          <w:tcPr>
            <w:tcW w:w="570" w:type="pct"/>
            <w:shd w:val="clear" w:color="auto" w:fill="auto"/>
            <w:vAlign w:val="center"/>
          </w:tcPr>
          <w:p w:rsidR="006B701D" w:rsidRPr="00036700" w:rsidRDefault="006B701D" w:rsidP="00277A70">
            <w:pPr>
              <w:widowControl/>
              <w:jc w:val="left"/>
              <w:rPr>
                <w:rFonts w:ascii="Arial Narrow" w:hAnsi="Arial Narrow"/>
                <w:sz w:val="20"/>
                <w:szCs w:val="16"/>
              </w:rPr>
            </w:pPr>
            <w:r w:rsidRPr="00036700">
              <w:rPr>
                <w:rFonts w:ascii="Arial Narrow" w:hAnsi="Arial Narrow"/>
                <w:sz w:val="20"/>
                <w:szCs w:val="16"/>
              </w:rPr>
              <w:t>ION-1</w:t>
            </w:r>
          </w:p>
        </w:tc>
        <w:tc>
          <w:tcPr>
            <w:tcW w:w="593" w:type="pct"/>
            <w:vAlign w:val="center"/>
          </w:tcPr>
          <w:p w:rsidR="006B701D" w:rsidRPr="002C3191" w:rsidRDefault="007A6ECA" w:rsidP="00277A70">
            <w:pPr>
              <w:widowControl/>
              <w:jc w:val="center"/>
              <w:rPr>
                <w:rFonts w:ascii="Arial Narrow" w:hAnsi="Arial Narrow"/>
                <w:sz w:val="20"/>
                <w:szCs w:val="16"/>
              </w:rPr>
            </w:pPr>
            <w:r w:rsidRPr="00036700">
              <w:rPr>
                <w:rFonts w:ascii="Arial Narrow" w:hAnsi="Arial Narrow"/>
                <w:sz w:val="20"/>
                <w:szCs w:val="16"/>
              </w:rPr>
              <w:t>Group</w:t>
            </w:r>
            <w:r w:rsidR="006B701D" w:rsidRPr="002C3191">
              <w:rPr>
                <w:rFonts w:ascii="Arial Narrow" w:hAnsi="Arial Narrow"/>
                <w:sz w:val="20"/>
                <w:szCs w:val="16"/>
              </w:rPr>
              <w:t xml:space="preserve"> 1</w:t>
            </w:r>
          </w:p>
        </w:tc>
        <w:tc>
          <w:tcPr>
            <w:tcW w:w="385" w:type="pct"/>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34</w:t>
            </w:r>
          </w:p>
        </w:tc>
        <w:tc>
          <w:tcPr>
            <w:tcW w:w="1194"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LDV/SOF12</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24 weeks</w:t>
            </w:r>
          </w:p>
        </w:tc>
        <w:tc>
          <w:tcPr>
            <w:tcW w:w="722"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 1, TN, cirr</w:t>
            </w:r>
          </w:p>
        </w:tc>
        <w:tc>
          <w:tcPr>
            <w:tcW w:w="73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SVR12</w:t>
            </w: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ION-2</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1</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109</w:t>
            </w:r>
          </w:p>
        </w:tc>
        <w:tc>
          <w:tcPr>
            <w:tcW w:w="1194"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LDV/SOF12</w:t>
            </w:r>
          </w:p>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24 weeks</w:t>
            </w:r>
          </w:p>
        </w:tc>
        <w:tc>
          <w:tcPr>
            <w:tcW w:w="722" w:type="pct"/>
            <w:shd w:val="clear" w:color="auto" w:fill="auto"/>
            <w:vAlign w:val="center"/>
          </w:tcPr>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 xml:space="preserve">GT 1, TE, </w:t>
            </w:r>
            <w:r w:rsidR="004F3473" w:rsidRPr="002C3191">
              <w:rPr>
                <w:rFonts w:ascii="Arial Narrow" w:hAnsi="Arial Narrow"/>
                <w:sz w:val="20"/>
                <w:szCs w:val="16"/>
              </w:rPr>
              <w:br/>
            </w:r>
            <w:r w:rsidRPr="002C3191">
              <w:rPr>
                <w:rFonts w:ascii="Arial Narrow" w:hAnsi="Arial Narrow"/>
                <w:sz w:val="20"/>
                <w:szCs w:val="16"/>
              </w:rPr>
              <w:t>non-cirr &amp; cirr</w:t>
            </w:r>
          </w:p>
        </w:tc>
        <w:tc>
          <w:tcPr>
            <w:tcW w:w="73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SVR12</w:t>
            </w: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 xml:space="preserve">ION-3 </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1</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215</w:t>
            </w:r>
          </w:p>
        </w:tc>
        <w:tc>
          <w:tcPr>
            <w:tcW w:w="1194"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LDV/SOF8</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24 weeks</w:t>
            </w:r>
          </w:p>
        </w:tc>
        <w:tc>
          <w:tcPr>
            <w:tcW w:w="722"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 xml:space="preserve">GT 1, TN, </w:t>
            </w:r>
            <w:r w:rsidR="000F29AC" w:rsidRPr="00036700">
              <w:rPr>
                <w:rFonts w:ascii="Arial Narrow" w:hAnsi="Arial Narrow"/>
                <w:sz w:val="20"/>
                <w:szCs w:val="16"/>
              </w:rPr>
              <w:br/>
            </w:r>
            <w:r w:rsidRPr="00036700">
              <w:rPr>
                <w:rFonts w:ascii="Arial Narrow" w:hAnsi="Arial Narrow"/>
                <w:sz w:val="20"/>
                <w:szCs w:val="16"/>
              </w:rPr>
              <w:t xml:space="preserve">non-cirr </w:t>
            </w:r>
          </w:p>
        </w:tc>
        <w:tc>
          <w:tcPr>
            <w:tcW w:w="73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A66797" w:rsidRPr="00036700" w:rsidTr="006D3837">
        <w:tc>
          <w:tcPr>
            <w:tcW w:w="570" w:type="pct"/>
            <w:vMerge w:val="restart"/>
            <w:shd w:val="clear" w:color="auto" w:fill="auto"/>
            <w:vAlign w:val="center"/>
          </w:tcPr>
          <w:p w:rsidR="006B701D" w:rsidRPr="00036700" w:rsidRDefault="006B701D" w:rsidP="00277A70">
            <w:pPr>
              <w:widowControl/>
              <w:jc w:val="left"/>
              <w:rPr>
                <w:rFonts w:ascii="Arial Narrow" w:hAnsi="Arial Narrow"/>
                <w:sz w:val="20"/>
                <w:szCs w:val="16"/>
              </w:rPr>
            </w:pPr>
            <w:r w:rsidRPr="00036700">
              <w:rPr>
                <w:rFonts w:ascii="Arial Narrow" w:hAnsi="Arial Narrow"/>
                <w:sz w:val="20"/>
                <w:szCs w:val="16"/>
              </w:rPr>
              <w:t>LONESTAR</w:t>
            </w:r>
          </w:p>
        </w:tc>
        <w:tc>
          <w:tcPr>
            <w:tcW w:w="593" w:type="pct"/>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Group 1</w:t>
            </w:r>
          </w:p>
        </w:tc>
        <w:tc>
          <w:tcPr>
            <w:tcW w:w="385"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20</w:t>
            </w:r>
          </w:p>
        </w:tc>
        <w:tc>
          <w:tcPr>
            <w:tcW w:w="1194"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LDV/SOF8</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24 weeks</w:t>
            </w:r>
          </w:p>
        </w:tc>
        <w:tc>
          <w:tcPr>
            <w:tcW w:w="722"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GT 1, TN,</w:t>
            </w:r>
            <w:r w:rsidR="004F3473" w:rsidRPr="00036700">
              <w:rPr>
                <w:rFonts w:ascii="Arial Narrow" w:hAnsi="Arial Narrow"/>
                <w:sz w:val="20"/>
                <w:szCs w:val="16"/>
              </w:rPr>
              <w:br/>
            </w:r>
            <w:r w:rsidRPr="00036700">
              <w:rPr>
                <w:rFonts w:ascii="Arial Narrow" w:hAnsi="Arial Narrow"/>
                <w:sz w:val="20"/>
                <w:szCs w:val="16"/>
              </w:rPr>
              <w:t xml:space="preserve">non-cirr </w:t>
            </w:r>
          </w:p>
        </w:tc>
        <w:tc>
          <w:tcPr>
            <w:tcW w:w="733" w:type="pct"/>
            <w:vMerge w:val="restar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A66797" w:rsidRPr="00036700" w:rsidTr="006D3837">
        <w:tc>
          <w:tcPr>
            <w:tcW w:w="570" w:type="pct"/>
            <w:vMerge/>
            <w:tcBorders>
              <w:bottom w:val="single" w:sz="4" w:space="0" w:color="auto"/>
            </w:tcBorders>
            <w:shd w:val="clear" w:color="auto" w:fill="auto"/>
            <w:vAlign w:val="center"/>
          </w:tcPr>
          <w:p w:rsidR="006B701D" w:rsidRPr="00036700" w:rsidRDefault="006B701D" w:rsidP="00277A70">
            <w:pPr>
              <w:widowControl/>
              <w:jc w:val="left"/>
              <w:rPr>
                <w:rFonts w:ascii="Arial Narrow" w:hAnsi="Arial Narrow"/>
                <w:sz w:val="20"/>
                <w:szCs w:val="16"/>
              </w:rPr>
            </w:pPr>
          </w:p>
        </w:tc>
        <w:tc>
          <w:tcPr>
            <w:tcW w:w="593" w:type="pct"/>
            <w:tcBorders>
              <w:bottom w:val="single" w:sz="4" w:space="0" w:color="auto"/>
            </w:tcBorders>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Group 4</w:t>
            </w:r>
          </w:p>
        </w:tc>
        <w:tc>
          <w:tcPr>
            <w:tcW w:w="385" w:type="pct"/>
            <w:tcBorders>
              <w:bottom w:val="single" w:sz="4" w:space="0" w:color="auto"/>
            </w:tcBorders>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19</w:t>
            </w:r>
          </w:p>
        </w:tc>
        <w:tc>
          <w:tcPr>
            <w:tcW w:w="1194" w:type="pct"/>
            <w:tcBorders>
              <w:bottom w:val="single" w:sz="4" w:space="0" w:color="auto"/>
            </w:tcBorders>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Single arm of R, OL</w:t>
            </w:r>
          </w:p>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LDV/SOF12</w:t>
            </w:r>
          </w:p>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24 weeks</w:t>
            </w:r>
          </w:p>
        </w:tc>
        <w:tc>
          <w:tcPr>
            <w:tcW w:w="722"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 xml:space="preserve">GT 1, TE, </w:t>
            </w:r>
            <w:r w:rsidR="000F29AC" w:rsidRPr="002C3191">
              <w:rPr>
                <w:rFonts w:ascii="Arial Narrow" w:hAnsi="Arial Narrow"/>
                <w:sz w:val="20"/>
                <w:szCs w:val="16"/>
              </w:rPr>
              <w:br/>
            </w:r>
            <w:r w:rsidRPr="002C3191">
              <w:rPr>
                <w:rFonts w:ascii="Arial Narrow" w:hAnsi="Arial Narrow"/>
                <w:sz w:val="20"/>
                <w:szCs w:val="16"/>
              </w:rPr>
              <w:t>non-cirr &amp; cirr</w:t>
            </w:r>
          </w:p>
        </w:tc>
        <w:tc>
          <w:tcPr>
            <w:tcW w:w="733" w:type="pct"/>
            <w:vMerge/>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sz w:val="20"/>
                <w:szCs w:val="16"/>
              </w:rPr>
            </w:pPr>
          </w:p>
        </w:tc>
      </w:tr>
      <w:tr w:rsidR="006B701D" w:rsidRPr="00036700" w:rsidTr="002F420B">
        <w:tc>
          <w:tcPr>
            <w:tcW w:w="5000" w:type="pct"/>
            <w:gridSpan w:val="7"/>
            <w:shd w:val="clear" w:color="auto" w:fill="D9D9D9" w:themeFill="background1" w:themeFillShade="D9"/>
          </w:tcPr>
          <w:p w:rsidR="006B701D" w:rsidRPr="002C3191" w:rsidRDefault="006B701D" w:rsidP="00277A70">
            <w:pPr>
              <w:widowControl/>
              <w:jc w:val="left"/>
              <w:rPr>
                <w:rFonts w:ascii="Arial Narrow" w:hAnsi="Arial Narrow"/>
                <w:b/>
                <w:sz w:val="20"/>
                <w:szCs w:val="16"/>
              </w:rPr>
            </w:pPr>
            <w:r w:rsidRPr="002C3191">
              <w:rPr>
                <w:rFonts w:ascii="Arial Narrow" w:hAnsi="Arial Narrow"/>
                <w:b/>
                <w:sz w:val="20"/>
                <w:szCs w:val="16"/>
              </w:rPr>
              <w:t>SOF+RBV</w:t>
            </w:r>
          </w:p>
        </w:tc>
      </w:tr>
      <w:tr w:rsidR="00A66797" w:rsidRPr="00036700" w:rsidTr="006D3837">
        <w:tc>
          <w:tcPr>
            <w:tcW w:w="570" w:type="pct"/>
            <w:tcBorders>
              <w:bottom w:val="single" w:sz="4" w:space="0" w:color="auto"/>
            </w:tcBorders>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VALANCE</w:t>
            </w:r>
          </w:p>
        </w:tc>
        <w:tc>
          <w:tcPr>
            <w:tcW w:w="593" w:type="pct"/>
            <w:tcBorders>
              <w:bottom w:val="single" w:sz="4" w:space="0" w:color="auto"/>
            </w:tcBorders>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4</w:t>
            </w:r>
          </w:p>
        </w:tc>
        <w:tc>
          <w:tcPr>
            <w:tcW w:w="385" w:type="pct"/>
            <w:tcBorders>
              <w:bottom w:val="single" w:sz="4" w:space="0" w:color="auto"/>
            </w:tcBorders>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105</w:t>
            </w:r>
          </w:p>
        </w:tc>
        <w:tc>
          <w:tcPr>
            <w:tcW w:w="1194"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Single arm of R, DB</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SOF24+RBV24</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tcBorders>
              <w:bottom w:val="single" w:sz="4" w:space="0" w:color="auto"/>
            </w:tcBorders>
            <w:shd w:val="clear" w:color="auto" w:fill="auto"/>
            <w:vAlign w:val="center"/>
          </w:tcPr>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tcBorders>
              <w:bottom w:val="single" w:sz="4" w:space="0" w:color="auto"/>
            </w:tcBorders>
            <w:shd w:val="clear" w:color="auto" w:fill="auto"/>
            <w:vAlign w:val="center"/>
          </w:tcPr>
          <w:p w:rsidR="006B701D" w:rsidRPr="002C3191" w:rsidRDefault="00A66797" w:rsidP="00277A70">
            <w:pPr>
              <w:widowControl/>
              <w:jc w:val="center"/>
              <w:rPr>
                <w:rFonts w:ascii="Arial Narrow" w:hAnsi="Arial Narrow"/>
                <w:sz w:val="20"/>
                <w:szCs w:val="16"/>
              </w:rPr>
            </w:pPr>
            <w:r w:rsidRPr="002C3191">
              <w:rPr>
                <w:rFonts w:ascii="Arial Narrow" w:hAnsi="Arial Narrow"/>
                <w:sz w:val="20"/>
                <w:szCs w:val="16"/>
              </w:rPr>
              <w:t>GT 3, TN</w:t>
            </w:r>
            <w:r w:rsidR="006B701D" w:rsidRPr="002C3191">
              <w:rPr>
                <w:rFonts w:ascii="Arial Narrow" w:hAnsi="Arial Narrow"/>
                <w:sz w:val="20"/>
                <w:szCs w:val="16"/>
              </w:rPr>
              <w:t xml:space="preserve">, </w:t>
            </w:r>
            <w:r w:rsidR="000F29AC" w:rsidRPr="002C3191">
              <w:rPr>
                <w:rFonts w:ascii="Arial Narrow" w:hAnsi="Arial Narrow"/>
                <w:sz w:val="20"/>
                <w:szCs w:val="16"/>
              </w:rPr>
              <w:br/>
            </w:r>
            <w:r w:rsidR="006B701D" w:rsidRPr="002C3191">
              <w:rPr>
                <w:rFonts w:ascii="Arial Narrow" w:hAnsi="Arial Narrow"/>
                <w:sz w:val="20"/>
                <w:szCs w:val="16"/>
              </w:rPr>
              <w:t>non-cirr &amp; cirr</w:t>
            </w:r>
          </w:p>
        </w:tc>
        <w:tc>
          <w:tcPr>
            <w:tcW w:w="733" w:type="pct"/>
            <w:tcBorders>
              <w:bottom w:val="single" w:sz="4" w:space="0" w:color="auto"/>
            </w:tcBorders>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6B701D" w:rsidRPr="00036700" w:rsidTr="002F420B">
        <w:tc>
          <w:tcPr>
            <w:tcW w:w="5000" w:type="pct"/>
            <w:gridSpan w:val="7"/>
            <w:shd w:val="clear" w:color="auto" w:fill="D9D9D9" w:themeFill="background1" w:themeFillShade="D9"/>
          </w:tcPr>
          <w:p w:rsidR="006B701D" w:rsidRPr="002C3191" w:rsidRDefault="006B701D" w:rsidP="00277A70">
            <w:pPr>
              <w:widowControl/>
              <w:jc w:val="left"/>
              <w:rPr>
                <w:rFonts w:ascii="Arial Narrow" w:hAnsi="Arial Narrow"/>
                <w:b/>
                <w:sz w:val="20"/>
                <w:szCs w:val="16"/>
              </w:rPr>
            </w:pPr>
            <w:r w:rsidRPr="002C3191">
              <w:rPr>
                <w:rFonts w:ascii="Arial Narrow" w:hAnsi="Arial Narrow"/>
                <w:b/>
                <w:sz w:val="20"/>
                <w:szCs w:val="16"/>
              </w:rPr>
              <w:t>SOF+PR</w:t>
            </w: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NEUTRINO</w:t>
            </w:r>
          </w:p>
        </w:tc>
        <w:tc>
          <w:tcPr>
            <w:tcW w:w="593" w:type="pct"/>
            <w:vAlign w:val="center"/>
          </w:tcPr>
          <w:p w:rsidR="006B701D" w:rsidRPr="002C3191" w:rsidRDefault="00CF4851" w:rsidP="00277A70">
            <w:pPr>
              <w:widowControl/>
              <w:jc w:val="center"/>
              <w:rPr>
                <w:rFonts w:ascii="Arial Narrow" w:hAnsi="Arial Narrow"/>
                <w:sz w:val="20"/>
                <w:szCs w:val="16"/>
              </w:rPr>
            </w:pPr>
            <w:r w:rsidRPr="002C3191">
              <w:rPr>
                <w:rFonts w:ascii="Arial Narrow" w:hAnsi="Arial Narrow"/>
                <w:sz w:val="20"/>
                <w:szCs w:val="16"/>
              </w:rPr>
              <w:t>Single-arm</w:t>
            </w:r>
          </w:p>
        </w:tc>
        <w:tc>
          <w:tcPr>
            <w:tcW w:w="385"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3</w:t>
            </w:r>
            <w:r w:rsidR="00A66797" w:rsidRPr="002C3191">
              <w:rPr>
                <w:rFonts w:ascii="Arial Narrow" w:hAnsi="Arial Narrow"/>
                <w:sz w:val="20"/>
                <w:szCs w:val="16"/>
              </w:rPr>
              <w:t>4</w:t>
            </w:r>
          </w:p>
        </w:tc>
        <w:tc>
          <w:tcPr>
            <w:tcW w:w="1194"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NC</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SOF12+PR12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24 weeks</w:t>
            </w:r>
          </w:p>
        </w:tc>
        <w:tc>
          <w:tcPr>
            <w:tcW w:w="722" w:type="pct"/>
            <w:shd w:val="clear" w:color="auto" w:fill="auto"/>
            <w:vAlign w:val="center"/>
          </w:tcPr>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GT</w:t>
            </w:r>
            <w:r w:rsidR="00A66797" w:rsidRPr="002C3191">
              <w:rPr>
                <w:rFonts w:ascii="Arial Narrow" w:hAnsi="Arial Narrow"/>
                <w:sz w:val="20"/>
                <w:szCs w:val="16"/>
              </w:rPr>
              <w:t xml:space="preserve"> 4/6</w:t>
            </w:r>
            <w:r w:rsidRPr="002C3191">
              <w:rPr>
                <w:rFonts w:ascii="Arial Narrow" w:hAnsi="Arial Narrow"/>
                <w:sz w:val="20"/>
                <w:szCs w:val="16"/>
              </w:rPr>
              <w:t xml:space="preserve">, TN, </w:t>
            </w:r>
            <w:r w:rsidR="000F29AC" w:rsidRPr="002C3191">
              <w:rPr>
                <w:rFonts w:ascii="Arial Narrow" w:hAnsi="Arial Narrow"/>
                <w:sz w:val="20"/>
                <w:szCs w:val="16"/>
              </w:rPr>
              <w:br/>
            </w:r>
            <w:r w:rsidRPr="002C3191">
              <w:rPr>
                <w:rFonts w:ascii="Arial Narrow" w:hAnsi="Arial Narrow"/>
                <w:sz w:val="20"/>
                <w:szCs w:val="16"/>
              </w:rPr>
              <w:t xml:space="preserve">non-cirr &amp; cirr </w:t>
            </w:r>
          </w:p>
        </w:tc>
        <w:tc>
          <w:tcPr>
            <w:tcW w:w="73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r w:rsidR="00A66797" w:rsidRPr="00036700" w:rsidTr="006D3837">
        <w:tc>
          <w:tcPr>
            <w:tcW w:w="570" w:type="pct"/>
            <w:shd w:val="clear" w:color="auto" w:fill="auto"/>
            <w:vAlign w:val="center"/>
          </w:tcPr>
          <w:p w:rsidR="006B701D" w:rsidRPr="002C3191" w:rsidRDefault="006B701D" w:rsidP="00277A70">
            <w:pPr>
              <w:widowControl/>
              <w:jc w:val="left"/>
              <w:rPr>
                <w:rFonts w:ascii="Arial Narrow" w:hAnsi="Arial Narrow"/>
                <w:sz w:val="20"/>
                <w:szCs w:val="16"/>
              </w:rPr>
            </w:pPr>
            <w:r w:rsidRPr="002C3191">
              <w:rPr>
                <w:rFonts w:ascii="Arial Narrow" w:hAnsi="Arial Narrow"/>
                <w:sz w:val="20"/>
                <w:szCs w:val="16"/>
              </w:rPr>
              <w:t>Wehmeyer</w:t>
            </w:r>
          </w:p>
        </w:tc>
        <w:tc>
          <w:tcPr>
            <w:tcW w:w="593" w:type="pct"/>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Group 1</w:t>
            </w:r>
          </w:p>
        </w:tc>
        <w:tc>
          <w:tcPr>
            <w:tcW w:w="385" w:type="pct"/>
            <w:shd w:val="clear" w:color="auto" w:fill="auto"/>
            <w:vAlign w:val="center"/>
          </w:tcPr>
          <w:p w:rsidR="006B701D" w:rsidRPr="002C3191" w:rsidRDefault="00EF5F80" w:rsidP="00277A70">
            <w:pPr>
              <w:widowControl/>
              <w:jc w:val="center"/>
              <w:rPr>
                <w:rFonts w:ascii="Arial Narrow" w:hAnsi="Arial Narrow"/>
                <w:sz w:val="20"/>
                <w:szCs w:val="16"/>
              </w:rPr>
            </w:pPr>
            <w:r w:rsidRPr="002C3191">
              <w:rPr>
                <w:rFonts w:ascii="Arial Narrow" w:hAnsi="Arial Narrow"/>
                <w:sz w:val="20"/>
                <w:szCs w:val="16"/>
              </w:rPr>
              <w:t>11</w:t>
            </w:r>
          </w:p>
        </w:tc>
        <w:tc>
          <w:tcPr>
            <w:tcW w:w="1194" w:type="pct"/>
            <w:shd w:val="clear" w:color="auto" w:fill="auto"/>
            <w:vAlign w:val="center"/>
          </w:tcPr>
          <w:p w:rsidR="006B701D" w:rsidRPr="002C3191" w:rsidRDefault="004A6673" w:rsidP="00277A70">
            <w:pPr>
              <w:widowControl/>
              <w:jc w:val="center"/>
              <w:rPr>
                <w:rFonts w:ascii="Arial Narrow" w:hAnsi="Arial Narrow"/>
                <w:sz w:val="20"/>
                <w:szCs w:val="16"/>
              </w:rPr>
            </w:pPr>
            <w:r w:rsidRPr="002C3191">
              <w:rPr>
                <w:rFonts w:ascii="Arial Narrow" w:hAnsi="Arial Narrow"/>
                <w:sz w:val="20"/>
                <w:szCs w:val="16"/>
              </w:rPr>
              <w:t>Single arm of</w:t>
            </w:r>
            <w:r w:rsidR="00DD0768" w:rsidRPr="002C3191">
              <w:rPr>
                <w:rFonts w:ascii="Arial Narrow" w:hAnsi="Arial Narrow"/>
                <w:sz w:val="20"/>
                <w:szCs w:val="16"/>
              </w:rPr>
              <w:t xml:space="preserve"> C</w:t>
            </w:r>
            <w:r w:rsidR="006B701D" w:rsidRPr="002C3191">
              <w:rPr>
                <w:rFonts w:ascii="Arial Narrow" w:hAnsi="Arial Narrow"/>
                <w:sz w:val="20"/>
                <w:szCs w:val="16"/>
              </w:rPr>
              <w:t>, OL</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SOF12+PR12</w:t>
            </w:r>
          </w:p>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NR</w:t>
            </w:r>
          </w:p>
        </w:tc>
        <w:tc>
          <w:tcPr>
            <w:tcW w:w="722" w:type="pct"/>
            <w:shd w:val="clear" w:color="auto" w:fill="auto"/>
            <w:vAlign w:val="center"/>
          </w:tcPr>
          <w:p w:rsidR="006B701D" w:rsidRPr="002C3191" w:rsidRDefault="006B701D" w:rsidP="00277A70">
            <w:pPr>
              <w:widowControl/>
              <w:jc w:val="center"/>
              <w:rPr>
                <w:rFonts w:ascii="Arial Narrow" w:hAnsi="Arial Narrow"/>
                <w:sz w:val="20"/>
                <w:szCs w:val="16"/>
              </w:rPr>
            </w:pPr>
            <w:r w:rsidRPr="00036700">
              <w:rPr>
                <w:rFonts w:ascii="Arial Narrow" w:hAnsi="Arial Narrow"/>
                <w:sz w:val="20"/>
                <w:szCs w:val="16"/>
              </w:rPr>
              <w:t>High</w:t>
            </w:r>
          </w:p>
        </w:tc>
        <w:tc>
          <w:tcPr>
            <w:tcW w:w="803" w:type="pct"/>
            <w:shd w:val="clear" w:color="auto" w:fill="auto"/>
            <w:vAlign w:val="center"/>
          </w:tcPr>
          <w:p w:rsidR="006B701D" w:rsidRPr="002C3191" w:rsidRDefault="006B701D" w:rsidP="00277A70">
            <w:pPr>
              <w:widowControl/>
              <w:jc w:val="center"/>
              <w:rPr>
                <w:rFonts w:ascii="Arial Narrow" w:hAnsi="Arial Narrow"/>
                <w:sz w:val="20"/>
                <w:szCs w:val="16"/>
              </w:rPr>
            </w:pPr>
            <w:r w:rsidRPr="002C3191">
              <w:rPr>
                <w:rFonts w:ascii="Arial Narrow" w:hAnsi="Arial Narrow"/>
                <w:sz w:val="20"/>
                <w:szCs w:val="16"/>
              </w:rPr>
              <w:t xml:space="preserve">GT 4, TN, </w:t>
            </w:r>
            <w:r w:rsidR="000F29AC" w:rsidRPr="002C3191">
              <w:rPr>
                <w:rFonts w:ascii="Arial Narrow" w:hAnsi="Arial Narrow"/>
                <w:sz w:val="20"/>
                <w:szCs w:val="16"/>
              </w:rPr>
              <w:br/>
            </w:r>
            <w:r w:rsidRPr="002C3191">
              <w:rPr>
                <w:rFonts w:ascii="Arial Narrow" w:hAnsi="Arial Narrow"/>
                <w:sz w:val="20"/>
                <w:szCs w:val="16"/>
              </w:rPr>
              <w:t>non-cirr &amp; cirr</w:t>
            </w:r>
          </w:p>
        </w:tc>
        <w:tc>
          <w:tcPr>
            <w:tcW w:w="733" w:type="pct"/>
            <w:shd w:val="clear" w:color="auto" w:fill="auto"/>
            <w:vAlign w:val="center"/>
          </w:tcPr>
          <w:p w:rsidR="006B701D" w:rsidRPr="00036700" w:rsidRDefault="006B701D" w:rsidP="00277A70">
            <w:pPr>
              <w:widowControl/>
              <w:jc w:val="center"/>
              <w:rPr>
                <w:rFonts w:ascii="Arial Narrow" w:hAnsi="Arial Narrow"/>
                <w:sz w:val="20"/>
                <w:szCs w:val="16"/>
              </w:rPr>
            </w:pPr>
            <w:r w:rsidRPr="00036700">
              <w:rPr>
                <w:rFonts w:ascii="Arial Narrow" w:hAnsi="Arial Narrow"/>
                <w:sz w:val="20"/>
                <w:szCs w:val="16"/>
              </w:rPr>
              <w:t>SVR12</w:t>
            </w:r>
          </w:p>
        </w:tc>
      </w:tr>
    </w:tbl>
    <w:p w:rsidR="006B701D" w:rsidRPr="00036700" w:rsidRDefault="00DD0768" w:rsidP="00277A70">
      <w:pPr>
        <w:pStyle w:val="TableFooter"/>
        <w:widowControl/>
        <w:ind w:left="737"/>
      </w:pPr>
      <w:r w:rsidRPr="00036700">
        <w:t xml:space="preserve">C = comparative; </w:t>
      </w:r>
      <w:r w:rsidR="006B701D" w:rsidRPr="00036700">
        <w:t>Cirr = cirrhotic; DB</w:t>
      </w:r>
      <w:r w:rsidR="00DD5B59" w:rsidRPr="00036700">
        <w:t xml:space="preserve"> </w:t>
      </w:r>
      <w:r w:rsidR="006B701D" w:rsidRPr="00036700">
        <w:t>=</w:t>
      </w:r>
      <w:r w:rsidR="00DD5B59" w:rsidRPr="00036700">
        <w:t xml:space="preserve"> </w:t>
      </w:r>
      <w:r w:rsidR="006B701D" w:rsidRPr="00036700">
        <w:t xml:space="preserve">double blind; EBR = elbasvir; GRZ = grazoprevir; GT = genotype; </w:t>
      </w:r>
      <w:r w:rsidR="000D05BB" w:rsidRPr="00036700">
        <w:t xml:space="preserve">LDV = ledipasvir; </w:t>
      </w:r>
      <w:r w:rsidR="006B701D" w:rsidRPr="00036700">
        <w:t xml:space="preserve">NC = non-comparative; </w:t>
      </w:r>
      <w:r w:rsidR="00F71B91" w:rsidRPr="00036700">
        <w:t xml:space="preserve">NR = not reported; </w:t>
      </w:r>
      <w:r w:rsidR="006B701D" w:rsidRPr="00036700">
        <w:t>OL</w:t>
      </w:r>
      <w:r w:rsidR="00DD5B59" w:rsidRPr="00036700">
        <w:t xml:space="preserve"> </w:t>
      </w:r>
      <w:r w:rsidR="006B701D" w:rsidRPr="00036700">
        <w:t>=</w:t>
      </w:r>
      <w:r w:rsidR="00DD5B59" w:rsidRPr="00036700">
        <w:t xml:space="preserve"> </w:t>
      </w:r>
      <w:r w:rsidR="006B701D" w:rsidRPr="00036700">
        <w:t xml:space="preserve">open label; </w:t>
      </w:r>
      <w:r w:rsidR="00A66797" w:rsidRPr="00036700">
        <w:t xml:space="preserve">OTVF = on-treatment virologic failure; PP = prior relapser; </w:t>
      </w:r>
      <w:r w:rsidR="006B701D" w:rsidRPr="00036700">
        <w:t>PR = peginterferon and ribavirin; R</w:t>
      </w:r>
      <w:r w:rsidR="00DD5B59" w:rsidRPr="00036700">
        <w:t xml:space="preserve"> </w:t>
      </w:r>
      <w:r w:rsidR="006B701D" w:rsidRPr="00036700">
        <w:t>=</w:t>
      </w:r>
      <w:r w:rsidR="00DD5B59" w:rsidRPr="00036700">
        <w:t xml:space="preserve"> </w:t>
      </w:r>
      <w:r w:rsidR="006B701D" w:rsidRPr="00036700">
        <w:t>randomised; RBV = ribavirin; SOF = sofosbuvir; SVR = sustained virologic response; TE</w:t>
      </w:r>
      <w:r w:rsidR="00DD5B59" w:rsidRPr="00036700">
        <w:t xml:space="preserve"> </w:t>
      </w:r>
      <w:r w:rsidR="006B701D" w:rsidRPr="00036700">
        <w:t>= treatment-experienced; TN = treatment-naive</w:t>
      </w:r>
    </w:p>
    <w:p w:rsidR="006B701D" w:rsidRPr="00036700" w:rsidRDefault="006B701D" w:rsidP="00277A70">
      <w:pPr>
        <w:pStyle w:val="TableFooter"/>
        <w:widowControl/>
        <w:ind w:left="737"/>
      </w:pPr>
      <w:proofErr w:type="gramStart"/>
      <w:r w:rsidRPr="00036700">
        <w:rPr>
          <w:vertAlign w:val="superscript"/>
        </w:rPr>
        <w:t>a</w:t>
      </w:r>
      <w:proofErr w:type="gramEnd"/>
      <w:r w:rsidRPr="00036700">
        <w:t xml:space="preserve"> </w:t>
      </w:r>
      <w:r w:rsidR="00DD5B59" w:rsidRPr="00036700">
        <w:t>T</w:t>
      </w:r>
      <w:r w:rsidRPr="00036700">
        <w:t>reatment arms involved patients who were treated with treatment regimen</w:t>
      </w:r>
      <w:r w:rsidR="00DC28EF" w:rsidRPr="00036700">
        <w:t>s recommended by the PBAC and/or product information documents</w:t>
      </w:r>
      <w:r w:rsidRPr="00036700">
        <w:t>.</w:t>
      </w:r>
      <w:r w:rsidR="00E77627" w:rsidRPr="00036700">
        <w:t xml:space="preserve"> </w:t>
      </w:r>
    </w:p>
    <w:p w:rsidR="00DC28EF" w:rsidRPr="00036700" w:rsidRDefault="006B701D" w:rsidP="00277A70">
      <w:pPr>
        <w:pStyle w:val="TableFooter"/>
        <w:widowControl/>
        <w:ind w:left="737"/>
      </w:pPr>
      <w:proofErr w:type="gramStart"/>
      <w:r w:rsidRPr="00036700">
        <w:rPr>
          <w:vertAlign w:val="superscript"/>
        </w:rPr>
        <w:t>b</w:t>
      </w:r>
      <w:proofErr w:type="gramEnd"/>
      <w:r w:rsidRPr="00036700">
        <w:t xml:space="preserve"> </w:t>
      </w:r>
      <w:r w:rsidR="0013287F" w:rsidRPr="00036700">
        <w:t xml:space="preserve">Number of patients </w:t>
      </w:r>
      <w:r w:rsidR="00FA23F4" w:rsidRPr="00036700">
        <w:t xml:space="preserve">included </w:t>
      </w:r>
      <w:r w:rsidR="0013287F" w:rsidRPr="00036700">
        <w:t xml:space="preserve">for </w:t>
      </w:r>
      <w:r w:rsidR="00BC4CCB" w:rsidRPr="00036700">
        <w:t xml:space="preserve">analysis of </w:t>
      </w:r>
      <w:r w:rsidR="0013287F" w:rsidRPr="00036700">
        <w:t xml:space="preserve">SVR. </w:t>
      </w:r>
      <w:r w:rsidR="00FA23F4" w:rsidRPr="00036700">
        <w:t>In</w:t>
      </w:r>
      <w:r w:rsidR="0013287F" w:rsidRPr="00036700">
        <w:t xml:space="preserve"> relevant treatment arms, p</w:t>
      </w:r>
      <w:r w:rsidR="00DC28EF" w:rsidRPr="00036700">
        <w:t xml:space="preserve">atients who </w:t>
      </w:r>
      <w:r w:rsidR="0013287F" w:rsidRPr="00036700">
        <w:t xml:space="preserve">were not the PBS target population and/or </w:t>
      </w:r>
      <w:r w:rsidR="00DC28EF" w:rsidRPr="00036700">
        <w:t xml:space="preserve">did not receive </w:t>
      </w:r>
      <w:r w:rsidR="004A6673" w:rsidRPr="00036700">
        <w:t xml:space="preserve">the </w:t>
      </w:r>
      <w:r w:rsidR="00DC28EF" w:rsidRPr="00036700">
        <w:t>recommended treatment regimens were excluded</w:t>
      </w:r>
      <w:r w:rsidR="00961481" w:rsidRPr="00036700">
        <w:t xml:space="preserve"> from SVR analysis</w:t>
      </w:r>
      <w:r w:rsidR="0013287F" w:rsidRPr="00036700">
        <w:t>, but included for safety analysis</w:t>
      </w:r>
      <w:r w:rsidR="00DC28EF" w:rsidRPr="00036700">
        <w:t xml:space="preserve">. </w:t>
      </w:r>
    </w:p>
    <w:p w:rsidR="006B701D" w:rsidRPr="00036700" w:rsidRDefault="00DC28EF" w:rsidP="00277A70">
      <w:pPr>
        <w:pStyle w:val="TableFooter"/>
        <w:widowControl/>
        <w:ind w:left="737"/>
        <w:rPr>
          <w:i/>
        </w:rPr>
      </w:pPr>
      <w:proofErr w:type="gramStart"/>
      <w:r w:rsidRPr="00036700">
        <w:rPr>
          <w:vertAlign w:val="superscript"/>
        </w:rPr>
        <w:t>c</w:t>
      </w:r>
      <w:proofErr w:type="gramEnd"/>
      <w:r w:rsidRPr="00036700">
        <w:t xml:space="preserve"> </w:t>
      </w:r>
      <w:r w:rsidR="006B701D" w:rsidRPr="00036700">
        <w:t xml:space="preserve">Refers to bias associated with indirect comparison between </w:t>
      </w:r>
      <w:r w:rsidR="008C096D" w:rsidRPr="00036700">
        <w:t>GRZ/EBR</w:t>
      </w:r>
      <w:r w:rsidR="006B701D" w:rsidRPr="00036700">
        <w:t xml:space="preserve"> and </w:t>
      </w:r>
      <w:r w:rsidR="004A6673" w:rsidRPr="00036700">
        <w:t>active comparators</w:t>
      </w:r>
      <w:r w:rsidR="006B701D" w:rsidRPr="00036700">
        <w:t xml:space="preserve">. </w:t>
      </w:r>
      <w:r w:rsidR="006B701D" w:rsidRPr="00036700">
        <w:rPr>
          <w:i/>
        </w:rPr>
        <w:t>There is a high risk of bias associated with the indirect comparison with active HCV therapies, and low risk of bias versus no treatment.</w:t>
      </w:r>
    </w:p>
    <w:p w:rsidR="00965E1D" w:rsidRPr="00036700" w:rsidRDefault="00EF5F80" w:rsidP="00277A70">
      <w:pPr>
        <w:pStyle w:val="TableFooter"/>
        <w:widowControl/>
        <w:ind w:left="737"/>
        <w:rPr>
          <w:i/>
        </w:rPr>
      </w:pPr>
      <w:proofErr w:type="gramStart"/>
      <w:r w:rsidRPr="00036700">
        <w:rPr>
          <w:i/>
          <w:vertAlign w:val="superscript"/>
        </w:rPr>
        <w:t>d</w:t>
      </w:r>
      <w:proofErr w:type="gramEnd"/>
      <w:r w:rsidR="00965E1D" w:rsidRPr="00036700">
        <w:rPr>
          <w:i/>
        </w:rPr>
        <w:t xml:space="preserve"> </w:t>
      </w:r>
      <w:r w:rsidR="00245E8A" w:rsidRPr="00036700">
        <w:rPr>
          <w:i/>
        </w:rPr>
        <w:t>There is a low risk of bias versus no treatment (for safety</w:t>
      </w:r>
      <w:r w:rsidR="004A6673" w:rsidRPr="00036700">
        <w:rPr>
          <w:i/>
        </w:rPr>
        <w:t xml:space="preserve"> outcome</w:t>
      </w:r>
      <w:r w:rsidR="00245E8A" w:rsidRPr="00036700">
        <w:rPr>
          <w:i/>
        </w:rPr>
        <w:t>).</w:t>
      </w:r>
    </w:p>
    <w:p w:rsidR="006B701D" w:rsidRPr="00036700" w:rsidRDefault="00965E1D" w:rsidP="00277A70">
      <w:pPr>
        <w:pStyle w:val="TableFooter"/>
        <w:widowControl/>
        <w:ind w:left="737"/>
        <w:rPr>
          <w:i/>
        </w:rPr>
      </w:pPr>
      <w:proofErr w:type="gramStart"/>
      <w:r w:rsidRPr="00036700">
        <w:rPr>
          <w:i/>
          <w:vertAlign w:val="superscript"/>
        </w:rPr>
        <w:t>e</w:t>
      </w:r>
      <w:proofErr w:type="gramEnd"/>
      <w:r w:rsidRPr="00036700">
        <w:rPr>
          <w:i/>
        </w:rPr>
        <w:t xml:space="preserve"> </w:t>
      </w:r>
      <w:r w:rsidR="006B701D" w:rsidRPr="00036700">
        <w:rPr>
          <w:i/>
        </w:rPr>
        <w:t xml:space="preserve">Risk of bias is </w:t>
      </w:r>
      <w:r w:rsidR="00EC4ED2" w:rsidRPr="00036700">
        <w:rPr>
          <w:i/>
        </w:rPr>
        <w:t>low</w:t>
      </w:r>
      <w:r w:rsidR="006B701D" w:rsidRPr="00036700">
        <w:rPr>
          <w:i/>
        </w:rPr>
        <w:t xml:space="preserve"> for </w:t>
      </w:r>
      <w:r w:rsidR="00EF5F80" w:rsidRPr="00036700">
        <w:rPr>
          <w:i/>
        </w:rPr>
        <w:t xml:space="preserve">the </w:t>
      </w:r>
      <w:r w:rsidR="006B701D" w:rsidRPr="00036700">
        <w:rPr>
          <w:i/>
        </w:rPr>
        <w:t>comparison between GRZ/EBR±RBV versus no treatment (</w:t>
      </w:r>
      <w:r w:rsidR="00245E8A" w:rsidRPr="00036700">
        <w:rPr>
          <w:i/>
        </w:rPr>
        <w:t xml:space="preserve">for </w:t>
      </w:r>
      <w:r w:rsidR="006B701D" w:rsidRPr="00036700">
        <w:rPr>
          <w:i/>
        </w:rPr>
        <w:t>genotype 4 or 6 treatment-experienced patients).</w:t>
      </w:r>
    </w:p>
    <w:p w:rsidR="00AC5B25" w:rsidRPr="00036700" w:rsidRDefault="00965E1D" w:rsidP="00277A70">
      <w:pPr>
        <w:pStyle w:val="TableFooter"/>
        <w:widowControl/>
        <w:ind w:left="737"/>
        <w:rPr>
          <w:b/>
        </w:rPr>
      </w:pPr>
      <w:r w:rsidRPr="00036700">
        <w:rPr>
          <w:vertAlign w:val="superscript"/>
        </w:rPr>
        <w:t>f</w:t>
      </w:r>
      <w:r w:rsidR="00AC5B25" w:rsidRPr="00036700">
        <w:t xml:space="preserve"> Patients in </w:t>
      </w:r>
      <w:r w:rsidR="0076674E" w:rsidRPr="00036700">
        <w:t>studies</w:t>
      </w:r>
      <w:r w:rsidR="00AC5B25" w:rsidRPr="00036700">
        <w:t xml:space="preserve"> C-WORTHY, C-SALVAGE and C-SCAPE were not given one fixed dose combination tablet of GRZ/EBR (10</w:t>
      </w:r>
      <w:r w:rsidR="006D3837" w:rsidRPr="00036700">
        <w:t>0 mg</w:t>
      </w:r>
      <w:r w:rsidR="00AC5B25" w:rsidRPr="00036700">
        <w:t>/5</w:t>
      </w:r>
      <w:r w:rsidR="006D3837" w:rsidRPr="00036700">
        <w:t>0 mg</w:t>
      </w:r>
      <w:r w:rsidR="00AC5B25" w:rsidRPr="00036700">
        <w:t>) daily, but took one GRZ  tablet (10</w:t>
      </w:r>
      <w:r w:rsidR="006D3837" w:rsidRPr="00036700">
        <w:t>0 mg</w:t>
      </w:r>
      <w:r w:rsidR="00AC5B25" w:rsidRPr="00036700">
        <w:t>) plus one EBR  tablet (5</w:t>
      </w:r>
      <w:r w:rsidR="006D3837" w:rsidRPr="00036700">
        <w:t>0 mg</w:t>
      </w:r>
      <w:r w:rsidR="00AC5B25" w:rsidRPr="00036700">
        <w:t>) every day.</w:t>
      </w:r>
    </w:p>
    <w:p w:rsidR="006B701D" w:rsidRPr="00036700" w:rsidRDefault="006B701D" w:rsidP="00277A70">
      <w:pPr>
        <w:pStyle w:val="TableFooter"/>
        <w:widowControl/>
        <w:ind w:left="737"/>
      </w:pPr>
      <w:r w:rsidRPr="00036700">
        <w:t>Source: compiled during the evaluation</w:t>
      </w:r>
    </w:p>
    <w:p w:rsidR="009A0F61" w:rsidRPr="00036700" w:rsidRDefault="009A0F61" w:rsidP="00277A70">
      <w:pPr>
        <w:widowControl/>
      </w:pPr>
    </w:p>
    <w:p w:rsidR="006B701D" w:rsidRPr="00036700" w:rsidRDefault="00D91C75" w:rsidP="00D9008B">
      <w:pPr>
        <w:pStyle w:val="ListParagraph"/>
        <w:widowControl/>
        <w:numPr>
          <w:ilvl w:val="1"/>
          <w:numId w:val="1"/>
        </w:numPr>
        <w:rPr>
          <w:szCs w:val="22"/>
        </w:rPr>
      </w:pPr>
      <w:r w:rsidRPr="00036700">
        <w:rPr>
          <w:szCs w:val="22"/>
        </w:rPr>
        <w:t>There were six studies of GRZ/EB</w:t>
      </w:r>
      <w:r w:rsidR="008167E2" w:rsidRPr="00036700">
        <w:rPr>
          <w:szCs w:val="22"/>
        </w:rPr>
        <w:t>R</w:t>
      </w:r>
      <w:r w:rsidRPr="00036700">
        <w:rPr>
          <w:szCs w:val="22"/>
        </w:rPr>
        <w:t>±RBV or SOF</w:t>
      </w:r>
      <w:r w:rsidR="000F29AC" w:rsidRPr="00036700">
        <w:rPr>
          <w:szCs w:val="22"/>
        </w:rPr>
        <w:t>. These studies</w:t>
      </w:r>
      <w:r w:rsidR="00DD5B59" w:rsidRPr="00036700">
        <w:rPr>
          <w:szCs w:val="22"/>
        </w:rPr>
        <w:t xml:space="preserve"> </w:t>
      </w:r>
      <w:r w:rsidRPr="00036700">
        <w:rPr>
          <w:szCs w:val="22"/>
        </w:rPr>
        <w:t>compar</w:t>
      </w:r>
      <w:r w:rsidR="000F29AC" w:rsidRPr="00036700">
        <w:rPr>
          <w:szCs w:val="22"/>
        </w:rPr>
        <w:t>ed</w:t>
      </w:r>
      <w:r w:rsidRPr="00036700">
        <w:rPr>
          <w:szCs w:val="22"/>
        </w:rPr>
        <w:t xml:space="preserve"> </w:t>
      </w:r>
      <w:r w:rsidR="005C56BF" w:rsidRPr="00036700">
        <w:rPr>
          <w:szCs w:val="22"/>
        </w:rPr>
        <w:t>GRZ/EBR therapies</w:t>
      </w:r>
      <w:r w:rsidRPr="00036700">
        <w:rPr>
          <w:szCs w:val="22"/>
        </w:rPr>
        <w:t xml:space="preserve"> with placebo (C-EDGE TN)</w:t>
      </w:r>
      <w:r w:rsidR="00DD5B59" w:rsidRPr="00036700">
        <w:rPr>
          <w:szCs w:val="22"/>
        </w:rPr>
        <w:t xml:space="preserve">, </w:t>
      </w:r>
      <w:r w:rsidR="0053481D" w:rsidRPr="00036700">
        <w:rPr>
          <w:szCs w:val="22"/>
        </w:rPr>
        <w:t xml:space="preserve">investigated </w:t>
      </w:r>
      <w:r w:rsidR="008C5C08" w:rsidRPr="00036700">
        <w:rPr>
          <w:szCs w:val="22"/>
        </w:rPr>
        <w:t xml:space="preserve">different </w:t>
      </w:r>
      <w:r w:rsidR="005C56BF" w:rsidRPr="00036700">
        <w:rPr>
          <w:szCs w:val="22"/>
        </w:rPr>
        <w:t xml:space="preserve">treatment </w:t>
      </w:r>
      <w:r w:rsidR="008C5C08" w:rsidRPr="00036700">
        <w:rPr>
          <w:szCs w:val="22"/>
        </w:rPr>
        <w:t>regimens of GRZ/EB</w:t>
      </w:r>
      <w:r w:rsidR="008167E2" w:rsidRPr="00036700">
        <w:rPr>
          <w:szCs w:val="22"/>
        </w:rPr>
        <w:t>R</w:t>
      </w:r>
      <w:r w:rsidR="008C5C08" w:rsidRPr="00036700">
        <w:rPr>
          <w:szCs w:val="22"/>
        </w:rPr>
        <w:t xml:space="preserve"> therapies</w:t>
      </w:r>
      <w:r w:rsidRPr="00036700">
        <w:rPr>
          <w:szCs w:val="22"/>
        </w:rPr>
        <w:t xml:space="preserve"> (C-EDGE TE,</w:t>
      </w:r>
      <w:r w:rsidR="00277A70" w:rsidRPr="00036700">
        <w:rPr>
          <w:szCs w:val="22"/>
        </w:rPr>
        <w:t xml:space="preserve"> C-WORTHY, C-SWIFT and C</w:t>
      </w:r>
      <w:r w:rsidR="00277A70" w:rsidRPr="00036700">
        <w:rPr>
          <w:szCs w:val="22"/>
        </w:rPr>
        <w:noBreakHyphen/>
      </w:r>
      <w:r w:rsidR="008C5C08" w:rsidRPr="00036700">
        <w:rPr>
          <w:szCs w:val="22"/>
        </w:rPr>
        <w:t xml:space="preserve">SCAPE) </w:t>
      </w:r>
      <w:r w:rsidRPr="00036700">
        <w:rPr>
          <w:szCs w:val="22"/>
        </w:rPr>
        <w:t xml:space="preserve">or </w:t>
      </w:r>
      <w:r w:rsidR="0053481D" w:rsidRPr="00036700">
        <w:rPr>
          <w:szCs w:val="22"/>
        </w:rPr>
        <w:t xml:space="preserve">were </w:t>
      </w:r>
      <w:r w:rsidRPr="00036700">
        <w:rPr>
          <w:szCs w:val="22"/>
        </w:rPr>
        <w:t>non-comparative (</w:t>
      </w:r>
      <w:r w:rsidR="008C5C08" w:rsidRPr="00036700">
        <w:rPr>
          <w:szCs w:val="22"/>
        </w:rPr>
        <w:t>C-SALVAGE</w:t>
      </w:r>
      <w:r w:rsidRPr="00036700">
        <w:rPr>
          <w:szCs w:val="22"/>
        </w:rPr>
        <w:t xml:space="preserve">). </w:t>
      </w:r>
      <w:r w:rsidR="00416609" w:rsidRPr="00036700">
        <w:rPr>
          <w:szCs w:val="22"/>
        </w:rPr>
        <w:t>Of the seven studies</w:t>
      </w:r>
      <w:r w:rsidR="002E4470" w:rsidRPr="00036700">
        <w:rPr>
          <w:szCs w:val="22"/>
        </w:rPr>
        <w:t xml:space="preserve"> of LDV/SOF or SOF+P</w:t>
      </w:r>
      <w:r w:rsidR="0053481D" w:rsidRPr="00036700">
        <w:rPr>
          <w:szCs w:val="22"/>
        </w:rPr>
        <w:t>R</w:t>
      </w:r>
      <w:r w:rsidR="00416609" w:rsidRPr="00036700">
        <w:rPr>
          <w:szCs w:val="22"/>
        </w:rPr>
        <w:t xml:space="preserve">, </w:t>
      </w:r>
      <w:r w:rsidR="006F4B6D" w:rsidRPr="00036700">
        <w:rPr>
          <w:szCs w:val="22"/>
        </w:rPr>
        <w:t>five</w:t>
      </w:r>
      <w:r w:rsidR="007A2F0C" w:rsidRPr="00036700">
        <w:rPr>
          <w:szCs w:val="22"/>
        </w:rPr>
        <w:t xml:space="preserve"> compared different regimens of </w:t>
      </w:r>
      <w:r w:rsidR="005C56BF" w:rsidRPr="00036700">
        <w:rPr>
          <w:szCs w:val="22"/>
        </w:rPr>
        <w:t xml:space="preserve">SOF-containing therapies </w:t>
      </w:r>
      <w:r w:rsidR="007A2F0C" w:rsidRPr="00036700">
        <w:rPr>
          <w:szCs w:val="22"/>
        </w:rPr>
        <w:t>(</w:t>
      </w:r>
      <w:r w:rsidR="00416609" w:rsidRPr="00036700">
        <w:rPr>
          <w:szCs w:val="22"/>
        </w:rPr>
        <w:t xml:space="preserve">ION-1, ION-2, ION-3, </w:t>
      </w:r>
      <w:r w:rsidR="006F4B6D" w:rsidRPr="00036700">
        <w:rPr>
          <w:szCs w:val="22"/>
        </w:rPr>
        <w:t xml:space="preserve">LONESTAR and </w:t>
      </w:r>
      <w:r w:rsidR="00416609" w:rsidRPr="00036700">
        <w:rPr>
          <w:szCs w:val="22"/>
        </w:rPr>
        <w:t>VALENCE</w:t>
      </w:r>
      <w:r w:rsidR="006F4B6D" w:rsidRPr="00036700">
        <w:rPr>
          <w:szCs w:val="22"/>
        </w:rPr>
        <w:t xml:space="preserve">); one compared SOF+PR </w:t>
      </w:r>
      <w:r w:rsidR="006D413E" w:rsidRPr="00036700">
        <w:rPr>
          <w:szCs w:val="22"/>
        </w:rPr>
        <w:t>against</w:t>
      </w:r>
      <w:r w:rsidR="00571855" w:rsidRPr="00036700">
        <w:rPr>
          <w:szCs w:val="22"/>
        </w:rPr>
        <w:t xml:space="preserve"> PR (Wehme</w:t>
      </w:r>
      <w:r w:rsidR="006F4B6D" w:rsidRPr="00036700">
        <w:rPr>
          <w:szCs w:val="22"/>
        </w:rPr>
        <w:t>yer 2015); and one was a single-arm study (</w:t>
      </w:r>
      <w:r w:rsidR="00416609" w:rsidRPr="00036700">
        <w:rPr>
          <w:szCs w:val="22"/>
        </w:rPr>
        <w:t xml:space="preserve">NEUTRINO). </w:t>
      </w:r>
      <w:r w:rsidR="007A2F0C" w:rsidRPr="00036700">
        <w:rPr>
          <w:szCs w:val="22"/>
        </w:rPr>
        <w:t xml:space="preserve">All of these </w:t>
      </w:r>
      <w:r w:rsidR="007A2F0C" w:rsidRPr="00036700">
        <w:rPr>
          <w:szCs w:val="22"/>
        </w:rPr>
        <w:lastRenderedPageBreak/>
        <w:t xml:space="preserve">studies were treated as non-comparative single arm studies with respect to the estimation of SVR rates. </w:t>
      </w:r>
    </w:p>
    <w:p w:rsidR="006B701D" w:rsidRPr="00036700" w:rsidRDefault="006B701D" w:rsidP="00277A70">
      <w:pPr>
        <w:pStyle w:val="ListParagraph"/>
        <w:widowControl/>
        <w:rPr>
          <w:i/>
          <w:szCs w:val="22"/>
        </w:rPr>
      </w:pPr>
    </w:p>
    <w:p w:rsidR="00B93B45" w:rsidRPr="00036700" w:rsidRDefault="00CB5D6D" w:rsidP="00D9008B">
      <w:pPr>
        <w:pStyle w:val="ListParagraph"/>
        <w:widowControl/>
        <w:numPr>
          <w:ilvl w:val="1"/>
          <w:numId w:val="1"/>
        </w:numPr>
        <w:rPr>
          <w:szCs w:val="22"/>
        </w:rPr>
      </w:pPr>
      <w:r w:rsidRPr="00036700">
        <w:rPr>
          <w:szCs w:val="22"/>
        </w:rPr>
        <w:t xml:space="preserve">Only data from treatment arms representing the proposed PBS population and the recommended dose regimens were considered </w:t>
      </w:r>
      <w:r w:rsidR="0053481D" w:rsidRPr="00036700">
        <w:rPr>
          <w:szCs w:val="22"/>
        </w:rPr>
        <w:t xml:space="preserve">during the </w:t>
      </w:r>
      <w:r w:rsidR="00B93B45" w:rsidRPr="00036700">
        <w:rPr>
          <w:szCs w:val="22"/>
        </w:rPr>
        <w:t xml:space="preserve">evaluation, with the exception of C-SALVAGE. It </w:t>
      </w:r>
      <w:r w:rsidR="006D413E" w:rsidRPr="00036700">
        <w:rPr>
          <w:szCs w:val="22"/>
        </w:rPr>
        <w:t>wa</w:t>
      </w:r>
      <w:r w:rsidR="00B93B45" w:rsidRPr="00036700">
        <w:rPr>
          <w:szCs w:val="22"/>
        </w:rPr>
        <w:t xml:space="preserve">s noted that the treatment regimen in C-SALVAGE for </w:t>
      </w:r>
      <w:r w:rsidR="00EF5F80" w:rsidRPr="00036700">
        <w:rPr>
          <w:szCs w:val="22"/>
        </w:rPr>
        <w:t xml:space="preserve">genotype 1 </w:t>
      </w:r>
      <w:r w:rsidR="00B93B45" w:rsidRPr="00036700">
        <w:rPr>
          <w:szCs w:val="22"/>
        </w:rPr>
        <w:t>treatment-experienced patients was not consistent with the treatment detail</w:t>
      </w:r>
      <w:r w:rsidR="006D413E" w:rsidRPr="00036700">
        <w:rPr>
          <w:szCs w:val="22"/>
        </w:rPr>
        <w:t>s</w:t>
      </w:r>
      <w:r w:rsidR="00B93B45" w:rsidRPr="00036700">
        <w:rPr>
          <w:szCs w:val="22"/>
        </w:rPr>
        <w:t xml:space="preserve"> recommended in the draft </w:t>
      </w:r>
      <w:r w:rsidR="001733EB" w:rsidRPr="00036700">
        <w:rPr>
          <w:szCs w:val="22"/>
        </w:rPr>
        <w:t>PI</w:t>
      </w:r>
      <w:r w:rsidR="00B93B45" w:rsidRPr="00036700">
        <w:rPr>
          <w:szCs w:val="22"/>
        </w:rPr>
        <w:t xml:space="preserve"> and the proposed </w:t>
      </w:r>
      <w:r w:rsidR="006D413E" w:rsidRPr="00036700">
        <w:rPr>
          <w:szCs w:val="22"/>
        </w:rPr>
        <w:t>listings</w:t>
      </w:r>
      <w:r w:rsidR="00B93B45" w:rsidRPr="00036700">
        <w:rPr>
          <w:szCs w:val="22"/>
        </w:rPr>
        <w:t xml:space="preserve"> (GRZ12+EBR12+RBV12 </w:t>
      </w:r>
      <w:r w:rsidR="00932081" w:rsidRPr="00036700">
        <w:rPr>
          <w:szCs w:val="22"/>
        </w:rPr>
        <w:t>in C-SALVAGE versus</w:t>
      </w:r>
      <w:r w:rsidR="00B93B45" w:rsidRPr="00036700">
        <w:rPr>
          <w:szCs w:val="22"/>
        </w:rPr>
        <w:t xml:space="preserve"> </w:t>
      </w:r>
      <w:r w:rsidR="0053481D" w:rsidRPr="00036700">
        <w:rPr>
          <w:szCs w:val="22"/>
        </w:rPr>
        <w:t xml:space="preserve">the recommended treatment regimen of </w:t>
      </w:r>
      <w:r w:rsidR="00B93B45" w:rsidRPr="00036700">
        <w:rPr>
          <w:szCs w:val="22"/>
        </w:rPr>
        <w:t xml:space="preserve">GRZ/EBR12 </w:t>
      </w:r>
      <w:r w:rsidR="0053481D" w:rsidRPr="00036700">
        <w:rPr>
          <w:szCs w:val="22"/>
        </w:rPr>
        <w:t xml:space="preserve">or </w:t>
      </w:r>
      <w:r w:rsidR="00B93B45" w:rsidRPr="00036700">
        <w:rPr>
          <w:szCs w:val="22"/>
        </w:rPr>
        <w:t>GRZ/EBR16+RBV16</w:t>
      </w:r>
      <w:r w:rsidR="0053481D" w:rsidRPr="00036700">
        <w:rPr>
          <w:szCs w:val="22"/>
        </w:rPr>
        <w:t xml:space="preserve"> depending on genotype 1 subtype and type of treatment failure </w:t>
      </w:r>
      <w:r w:rsidR="0072235A" w:rsidRPr="00036700">
        <w:rPr>
          <w:szCs w:val="22"/>
        </w:rPr>
        <w:t xml:space="preserve">on prior </w:t>
      </w:r>
      <w:r w:rsidR="00401BA4" w:rsidRPr="00036700">
        <w:rPr>
          <w:szCs w:val="22"/>
        </w:rPr>
        <w:t>CHC</w:t>
      </w:r>
      <w:r w:rsidR="0072235A" w:rsidRPr="00036700">
        <w:rPr>
          <w:szCs w:val="22"/>
        </w:rPr>
        <w:t xml:space="preserve"> treatment </w:t>
      </w:r>
      <w:r w:rsidR="0053481D" w:rsidRPr="00036700">
        <w:rPr>
          <w:szCs w:val="22"/>
        </w:rPr>
        <w:t>(see the “Requested listing” section)</w:t>
      </w:r>
      <w:r w:rsidR="00B93B45" w:rsidRPr="00036700">
        <w:rPr>
          <w:szCs w:val="22"/>
        </w:rPr>
        <w:t xml:space="preserve">). However, as </w:t>
      </w:r>
      <w:r w:rsidR="006B701D" w:rsidRPr="00036700">
        <w:rPr>
          <w:szCs w:val="22"/>
        </w:rPr>
        <w:t>C-SALVAGE</w:t>
      </w:r>
      <w:r w:rsidR="00B93B45" w:rsidRPr="00036700">
        <w:rPr>
          <w:szCs w:val="22"/>
        </w:rPr>
        <w:t xml:space="preserve"> </w:t>
      </w:r>
      <w:r w:rsidR="00EA4A41" w:rsidRPr="00036700">
        <w:rPr>
          <w:szCs w:val="22"/>
        </w:rPr>
        <w:t>wa</w:t>
      </w:r>
      <w:r w:rsidR="006B701D" w:rsidRPr="00036700">
        <w:rPr>
          <w:szCs w:val="22"/>
        </w:rPr>
        <w:t>s the only study</w:t>
      </w:r>
      <w:r w:rsidR="00B93B45" w:rsidRPr="00036700">
        <w:rPr>
          <w:szCs w:val="22"/>
        </w:rPr>
        <w:t xml:space="preserve"> which investigate</w:t>
      </w:r>
      <w:r w:rsidR="006B701D" w:rsidRPr="00036700">
        <w:rPr>
          <w:szCs w:val="22"/>
        </w:rPr>
        <w:t>d</w:t>
      </w:r>
      <w:r w:rsidR="00B93B45" w:rsidRPr="00036700">
        <w:rPr>
          <w:szCs w:val="22"/>
        </w:rPr>
        <w:t xml:space="preserve"> patients who </w:t>
      </w:r>
      <w:r w:rsidR="0089377B" w:rsidRPr="00036700">
        <w:rPr>
          <w:szCs w:val="22"/>
        </w:rPr>
        <w:t xml:space="preserve">had </w:t>
      </w:r>
      <w:r w:rsidR="00B93B45" w:rsidRPr="00036700">
        <w:rPr>
          <w:szCs w:val="22"/>
        </w:rPr>
        <w:t>failed previous</w:t>
      </w:r>
      <w:r w:rsidR="006206BC" w:rsidRPr="00036700">
        <w:rPr>
          <w:szCs w:val="22"/>
        </w:rPr>
        <w:t xml:space="preserve"> </w:t>
      </w:r>
      <w:r w:rsidR="00401BA4" w:rsidRPr="00036700">
        <w:rPr>
          <w:szCs w:val="22"/>
        </w:rPr>
        <w:t>direct acting antiviral therapies</w:t>
      </w:r>
      <w:r w:rsidR="00B93B45" w:rsidRPr="00036700">
        <w:rPr>
          <w:szCs w:val="22"/>
        </w:rPr>
        <w:t xml:space="preserve">, namely simeprevir, boceprevir and telaprevir, which have the same mechanism of action (NS3/4 protease inhibitor) as one component of the assessed FDC, ie GRZ, </w:t>
      </w:r>
      <w:r w:rsidR="006B701D" w:rsidRPr="00036700">
        <w:rPr>
          <w:szCs w:val="22"/>
        </w:rPr>
        <w:t>this study</w:t>
      </w:r>
      <w:r w:rsidR="00B93B45" w:rsidRPr="00036700">
        <w:rPr>
          <w:szCs w:val="22"/>
        </w:rPr>
        <w:t xml:space="preserve"> has </w:t>
      </w:r>
      <w:r w:rsidR="0072235A" w:rsidRPr="00036700">
        <w:rPr>
          <w:szCs w:val="22"/>
        </w:rPr>
        <w:t xml:space="preserve">also </w:t>
      </w:r>
      <w:r w:rsidR="00B93B45" w:rsidRPr="00036700">
        <w:rPr>
          <w:szCs w:val="22"/>
        </w:rPr>
        <w:t>been presented as key evidence.</w:t>
      </w:r>
    </w:p>
    <w:p w:rsidR="00416609" w:rsidRPr="00036700" w:rsidRDefault="00416609" w:rsidP="00277A70">
      <w:pPr>
        <w:pStyle w:val="ListParagraph"/>
        <w:widowControl/>
        <w:rPr>
          <w:szCs w:val="22"/>
        </w:rPr>
      </w:pPr>
    </w:p>
    <w:p w:rsidR="007A2F0C" w:rsidRPr="00036700" w:rsidRDefault="007A2F0C" w:rsidP="00D9008B">
      <w:pPr>
        <w:pStyle w:val="ListParagraph"/>
        <w:widowControl/>
        <w:numPr>
          <w:ilvl w:val="1"/>
          <w:numId w:val="1"/>
        </w:numPr>
        <w:rPr>
          <w:szCs w:val="22"/>
        </w:rPr>
      </w:pPr>
      <w:r w:rsidRPr="00036700">
        <w:t xml:space="preserve">GRZ/EBR therapies </w:t>
      </w:r>
      <w:r w:rsidR="0072235A" w:rsidRPr="00036700">
        <w:t xml:space="preserve">were compared to the </w:t>
      </w:r>
      <w:r w:rsidR="006F4B6D" w:rsidRPr="00036700">
        <w:t xml:space="preserve">active </w:t>
      </w:r>
      <w:r w:rsidR="0072235A" w:rsidRPr="00036700">
        <w:t>therapies by extracting</w:t>
      </w:r>
      <w:r w:rsidRPr="00036700">
        <w:t xml:space="preserve"> the point estimates of SVR </w:t>
      </w:r>
      <w:r w:rsidR="006523D4" w:rsidRPr="00036700">
        <w:t>or adverse event (AE) rate</w:t>
      </w:r>
      <w:r w:rsidR="0072235A" w:rsidRPr="00036700">
        <w:t>s</w:t>
      </w:r>
      <w:r w:rsidR="006523D4" w:rsidRPr="00036700">
        <w:t xml:space="preserve"> </w:t>
      </w:r>
      <w:r w:rsidRPr="00036700">
        <w:t>from single arms of studies that lack</w:t>
      </w:r>
      <w:r w:rsidR="0072235A" w:rsidRPr="00036700">
        <w:t>ed</w:t>
      </w:r>
      <w:r w:rsidRPr="00036700">
        <w:t xml:space="preserve"> a common </w:t>
      </w:r>
      <w:r w:rsidR="0072235A" w:rsidRPr="00036700">
        <w:t>reference arm</w:t>
      </w:r>
      <w:r w:rsidRPr="00036700">
        <w:t>. Comparisons were</w:t>
      </w:r>
      <w:r w:rsidR="006F4B6D" w:rsidRPr="00036700">
        <w:t>,</w:t>
      </w:r>
      <w:r w:rsidRPr="00036700">
        <w:t xml:space="preserve"> therefore</w:t>
      </w:r>
      <w:r w:rsidR="006F4B6D" w:rsidRPr="00036700">
        <w:t>, unadjusted and indirect.</w:t>
      </w:r>
      <w:r w:rsidR="006F4B6D" w:rsidRPr="00036700">
        <w:rPr>
          <w:i/>
        </w:rPr>
        <w:t xml:space="preserve"> </w:t>
      </w:r>
      <w:r w:rsidR="00084473" w:rsidRPr="00036700">
        <w:t>Patients in the GRZ/EBR studies and</w:t>
      </w:r>
      <w:r w:rsidR="002E4470" w:rsidRPr="00036700">
        <w:t xml:space="preserve"> those in the LDV/SOF or SOF+P</w:t>
      </w:r>
      <w:r w:rsidR="00084473" w:rsidRPr="00036700">
        <w:t xml:space="preserve">R studies differed in respect to </w:t>
      </w:r>
      <w:r w:rsidR="005F58CE" w:rsidRPr="00036700">
        <w:t xml:space="preserve">the severity of hepatic impairment, the IL28B genotype, the baseline HCV RNA level, the </w:t>
      </w:r>
      <w:r w:rsidR="00084473" w:rsidRPr="00036700">
        <w:t>racial distribution and the distribution of Metavir scores.</w:t>
      </w:r>
      <w:r w:rsidR="005F58CE" w:rsidRPr="00036700">
        <w:t xml:space="preserve"> </w:t>
      </w:r>
      <w:r w:rsidR="00246A51" w:rsidRPr="00036700">
        <w:t>The evaluation considered that o</w:t>
      </w:r>
      <w:r w:rsidRPr="00036700">
        <w:t xml:space="preserve">verall, the risk of bias associated with such indirect comparisons was very high because the </w:t>
      </w:r>
      <w:r w:rsidR="00A9092B" w:rsidRPr="00036700">
        <w:t>patient baseline risks</w:t>
      </w:r>
      <w:r w:rsidR="0072235A" w:rsidRPr="00036700">
        <w:t>,</w:t>
      </w:r>
      <w:r w:rsidR="006F4B6D" w:rsidRPr="00036700">
        <w:t xml:space="preserve"> methods </w:t>
      </w:r>
      <w:r w:rsidR="0072235A" w:rsidRPr="00036700">
        <w:t xml:space="preserve">used in the studies </w:t>
      </w:r>
      <w:r w:rsidR="004B6AF7" w:rsidRPr="00036700">
        <w:t>or</w:t>
      </w:r>
      <w:r w:rsidR="006F4B6D" w:rsidRPr="00036700">
        <w:t xml:space="preserve"> quality of the studies </w:t>
      </w:r>
      <w:r w:rsidRPr="00036700">
        <w:t xml:space="preserve">may not be exchangeable. </w:t>
      </w:r>
      <w:r w:rsidR="0072235A" w:rsidRPr="00036700">
        <w:t>T</w:t>
      </w:r>
      <w:r w:rsidRPr="00036700">
        <w:t xml:space="preserve">here was uncertainty with regard to the magnitude of the differences </w:t>
      </w:r>
      <w:r w:rsidR="00D00EB2" w:rsidRPr="00036700">
        <w:t xml:space="preserve">observed and/or </w:t>
      </w:r>
      <w:r w:rsidR="0072235A" w:rsidRPr="00036700">
        <w:t>calculated between the study arms in the outcomes evaluated</w:t>
      </w:r>
      <w:r w:rsidRPr="00036700">
        <w:t>.</w:t>
      </w:r>
    </w:p>
    <w:p w:rsidR="007A2F0C" w:rsidRPr="00036700" w:rsidRDefault="007A2F0C" w:rsidP="00277A70">
      <w:pPr>
        <w:pStyle w:val="ListParagraph"/>
        <w:widowControl/>
        <w:rPr>
          <w:szCs w:val="22"/>
        </w:rPr>
      </w:pPr>
    </w:p>
    <w:p w:rsidR="007A2F0C" w:rsidRPr="00036700" w:rsidRDefault="007A2F0C" w:rsidP="00D9008B">
      <w:pPr>
        <w:pStyle w:val="ListParagraph"/>
        <w:widowControl/>
        <w:numPr>
          <w:ilvl w:val="1"/>
          <w:numId w:val="1"/>
        </w:numPr>
        <w:rPr>
          <w:szCs w:val="22"/>
        </w:rPr>
      </w:pPr>
      <w:r w:rsidRPr="00036700">
        <w:t>The</w:t>
      </w:r>
      <w:r w:rsidR="00246A51" w:rsidRPr="00036700">
        <w:t xml:space="preserve"> evaluation considered the</w:t>
      </w:r>
      <w:r w:rsidRPr="00036700">
        <w:t xml:space="preserve"> comparison of </w:t>
      </w:r>
      <w:r w:rsidR="006F4B6D" w:rsidRPr="00036700">
        <w:t>GRZ/EBR</w:t>
      </w:r>
      <w:r w:rsidRPr="00036700">
        <w:t xml:space="preserve"> v</w:t>
      </w:r>
      <w:r w:rsidR="006F4B6D" w:rsidRPr="00036700">
        <w:t>ersus</w:t>
      </w:r>
      <w:r w:rsidRPr="00036700">
        <w:t xml:space="preserve"> no treatment, in terms of efficacy</w:t>
      </w:r>
      <w:r w:rsidR="002E4470" w:rsidRPr="00036700">
        <w:t xml:space="preserve"> measured by sustained virologic response</w:t>
      </w:r>
      <w:r w:rsidRPr="00036700">
        <w:t xml:space="preserve"> (SVR) was less likely to be biased, as it could be assumed that</w:t>
      </w:r>
      <w:r w:rsidR="006F4B6D" w:rsidRPr="00036700">
        <w:t xml:space="preserve"> patients receiving no </w:t>
      </w:r>
      <w:r w:rsidRPr="00036700">
        <w:t xml:space="preserve">treatment would not </w:t>
      </w:r>
      <w:r w:rsidR="006F4B6D" w:rsidRPr="00036700">
        <w:t xml:space="preserve">achieve </w:t>
      </w:r>
      <w:r w:rsidR="0072235A" w:rsidRPr="00036700">
        <w:t xml:space="preserve">an </w:t>
      </w:r>
      <w:r w:rsidRPr="00036700">
        <w:t xml:space="preserve">SVR. The study populations may not, however, have been representative of the target PBS population. Given the availability of </w:t>
      </w:r>
      <w:r w:rsidR="0089377B" w:rsidRPr="00036700">
        <w:t xml:space="preserve">the </w:t>
      </w:r>
      <w:r w:rsidRPr="00036700">
        <w:t>double</w:t>
      </w:r>
      <w:r w:rsidR="004B6AF7" w:rsidRPr="00036700">
        <w:t>-blind placebo-controlled trial</w:t>
      </w:r>
      <w:r w:rsidRPr="00036700">
        <w:t xml:space="preserve"> </w:t>
      </w:r>
      <w:r w:rsidR="004F3473" w:rsidRPr="00036700">
        <w:t xml:space="preserve">of </w:t>
      </w:r>
      <w:r w:rsidR="006F4B6D" w:rsidRPr="00036700">
        <w:t>GRZ/EBR</w:t>
      </w:r>
      <w:r w:rsidR="004B6AF7" w:rsidRPr="00036700">
        <w:t xml:space="preserve"> (C-EDGE TN)</w:t>
      </w:r>
      <w:r w:rsidRPr="00036700">
        <w:t xml:space="preserve">, the uncertainty associated with the assessment of safety, relative to no treatment, </w:t>
      </w:r>
      <w:r w:rsidR="00C776AE" w:rsidRPr="00036700">
        <w:t>was reduced</w:t>
      </w:r>
      <w:r w:rsidRPr="00036700">
        <w:t xml:space="preserve">. </w:t>
      </w:r>
    </w:p>
    <w:p w:rsidR="00310427" w:rsidRPr="00036700" w:rsidRDefault="00310427" w:rsidP="00277A70">
      <w:pPr>
        <w:pStyle w:val="ListParagraph"/>
        <w:widowControl/>
        <w:rPr>
          <w:szCs w:val="22"/>
        </w:rPr>
      </w:pPr>
    </w:p>
    <w:p w:rsidR="000F5F66" w:rsidRPr="00036700" w:rsidRDefault="00D16FB8" w:rsidP="00D9008B">
      <w:pPr>
        <w:pStyle w:val="ListParagraph"/>
        <w:widowControl/>
        <w:numPr>
          <w:ilvl w:val="1"/>
          <w:numId w:val="1"/>
        </w:numPr>
        <w:rPr>
          <w:i/>
        </w:rPr>
      </w:pPr>
      <w:r w:rsidRPr="00036700">
        <w:t>The submission presented two pre</w:t>
      </w:r>
      <w:r w:rsidR="00EE7524" w:rsidRPr="00036700">
        <w:t>-</w:t>
      </w:r>
      <w:r w:rsidRPr="00036700">
        <w:t>modelling studies</w:t>
      </w:r>
      <w:r w:rsidR="006523D4" w:rsidRPr="00036700">
        <w:t>.</w:t>
      </w:r>
      <w:r w:rsidRPr="00036700">
        <w:t xml:space="preserve"> </w:t>
      </w:r>
      <w:r w:rsidR="006523D4" w:rsidRPr="00036700">
        <w:t xml:space="preserve">C-SURFER investigated the effectiveness and safety of </w:t>
      </w:r>
      <w:r w:rsidR="003F4E8D" w:rsidRPr="00036700">
        <w:t xml:space="preserve">GRZ/EBR12 for treatment of </w:t>
      </w:r>
      <w:r w:rsidR="00401BA4" w:rsidRPr="00036700">
        <w:t>CHC</w:t>
      </w:r>
      <w:r w:rsidR="003F4E8D" w:rsidRPr="00036700">
        <w:t xml:space="preserve"> genotype 1 patients with advanced chronic kidney disease. C-EDGE CO-INFXN assessed the treatment effect of GRZ/EBR12 in treatment of genotype 1, 4 or 6 treatment-naïve patients who were co-infected with human immunodeficiency virus (HIV). </w:t>
      </w:r>
      <w:r w:rsidR="000F5F66" w:rsidRPr="00036700">
        <w:t xml:space="preserve">Results from both studies showed that GRZ/EBR was effective in the overall study populations, </w:t>
      </w:r>
      <w:r w:rsidR="00D50A80" w:rsidRPr="00036700">
        <w:t xml:space="preserve">although some subgroups, eg </w:t>
      </w:r>
      <w:r w:rsidR="0089377B" w:rsidRPr="00036700">
        <w:t xml:space="preserve">the </w:t>
      </w:r>
      <w:r w:rsidR="00D50A80" w:rsidRPr="00036700">
        <w:t xml:space="preserve">cirrhotic subgroup and </w:t>
      </w:r>
      <w:r w:rsidR="0089377B" w:rsidRPr="00036700">
        <w:t xml:space="preserve">the </w:t>
      </w:r>
      <w:r w:rsidR="00D50A80" w:rsidRPr="00036700">
        <w:t xml:space="preserve">treatment-experienced subgroup, were too small to reliably estimate the SVR rates in these traditionally difficult-to-treat </w:t>
      </w:r>
      <w:r w:rsidR="00401BA4" w:rsidRPr="00036700">
        <w:t>CHC</w:t>
      </w:r>
      <w:r w:rsidR="00DD1769" w:rsidRPr="00036700">
        <w:t xml:space="preserve"> sub</w:t>
      </w:r>
      <w:r w:rsidR="00D50A80" w:rsidRPr="00036700">
        <w:t xml:space="preserve">populations. </w:t>
      </w:r>
      <w:r w:rsidR="00DD1769" w:rsidRPr="00036700">
        <w:t xml:space="preserve">GRZ/EBR was generally well-tolerated. </w:t>
      </w:r>
      <w:r w:rsidR="00EE15CC" w:rsidRPr="00036700">
        <w:t xml:space="preserve">For CHC patients with advanced kidney disease, </w:t>
      </w:r>
      <w:r w:rsidR="00D50A80" w:rsidRPr="00036700">
        <w:t xml:space="preserve">GRZ/EBR was associated with increased risks of </w:t>
      </w:r>
      <w:r w:rsidR="00EE15CC" w:rsidRPr="00036700">
        <w:t xml:space="preserve">abdominal pain, flatulence, decreased appetite, back pain, night sweats, and cough, compared with placebo. </w:t>
      </w:r>
    </w:p>
    <w:p w:rsidR="00BB44CB" w:rsidRPr="00036700" w:rsidRDefault="00BB44CB" w:rsidP="00277A70">
      <w:pPr>
        <w:pStyle w:val="ListParagraph"/>
        <w:widowControl/>
        <w:rPr>
          <w:i/>
        </w:rPr>
      </w:pPr>
    </w:p>
    <w:p w:rsidR="00BB44CB" w:rsidRPr="00036700" w:rsidRDefault="00BB44CB" w:rsidP="00D9008B">
      <w:pPr>
        <w:pStyle w:val="ListParagraph"/>
        <w:widowControl/>
        <w:numPr>
          <w:ilvl w:val="1"/>
          <w:numId w:val="1"/>
        </w:numPr>
      </w:pPr>
      <w:r w:rsidRPr="00036700">
        <w:lastRenderedPageBreak/>
        <w:t>The ESC considered that the study populations were likely to be reasonably comparable, but noted the viral load for genotype 1 participants was different between studies and that patients with hepatic impairment were excluded from most GRZ/EBR studies.</w:t>
      </w:r>
    </w:p>
    <w:p w:rsidR="00BB44CB" w:rsidRPr="00036700" w:rsidRDefault="00BB44CB" w:rsidP="00277A70">
      <w:pPr>
        <w:pStyle w:val="ListParagraph"/>
        <w:widowControl/>
        <w:rPr>
          <w:i/>
        </w:rPr>
      </w:pPr>
    </w:p>
    <w:p w:rsidR="00BB44CB" w:rsidRPr="00036700" w:rsidRDefault="00BB44CB" w:rsidP="00D9008B">
      <w:pPr>
        <w:pStyle w:val="ListParagraph"/>
        <w:widowControl/>
        <w:numPr>
          <w:ilvl w:val="1"/>
          <w:numId w:val="1"/>
        </w:numPr>
      </w:pPr>
      <w:r w:rsidRPr="00036700">
        <w:t xml:space="preserve">The ESC noted that the difference in the </w:t>
      </w:r>
      <w:r w:rsidR="00272E60" w:rsidRPr="00036700">
        <w:t>in baseline characteristics between studies</w:t>
      </w:r>
      <w:r w:rsidRPr="00036700">
        <w:t xml:space="preserve"> for hepatic impairment</w:t>
      </w:r>
      <w:r w:rsidR="00272E60" w:rsidRPr="00036700">
        <w:t>,</w:t>
      </w:r>
      <w:r w:rsidRPr="00036700">
        <w:t xml:space="preserve"> the proportion of treatment-naïve/treatment-experienced patients, the proportion of cirrhotic patients and the </w:t>
      </w:r>
      <w:r w:rsidR="00401BA4" w:rsidRPr="00036700">
        <w:t>CHC</w:t>
      </w:r>
      <w:r w:rsidRPr="00036700">
        <w:t xml:space="preserve"> genotypes, which are all traditionally recognised as predictors of response to pegylated interferon alfa + ribavirin (PR)-including treatment regimens</w:t>
      </w:r>
      <w:r w:rsidR="00272E60" w:rsidRPr="00036700">
        <w:t>,</w:t>
      </w:r>
      <w:r w:rsidRPr="00036700">
        <w:t xml:space="preserve"> could have affected the exchangeability in indirect comparisons.</w:t>
      </w:r>
      <w:r w:rsidR="00CD05AE" w:rsidRPr="00036700">
        <w:t xml:space="preserve"> </w:t>
      </w:r>
      <w:r w:rsidR="00272E60" w:rsidRPr="00036700">
        <w:t>The ESC noted that to minimise the potential for confounding, comparisons between studies should, if possible, be stratified by these subgroups.</w:t>
      </w:r>
    </w:p>
    <w:p w:rsidR="007A2F0C" w:rsidRPr="00036700" w:rsidRDefault="007A2F0C" w:rsidP="00277A70">
      <w:pPr>
        <w:widowControl/>
        <w:rPr>
          <w:i/>
          <w:szCs w:val="22"/>
        </w:rPr>
      </w:pPr>
    </w:p>
    <w:p w:rsidR="00B60939" w:rsidRPr="005E5DEF" w:rsidRDefault="00B60939" w:rsidP="00277A70">
      <w:pPr>
        <w:pStyle w:val="Heading2"/>
        <w:widowControl/>
        <w:rPr>
          <w:i/>
        </w:rPr>
      </w:pPr>
      <w:bookmarkStart w:id="9" w:name="_Toc440963730"/>
      <w:r w:rsidRPr="005E5DEF">
        <w:rPr>
          <w:i/>
        </w:rPr>
        <w:t>Comparative effectiveness</w:t>
      </w:r>
      <w:bookmarkEnd w:id="9"/>
    </w:p>
    <w:p w:rsidR="007A2F0C" w:rsidRPr="00036700" w:rsidRDefault="007A2F0C" w:rsidP="00277A70">
      <w:pPr>
        <w:widowControl/>
      </w:pPr>
    </w:p>
    <w:p w:rsidR="002C2775" w:rsidRPr="00036700" w:rsidRDefault="007A2F0C" w:rsidP="00D9008B">
      <w:pPr>
        <w:pStyle w:val="ListParagraph"/>
        <w:widowControl/>
        <w:numPr>
          <w:ilvl w:val="1"/>
          <w:numId w:val="1"/>
        </w:numPr>
        <w:rPr>
          <w:szCs w:val="22"/>
        </w:rPr>
      </w:pPr>
      <w:r w:rsidRPr="00036700">
        <w:rPr>
          <w:szCs w:val="22"/>
        </w:rPr>
        <w:t xml:space="preserve">Table </w:t>
      </w:r>
      <w:r w:rsidR="000C0056">
        <w:rPr>
          <w:szCs w:val="22"/>
        </w:rPr>
        <w:t>3</w:t>
      </w:r>
      <w:r w:rsidR="000E3ECD" w:rsidRPr="00036700">
        <w:rPr>
          <w:szCs w:val="22"/>
        </w:rPr>
        <w:t xml:space="preserve"> </w:t>
      </w:r>
      <w:r w:rsidRPr="00036700">
        <w:rPr>
          <w:szCs w:val="22"/>
        </w:rPr>
        <w:t xml:space="preserve">summarises the results for the primary outcome, sustained virologic response 12 weeks after end of treatment (SVR12), </w:t>
      </w:r>
      <w:r w:rsidR="00571855" w:rsidRPr="00036700">
        <w:rPr>
          <w:szCs w:val="22"/>
        </w:rPr>
        <w:t xml:space="preserve">as </w:t>
      </w:r>
      <w:r w:rsidR="006F4B6D" w:rsidRPr="00036700">
        <w:rPr>
          <w:szCs w:val="22"/>
        </w:rPr>
        <w:t xml:space="preserve">reported in the relevant treatment arms in </w:t>
      </w:r>
      <w:r w:rsidR="0072235A" w:rsidRPr="00036700">
        <w:rPr>
          <w:szCs w:val="22"/>
        </w:rPr>
        <w:t xml:space="preserve">the </w:t>
      </w:r>
      <w:r w:rsidR="006F4B6D" w:rsidRPr="00036700">
        <w:rPr>
          <w:szCs w:val="22"/>
        </w:rPr>
        <w:t>studies involving GRZ/EBR</w:t>
      </w:r>
      <w:r w:rsidRPr="00036700">
        <w:rPr>
          <w:szCs w:val="22"/>
        </w:rPr>
        <w:t>.</w:t>
      </w:r>
    </w:p>
    <w:p w:rsidR="006D3837" w:rsidRPr="00036700" w:rsidRDefault="006D3837" w:rsidP="00277A70">
      <w:pPr>
        <w:widowControl/>
        <w:jc w:val="left"/>
        <w:rPr>
          <w:rFonts w:ascii="Arial Narrow" w:hAnsi="Arial Narrow"/>
          <w:b/>
          <w:sz w:val="20"/>
        </w:rPr>
      </w:pPr>
    </w:p>
    <w:p w:rsidR="00CE40BD" w:rsidRPr="00036700" w:rsidRDefault="00CE40BD">
      <w:pPr>
        <w:widowControl/>
        <w:jc w:val="left"/>
        <w:rPr>
          <w:rFonts w:ascii="Arial Narrow" w:hAnsi="Arial Narrow"/>
          <w:b/>
          <w:sz w:val="20"/>
        </w:rPr>
      </w:pPr>
      <w:r w:rsidRPr="00036700">
        <w:br w:type="page"/>
      </w:r>
    </w:p>
    <w:p w:rsidR="007F1017" w:rsidRPr="00036700" w:rsidRDefault="007F1017" w:rsidP="00277A70">
      <w:pPr>
        <w:pStyle w:val="TableHeader"/>
        <w:widowControl/>
        <w:ind w:left="737"/>
      </w:pPr>
      <w:r w:rsidRPr="00036700">
        <w:lastRenderedPageBreak/>
        <w:t>Table</w:t>
      </w:r>
      <w:r w:rsidR="006F4B6D" w:rsidRPr="00036700">
        <w:t xml:space="preserve"> </w:t>
      </w:r>
      <w:r w:rsidR="000C0056">
        <w:t>3</w:t>
      </w:r>
      <w:r w:rsidR="006F4B6D" w:rsidRPr="00036700">
        <w:t>:</w:t>
      </w:r>
      <w:r w:rsidRPr="00036700">
        <w:t xml:space="preserve"> Results of </w:t>
      </w:r>
      <w:r w:rsidR="008569A8" w:rsidRPr="00036700">
        <w:t>SVR rates in relevant populations across GRZ/EBR studies</w:t>
      </w:r>
    </w:p>
    <w:tbl>
      <w:tblPr>
        <w:tblStyle w:val="TableGrid6"/>
        <w:tblW w:w="8585" w:type="dxa"/>
        <w:tblInd w:w="737" w:type="dxa"/>
        <w:tblLayout w:type="fixed"/>
        <w:tblLook w:val="01E0" w:firstRow="1" w:lastRow="1" w:firstColumn="1" w:lastColumn="1" w:noHBand="0" w:noVBand="0"/>
        <w:tblCaption w:val="Table 3: Results of SVR rates in relevant populations across GRZ/EBR studies"/>
      </w:tblPr>
      <w:tblGrid>
        <w:gridCol w:w="2065"/>
        <w:gridCol w:w="1843"/>
        <w:gridCol w:w="1759"/>
        <w:gridCol w:w="1501"/>
        <w:gridCol w:w="1417"/>
      </w:tblGrid>
      <w:tr w:rsidR="008569A8" w:rsidRPr="00036700" w:rsidTr="00EE7D8D">
        <w:trPr>
          <w:tblHeader/>
        </w:trPr>
        <w:tc>
          <w:tcPr>
            <w:tcW w:w="2065" w:type="dxa"/>
            <w:tcBorders>
              <w:bottom w:val="single" w:sz="4" w:space="0" w:color="auto"/>
            </w:tcBorders>
          </w:tcPr>
          <w:p w:rsidR="008569A8" w:rsidRPr="00036700" w:rsidRDefault="004B6AF7" w:rsidP="00277A70">
            <w:pPr>
              <w:keepLines/>
              <w:widowControl/>
              <w:spacing w:before="0" w:after="0"/>
              <w:rPr>
                <w:rFonts w:ascii="Arial Narrow" w:hAnsi="Arial Narrow" w:cs="Times New Roman"/>
                <w:b/>
                <w:sz w:val="20"/>
                <w:lang w:eastAsia="en-AU"/>
              </w:rPr>
            </w:pPr>
            <w:r w:rsidRPr="00036700">
              <w:rPr>
                <w:rFonts w:ascii="Arial Narrow" w:hAnsi="Arial Narrow" w:cs="Times New Roman"/>
                <w:b/>
                <w:sz w:val="20"/>
                <w:lang w:eastAsia="en-AU"/>
              </w:rPr>
              <w:t>P</w:t>
            </w:r>
            <w:r w:rsidR="008569A8" w:rsidRPr="00036700">
              <w:rPr>
                <w:rFonts w:ascii="Arial Narrow" w:hAnsi="Arial Narrow" w:cs="Times New Roman"/>
                <w:b/>
                <w:sz w:val="20"/>
                <w:lang w:eastAsia="en-AU"/>
              </w:rPr>
              <w:t>opulation</w:t>
            </w:r>
          </w:p>
        </w:tc>
        <w:tc>
          <w:tcPr>
            <w:tcW w:w="1843" w:type="dxa"/>
            <w:tcBorders>
              <w:bottom w:val="single" w:sz="4" w:space="0" w:color="auto"/>
            </w:tcBorders>
          </w:tcPr>
          <w:p w:rsidR="008569A8" w:rsidRPr="00036700" w:rsidRDefault="008569A8" w:rsidP="00277A70">
            <w:pPr>
              <w:keepLines/>
              <w:widowControl/>
              <w:spacing w:before="0" w:after="0"/>
              <w:ind w:left="-57" w:right="-57"/>
              <w:jc w:val="center"/>
              <w:rPr>
                <w:rFonts w:ascii="Arial Narrow" w:hAnsi="Arial Narrow" w:cs="Times New Roman"/>
                <w:b/>
                <w:sz w:val="20"/>
                <w:lang w:eastAsia="en-AU"/>
              </w:rPr>
            </w:pPr>
            <w:r w:rsidRPr="00036700">
              <w:rPr>
                <w:rFonts w:ascii="Arial Narrow" w:hAnsi="Arial Narrow" w:cs="Times New Roman"/>
                <w:b/>
                <w:sz w:val="20"/>
                <w:lang w:eastAsia="en-AU"/>
              </w:rPr>
              <w:t>Study / treatment arm</w:t>
            </w:r>
          </w:p>
        </w:tc>
        <w:tc>
          <w:tcPr>
            <w:tcW w:w="1759" w:type="dxa"/>
            <w:tcBorders>
              <w:bottom w:val="single" w:sz="4" w:space="0" w:color="auto"/>
            </w:tcBorders>
          </w:tcPr>
          <w:p w:rsidR="008569A8" w:rsidRPr="00036700" w:rsidRDefault="008569A8" w:rsidP="00277A70">
            <w:pPr>
              <w:keepLines/>
              <w:widowControl/>
              <w:spacing w:before="0" w:after="0"/>
              <w:jc w:val="center"/>
              <w:rPr>
                <w:rFonts w:ascii="Arial Narrow" w:hAnsi="Arial Narrow" w:cs="Times New Roman"/>
                <w:b/>
                <w:sz w:val="20"/>
                <w:lang w:eastAsia="en-AU"/>
              </w:rPr>
            </w:pPr>
            <w:r w:rsidRPr="00036700">
              <w:rPr>
                <w:rFonts w:ascii="Arial Narrow" w:hAnsi="Arial Narrow" w:cs="Times New Roman"/>
                <w:b/>
                <w:sz w:val="20"/>
                <w:lang w:eastAsia="en-AU"/>
              </w:rPr>
              <w:t>Treatment regimen</w:t>
            </w:r>
          </w:p>
        </w:tc>
        <w:tc>
          <w:tcPr>
            <w:tcW w:w="1501" w:type="dxa"/>
            <w:tcBorders>
              <w:bottom w:val="single" w:sz="4" w:space="0" w:color="auto"/>
            </w:tcBorders>
          </w:tcPr>
          <w:p w:rsidR="008569A8" w:rsidRPr="00036700" w:rsidRDefault="008569A8" w:rsidP="00277A70">
            <w:pPr>
              <w:keepLines/>
              <w:widowControl/>
              <w:spacing w:before="0" w:after="0"/>
              <w:jc w:val="center"/>
              <w:rPr>
                <w:rFonts w:ascii="Arial Narrow" w:hAnsi="Arial Narrow" w:cs="Times New Roman"/>
                <w:b/>
                <w:sz w:val="20"/>
                <w:lang w:eastAsia="en-AU"/>
              </w:rPr>
            </w:pPr>
            <w:r w:rsidRPr="00036700">
              <w:rPr>
                <w:rFonts w:ascii="Arial Narrow" w:hAnsi="Arial Narrow" w:cs="Times New Roman"/>
                <w:b/>
                <w:sz w:val="20"/>
                <w:lang w:eastAsia="en-AU"/>
              </w:rPr>
              <w:t>SVR12</w:t>
            </w:r>
          </w:p>
          <w:p w:rsidR="008569A8" w:rsidRPr="00036700" w:rsidRDefault="008569A8" w:rsidP="00277A70">
            <w:pPr>
              <w:keepLines/>
              <w:widowControl/>
              <w:spacing w:before="0" w:after="0"/>
              <w:jc w:val="center"/>
              <w:rPr>
                <w:rFonts w:ascii="Arial Narrow" w:hAnsi="Arial Narrow" w:cs="Times New Roman"/>
                <w:b/>
                <w:sz w:val="20"/>
                <w:lang w:eastAsia="en-AU"/>
              </w:rPr>
            </w:pPr>
            <w:r w:rsidRPr="00036700">
              <w:rPr>
                <w:rFonts w:ascii="Arial Narrow" w:hAnsi="Arial Narrow" w:cs="Times New Roman"/>
                <w:b/>
                <w:sz w:val="20"/>
                <w:lang w:eastAsia="en-AU"/>
              </w:rPr>
              <w:t>% (n/N)</w:t>
            </w:r>
          </w:p>
        </w:tc>
        <w:tc>
          <w:tcPr>
            <w:tcW w:w="1417" w:type="dxa"/>
            <w:tcBorders>
              <w:bottom w:val="single" w:sz="4" w:space="0" w:color="auto"/>
            </w:tcBorders>
          </w:tcPr>
          <w:p w:rsidR="008569A8" w:rsidRPr="00036700" w:rsidRDefault="008569A8" w:rsidP="00277A70">
            <w:pPr>
              <w:keepLines/>
              <w:widowControl/>
              <w:spacing w:before="0" w:after="0"/>
              <w:jc w:val="center"/>
              <w:rPr>
                <w:rFonts w:ascii="Arial Narrow" w:hAnsi="Arial Narrow" w:cs="Times New Roman"/>
                <w:b/>
                <w:sz w:val="20"/>
                <w:lang w:eastAsia="en-AU"/>
              </w:rPr>
            </w:pPr>
            <w:r w:rsidRPr="00036700">
              <w:rPr>
                <w:rFonts w:ascii="Arial Narrow" w:hAnsi="Arial Narrow" w:cs="Times New Roman"/>
                <w:b/>
                <w:sz w:val="20"/>
                <w:lang w:eastAsia="en-AU"/>
              </w:rPr>
              <w:t>[95% CI]</w:t>
            </w:r>
          </w:p>
        </w:tc>
      </w:tr>
      <w:tr w:rsidR="008569A8" w:rsidRPr="00036700" w:rsidTr="00EE7D8D">
        <w:tc>
          <w:tcPr>
            <w:tcW w:w="2065" w:type="dxa"/>
            <w:vMerge w:val="restart"/>
            <w:vAlign w:val="center"/>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GT1, treatment-naive, non-cirrhotic</w:t>
            </w:r>
          </w:p>
        </w:tc>
        <w:tc>
          <w:tcPr>
            <w:tcW w:w="1843"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TN, Group 1</w:t>
            </w:r>
          </w:p>
        </w:tc>
        <w:tc>
          <w:tcPr>
            <w:tcW w:w="1759"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center"/>
              <w:rPr>
                <w:rFonts w:ascii="Arial Narrow" w:hAnsi="Arial Narrow" w:cs="Times New Roman"/>
                <w:sz w:val="20"/>
              </w:rPr>
            </w:pPr>
            <w:r w:rsidRPr="00036700">
              <w:rPr>
                <w:rFonts w:ascii="Arial Narrow" w:hAnsi="Arial Narrow" w:cs="Times New Roman"/>
                <w:sz w:val="20"/>
              </w:rPr>
              <w:t>94.1% (207/220)</w:t>
            </w:r>
          </w:p>
        </w:tc>
        <w:tc>
          <w:tcPr>
            <w:tcW w:w="1417"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[90.1%, 96.8%]</w:t>
            </w:r>
          </w:p>
        </w:tc>
      </w:tr>
      <w:tr w:rsidR="008569A8" w:rsidRPr="00036700" w:rsidTr="00EE7D8D">
        <w:tc>
          <w:tcPr>
            <w:tcW w:w="2065" w:type="dxa"/>
            <w:vMerge/>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dotted" w:sz="4" w:space="0" w:color="auto"/>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C-WORTHY, Arms A3 and B3</w:t>
            </w:r>
          </w:p>
        </w:tc>
        <w:tc>
          <w:tcPr>
            <w:tcW w:w="1759" w:type="dxa"/>
            <w:tcBorders>
              <w:top w:val="dotted" w:sz="4" w:space="0" w:color="auto"/>
              <w:bottom w:val="dotted"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GRZ12+EBR12</w:t>
            </w:r>
          </w:p>
        </w:tc>
        <w:tc>
          <w:tcPr>
            <w:tcW w:w="1501" w:type="dxa"/>
            <w:tcBorders>
              <w:top w:val="dotted" w:sz="4" w:space="0" w:color="auto"/>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97.7% (43/44)</w:t>
            </w:r>
          </w:p>
        </w:tc>
        <w:tc>
          <w:tcPr>
            <w:tcW w:w="1417" w:type="dxa"/>
            <w:tcBorders>
              <w:top w:val="dotted" w:sz="4" w:space="0" w:color="auto"/>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[88.0%, 99.9%]</w:t>
            </w:r>
          </w:p>
        </w:tc>
      </w:tr>
      <w:tr w:rsidR="008569A8" w:rsidRPr="00036700" w:rsidTr="00EE7D8D">
        <w:tc>
          <w:tcPr>
            <w:tcW w:w="2065" w:type="dxa"/>
            <w:vMerge/>
            <w:tcBorders>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C-WORTHY, Arm C2</w:t>
            </w:r>
            <w:r w:rsidRPr="00036700">
              <w:rPr>
                <w:rFonts w:ascii="Arial Narrow" w:hAnsi="Arial Narrow" w:cs="Times New Roman"/>
                <w:sz w:val="20"/>
                <w:vertAlign w:val="superscript"/>
              </w:rPr>
              <w:t>a</w:t>
            </w:r>
          </w:p>
        </w:tc>
        <w:tc>
          <w:tcPr>
            <w:tcW w:w="1759"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GRZ8+EBR8</w:t>
            </w:r>
          </w:p>
        </w:tc>
        <w:tc>
          <w:tcPr>
            <w:tcW w:w="1501"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96.6% (28/29)</w:t>
            </w:r>
          </w:p>
        </w:tc>
        <w:tc>
          <w:tcPr>
            <w:tcW w:w="1417"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[82.2%, 99.9%]</w:t>
            </w:r>
          </w:p>
        </w:tc>
      </w:tr>
      <w:tr w:rsidR="008569A8" w:rsidRPr="00036700" w:rsidTr="00EE7D8D">
        <w:tblPrEx>
          <w:tblLook w:val="04A0" w:firstRow="1" w:lastRow="0" w:firstColumn="1" w:lastColumn="0" w:noHBand="0" w:noVBand="1"/>
        </w:tblPrEx>
        <w:tc>
          <w:tcPr>
            <w:tcW w:w="2065" w:type="dxa"/>
            <w:vMerge w:val="restart"/>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 1, treatment-naive, cirrhotic</w:t>
            </w:r>
          </w:p>
        </w:tc>
        <w:tc>
          <w:tcPr>
            <w:tcW w:w="1843"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TN, Group 1</w:t>
            </w:r>
          </w:p>
        </w:tc>
        <w:tc>
          <w:tcPr>
            <w:tcW w:w="1759"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97.1% (66/68)</w:t>
            </w:r>
          </w:p>
        </w:tc>
        <w:tc>
          <w:tcPr>
            <w:tcW w:w="1417"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[89.8%, 99.6%]</w:t>
            </w:r>
          </w:p>
        </w:tc>
      </w:tr>
      <w:tr w:rsidR="008569A8" w:rsidRPr="00036700" w:rsidTr="00EE7D8D">
        <w:tblPrEx>
          <w:tblLook w:val="04A0" w:firstRow="1" w:lastRow="0" w:firstColumn="1" w:lastColumn="0" w:noHBand="0" w:noVBand="1"/>
        </w:tblPrEx>
        <w:tc>
          <w:tcPr>
            <w:tcW w:w="2065" w:type="dxa"/>
            <w:vMerge/>
            <w:tcBorders>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 xml:space="preserve">C-WORTHY, </w:t>
            </w:r>
            <w:r w:rsidR="00837BF7" w:rsidRPr="00036700">
              <w:rPr>
                <w:rFonts w:ascii="Arial Narrow" w:hAnsi="Arial Narrow" w:cs="Times New Roman"/>
                <w:sz w:val="20"/>
              </w:rPr>
              <w:t>Group</w:t>
            </w:r>
            <w:r w:rsidRPr="00036700">
              <w:rPr>
                <w:rFonts w:ascii="Arial Narrow" w:hAnsi="Arial Narrow" w:cs="Times New Roman"/>
                <w:sz w:val="20"/>
              </w:rPr>
              <w:t xml:space="preserve"> B5</w:t>
            </w:r>
          </w:p>
        </w:tc>
        <w:tc>
          <w:tcPr>
            <w:tcW w:w="1759"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GRZ12+EBR12</w:t>
            </w:r>
          </w:p>
        </w:tc>
        <w:tc>
          <w:tcPr>
            <w:tcW w:w="1501"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96.6% (28/29)</w:t>
            </w:r>
          </w:p>
        </w:tc>
        <w:tc>
          <w:tcPr>
            <w:tcW w:w="1417"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[82.2%, 99.9%]</w:t>
            </w:r>
          </w:p>
        </w:tc>
      </w:tr>
      <w:tr w:rsidR="008569A8" w:rsidRPr="00036700" w:rsidTr="00EE7D8D">
        <w:tc>
          <w:tcPr>
            <w:tcW w:w="2065" w:type="dxa"/>
            <w:tcBorders>
              <w:top w:val="single" w:sz="4" w:space="0" w:color="auto"/>
            </w:tcBorders>
          </w:tcPr>
          <w:p w:rsidR="008569A8" w:rsidRPr="00036700" w:rsidRDefault="00571855"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GT1, relaps</w:t>
            </w:r>
            <w:r w:rsidR="008569A8" w:rsidRPr="00036700">
              <w:rPr>
                <w:rFonts w:ascii="Arial Narrow" w:hAnsi="Arial Narrow" w:cs="Times New Roman"/>
                <w:sz w:val="20"/>
              </w:rPr>
              <w:t>er, non-cirrhotic</w:t>
            </w:r>
          </w:p>
        </w:tc>
        <w:tc>
          <w:tcPr>
            <w:tcW w:w="1843" w:type="dxa"/>
            <w:tcBorders>
              <w:top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1</w:t>
            </w:r>
          </w:p>
        </w:tc>
        <w:tc>
          <w:tcPr>
            <w:tcW w:w="1759" w:type="dxa"/>
            <w:tcBorders>
              <w:top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top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(24/24)</w:t>
            </w:r>
            <w:r w:rsidRPr="00036700">
              <w:rPr>
                <w:rFonts w:ascii="Arial Narrow" w:hAnsi="Arial Narrow" w:cs="Times New Roman"/>
                <w:i/>
                <w:sz w:val="20"/>
                <w:vertAlign w:val="superscript"/>
              </w:rPr>
              <w:t>b</w:t>
            </w:r>
          </w:p>
        </w:tc>
        <w:tc>
          <w:tcPr>
            <w:tcW w:w="1417" w:type="dxa"/>
            <w:tcBorders>
              <w:top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[85.8%, 100%]</w:t>
            </w:r>
            <w:r w:rsidRPr="00036700">
              <w:rPr>
                <w:rFonts w:ascii="Arial Narrow" w:hAnsi="Arial Narrow" w:cs="Times New Roman"/>
                <w:i/>
                <w:sz w:val="20"/>
                <w:vertAlign w:val="superscript"/>
              </w:rPr>
              <w:t>b</w:t>
            </w:r>
          </w:p>
        </w:tc>
      </w:tr>
      <w:tr w:rsidR="008569A8" w:rsidRPr="00036700" w:rsidTr="00EE7D8D">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GT1, relapser, cirrhotic</w:t>
            </w:r>
          </w:p>
        </w:tc>
        <w:tc>
          <w:tcPr>
            <w:tcW w:w="1843" w:type="dxa"/>
            <w:tcBorders>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1</w:t>
            </w:r>
          </w:p>
        </w:tc>
        <w:tc>
          <w:tcPr>
            <w:tcW w:w="1759" w:type="dxa"/>
            <w:tcBorders>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(9/9)</w:t>
            </w:r>
            <w:r w:rsidRPr="00036700">
              <w:rPr>
                <w:rFonts w:ascii="Arial Narrow" w:hAnsi="Arial Narrow" w:cs="Times New Roman"/>
                <w:i/>
                <w:sz w:val="20"/>
                <w:vertAlign w:val="superscript"/>
              </w:rPr>
              <w:t>b</w:t>
            </w:r>
          </w:p>
        </w:tc>
        <w:tc>
          <w:tcPr>
            <w:tcW w:w="1417" w:type="dxa"/>
            <w:tcBorders>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[66.4%, 100%]</w:t>
            </w:r>
            <w:r w:rsidRPr="00036700">
              <w:rPr>
                <w:rFonts w:ascii="Arial Narrow" w:hAnsi="Arial Narrow" w:cs="Times New Roman"/>
                <w:i/>
                <w:sz w:val="20"/>
                <w:vertAlign w:val="superscript"/>
              </w:rPr>
              <w:t>b</w:t>
            </w:r>
          </w:p>
        </w:tc>
      </w:tr>
      <w:tr w:rsidR="008569A8" w:rsidRPr="00036700" w:rsidTr="00EE7D8D">
        <w:tc>
          <w:tcPr>
            <w:tcW w:w="2065" w:type="dxa"/>
            <w:vMerge w:val="restart"/>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GT1, on-treatment failure, non-cirrhotic</w:t>
            </w:r>
          </w:p>
        </w:tc>
        <w:tc>
          <w:tcPr>
            <w:tcW w:w="1843"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1</w:t>
            </w:r>
            <w:r w:rsidRPr="00036700">
              <w:rPr>
                <w:rFonts w:ascii="Arial Narrow" w:hAnsi="Arial Narrow" w:cs="Times New Roman"/>
                <w:sz w:val="20"/>
                <w:vertAlign w:val="superscript"/>
              </w:rPr>
              <w:t>c</w:t>
            </w:r>
          </w:p>
        </w:tc>
        <w:tc>
          <w:tcPr>
            <w:tcW w:w="1759"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(14/14)</w:t>
            </w:r>
            <w:r w:rsidRPr="00036700">
              <w:rPr>
                <w:rFonts w:ascii="Arial Narrow" w:hAnsi="Arial Narrow" w:cs="Times New Roman"/>
                <w:i/>
                <w:sz w:val="20"/>
                <w:vertAlign w:val="superscript"/>
              </w:rPr>
              <w:t>b</w:t>
            </w:r>
          </w:p>
        </w:tc>
        <w:tc>
          <w:tcPr>
            <w:tcW w:w="1417"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 xml:space="preserve">[76.8%, </w:t>
            </w:r>
            <w:r w:rsidR="002A0C77" w:rsidRPr="00036700">
              <w:rPr>
                <w:rFonts w:ascii="Arial Narrow" w:hAnsi="Arial Narrow" w:cs="Times New Roman"/>
                <w:i/>
                <w:sz w:val="20"/>
              </w:rPr>
              <w:t>1</w:t>
            </w:r>
            <w:r w:rsidRPr="00036700">
              <w:rPr>
                <w:rFonts w:ascii="Arial Narrow" w:hAnsi="Arial Narrow" w:cs="Times New Roman"/>
                <w:i/>
                <w:sz w:val="20"/>
              </w:rPr>
              <w:t>00%]</w:t>
            </w:r>
            <w:r w:rsidRPr="00036700">
              <w:rPr>
                <w:rFonts w:ascii="Arial Narrow" w:hAnsi="Arial Narrow" w:cs="Times New Roman"/>
                <w:i/>
                <w:sz w:val="20"/>
                <w:vertAlign w:val="superscript"/>
              </w:rPr>
              <w:t>b</w:t>
            </w:r>
          </w:p>
        </w:tc>
      </w:tr>
      <w:tr w:rsidR="008569A8" w:rsidRPr="00036700" w:rsidTr="00EE7D8D">
        <w:tc>
          <w:tcPr>
            <w:tcW w:w="2065" w:type="dxa"/>
            <w:vMerge/>
            <w:tcBorders>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4</w:t>
            </w:r>
            <w:r w:rsidRPr="00036700">
              <w:rPr>
                <w:rFonts w:ascii="Arial Narrow" w:hAnsi="Arial Narrow" w:cs="Times New Roman"/>
                <w:sz w:val="20"/>
                <w:vertAlign w:val="superscript"/>
              </w:rPr>
              <w:t>d</w:t>
            </w:r>
          </w:p>
        </w:tc>
        <w:tc>
          <w:tcPr>
            <w:tcW w:w="1759"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GRZ/EBR16+RBV16</w:t>
            </w:r>
          </w:p>
        </w:tc>
        <w:tc>
          <w:tcPr>
            <w:tcW w:w="1501"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86.4% (19/22)</w:t>
            </w:r>
            <w:r w:rsidRPr="00036700">
              <w:rPr>
                <w:rFonts w:ascii="Arial Narrow" w:hAnsi="Arial Narrow" w:cs="Times New Roman"/>
                <w:i/>
                <w:sz w:val="20"/>
                <w:vertAlign w:val="superscript"/>
              </w:rPr>
              <w:t>b</w:t>
            </w:r>
          </w:p>
        </w:tc>
        <w:tc>
          <w:tcPr>
            <w:tcW w:w="1417" w:type="dxa"/>
            <w:tcBorders>
              <w:top w:val="dotted"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[65.1%, 97.1%]</w:t>
            </w:r>
            <w:r w:rsidRPr="00036700">
              <w:rPr>
                <w:rFonts w:ascii="Arial Narrow" w:hAnsi="Arial Narrow" w:cs="Times New Roman"/>
                <w:i/>
                <w:sz w:val="20"/>
                <w:vertAlign w:val="superscript"/>
              </w:rPr>
              <w:t>b</w:t>
            </w:r>
          </w:p>
        </w:tc>
      </w:tr>
      <w:tr w:rsidR="008569A8" w:rsidRPr="00036700" w:rsidTr="00EE7D8D">
        <w:trPr>
          <w:trHeight w:val="177"/>
        </w:trPr>
        <w:tc>
          <w:tcPr>
            <w:tcW w:w="2065" w:type="dxa"/>
            <w:vMerge w:val="restart"/>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b/>
                <w:sz w:val="20"/>
              </w:rPr>
            </w:pPr>
            <w:r w:rsidRPr="00036700">
              <w:rPr>
                <w:rFonts w:ascii="Arial Narrow" w:hAnsi="Arial Narrow" w:cs="Times New Roman"/>
                <w:sz w:val="20"/>
              </w:rPr>
              <w:t>GT1, on-treatment failure, cirrhotic</w:t>
            </w:r>
          </w:p>
        </w:tc>
        <w:tc>
          <w:tcPr>
            <w:tcW w:w="1843"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1</w:t>
            </w:r>
            <w:r w:rsidRPr="00036700">
              <w:rPr>
                <w:rFonts w:ascii="Arial Narrow" w:hAnsi="Arial Narrow" w:cs="Times New Roman"/>
                <w:sz w:val="20"/>
                <w:vertAlign w:val="superscript"/>
              </w:rPr>
              <w:t>c</w:t>
            </w:r>
          </w:p>
        </w:tc>
        <w:tc>
          <w:tcPr>
            <w:tcW w:w="1759"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(5/5)</w:t>
            </w:r>
            <w:r w:rsidRPr="00036700">
              <w:rPr>
                <w:rFonts w:ascii="Arial Narrow" w:hAnsi="Arial Narrow" w:cs="Times New Roman"/>
                <w:i/>
                <w:sz w:val="20"/>
                <w:vertAlign w:val="superscript"/>
              </w:rPr>
              <w:t>b</w:t>
            </w:r>
          </w:p>
        </w:tc>
        <w:tc>
          <w:tcPr>
            <w:tcW w:w="1417" w:type="dxa"/>
            <w:tcBorders>
              <w:bottom w:val="dotted"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[47.8%, 100%]</w:t>
            </w:r>
            <w:r w:rsidRPr="00036700">
              <w:rPr>
                <w:rFonts w:ascii="Arial Narrow" w:hAnsi="Arial Narrow" w:cs="Times New Roman"/>
                <w:i/>
                <w:sz w:val="20"/>
                <w:vertAlign w:val="superscript"/>
              </w:rPr>
              <w:t>b</w:t>
            </w:r>
          </w:p>
        </w:tc>
      </w:tr>
      <w:tr w:rsidR="008569A8" w:rsidRPr="00036700" w:rsidTr="00EE7D8D">
        <w:tc>
          <w:tcPr>
            <w:tcW w:w="2065" w:type="dxa"/>
            <w:vMerge/>
            <w:tcBorders>
              <w:bottom w:val="doub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dotted" w:sz="4" w:space="0" w:color="auto"/>
              <w:bottom w:val="doub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4</w:t>
            </w:r>
            <w:r w:rsidRPr="00036700">
              <w:rPr>
                <w:rFonts w:ascii="Arial Narrow" w:hAnsi="Arial Narrow" w:cs="Times New Roman"/>
                <w:sz w:val="20"/>
                <w:vertAlign w:val="superscript"/>
              </w:rPr>
              <w:t>d</w:t>
            </w:r>
          </w:p>
        </w:tc>
        <w:tc>
          <w:tcPr>
            <w:tcW w:w="1759" w:type="dxa"/>
            <w:tcBorders>
              <w:top w:val="dotted" w:sz="4" w:space="0" w:color="auto"/>
              <w:bottom w:val="doub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GRZ/EBR16+RBV16</w:t>
            </w:r>
          </w:p>
        </w:tc>
        <w:tc>
          <w:tcPr>
            <w:tcW w:w="1501" w:type="dxa"/>
            <w:tcBorders>
              <w:top w:val="dotted" w:sz="4" w:space="0" w:color="auto"/>
              <w:bottom w:val="doub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(15/15)</w:t>
            </w:r>
            <w:r w:rsidRPr="00036700">
              <w:rPr>
                <w:rFonts w:ascii="Arial Narrow" w:hAnsi="Arial Narrow" w:cs="Times New Roman"/>
                <w:i/>
                <w:sz w:val="20"/>
                <w:vertAlign w:val="superscript"/>
              </w:rPr>
              <w:t>b</w:t>
            </w:r>
          </w:p>
        </w:tc>
        <w:tc>
          <w:tcPr>
            <w:tcW w:w="1417" w:type="dxa"/>
            <w:tcBorders>
              <w:top w:val="dotted" w:sz="4" w:space="0" w:color="auto"/>
              <w:bottom w:val="doub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[78.2%, 100%]</w:t>
            </w:r>
            <w:r w:rsidRPr="00036700">
              <w:rPr>
                <w:rFonts w:ascii="Arial Narrow" w:hAnsi="Arial Narrow" w:cs="Times New Roman"/>
                <w:i/>
                <w:sz w:val="20"/>
                <w:vertAlign w:val="superscript"/>
              </w:rPr>
              <w:t>b</w:t>
            </w:r>
          </w:p>
        </w:tc>
      </w:tr>
      <w:tr w:rsidR="008569A8" w:rsidRPr="00036700" w:rsidTr="00EE7D8D">
        <w:tc>
          <w:tcPr>
            <w:tcW w:w="2065" w:type="dxa"/>
            <w:tcBorders>
              <w:top w:val="double" w:sz="4" w:space="0" w:color="auto"/>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GT3, treatment-naive, non-cirrhotic</w:t>
            </w:r>
          </w:p>
        </w:tc>
        <w:tc>
          <w:tcPr>
            <w:tcW w:w="1843"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C-SWIFT, Group 6</w:t>
            </w:r>
          </w:p>
        </w:tc>
        <w:tc>
          <w:tcPr>
            <w:tcW w:w="1759"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GRZ/EBR12+SOF12</w:t>
            </w:r>
          </w:p>
        </w:tc>
        <w:tc>
          <w:tcPr>
            <w:tcW w:w="1501"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100% (14/14)</w:t>
            </w:r>
          </w:p>
        </w:tc>
        <w:tc>
          <w:tcPr>
            <w:tcW w:w="1417"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[76.8%, 100%]</w:t>
            </w:r>
          </w:p>
        </w:tc>
      </w:tr>
      <w:tr w:rsidR="008569A8" w:rsidRPr="00036700" w:rsidTr="00EE7D8D">
        <w:tblPrEx>
          <w:tblLook w:val="04A0" w:firstRow="1" w:lastRow="0" w:firstColumn="1" w:lastColumn="0" w:noHBand="0" w:noVBand="1"/>
        </w:tblPrEx>
        <w:tc>
          <w:tcPr>
            <w:tcW w:w="2065" w:type="dxa"/>
            <w:tcBorders>
              <w:bottom w:val="doub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GT3, treatment-naive, cirrhotic</w:t>
            </w:r>
          </w:p>
        </w:tc>
        <w:tc>
          <w:tcPr>
            <w:tcW w:w="1843" w:type="dxa"/>
            <w:tcBorders>
              <w:bottom w:val="doub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C-SWIFT, Group 7</w:t>
            </w:r>
          </w:p>
        </w:tc>
        <w:tc>
          <w:tcPr>
            <w:tcW w:w="1759" w:type="dxa"/>
            <w:tcBorders>
              <w:bottom w:val="doub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GRZ/EBR12+SOF12</w:t>
            </w:r>
          </w:p>
        </w:tc>
        <w:tc>
          <w:tcPr>
            <w:tcW w:w="1501" w:type="dxa"/>
            <w:tcBorders>
              <w:bottom w:val="doub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83.3% (10/12)</w:t>
            </w:r>
          </w:p>
        </w:tc>
        <w:tc>
          <w:tcPr>
            <w:tcW w:w="1417" w:type="dxa"/>
            <w:tcBorders>
              <w:bottom w:val="doub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sz w:val="20"/>
              </w:rPr>
            </w:pPr>
            <w:r w:rsidRPr="00036700">
              <w:rPr>
                <w:rFonts w:ascii="Arial Narrow" w:hAnsi="Arial Narrow" w:cs="Times New Roman"/>
                <w:sz w:val="20"/>
              </w:rPr>
              <w:t>[51.6%, 97.9%]</w:t>
            </w:r>
          </w:p>
        </w:tc>
      </w:tr>
      <w:tr w:rsidR="008569A8" w:rsidRPr="00036700" w:rsidTr="00EE7D8D">
        <w:tc>
          <w:tcPr>
            <w:tcW w:w="2065" w:type="dxa"/>
            <w:vMerge w:val="restart"/>
            <w:tcBorders>
              <w:top w:val="double" w:sz="4" w:space="0" w:color="auto"/>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treatment-naive, non-cirrhotic</w:t>
            </w:r>
          </w:p>
        </w:tc>
        <w:tc>
          <w:tcPr>
            <w:tcW w:w="1843"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TN, Group 1</w:t>
            </w:r>
          </w:p>
        </w:tc>
        <w:tc>
          <w:tcPr>
            <w:tcW w:w="1759"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92.3% (24/26)</w:t>
            </w:r>
            <w:r w:rsidRPr="00036700">
              <w:rPr>
                <w:rFonts w:ascii="Arial Narrow" w:hAnsi="Arial Narrow" w:cs="Times New Roman"/>
                <w:i/>
                <w:sz w:val="20"/>
                <w:vertAlign w:val="superscript"/>
              </w:rPr>
              <w:t>b</w:t>
            </w:r>
          </w:p>
        </w:tc>
        <w:tc>
          <w:tcPr>
            <w:tcW w:w="1417" w:type="dxa"/>
            <w:tcBorders>
              <w:top w:val="doub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[74.9%, 99.1%]</w:t>
            </w:r>
            <w:r w:rsidRPr="00036700">
              <w:rPr>
                <w:rFonts w:ascii="Arial Narrow" w:hAnsi="Arial Narrow" w:cs="Times New Roman"/>
                <w:i/>
                <w:sz w:val="20"/>
                <w:vertAlign w:val="superscript"/>
              </w:rPr>
              <w:t>b</w:t>
            </w:r>
          </w:p>
        </w:tc>
      </w:tr>
      <w:tr w:rsidR="008569A8" w:rsidRPr="00036700" w:rsidTr="00EE7D8D">
        <w:tc>
          <w:tcPr>
            <w:tcW w:w="2065" w:type="dxa"/>
            <w:vMerge/>
            <w:tcBorders>
              <w:top w:val="single" w:sz="4" w:space="0" w:color="auto"/>
              <w:bottom w:val="single" w:sz="4" w:space="0" w:color="auto"/>
            </w:tcBorders>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p>
        </w:tc>
        <w:tc>
          <w:tcPr>
            <w:tcW w:w="1843" w:type="dxa"/>
            <w:tcBorders>
              <w:top w:val="sing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C-SCAPE, Group B3</w:t>
            </w:r>
          </w:p>
        </w:tc>
        <w:tc>
          <w:tcPr>
            <w:tcW w:w="1759" w:type="dxa"/>
            <w:tcBorders>
              <w:top w:val="sing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GRZ12+EBR12</w:t>
            </w:r>
          </w:p>
        </w:tc>
        <w:tc>
          <w:tcPr>
            <w:tcW w:w="1501" w:type="dxa"/>
            <w:tcBorders>
              <w:top w:val="sing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85.7% (12/14)</w:t>
            </w:r>
            <w:r w:rsidRPr="00036700">
              <w:rPr>
                <w:rFonts w:ascii="Arial Narrow" w:hAnsi="Arial Narrow" w:cs="Times New Roman"/>
                <w:i/>
                <w:sz w:val="20"/>
                <w:vertAlign w:val="superscript"/>
              </w:rPr>
              <w:t>b</w:t>
            </w:r>
          </w:p>
        </w:tc>
        <w:tc>
          <w:tcPr>
            <w:tcW w:w="1417" w:type="dxa"/>
            <w:tcBorders>
              <w:top w:val="single" w:sz="4" w:space="0" w:color="auto"/>
              <w:bottom w:val="single" w:sz="4" w:space="0" w:color="auto"/>
            </w:tcBorders>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[57.2%, 98.2%]</w:t>
            </w:r>
            <w:r w:rsidRPr="00036700">
              <w:rPr>
                <w:rFonts w:ascii="Arial Narrow" w:hAnsi="Arial Narrow" w:cs="Times New Roman"/>
                <w:i/>
                <w:sz w:val="20"/>
                <w:vertAlign w:val="superscript"/>
              </w:rPr>
              <w:t>b</w:t>
            </w:r>
          </w:p>
        </w:tc>
      </w:tr>
      <w:tr w:rsidR="008569A8" w:rsidRPr="00036700" w:rsidTr="00EE7D8D">
        <w:tblPrEx>
          <w:tblLook w:val="04A0" w:firstRow="1" w:lastRow="0" w:firstColumn="1" w:lastColumn="0" w:noHBand="0" w:noVBand="1"/>
        </w:tblPrEx>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treatment-naive, cirrhotic</w:t>
            </w:r>
          </w:p>
        </w:tc>
        <w:tc>
          <w:tcPr>
            <w:tcW w:w="1843" w:type="dxa"/>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TN, Group 1</w:t>
            </w:r>
          </w:p>
        </w:tc>
        <w:tc>
          <w:tcPr>
            <w:tcW w:w="1759" w:type="dxa"/>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(2/2)</w:t>
            </w:r>
            <w:r w:rsidRPr="00036700">
              <w:rPr>
                <w:rFonts w:ascii="Arial Narrow" w:hAnsi="Arial Narrow" w:cs="Times New Roman"/>
                <w:i/>
                <w:sz w:val="20"/>
                <w:vertAlign w:val="superscript"/>
              </w:rPr>
              <w:t>b</w:t>
            </w:r>
          </w:p>
        </w:tc>
        <w:tc>
          <w:tcPr>
            <w:tcW w:w="1417"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[15.8%, 100%]</w:t>
            </w:r>
            <w:r w:rsidRPr="00036700">
              <w:rPr>
                <w:rFonts w:ascii="Arial Narrow" w:hAnsi="Arial Narrow" w:cs="Times New Roman"/>
                <w:i/>
                <w:sz w:val="20"/>
                <w:vertAlign w:val="superscript"/>
              </w:rPr>
              <w:t>b</w:t>
            </w:r>
          </w:p>
        </w:tc>
      </w:tr>
      <w:tr w:rsidR="008569A8" w:rsidRPr="00036700" w:rsidTr="00EE7D8D">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relapser, non-cirrhotic</w:t>
            </w:r>
          </w:p>
        </w:tc>
        <w:tc>
          <w:tcPr>
            <w:tcW w:w="1843" w:type="dxa"/>
            <w:vAlign w:val="center"/>
          </w:tcPr>
          <w:p w:rsidR="008569A8" w:rsidRPr="00036700" w:rsidRDefault="00F166D4"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w:t>
            </w:r>
          </w:p>
        </w:tc>
        <w:tc>
          <w:tcPr>
            <w:tcW w:w="1759" w:type="dxa"/>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No evidence</w:t>
            </w:r>
          </w:p>
        </w:tc>
        <w:tc>
          <w:tcPr>
            <w:tcW w:w="1417"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w:t>
            </w:r>
          </w:p>
        </w:tc>
      </w:tr>
      <w:tr w:rsidR="008569A8" w:rsidRPr="00036700" w:rsidTr="00EE7D8D">
        <w:tblPrEx>
          <w:tblLook w:val="04A0" w:firstRow="1" w:lastRow="0" w:firstColumn="1" w:lastColumn="0" w:noHBand="0" w:noVBand="1"/>
        </w:tblPrEx>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relapser, cirrhotic</w:t>
            </w:r>
          </w:p>
        </w:tc>
        <w:tc>
          <w:tcPr>
            <w:tcW w:w="1843" w:type="dxa"/>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1</w:t>
            </w:r>
          </w:p>
        </w:tc>
        <w:tc>
          <w:tcPr>
            <w:tcW w:w="1759" w:type="dxa"/>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GRZ/EBR12</w:t>
            </w:r>
          </w:p>
        </w:tc>
        <w:tc>
          <w:tcPr>
            <w:tcW w:w="1501"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(2/2)</w:t>
            </w:r>
            <w:r w:rsidRPr="00036700">
              <w:rPr>
                <w:rFonts w:ascii="Arial Narrow" w:hAnsi="Arial Narrow" w:cs="Times New Roman"/>
                <w:i/>
                <w:sz w:val="20"/>
                <w:vertAlign w:val="superscript"/>
              </w:rPr>
              <w:t>b</w:t>
            </w:r>
          </w:p>
        </w:tc>
        <w:tc>
          <w:tcPr>
            <w:tcW w:w="1417"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[15.8%, 100%]</w:t>
            </w:r>
            <w:r w:rsidRPr="00036700">
              <w:rPr>
                <w:rFonts w:ascii="Arial Narrow" w:hAnsi="Arial Narrow" w:cs="Times New Roman"/>
                <w:i/>
                <w:sz w:val="20"/>
                <w:vertAlign w:val="superscript"/>
              </w:rPr>
              <w:t>b</w:t>
            </w:r>
          </w:p>
        </w:tc>
      </w:tr>
      <w:tr w:rsidR="008569A8" w:rsidRPr="00036700" w:rsidTr="00EE7D8D">
        <w:tblPrEx>
          <w:tblLook w:val="04A0" w:firstRow="1" w:lastRow="0" w:firstColumn="1" w:lastColumn="0" w:noHBand="0" w:noVBand="1"/>
        </w:tblPrEx>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on-treatment failure, non-cirrhotic</w:t>
            </w:r>
          </w:p>
        </w:tc>
        <w:tc>
          <w:tcPr>
            <w:tcW w:w="1843" w:type="dxa"/>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4</w:t>
            </w:r>
          </w:p>
        </w:tc>
        <w:tc>
          <w:tcPr>
            <w:tcW w:w="1759" w:type="dxa"/>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GRZ/EBR16+RBV16</w:t>
            </w:r>
          </w:p>
        </w:tc>
        <w:tc>
          <w:tcPr>
            <w:tcW w:w="1501"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(1/1)</w:t>
            </w:r>
            <w:r w:rsidRPr="00036700">
              <w:rPr>
                <w:rFonts w:ascii="Arial Narrow" w:hAnsi="Arial Narrow" w:cs="Times New Roman"/>
                <w:i/>
                <w:sz w:val="20"/>
                <w:vertAlign w:val="superscript"/>
              </w:rPr>
              <w:t>b</w:t>
            </w:r>
          </w:p>
        </w:tc>
        <w:tc>
          <w:tcPr>
            <w:tcW w:w="1417"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[2.5%, 100%]</w:t>
            </w:r>
            <w:r w:rsidRPr="00036700">
              <w:rPr>
                <w:rFonts w:ascii="Arial Narrow" w:hAnsi="Arial Narrow" w:cs="Times New Roman"/>
                <w:i/>
                <w:sz w:val="20"/>
                <w:vertAlign w:val="superscript"/>
              </w:rPr>
              <w:t>b</w:t>
            </w:r>
          </w:p>
        </w:tc>
      </w:tr>
      <w:tr w:rsidR="008569A8" w:rsidRPr="00036700" w:rsidTr="00EE7D8D">
        <w:tblPrEx>
          <w:tblLook w:val="04A0" w:firstRow="1" w:lastRow="0" w:firstColumn="1" w:lastColumn="0" w:noHBand="0" w:noVBand="1"/>
        </w:tblPrEx>
        <w:tc>
          <w:tcPr>
            <w:tcW w:w="2065" w:type="dxa"/>
          </w:tcPr>
          <w:p w:rsidR="008569A8" w:rsidRPr="00036700" w:rsidRDefault="008569A8" w:rsidP="00277A70">
            <w:pPr>
              <w:keepLines/>
              <w:widowControl/>
              <w:tabs>
                <w:tab w:val="left" w:pos="416"/>
                <w:tab w:val="left" w:pos="582"/>
              </w:tabs>
              <w:spacing w:before="0" w:after="0"/>
              <w:ind w:right="-57"/>
              <w:jc w:val="left"/>
              <w:rPr>
                <w:rFonts w:ascii="Arial Narrow" w:hAnsi="Arial Narrow" w:cs="Times New Roman"/>
                <w:sz w:val="20"/>
              </w:rPr>
            </w:pPr>
            <w:r w:rsidRPr="00036700">
              <w:rPr>
                <w:rFonts w:ascii="Arial Narrow" w:hAnsi="Arial Narrow" w:cs="Times New Roman"/>
                <w:sz w:val="20"/>
              </w:rPr>
              <w:t>GT4 &amp; 6, on-treatment</w:t>
            </w:r>
            <w:r w:rsidR="00EE7D8D" w:rsidRPr="00036700">
              <w:rPr>
                <w:rFonts w:ascii="Arial Narrow" w:hAnsi="Arial Narrow" w:cs="Times New Roman"/>
                <w:sz w:val="20"/>
              </w:rPr>
              <w:t xml:space="preserve"> failure</w:t>
            </w:r>
            <w:r w:rsidRPr="00036700">
              <w:rPr>
                <w:rFonts w:ascii="Arial Narrow" w:hAnsi="Arial Narrow" w:cs="Times New Roman"/>
                <w:sz w:val="20"/>
              </w:rPr>
              <w:t>, cirrhotic</w:t>
            </w:r>
          </w:p>
        </w:tc>
        <w:tc>
          <w:tcPr>
            <w:tcW w:w="1843" w:type="dxa"/>
            <w:vAlign w:val="center"/>
          </w:tcPr>
          <w:p w:rsidR="008569A8" w:rsidRPr="00036700" w:rsidRDefault="008569A8" w:rsidP="00277A70">
            <w:pPr>
              <w:keepLines/>
              <w:widowControl/>
              <w:tabs>
                <w:tab w:val="left" w:pos="416"/>
                <w:tab w:val="left" w:pos="582"/>
              </w:tabs>
              <w:spacing w:before="0" w:after="0"/>
              <w:ind w:left="-57" w:right="-57"/>
              <w:jc w:val="left"/>
              <w:rPr>
                <w:rFonts w:ascii="Arial Narrow" w:hAnsi="Arial Narrow" w:cs="Times New Roman"/>
                <w:sz w:val="20"/>
              </w:rPr>
            </w:pPr>
            <w:r w:rsidRPr="00036700">
              <w:rPr>
                <w:rFonts w:ascii="Arial Narrow" w:hAnsi="Arial Narrow" w:cs="Times New Roman"/>
                <w:sz w:val="20"/>
              </w:rPr>
              <w:t>C-EDGE TE, Group 4</w:t>
            </w:r>
          </w:p>
        </w:tc>
        <w:tc>
          <w:tcPr>
            <w:tcW w:w="1759" w:type="dxa"/>
            <w:vAlign w:val="center"/>
          </w:tcPr>
          <w:p w:rsidR="008569A8" w:rsidRPr="00036700" w:rsidRDefault="008569A8" w:rsidP="00277A70">
            <w:pPr>
              <w:keepLines/>
              <w:widowControl/>
              <w:tabs>
                <w:tab w:val="left" w:pos="416"/>
                <w:tab w:val="left" w:pos="582"/>
              </w:tabs>
              <w:spacing w:before="0" w:after="0"/>
              <w:jc w:val="left"/>
              <w:rPr>
                <w:rFonts w:ascii="Arial Narrow" w:hAnsi="Arial Narrow" w:cs="Times New Roman"/>
                <w:sz w:val="20"/>
              </w:rPr>
            </w:pPr>
            <w:r w:rsidRPr="00036700">
              <w:rPr>
                <w:rFonts w:ascii="Arial Narrow" w:hAnsi="Arial Narrow" w:cs="Times New Roman"/>
                <w:sz w:val="20"/>
              </w:rPr>
              <w:t>GRZ/EBR16+RBV16</w:t>
            </w:r>
          </w:p>
        </w:tc>
        <w:tc>
          <w:tcPr>
            <w:tcW w:w="1501"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100% (4/4)</w:t>
            </w:r>
            <w:r w:rsidRPr="00036700">
              <w:rPr>
                <w:rFonts w:ascii="Arial Narrow" w:hAnsi="Arial Narrow" w:cs="Times New Roman"/>
                <w:i/>
                <w:sz w:val="20"/>
                <w:vertAlign w:val="superscript"/>
              </w:rPr>
              <w:t>b</w:t>
            </w:r>
          </w:p>
        </w:tc>
        <w:tc>
          <w:tcPr>
            <w:tcW w:w="1417" w:type="dxa"/>
            <w:vAlign w:val="center"/>
          </w:tcPr>
          <w:p w:rsidR="008569A8" w:rsidRPr="00036700" w:rsidRDefault="008569A8" w:rsidP="00277A70">
            <w:pPr>
              <w:keepLines/>
              <w:widowControl/>
              <w:tabs>
                <w:tab w:val="left" w:pos="416"/>
                <w:tab w:val="left" w:pos="582"/>
              </w:tabs>
              <w:spacing w:before="0" w:after="0"/>
              <w:jc w:val="center"/>
              <w:rPr>
                <w:rFonts w:ascii="Arial Narrow" w:hAnsi="Arial Narrow" w:cs="Times New Roman"/>
                <w:i/>
                <w:sz w:val="20"/>
              </w:rPr>
            </w:pPr>
            <w:r w:rsidRPr="00036700">
              <w:rPr>
                <w:rFonts w:ascii="Arial Narrow" w:hAnsi="Arial Narrow" w:cs="Times New Roman"/>
                <w:i/>
                <w:sz w:val="20"/>
              </w:rPr>
              <w:t>[39.8%, 100%]</w:t>
            </w:r>
            <w:r w:rsidRPr="00036700">
              <w:rPr>
                <w:rFonts w:ascii="Arial Narrow" w:hAnsi="Arial Narrow" w:cs="Times New Roman"/>
                <w:i/>
                <w:sz w:val="20"/>
                <w:vertAlign w:val="superscript"/>
              </w:rPr>
              <w:t>b</w:t>
            </w:r>
          </w:p>
        </w:tc>
      </w:tr>
    </w:tbl>
    <w:p w:rsidR="008569A8" w:rsidRPr="00036700" w:rsidRDefault="008569A8" w:rsidP="00277A70">
      <w:pPr>
        <w:pStyle w:val="TableFooter"/>
        <w:widowControl/>
        <w:ind w:left="709"/>
      </w:pPr>
      <w:r w:rsidRPr="00036700">
        <w:t>CI = confidence interval; EBR = elbasvir; GT = genotype; GRZ = grazoprevir; RBV = ribavirin; SOF = sofosbuvir; SVR = sustained virologic response</w:t>
      </w:r>
    </w:p>
    <w:p w:rsidR="008569A8" w:rsidRPr="00036700" w:rsidRDefault="008569A8" w:rsidP="00277A70">
      <w:pPr>
        <w:pStyle w:val="TableFooter"/>
        <w:widowControl/>
        <w:ind w:left="709"/>
      </w:pPr>
      <w:proofErr w:type="gramStart"/>
      <w:r w:rsidRPr="00036700">
        <w:rPr>
          <w:vertAlign w:val="superscript"/>
        </w:rPr>
        <w:t>a</w:t>
      </w:r>
      <w:proofErr w:type="gramEnd"/>
      <w:r w:rsidRPr="00036700">
        <w:t xml:space="preserve"> For GT1b patients with limited fibrosis (F0-2)</w:t>
      </w:r>
    </w:p>
    <w:p w:rsidR="008569A8" w:rsidRPr="00036700" w:rsidRDefault="008569A8" w:rsidP="00277A70">
      <w:pPr>
        <w:pStyle w:val="TableFooter"/>
        <w:widowControl/>
        <w:ind w:left="709"/>
        <w:rPr>
          <w:i/>
          <w:vertAlign w:val="superscript"/>
        </w:rPr>
      </w:pPr>
      <w:proofErr w:type="gramStart"/>
      <w:r w:rsidRPr="00036700">
        <w:rPr>
          <w:i/>
          <w:vertAlign w:val="superscript"/>
        </w:rPr>
        <w:t>b</w:t>
      </w:r>
      <w:proofErr w:type="gramEnd"/>
      <w:r w:rsidRPr="00036700">
        <w:rPr>
          <w:i/>
        </w:rPr>
        <w:t xml:space="preserve"> Data on the number of patients achieving SVR12 were extracted from </w:t>
      </w:r>
      <w:r w:rsidR="004B6AF7" w:rsidRPr="00036700">
        <w:rPr>
          <w:i/>
        </w:rPr>
        <w:t xml:space="preserve">respective </w:t>
      </w:r>
      <w:r w:rsidRPr="00036700">
        <w:rPr>
          <w:i/>
        </w:rPr>
        <w:t>clinical study report</w:t>
      </w:r>
      <w:r w:rsidR="004B6AF7" w:rsidRPr="00036700">
        <w:rPr>
          <w:i/>
        </w:rPr>
        <w:t>s</w:t>
      </w:r>
      <w:r w:rsidRPr="00036700">
        <w:rPr>
          <w:i/>
        </w:rPr>
        <w:t xml:space="preserve"> during the evaluation as they were not provided in the submission. C</w:t>
      </w:r>
      <w:r w:rsidR="004B6AF7" w:rsidRPr="00036700">
        <w:rPr>
          <w:i/>
        </w:rPr>
        <w:t>onfidence intervals</w:t>
      </w:r>
      <w:r w:rsidRPr="00036700">
        <w:rPr>
          <w:i/>
        </w:rPr>
        <w:t xml:space="preserve"> were calculated using Stata</w:t>
      </w:r>
      <w:r w:rsidRPr="00036700">
        <w:rPr>
          <w:i/>
          <w:vertAlign w:val="superscript"/>
        </w:rPr>
        <w:t>®</w:t>
      </w:r>
      <w:r w:rsidRPr="00036700">
        <w:rPr>
          <w:i/>
        </w:rPr>
        <w:t>13.1</w:t>
      </w:r>
      <w:r w:rsidR="00EE7D8D" w:rsidRPr="00036700">
        <w:rPr>
          <w:i/>
        </w:rPr>
        <w:t xml:space="preserve"> </w:t>
      </w:r>
      <w:r w:rsidR="004B6AF7" w:rsidRPr="00036700">
        <w:rPr>
          <w:i/>
        </w:rPr>
        <w:t>– exact confidence intervals were calculated using cii in Stata</w:t>
      </w:r>
      <w:r w:rsidR="00D07E38" w:rsidRPr="00036700">
        <w:rPr>
          <w:i/>
        </w:rPr>
        <w:t>.</w:t>
      </w:r>
    </w:p>
    <w:p w:rsidR="008569A8" w:rsidRPr="00036700" w:rsidRDefault="008569A8" w:rsidP="00277A70">
      <w:pPr>
        <w:pStyle w:val="TableFooter"/>
        <w:widowControl/>
        <w:ind w:left="709"/>
      </w:pPr>
      <w:proofErr w:type="gramStart"/>
      <w:r w:rsidRPr="00036700">
        <w:rPr>
          <w:vertAlign w:val="superscript"/>
        </w:rPr>
        <w:t>c</w:t>
      </w:r>
      <w:proofErr w:type="gramEnd"/>
      <w:r w:rsidRPr="00036700">
        <w:t xml:space="preserve"> Include GT 1b patients only</w:t>
      </w:r>
    </w:p>
    <w:p w:rsidR="00837BF7" w:rsidRPr="00036700" w:rsidRDefault="008569A8" w:rsidP="00277A70">
      <w:pPr>
        <w:pStyle w:val="TableFooter"/>
        <w:widowControl/>
        <w:ind w:left="709"/>
      </w:pPr>
      <w:proofErr w:type="gramStart"/>
      <w:r w:rsidRPr="00036700">
        <w:rPr>
          <w:vertAlign w:val="superscript"/>
        </w:rPr>
        <w:t>d</w:t>
      </w:r>
      <w:proofErr w:type="gramEnd"/>
      <w:r w:rsidRPr="00036700">
        <w:t xml:space="preserve"> Include GT1a patients only</w:t>
      </w:r>
    </w:p>
    <w:p w:rsidR="008569A8" w:rsidRPr="00036700" w:rsidRDefault="008569A8" w:rsidP="00277A70">
      <w:pPr>
        <w:pStyle w:val="TableFooter"/>
        <w:widowControl/>
        <w:ind w:left="709"/>
      </w:pPr>
      <w:r w:rsidRPr="00036700">
        <w:t>Source Table B.6-2, p172 and Table B.6-12, p195 of the submission</w:t>
      </w:r>
    </w:p>
    <w:p w:rsidR="00837BF7" w:rsidRPr="00036700" w:rsidRDefault="00837BF7" w:rsidP="00277A70">
      <w:pPr>
        <w:widowControl/>
      </w:pPr>
    </w:p>
    <w:p w:rsidR="00837BF7" w:rsidRPr="00036700" w:rsidRDefault="00837BF7" w:rsidP="005E5DEF">
      <w:pPr>
        <w:pStyle w:val="ListParagraph"/>
        <w:widowControl/>
        <w:numPr>
          <w:ilvl w:val="1"/>
          <w:numId w:val="1"/>
        </w:numPr>
        <w:rPr>
          <w:color w:val="000000" w:themeColor="text1"/>
          <w:szCs w:val="22"/>
        </w:rPr>
      </w:pPr>
      <w:r w:rsidRPr="00036700">
        <w:rPr>
          <w:color w:val="000000" w:themeColor="text1"/>
          <w:szCs w:val="22"/>
        </w:rPr>
        <w:t xml:space="preserve">SVR12 rates </w:t>
      </w:r>
      <w:r w:rsidR="0072235A" w:rsidRPr="00036700">
        <w:rPr>
          <w:color w:val="000000" w:themeColor="text1"/>
          <w:szCs w:val="22"/>
        </w:rPr>
        <w:t xml:space="preserve">associated with </w:t>
      </w:r>
      <w:r w:rsidRPr="00036700">
        <w:rPr>
          <w:color w:val="000000" w:themeColor="text1"/>
          <w:szCs w:val="22"/>
        </w:rPr>
        <w:t xml:space="preserve">the recommended treatment regimens of GRZ/EBR±RBV or SOF </w:t>
      </w:r>
      <w:r w:rsidR="0072235A" w:rsidRPr="00036700">
        <w:rPr>
          <w:color w:val="000000" w:themeColor="text1"/>
          <w:szCs w:val="22"/>
        </w:rPr>
        <w:t xml:space="preserve">ranged </w:t>
      </w:r>
      <w:r w:rsidRPr="00036700">
        <w:rPr>
          <w:color w:val="000000" w:themeColor="text1"/>
          <w:szCs w:val="22"/>
        </w:rPr>
        <w:t xml:space="preserve">from 83.3% to 100% across </w:t>
      </w:r>
      <w:r w:rsidR="00401BA4" w:rsidRPr="00036700">
        <w:rPr>
          <w:color w:val="000000" w:themeColor="text1"/>
          <w:szCs w:val="22"/>
        </w:rPr>
        <w:t>CHC</w:t>
      </w:r>
      <w:r w:rsidRPr="00036700">
        <w:rPr>
          <w:color w:val="000000" w:themeColor="text1"/>
          <w:szCs w:val="22"/>
        </w:rPr>
        <w:t xml:space="preserve"> populations except for genotype 4 </w:t>
      </w:r>
      <w:r w:rsidR="00D07E38" w:rsidRPr="00036700">
        <w:rPr>
          <w:color w:val="000000" w:themeColor="text1"/>
          <w:szCs w:val="22"/>
        </w:rPr>
        <w:t>or</w:t>
      </w:r>
      <w:r w:rsidRPr="00036700">
        <w:rPr>
          <w:color w:val="000000" w:themeColor="text1"/>
          <w:szCs w:val="22"/>
        </w:rPr>
        <w:t xml:space="preserve"> 6 cirrhotic </w:t>
      </w:r>
      <w:r w:rsidR="00D07E38" w:rsidRPr="00036700">
        <w:rPr>
          <w:color w:val="000000" w:themeColor="text1"/>
          <w:szCs w:val="22"/>
        </w:rPr>
        <w:t>prior rela</w:t>
      </w:r>
      <w:r w:rsidR="00571855" w:rsidRPr="00036700">
        <w:rPr>
          <w:color w:val="000000" w:themeColor="text1"/>
          <w:szCs w:val="22"/>
        </w:rPr>
        <w:t>ps</w:t>
      </w:r>
      <w:r w:rsidR="00D07E38" w:rsidRPr="00036700">
        <w:rPr>
          <w:color w:val="000000" w:themeColor="text1"/>
          <w:szCs w:val="22"/>
        </w:rPr>
        <w:t>ers</w:t>
      </w:r>
      <w:r w:rsidRPr="00036700">
        <w:rPr>
          <w:color w:val="000000" w:themeColor="text1"/>
          <w:szCs w:val="22"/>
        </w:rPr>
        <w:t xml:space="preserve"> for whom no results </w:t>
      </w:r>
      <w:r w:rsidR="001753A6" w:rsidRPr="00036700">
        <w:rPr>
          <w:color w:val="000000" w:themeColor="text1"/>
          <w:szCs w:val="22"/>
        </w:rPr>
        <w:t>were</w:t>
      </w:r>
      <w:r w:rsidRPr="00036700">
        <w:rPr>
          <w:color w:val="000000" w:themeColor="text1"/>
          <w:szCs w:val="22"/>
        </w:rPr>
        <w:t xml:space="preserve"> available. The sample size in some patient </w:t>
      </w:r>
      <w:r w:rsidR="001753A6" w:rsidRPr="00036700">
        <w:rPr>
          <w:color w:val="000000" w:themeColor="text1"/>
          <w:szCs w:val="22"/>
        </w:rPr>
        <w:t>population</w:t>
      </w:r>
      <w:r w:rsidRPr="00036700">
        <w:rPr>
          <w:color w:val="000000" w:themeColor="text1"/>
          <w:szCs w:val="22"/>
        </w:rPr>
        <w:t xml:space="preserve">s, eg </w:t>
      </w:r>
      <w:r w:rsidR="002B448F" w:rsidRPr="00036700">
        <w:rPr>
          <w:color w:val="000000" w:themeColor="text1"/>
          <w:szCs w:val="22"/>
        </w:rPr>
        <w:t xml:space="preserve">genotype 4 or 6 </w:t>
      </w:r>
      <w:r w:rsidR="00653585" w:rsidRPr="00036700">
        <w:rPr>
          <w:color w:val="000000" w:themeColor="text1"/>
          <w:szCs w:val="22"/>
        </w:rPr>
        <w:t xml:space="preserve">treatment-naïve </w:t>
      </w:r>
      <w:r w:rsidR="002B448F" w:rsidRPr="00036700">
        <w:rPr>
          <w:color w:val="000000" w:themeColor="text1"/>
          <w:szCs w:val="22"/>
        </w:rPr>
        <w:t>cirrhotic patients (n=2)</w:t>
      </w:r>
      <w:r w:rsidR="001753A6" w:rsidRPr="00036700">
        <w:rPr>
          <w:color w:val="000000" w:themeColor="text1"/>
          <w:szCs w:val="22"/>
        </w:rPr>
        <w:t>,</w:t>
      </w:r>
      <w:r w:rsidR="002B448F" w:rsidRPr="00036700">
        <w:rPr>
          <w:color w:val="000000" w:themeColor="text1"/>
          <w:szCs w:val="22"/>
        </w:rPr>
        <w:t xml:space="preserve"> </w:t>
      </w:r>
      <w:r w:rsidRPr="00036700">
        <w:rPr>
          <w:color w:val="000000" w:themeColor="text1"/>
          <w:szCs w:val="22"/>
        </w:rPr>
        <w:t xml:space="preserve">genotype 4 or 6 treatment-experienced </w:t>
      </w:r>
      <w:r w:rsidR="002B448F" w:rsidRPr="00036700">
        <w:rPr>
          <w:color w:val="000000" w:themeColor="text1"/>
          <w:szCs w:val="22"/>
        </w:rPr>
        <w:t>subgroup (n=7)</w:t>
      </w:r>
      <w:r w:rsidR="001753A6" w:rsidRPr="00036700">
        <w:rPr>
          <w:color w:val="000000" w:themeColor="text1"/>
          <w:szCs w:val="22"/>
        </w:rPr>
        <w:t xml:space="preserve"> and genotype 3 patients (n=26)</w:t>
      </w:r>
      <w:r w:rsidRPr="00036700">
        <w:rPr>
          <w:color w:val="000000" w:themeColor="text1"/>
          <w:szCs w:val="22"/>
        </w:rPr>
        <w:t>, was too small to provide an accurate estimate of the clinical benefit.</w:t>
      </w:r>
    </w:p>
    <w:p w:rsidR="0041620B" w:rsidRPr="00036700" w:rsidRDefault="0041620B" w:rsidP="00277A70">
      <w:pPr>
        <w:pStyle w:val="ListParagraph"/>
        <w:widowControl/>
        <w:rPr>
          <w:szCs w:val="22"/>
        </w:rPr>
      </w:pPr>
    </w:p>
    <w:p w:rsidR="00310427" w:rsidRPr="00036700" w:rsidRDefault="006B701D" w:rsidP="00D9008B">
      <w:pPr>
        <w:pStyle w:val="ListParagraph"/>
        <w:widowControl/>
        <w:numPr>
          <w:ilvl w:val="1"/>
          <w:numId w:val="1"/>
        </w:numPr>
        <w:rPr>
          <w:szCs w:val="22"/>
        </w:rPr>
      </w:pPr>
      <w:r w:rsidRPr="00036700">
        <w:rPr>
          <w:szCs w:val="22"/>
        </w:rPr>
        <w:t xml:space="preserve">In C-SALVAGE, </w:t>
      </w:r>
      <w:r w:rsidR="00310427" w:rsidRPr="00036700">
        <w:rPr>
          <w:szCs w:val="22"/>
        </w:rPr>
        <w:t xml:space="preserve">96.2% (76/79) </w:t>
      </w:r>
      <w:r w:rsidRPr="00036700">
        <w:rPr>
          <w:szCs w:val="22"/>
        </w:rPr>
        <w:t xml:space="preserve">of patients who had failed </w:t>
      </w:r>
      <w:r w:rsidR="001753A6" w:rsidRPr="00036700">
        <w:rPr>
          <w:szCs w:val="22"/>
        </w:rPr>
        <w:t>previous</w:t>
      </w:r>
      <w:r w:rsidRPr="00036700">
        <w:rPr>
          <w:szCs w:val="22"/>
        </w:rPr>
        <w:t xml:space="preserve"> protease inhibitor </w:t>
      </w:r>
      <w:r w:rsidR="001753A6" w:rsidRPr="00036700">
        <w:rPr>
          <w:szCs w:val="22"/>
        </w:rPr>
        <w:t xml:space="preserve">therapy </w:t>
      </w:r>
      <w:r w:rsidR="00310427" w:rsidRPr="00036700">
        <w:rPr>
          <w:szCs w:val="22"/>
        </w:rPr>
        <w:t xml:space="preserve">achieved SVR12 </w:t>
      </w:r>
      <w:r w:rsidR="0072235A" w:rsidRPr="00036700">
        <w:rPr>
          <w:szCs w:val="22"/>
        </w:rPr>
        <w:t xml:space="preserve">after being treated with </w:t>
      </w:r>
      <w:r w:rsidRPr="00036700">
        <w:rPr>
          <w:szCs w:val="22"/>
        </w:rPr>
        <w:t xml:space="preserve">GRZ/EBR12+RBV12. </w:t>
      </w:r>
      <w:r w:rsidR="00310427" w:rsidRPr="00036700">
        <w:rPr>
          <w:szCs w:val="22"/>
        </w:rPr>
        <w:t xml:space="preserve">Similar SVR results were reported for </w:t>
      </w:r>
      <w:r w:rsidRPr="00036700">
        <w:rPr>
          <w:szCs w:val="22"/>
        </w:rPr>
        <w:t>prior</w:t>
      </w:r>
      <w:r w:rsidR="00310427" w:rsidRPr="00036700">
        <w:rPr>
          <w:szCs w:val="22"/>
        </w:rPr>
        <w:t xml:space="preserve"> relapsers and </w:t>
      </w:r>
      <w:r w:rsidRPr="00036700">
        <w:rPr>
          <w:szCs w:val="22"/>
        </w:rPr>
        <w:t xml:space="preserve">those </w:t>
      </w:r>
      <w:r w:rsidR="0072235A" w:rsidRPr="00036700">
        <w:rPr>
          <w:szCs w:val="22"/>
        </w:rPr>
        <w:t xml:space="preserve">patients </w:t>
      </w:r>
      <w:r w:rsidRPr="00036700">
        <w:rPr>
          <w:szCs w:val="22"/>
        </w:rPr>
        <w:t xml:space="preserve">who had experienced </w:t>
      </w:r>
      <w:r w:rsidR="00310427" w:rsidRPr="00036700">
        <w:rPr>
          <w:szCs w:val="22"/>
        </w:rPr>
        <w:t xml:space="preserve">on-treatment virologic failure (96.2% vs 95.0%). </w:t>
      </w:r>
      <w:r w:rsidRPr="00036700">
        <w:rPr>
          <w:szCs w:val="22"/>
        </w:rPr>
        <w:t xml:space="preserve">At baseline, the overall prevalence of </w:t>
      </w:r>
      <w:r w:rsidRPr="00036700">
        <w:rPr>
          <w:szCs w:val="22"/>
        </w:rPr>
        <w:lastRenderedPageBreak/>
        <w:t xml:space="preserve">NS3/4A resistance-associated variants (RAVs) at the specified loci was 43.6% (34/78). Even though </w:t>
      </w:r>
      <w:r w:rsidR="0089377B" w:rsidRPr="00036700">
        <w:rPr>
          <w:szCs w:val="22"/>
        </w:rPr>
        <w:t xml:space="preserve">all </w:t>
      </w:r>
      <w:r w:rsidR="00B5118A" w:rsidRPr="00036700">
        <w:rPr>
          <w:szCs w:val="22"/>
        </w:rPr>
        <w:t xml:space="preserve">subjects </w:t>
      </w:r>
      <w:r w:rsidR="0089377B" w:rsidRPr="00036700">
        <w:rPr>
          <w:szCs w:val="22"/>
        </w:rPr>
        <w:t xml:space="preserve">had </w:t>
      </w:r>
      <w:r w:rsidR="0072235A" w:rsidRPr="00036700">
        <w:rPr>
          <w:szCs w:val="22"/>
        </w:rPr>
        <w:t xml:space="preserve">not been </w:t>
      </w:r>
      <w:r w:rsidRPr="00036700">
        <w:rPr>
          <w:szCs w:val="22"/>
        </w:rPr>
        <w:t xml:space="preserve">previously exposed to an NS5A inhibitor, a total of eight subjects (10.1%) had a NS5A baseline polymorphism at these loci prior to treatment. This could be a reflection of the relatively low barrier to the development of resistance. </w:t>
      </w:r>
      <w:r w:rsidR="00730551" w:rsidRPr="00036700">
        <w:rPr>
          <w:szCs w:val="22"/>
        </w:rPr>
        <w:t xml:space="preserve">For both NS3/4A and NS5A RAVs, SVR rates were apparently lower in patients harbouring viruses with baseline RAVs than those without (91.2% vs 100% for NS3/4 variants; 75.0% vs 98.6% for NS5A variants). However, no firm conclusion could be drawn regarding the impact of baseline RAVs on </w:t>
      </w:r>
      <w:r w:rsidR="00B5118A" w:rsidRPr="00036700">
        <w:rPr>
          <w:szCs w:val="22"/>
        </w:rPr>
        <w:t xml:space="preserve">the </w:t>
      </w:r>
      <w:r w:rsidR="00730551" w:rsidRPr="00036700">
        <w:rPr>
          <w:szCs w:val="22"/>
        </w:rPr>
        <w:t xml:space="preserve">efficacy </w:t>
      </w:r>
      <w:r w:rsidR="00B5118A" w:rsidRPr="00036700">
        <w:rPr>
          <w:szCs w:val="22"/>
        </w:rPr>
        <w:t xml:space="preserve">of GRZ/EBR </w:t>
      </w:r>
      <w:r w:rsidR="00730551" w:rsidRPr="00036700">
        <w:rPr>
          <w:szCs w:val="22"/>
        </w:rPr>
        <w:t>primarily due to the small number of patients who did not achieve SVR12 in C-SALVAGE (n=3).</w:t>
      </w:r>
      <w:r w:rsidR="00310427" w:rsidRPr="00036700">
        <w:rPr>
          <w:szCs w:val="22"/>
        </w:rPr>
        <w:t xml:space="preserve"> </w:t>
      </w:r>
    </w:p>
    <w:p w:rsidR="00310427" w:rsidRPr="00036700" w:rsidRDefault="00310427" w:rsidP="00277A70">
      <w:pPr>
        <w:pStyle w:val="ListParagraph"/>
        <w:widowControl/>
        <w:rPr>
          <w:i/>
          <w:szCs w:val="22"/>
        </w:rPr>
      </w:pPr>
    </w:p>
    <w:p w:rsidR="00837BF7" w:rsidRPr="00036700" w:rsidRDefault="00ED3A70" w:rsidP="00D9008B">
      <w:pPr>
        <w:pStyle w:val="ListParagraph"/>
        <w:widowControl/>
        <w:numPr>
          <w:ilvl w:val="1"/>
          <w:numId w:val="1"/>
        </w:numPr>
        <w:rPr>
          <w:szCs w:val="22"/>
        </w:rPr>
      </w:pPr>
      <w:r w:rsidRPr="00036700">
        <w:rPr>
          <w:szCs w:val="22"/>
        </w:rPr>
        <w:t>In order to compare</w:t>
      </w:r>
      <w:r w:rsidR="00730551" w:rsidRPr="00036700">
        <w:rPr>
          <w:szCs w:val="22"/>
        </w:rPr>
        <w:t xml:space="preserve"> GRZ/EBR</w:t>
      </w:r>
      <w:r w:rsidRPr="00036700">
        <w:rPr>
          <w:szCs w:val="22"/>
        </w:rPr>
        <w:t xml:space="preserve"> therapies</w:t>
      </w:r>
      <w:r w:rsidR="00730551" w:rsidRPr="00036700">
        <w:rPr>
          <w:szCs w:val="22"/>
        </w:rPr>
        <w:t xml:space="preserve"> with LDV/SOF, SOF</w:t>
      </w:r>
      <w:proofErr w:type="gramStart"/>
      <w:r w:rsidR="00730551" w:rsidRPr="00036700">
        <w:rPr>
          <w:szCs w:val="22"/>
        </w:rPr>
        <w:t>+(</w:t>
      </w:r>
      <w:proofErr w:type="gramEnd"/>
      <w:r w:rsidR="00730551" w:rsidRPr="00036700">
        <w:rPr>
          <w:szCs w:val="22"/>
        </w:rPr>
        <w:t>P)R or no treatment, w</w:t>
      </w:r>
      <w:r w:rsidR="00837BF7" w:rsidRPr="00036700">
        <w:rPr>
          <w:szCs w:val="22"/>
        </w:rPr>
        <w:t>he</w:t>
      </w:r>
      <w:r w:rsidRPr="00036700">
        <w:rPr>
          <w:szCs w:val="22"/>
        </w:rPr>
        <w:t>re possible</w:t>
      </w:r>
      <w:r w:rsidR="00837BF7" w:rsidRPr="00036700">
        <w:rPr>
          <w:szCs w:val="22"/>
        </w:rPr>
        <w:t xml:space="preserve"> the </w:t>
      </w:r>
      <w:r w:rsidRPr="00036700">
        <w:rPr>
          <w:szCs w:val="22"/>
        </w:rPr>
        <w:t xml:space="preserve">study </w:t>
      </w:r>
      <w:r w:rsidR="00837BF7" w:rsidRPr="00036700">
        <w:rPr>
          <w:szCs w:val="22"/>
        </w:rPr>
        <w:t xml:space="preserve">results were pooled and have been presented </w:t>
      </w:r>
      <w:r w:rsidR="007926A2" w:rsidRPr="00036700">
        <w:rPr>
          <w:szCs w:val="22"/>
        </w:rPr>
        <w:t>in Table</w:t>
      </w:r>
      <w:r w:rsidRPr="00036700">
        <w:rPr>
          <w:szCs w:val="22"/>
        </w:rPr>
        <w:t>s</w:t>
      </w:r>
      <w:r w:rsidR="007926A2" w:rsidRPr="00036700">
        <w:rPr>
          <w:szCs w:val="22"/>
        </w:rPr>
        <w:t xml:space="preserve"> </w:t>
      </w:r>
      <w:r w:rsidR="0068321D">
        <w:rPr>
          <w:szCs w:val="22"/>
        </w:rPr>
        <w:t>4</w:t>
      </w:r>
      <w:r w:rsidRPr="00036700">
        <w:rPr>
          <w:szCs w:val="22"/>
        </w:rPr>
        <w:t xml:space="preserve">, </w:t>
      </w:r>
      <w:r w:rsidR="0068321D">
        <w:rPr>
          <w:szCs w:val="22"/>
        </w:rPr>
        <w:t>5</w:t>
      </w:r>
      <w:r w:rsidR="000E3ECD" w:rsidRPr="00036700">
        <w:rPr>
          <w:szCs w:val="22"/>
        </w:rPr>
        <w:t xml:space="preserve"> </w:t>
      </w:r>
      <w:r w:rsidRPr="00036700">
        <w:rPr>
          <w:szCs w:val="22"/>
        </w:rPr>
        <w:t>and</w:t>
      </w:r>
      <w:r w:rsidR="007926A2" w:rsidRPr="00036700">
        <w:rPr>
          <w:szCs w:val="22"/>
        </w:rPr>
        <w:t xml:space="preserve"> </w:t>
      </w:r>
      <w:r w:rsidR="0068321D">
        <w:rPr>
          <w:szCs w:val="22"/>
        </w:rPr>
        <w:t>6</w:t>
      </w:r>
      <w:r w:rsidR="00837BF7" w:rsidRPr="00036700">
        <w:rPr>
          <w:szCs w:val="22"/>
        </w:rPr>
        <w:t>.</w:t>
      </w:r>
    </w:p>
    <w:p w:rsidR="00730551" w:rsidRPr="00036700" w:rsidRDefault="00730551" w:rsidP="00277A70">
      <w:pPr>
        <w:pStyle w:val="ListParagraph"/>
        <w:widowControl/>
        <w:rPr>
          <w:szCs w:val="22"/>
        </w:rPr>
      </w:pPr>
    </w:p>
    <w:p w:rsidR="00730551" w:rsidRPr="00036700" w:rsidRDefault="00730551" w:rsidP="00277A70">
      <w:pPr>
        <w:pStyle w:val="TableHeader"/>
        <w:widowControl/>
        <w:ind w:left="737"/>
      </w:pPr>
      <w:r w:rsidRPr="00036700">
        <w:t xml:space="preserve">Table </w:t>
      </w:r>
      <w:r w:rsidR="0068321D">
        <w:t>4</w:t>
      </w:r>
      <w:r w:rsidRPr="00036700">
        <w:t xml:space="preserve">: Unadjusted indirect comparison of SVR12 between GRZ/EBR±RBV with LDV/SOF in GT1 patients </w:t>
      </w:r>
    </w:p>
    <w:tbl>
      <w:tblPr>
        <w:tblW w:w="470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3157"/>
        <w:gridCol w:w="3688"/>
      </w:tblGrid>
      <w:tr w:rsidR="00730551" w:rsidRPr="00036700" w:rsidTr="007926A2">
        <w:tc>
          <w:tcPr>
            <w:tcW w:w="995" w:type="pct"/>
            <w:vAlign w:val="center"/>
          </w:tcPr>
          <w:p w:rsidR="00730551" w:rsidRPr="00036700" w:rsidRDefault="00730551" w:rsidP="00277A70">
            <w:pPr>
              <w:keepNext/>
              <w:keepLines/>
              <w:widowControl/>
              <w:jc w:val="left"/>
              <w:rPr>
                <w:rFonts w:ascii="Arial Narrow" w:hAnsi="Arial Narrow"/>
                <w:b/>
                <w:sz w:val="20"/>
              </w:rPr>
            </w:pPr>
            <w:r w:rsidRPr="00036700">
              <w:rPr>
                <w:rFonts w:ascii="Arial Narrow" w:hAnsi="Arial Narrow"/>
                <w:b/>
                <w:sz w:val="20"/>
              </w:rPr>
              <w:t>Comparison</w:t>
            </w:r>
          </w:p>
        </w:tc>
        <w:tc>
          <w:tcPr>
            <w:tcW w:w="1847" w:type="pct"/>
            <w:vAlign w:val="center"/>
          </w:tcPr>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GRZ/EBR±RBV</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n/N (</w:t>
            </w:r>
            <w:r w:rsidR="00ED3A70" w:rsidRPr="00036700">
              <w:rPr>
                <w:rFonts w:ascii="Arial Narrow" w:hAnsi="Arial Narrow"/>
                <w:b/>
                <w:sz w:val="20"/>
              </w:rPr>
              <w:t>k=</w:t>
            </w:r>
            <w:r w:rsidRPr="00036700">
              <w:rPr>
                <w:rFonts w:ascii="Arial Narrow" w:hAnsi="Arial Narrow"/>
                <w:b/>
                <w:sz w:val="20"/>
              </w:rPr>
              <w:t>no. of studies)</w:t>
            </w:r>
            <w:r w:rsidRPr="00036700">
              <w:rPr>
                <w:rFonts w:ascii="Arial Narrow" w:hAnsi="Arial Narrow"/>
                <w:b/>
                <w:sz w:val="20"/>
                <w:vertAlign w:val="superscript"/>
              </w:rPr>
              <w:t>a</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p>
        </w:tc>
        <w:tc>
          <w:tcPr>
            <w:tcW w:w="2158" w:type="pct"/>
            <w:vAlign w:val="center"/>
          </w:tcPr>
          <w:p w:rsidR="00730551" w:rsidRPr="00036700" w:rsidRDefault="00730551" w:rsidP="00277A70">
            <w:pPr>
              <w:keepNext/>
              <w:keepLines/>
              <w:widowControl/>
              <w:jc w:val="center"/>
              <w:rPr>
                <w:rFonts w:ascii="Arial Narrow" w:hAnsi="Arial Narrow"/>
                <w:b/>
                <w:sz w:val="20"/>
                <w:vertAlign w:val="superscript"/>
              </w:rPr>
            </w:pPr>
            <w:r w:rsidRPr="00036700">
              <w:rPr>
                <w:rFonts w:ascii="Arial Narrow" w:hAnsi="Arial Narrow"/>
                <w:b/>
                <w:sz w:val="20"/>
              </w:rPr>
              <w:t>LDV/SOF</w:t>
            </w:r>
          </w:p>
          <w:p w:rsidR="00730551" w:rsidRPr="00036700" w:rsidRDefault="00730551" w:rsidP="00277A70">
            <w:pPr>
              <w:keepNext/>
              <w:keepLines/>
              <w:widowControl/>
              <w:jc w:val="center"/>
              <w:rPr>
                <w:rFonts w:ascii="Arial Narrow" w:hAnsi="Arial Narrow"/>
                <w:b/>
                <w:sz w:val="20"/>
                <w:vertAlign w:val="superscript"/>
              </w:rPr>
            </w:pPr>
            <w:r w:rsidRPr="00036700">
              <w:rPr>
                <w:rFonts w:ascii="Arial Narrow" w:hAnsi="Arial Narrow"/>
                <w:b/>
                <w:sz w:val="20"/>
              </w:rPr>
              <w:t>n/N (</w:t>
            </w:r>
            <w:r w:rsidR="00ED3A70" w:rsidRPr="00036700">
              <w:rPr>
                <w:rFonts w:ascii="Arial Narrow" w:hAnsi="Arial Narrow"/>
                <w:b/>
                <w:sz w:val="20"/>
              </w:rPr>
              <w:t>k=</w:t>
            </w:r>
            <w:r w:rsidRPr="00036700">
              <w:rPr>
                <w:rFonts w:ascii="Arial Narrow" w:hAnsi="Arial Narrow"/>
                <w:b/>
                <w:sz w:val="20"/>
              </w:rPr>
              <w:t>no. of studies)</w:t>
            </w:r>
            <w:r w:rsidRPr="00036700">
              <w:rPr>
                <w:rFonts w:ascii="Arial Narrow" w:hAnsi="Arial Narrow"/>
                <w:b/>
                <w:sz w:val="20"/>
                <w:vertAlign w:val="superscript"/>
              </w:rPr>
              <w:t>a</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p>
        </w:tc>
      </w:tr>
      <w:tr w:rsidR="00730551" w:rsidRPr="00036700" w:rsidTr="007926A2">
        <w:tc>
          <w:tcPr>
            <w:tcW w:w="5000" w:type="pct"/>
            <w:gridSpan w:val="3"/>
            <w:vAlign w:val="center"/>
          </w:tcPr>
          <w:p w:rsidR="00730551" w:rsidRPr="00036700" w:rsidRDefault="00730551" w:rsidP="00277A70">
            <w:pPr>
              <w:widowControl/>
              <w:jc w:val="left"/>
              <w:rPr>
                <w:rFonts w:ascii="Arial Narrow" w:hAnsi="Arial Narrow"/>
                <w:b/>
                <w:sz w:val="20"/>
              </w:rPr>
            </w:pPr>
            <w:r w:rsidRPr="00036700">
              <w:rPr>
                <w:rFonts w:ascii="Arial Narrow" w:hAnsi="Arial Narrow"/>
                <w:b/>
                <w:sz w:val="20"/>
              </w:rPr>
              <w:t>Treatment-naïve</w:t>
            </w:r>
          </w:p>
        </w:tc>
      </w:tr>
      <w:tr w:rsidR="00730551" w:rsidRPr="00036700" w:rsidTr="007926A2">
        <w:tc>
          <w:tcPr>
            <w:tcW w:w="995"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Non-cirrhotic</w:t>
            </w:r>
          </w:p>
        </w:tc>
        <w:tc>
          <w:tcPr>
            <w:tcW w:w="1847" w:type="pct"/>
          </w:tcPr>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GRZ/EBR8</w:t>
            </w:r>
            <w:r w:rsidRPr="00036700">
              <w:rPr>
                <w:rFonts w:ascii="Arial Narrow" w:hAnsi="Arial Narrow" w:cs="Times New Roman"/>
                <w:sz w:val="20"/>
                <w:vertAlign w:val="superscript"/>
              </w:rPr>
              <w:t xml:space="preserve"> </w:t>
            </w:r>
            <w:r w:rsidRPr="00036700">
              <w:rPr>
                <w:rFonts w:ascii="Arial Narrow" w:hAnsi="Arial Narrow" w:cs="Times New Roman"/>
                <w:sz w:val="20"/>
              </w:rPr>
              <w:t>or GRZ/EBR12</w:t>
            </w:r>
            <w:r w:rsidRPr="00036700">
              <w:rPr>
                <w:rFonts w:ascii="Arial Narrow" w:hAnsi="Arial Narrow" w:cs="Times New Roman"/>
                <w:sz w:val="20"/>
                <w:vertAlign w:val="superscript"/>
              </w:rPr>
              <w:t>b</w:t>
            </w:r>
          </w:p>
          <w:p w:rsidR="00730551" w:rsidRPr="00036700" w:rsidRDefault="00730551" w:rsidP="00277A70">
            <w:pPr>
              <w:widowControl/>
              <w:jc w:val="center"/>
              <w:rPr>
                <w:rFonts w:ascii="Arial Narrow" w:hAnsi="Arial Narrow"/>
                <w:sz w:val="20"/>
              </w:rPr>
            </w:pPr>
            <w:r w:rsidRPr="00036700">
              <w:rPr>
                <w:rFonts w:ascii="Arial Narrow" w:hAnsi="Arial Narrow"/>
                <w:sz w:val="20"/>
              </w:rPr>
              <w:t>278/293 (</w:t>
            </w:r>
            <w:r w:rsidR="00ED3A70" w:rsidRPr="00036700">
              <w:rPr>
                <w:rFonts w:ascii="Arial Narrow" w:hAnsi="Arial Narrow"/>
                <w:sz w:val="20"/>
              </w:rPr>
              <w:t>k=</w:t>
            </w:r>
            <w:r w:rsidRPr="00036700">
              <w:rPr>
                <w:rFonts w:ascii="Arial Narrow" w:hAnsi="Arial Narrow"/>
                <w:sz w:val="20"/>
              </w:rPr>
              <w:t>2</w:t>
            </w:r>
            <w:r w:rsidRPr="00036700">
              <w:rPr>
                <w:rFonts w:ascii="Arial Narrow" w:hAnsi="Arial Narrow"/>
                <w:sz w:val="20"/>
                <w:vertAlign w:val="superscript"/>
              </w:rPr>
              <w:t>c</w:t>
            </w:r>
            <w:r w:rsidRPr="00036700">
              <w:rPr>
                <w:rFonts w:ascii="Arial Narrow" w:hAnsi="Arial Narrow"/>
                <w:sz w:val="20"/>
              </w:rPr>
              <w:t>)</w:t>
            </w:r>
          </w:p>
          <w:p w:rsidR="00730551" w:rsidRPr="00036700" w:rsidRDefault="00730551" w:rsidP="00277A70">
            <w:pPr>
              <w:widowControl/>
              <w:jc w:val="center"/>
              <w:rPr>
                <w:rFonts w:ascii="Arial Narrow" w:hAnsi="Arial Narrow"/>
                <w:sz w:val="20"/>
              </w:rPr>
            </w:pPr>
            <w:r w:rsidRPr="00036700">
              <w:rPr>
                <w:rFonts w:ascii="Arial Narrow" w:hAnsi="Arial Narrow"/>
                <w:sz w:val="20"/>
              </w:rPr>
              <w:t>95.1% [92.2%, 97.3%]</w:t>
            </w:r>
            <w:r w:rsidR="00817CF3" w:rsidRPr="00036700">
              <w:rPr>
                <w:rFonts w:ascii="Arial Narrow" w:hAnsi="Arial Narrow"/>
                <w:b/>
                <w:sz w:val="20"/>
                <w:vertAlign w:val="superscript"/>
              </w:rPr>
              <w:t xml:space="preserve"> a</w:t>
            </w:r>
          </w:p>
        </w:tc>
        <w:tc>
          <w:tcPr>
            <w:tcW w:w="2158" w:type="pct"/>
          </w:tcPr>
          <w:p w:rsidR="00730551" w:rsidRPr="00036700" w:rsidRDefault="00730551"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LDV/SOF8</w:t>
            </w:r>
          </w:p>
          <w:p w:rsidR="00730551" w:rsidRPr="00036700" w:rsidRDefault="00C5358E"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221/235</w:t>
            </w:r>
            <w:r w:rsidR="00730551" w:rsidRPr="00036700">
              <w:rPr>
                <w:rFonts w:ascii="Arial Narrow" w:hAnsi="Arial Narrow" w:cs="Times New Roman"/>
                <w:sz w:val="20"/>
              </w:rPr>
              <w:t xml:space="preserve"> (</w:t>
            </w:r>
            <w:r w:rsidR="00ED3A70" w:rsidRPr="00036700">
              <w:rPr>
                <w:rFonts w:ascii="Arial Narrow" w:hAnsi="Arial Narrow" w:cs="Times New Roman"/>
                <w:sz w:val="20"/>
              </w:rPr>
              <w:t>k=</w:t>
            </w:r>
            <w:r w:rsidR="00730551" w:rsidRPr="00036700">
              <w:rPr>
                <w:rFonts w:ascii="Arial Narrow" w:hAnsi="Arial Narrow" w:cs="Times New Roman"/>
                <w:sz w:val="20"/>
              </w:rPr>
              <w:t>2</w:t>
            </w:r>
            <w:r w:rsidR="00730551" w:rsidRPr="00036700">
              <w:rPr>
                <w:rFonts w:ascii="Arial Narrow" w:hAnsi="Arial Narrow" w:cs="Times New Roman"/>
                <w:sz w:val="20"/>
                <w:vertAlign w:val="superscript"/>
              </w:rPr>
              <w:t>d</w:t>
            </w:r>
            <w:r w:rsidR="00730551" w:rsidRPr="00036700">
              <w:rPr>
                <w:rFonts w:ascii="Arial Narrow" w:hAnsi="Arial Narrow" w:cs="Times New Roman"/>
                <w:sz w:val="20"/>
              </w:rPr>
              <w:t>)</w:t>
            </w:r>
          </w:p>
          <w:p w:rsidR="00730551" w:rsidRPr="00036700" w:rsidRDefault="00C5358E" w:rsidP="00277A70">
            <w:pPr>
              <w:widowControl/>
              <w:jc w:val="center"/>
              <w:rPr>
                <w:rFonts w:ascii="Arial Narrow" w:hAnsi="Arial Narrow"/>
                <w:sz w:val="20"/>
              </w:rPr>
            </w:pPr>
            <w:r w:rsidRPr="00036700">
              <w:rPr>
                <w:rFonts w:ascii="Arial Narrow" w:hAnsi="Arial Narrow" w:cs="Times New Roman"/>
                <w:sz w:val="20"/>
              </w:rPr>
              <w:t xml:space="preserve">94.8% </w:t>
            </w:r>
            <w:r w:rsidR="00730551" w:rsidRPr="00036700">
              <w:rPr>
                <w:rFonts w:ascii="Arial Narrow" w:hAnsi="Arial Narrow" w:cs="Times New Roman"/>
                <w:sz w:val="20"/>
              </w:rPr>
              <w:t>[91.3%, 97.6%]</w:t>
            </w:r>
            <w:r w:rsidR="00817CF3" w:rsidRPr="00036700">
              <w:rPr>
                <w:rFonts w:ascii="Arial Narrow" w:hAnsi="Arial Narrow"/>
                <w:b/>
                <w:sz w:val="20"/>
                <w:vertAlign w:val="superscript"/>
              </w:rPr>
              <w:t xml:space="preserve"> a</w:t>
            </w:r>
          </w:p>
        </w:tc>
      </w:tr>
      <w:tr w:rsidR="00730551" w:rsidRPr="00036700" w:rsidTr="007926A2">
        <w:tc>
          <w:tcPr>
            <w:tcW w:w="995"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Cirrhotic</w:t>
            </w:r>
          </w:p>
        </w:tc>
        <w:tc>
          <w:tcPr>
            <w:tcW w:w="1847" w:type="pct"/>
          </w:tcPr>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GRZ/EBR12</w:t>
            </w:r>
          </w:p>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94/97 (</w:t>
            </w:r>
            <w:r w:rsidR="00ED3A70" w:rsidRPr="00036700">
              <w:rPr>
                <w:rFonts w:ascii="Arial Narrow" w:hAnsi="Arial Narrow" w:cs="Times New Roman"/>
                <w:sz w:val="20"/>
              </w:rPr>
              <w:t>k=</w:t>
            </w:r>
            <w:r w:rsidRPr="00036700">
              <w:rPr>
                <w:rFonts w:ascii="Arial Narrow" w:hAnsi="Arial Narrow" w:cs="Times New Roman"/>
                <w:sz w:val="20"/>
              </w:rPr>
              <w:t>2</w:t>
            </w:r>
            <w:r w:rsidRPr="00036700">
              <w:rPr>
                <w:rFonts w:ascii="Arial Narrow" w:hAnsi="Arial Narrow" w:cs="Times New Roman"/>
                <w:sz w:val="20"/>
                <w:vertAlign w:val="superscript"/>
              </w:rPr>
              <w:t>e</w:t>
            </w:r>
            <w:r w:rsidRPr="00036700">
              <w:rPr>
                <w:rFonts w:ascii="Arial Narrow" w:hAnsi="Arial Narrow" w:cs="Times New Roman"/>
                <w:sz w:val="20"/>
              </w:rPr>
              <w:t>)</w:t>
            </w:r>
          </w:p>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97.1%</w:t>
            </w:r>
            <w:r w:rsidRPr="00036700">
              <w:rPr>
                <w:rFonts w:ascii="Arial Narrow" w:hAnsi="Arial Narrow" w:cs="Times New Roman"/>
                <w:sz w:val="20"/>
                <w:vertAlign w:val="superscript"/>
              </w:rPr>
              <w:t xml:space="preserve"> </w:t>
            </w:r>
            <w:r w:rsidRPr="00036700">
              <w:rPr>
                <w:rFonts w:ascii="Arial Narrow" w:hAnsi="Arial Narrow" w:cs="Times New Roman"/>
                <w:sz w:val="20"/>
              </w:rPr>
              <w:t>[92.3%, 99.8%]</w:t>
            </w:r>
            <w:r w:rsidR="00817CF3" w:rsidRPr="00036700">
              <w:rPr>
                <w:rFonts w:ascii="Arial Narrow" w:hAnsi="Arial Narrow"/>
                <w:b/>
                <w:sz w:val="20"/>
                <w:vertAlign w:val="superscript"/>
              </w:rPr>
              <w:t xml:space="preserve"> a</w:t>
            </w:r>
          </w:p>
        </w:tc>
        <w:tc>
          <w:tcPr>
            <w:tcW w:w="2158" w:type="pct"/>
          </w:tcPr>
          <w:p w:rsidR="00730551" w:rsidRPr="00036700" w:rsidRDefault="00730551"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LDV/SOF12</w:t>
            </w:r>
          </w:p>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32/34 (</w:t>
            </w:r>
            <w:r w:rsidR="00ED3A70"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f</w:t>
            </w:r>
            <w:r w:rsidRPr="00036700">
              <w:rPr>
                <w:rFonts w:ascii="Arial Narrow" w:hAnsi="Arial Narrow" w:cs="Times New Roman"/>
                <w:sz w:val="20"/>
              </w:rPr>
              <w:t xml:space="preserve">) </w:t>
            </w:r>
            <w:r w:rsidRPr="00036700">
              <w:rPr>
                <w:rFonts w:ascii="Arial Narrow" w:hAnsi="Arial Narrow" w:cs="Times New Roman"/>
                <w:sz w:val="20"/>
              </w:rPr>
              <w:br/>
              <w:t>94.1%</w:t>
            </w:r>
            <w:r w:rsidRPr="00036700">
              <w:rPr>
                <w:rFonts w:ascii="Arial Narrow" w:hAnsi="Arial Narrow" w:cs="Times New Roman"/>
                <w:sz w:val="20"/>
                <w:vertAlign w:val="superscript"/>
              </w:rPr>
              <w:t xml:space="preserve"> </w:t>
            </w:r>
            <w:r w:rsidRPr="00036700">
              <w:rPr>
                <w:rFonts w:ascii="Arial Narrow" w:hAnsi="Arial Narrow" w:cs="Times New Roman"/>
                <w:sz w:val="20"/>
              </w:rPr>
              <w:t>[80.3%, 99.3%]</w:t>
            </w:r>
            <w:r w:rsidR="00817CF3" w:rsidRPr="00036700">
              <w:rPr>
                <w:rFonts w:ascii="Arial Narrow" w:hAnsi="Arial Narrow"/>
                <w:b/>
                <w:sz w:val="20"/>
                <w:vertAlign w:val="superscript"/>
              </w:rPr>
              <w:t xml:space="preserve"> a</w:t>
            </w:r>
          </w:p>
        </w:tc>
      </w:tr>
      <w:tr w:rsidR="00730551" w:rsidRPr="00036700" w:rsidTr="007926A2">
        <w:tc>
          <w:tcPr>
            <w:tcW w:w="5000" w:type="pct"/>
            <w:gridSpan w:val="3"/>
            <w:vAlign w:val="center"/>
          </w:tcPr>
          <w:p w:rsidR="00730551" w:rsidRPr="00036700" w:rsidRDefault="00730551" w:rsidP="00277A70">
            <w:pPr>
              <w:widowControl/>
              <w:jc w:val="left"/>
              <w:rPr>
                <w:rFonts w:ascii="Arial Narrow" w:hAnsi="Arial Narrow"/>
                <w:b/>
                <w:sz w:val="20"/>
              </w:rPr>
            </w:pPr>
            <w:r w:rsidRPr="00036700">
              <w:rPr>
                <w:rFonts w:ascii="Arial Narrow" w:hAnsi="Arial Narrow"/>
                <w:b/>
                <w:sz w:val="20"/>
              </w:rPr>
              <w:t>Treatment-experienced</w:t>
            </w:r>
          </w:p>
        </w:tc>
      </w:tr>
      <w:tr w:rsidR="00730551" w:rsidRPr="00036700" w:rsidTr="007926A2">
        <w:tc>
          <w:tcPr>
            <w:tcW w:w="995"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Non-cirrhotic</w:t>
            </w:r>
          </w:p>
        </w:tc>
        <w:tc>
          <w:tcPr>
            <w:tcW w:w="1847" w:type="pct"/>
          </w:tcPr>
          <w:p w:rsidR="00730551" w:rsidRPr="00036700" w:rsidRDefault="00730551" w:rsidP="00277A70">
            <w:pPr>
              <w:widowControl/>
              <w:jc w:val="center"/>
              <w:rPr>
                <w:rFonts w:ascii="Arial Narrow" w:hAnsi="Arial Narrow"/>
                <w:sz w:val="20"/>
              </w:rPr>
            </w:pPr>
            <w:r w:rsidRPr="00036700">
              <w:rPr>
                <w:rFonts w:ascii="Arial Narrow" w:hAnsi="Arial Narrow"/>
                <w:sz w:val="20"/>
              </w:rPr>
              <w:t>GRZ/EBR12 or GRZ/EBR16+RBV16</w:t>
            </w:r>
            <w:r w:rsidRPr="00036700">
              <w:rPr>
                <w:rFonts w:ascii="Arial Narrow" w:hAnsi="Arial Narrow"/>
                <w:sz w:val="20"/>
                <w:vertAlign w:val="superscript"/>
              </w:rPr>
              <w:t xml:space="preserve">g </w:t>
            </w:r>
          </w:p>
          <w:p w:rsidR="00730551" w:rsidRPr="00036700" w:rsidRDefault="00D942D1" w:rsidP="00277A70">
            <w:pPr>
              <w:widowControl/>
              <w:jc w:val="center"/>
              <w:rPr>
                <w:rFonts w:ascii="Arial Narrow" w:hAnsi="Arial Narrow"/>
                <w:sz w:val="20"/>
              </w:rPr>
            </w:pPr>
            <w:r w:rsidRPr="00036700">
              <w:rPr>
                <w:rFonts w:ascii="Arial Narrow" w:hAnsi="Arial Narrow"/>
                <w:sz w:val="20"/>
              </w:rPr>
              <w:t>57/60</w:t>
            </w:r>
            <w:r w:rsidR="00730551" w:rsidRPr="00036700">
              <w:rPr>
                <w:rFonts w:ascii="Arial Narrow" w:hAnsi="Arial Narrow"/>
                <w:sz w:val="20"/>
              </w:rPr>
              <w:t xml:space="preserve"> (</w:t>
            </w:r>
            <w:r w:rsidR="00ED3A70" w:rsidRPr="00036700">
              <w:rPr>
                <w:rFonts w:ascii="Arial Narrow" w:hAnsi="Arial Narrow"/>
                <w:sz w:val="20"/>
              </w:rPr>
              <w:t>k=</w:t>
            </w:r>
            <w:r w:rsidR="00730551" w:rsidRPr="00036700">
              <w:rPr>
                <w:rFonts w:ascii="Arial Narrow" w:hAnsi="Arial Narrow"/>
                <w:sz w:val="20"/>
              </w:rPr>
              <w:t>1</w:t>
            </w:r>
            <w:r w:rsidR="00730551" w:rsidRPr="00036700">
              <w:rPr>
                <w:rFonts w:ascii="Arial Narrow" w:hAnsi="Arial Narrow"/>
                <w:sz w:val="20"/>
                <w:vertAlign w:val="superscript"/>
              </w:rPr>
              <w:t>h</w:t>
            </w:r>
            <w:r w:rsidR="00730551" w:rsidRPr="00036700">
              <w:rPr>
                <w:rFonts w:ascii="Arial Narrow" w:hAnsi="Arial Narrow"/>
                <w:sz w:val="20"/>
              </w:rPr>
              <w:t>)</w:t>
            </w:r>
          </w:p>
          <w:p w:rsidR="00730551" w:rsidRPr="00036700" w:rsidRDefault="00730551" w:rsidP="00277A70">
            <w:pPr>
              <w:widowControl/>
              <w:jc w:val="center"/>
              <w:rPr>
                <w:rFonts w:ascii="Arial Narrow" w:hAnsi="Arial Narrow"/>
                <w:sz w:val="20"/>
              </w:rPr>
            </w:pPr>
            <w:r w:rsidRPr="00036700">
              <w:rPr>
                <w:rFonts w:ascii="Arial Narrow" w:hAnsi="Arial Narrow"/>
                <w:sz w:val="20"/>
              </w:rPr>
              <w:t>95.0% [86.1%, 99.0%]</w:t>
            </w:r>
            <w:r w:rsidR="00817CF3" w:rsidRPr="00036700">
              <w:rPr>
                <w:rFonts w:ascii="Arial Narrow" w:hAnsi="Arial Narrow"/>
                <w:b/>
                <w:sz w:val="20"/>
                <w:vertAlign w:val="superscript"/>
              </w:rPr>
              <w:t xml:space="preserve"> a</w:t>
            </w:r>
          </w:p>
        </w:tc>
        <w:tc>
          <w:tcPr>
            <w:tcW w:w="2158" w:type="pct"/>
          </w:tcPr>
          <w:p w:rsidR="00730551" w:rsidRPr="00036700" w:rsidRDefault="00730551"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LDV/SOF12</w:t>
            </w:r>
          </w:p>
          <w:p w:rsidR="00730551" w:rsidRPr="00036700" w:rsidRDefault="00730551"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83/87 (</w:t>
            </w:r>
            <w:r w:rsidR="00ED3A70"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i</w:t>
            </w:r>
            <w:r w:rsidRPr="00036700">
              <w:rPr>
                <w:rFonts w:ascii="Arial Narrow" w:hAnsi="Arial Narrow" w:cs="Times New Roman"/>
                <w:sz w:val="20"/>
              </w:rPr>
              <w:t>)</w:t>
            </w:r>
          </w:p>
          <w:p w:rsidR="00730551" w:rsidRPr="00036700" w:rsidRDefault="00730551" w:rsidP="00277A70">
            <w:pPr>
              <w:keepLines/>
              <w:widowControl/>
              <w:tabs>
                <w:tab w:val="left" w:pos="416"/>
                <w:tab w:val="left" w:pos="582"/>
              </w:tabs>
              <w:jc w:val="center"/>
              <w:rPr>
                <w:rFonts w:ascii="Arial Narrow" w:hAnsi="Arial Narrow"/>
                <w:sz w:val="20"/>
              </w:rPr>
            </w:pPr>
            <w:r w:rsidRPr="00036700">
              <w:rPr>
                <w:rFonts w:ascii="Arial Narrow" w:hAnsi="Arial Narrow" w:cs="Times New Roman"/>
                <w:sz w:val="20"/>
              </w:rPr>
              <w:t>95.4% [88.6%, 98.7%]</w:t>
            </w:r>
            <w:r w:rsidR="00817CF3" w:rsidRPr="00036700">
              <w:rPr>
                <w:rFonts w:ascii="Arial Narrow" w:hAnsi="Arial Narrow"/>
                <w:b/>
                <w:sz w:val="20"/>
                <w:vertAlign w:val="superscript"/>
              </w:rPr>
              <w:t xml:space="preserve"> a</w:t>
            </w:r>
          </w:p>
        </w:tc>
      </w:tr>
      <w:tr w:rsidR="00730551" w:rsidRPr="00036700" w:rsidTr="007926A2">
        <w:tc>
          <w:tcPr>
            <w:tcW w:w="995"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Cirrhotic</w:t>
            </w:r>
          </w:p>
        </w:tc>
        <w:tc>
          <w:tcPr>
            <w:tcW w:w="1847" w:type="pct"/>
          </w:tcPr>
          <w:p w:rsidR="00730551" w:rsidRPr="00036700" w:rsidRDefault="00730551" w:rsidP="00277A70">
            <w:pPr>
              <w:widowControl/>
              <w:jc w:val="center"/>
              <w:rPr>
                <w:rFonts w:ascii="Arial Narrow" w:hAnsi="Arial Narrow"/>
                <w:sz w:val="20"/>
              </w:rPr>
            </w:pPr>
            <w:r w:rsidRPr="00036700">
              <w:rPr>
                <w:rFonts w:ascii="Arial Narrow" w:hAnsi="Arial Narrow"/>
                <w:sz w:val="20"/>
              </w:rPr>
              <w:t>GRZ/EBR12 or GRZ/EBR16+RBV16</w:t>
            </w:r>
            <w:r w:rsidRPr="00036700">
              <w:rPr>
                <w:rFonts w:ascii="Arial Narrow" w:hAnsi="Arial Narrow"/>
                <w:sz w:val="20"/>
                <w:vertAlign w:val="superscript"/>
              </w:rPr>
              <w:t xml:space="preserve">g </w:t>
            </w:r>
          </w:p>
          <w:p w:rsidR="00730551" w:rsidRPr="00036700" w:rsidRDefault="00730551" w:rsidP="00277A70">
            <w:pPr>
              <w:widowControl/>
              <w:jc w:val="center"/>
              <w:rPr>
                <w:rFonts w:ascii="Arial Narrow" w:hAnsi="Arial Narrow"/>
                <w:sz w:val="20"/>
              </w:rPr>
            </w:pPr>
            <w:r w:rsidRPr="00036700">
              <w:rPr>
                <w:rFonts w:ascii="Arial Narrow" w:hAnsi="Arial Narrow"/>
                <w:sz w:val="20"/>
              </w:rPr>
              <w:t>29/29 (</w:t>
            </w:r>
            <w:r w:rsidR="00ED3A70" w:rsidRPr="00036700">
              <w:rPr>
                <w:rFonts w:ascii="Arial Narrow" w:hAnsi="Arial Narrow"/>
                <w:sz w:val="20"/>
              </w:rPr>
              <w:t>k=</w:t>
            </w:r>
            <w:r w:rsidRPr="00036700">
              <w:rPr>
                <w:rFonts w:ascii="Arial Narrow" w:hAnsi="Arial Narrow"/>
                <w:sz w:val="20"/>
              </w:rPr>
              <w:t>1</w:t>
            </w:r>
            <w:r w:rsidRPr="00036700">
              <w:rPr>
                <w:rFonts w:ascii="Arial Narrow" w:hAnsi="Arial Narrow"/>
                <w:sz w:val="20"/>
                <w:vertAlign w:val="superscript"/>
              </w:rPr>
              <w:t>h</w:t>
            </w:r>
            <w:r w:rsidRPr="00036700">
              <w:rPr>
                <w:rFonts w:ascii="Arial Narrow" w:hAnsi="Arial Narrow"/>
                <w:sz w:val="20"/>
              </w:rPr>
              <w:t>)</w:t>
            </w:r>
          </w:p>
          <w:p w:rsidR="00730551" w:rsidRPr="00036700" w:rsidRDefault="00730551" w:rsidP="00277A70">
            <w:pPr>
              <w:widowControl/>
              <w:jc w:val="center"/>
              <w:rPr>
                <w:rFonts w:ascii="Arial Narrow" w:hAnsi="Arial Narrow"/>
                <w:sz w:val="20"/>
              </w:rPr>
            </w:pPr>
            <w:r w:rsidRPr="00036700">
              <w:rPr>
                <w:rFonts w:ascii="Arial Narrow" w:hAnsi="Arial Narrow"/>
                <w:sz w:val="20"/>
              </w:rPr>
              <w:t>100% [88.1%, 100%]</w:t>
            </w:r>
            <w:r w:rsidR="00817CF3" w:rsidRPr="00036700">
              <w:rPr>
                <w:rFonts w:ascii="Arial Narrow" w:hAnsi="Arial Narrow"/>
                <w:b/>
                <w:sz w:val="20"/>
                <w:vertAlign w:val="superscript"/>
              </w:rPr>
              <w:t xml:space="preserve"> a</w:t>
            </w:r>
          </w:p>
        </w:tc>
        <w:tc>
          <w:tcPr>
            <w:tcW w:w="2158" w:type="pct"/>
          </w:tcPr>
          <w:p w:rsidR="00730551" w:rsidRPr="00036700" w:rsidRDefault="00730551" w:rsidP="00277A70">
            <w:pPr>
              <w:keepLines/>
              <w:widowControl/>
              <w:tabs>
                <w:tab w:val="left" w:pos="416"/>
                <w:tab w:val="left" w:pos="582"/>
              </w:tabs>
              <w:jc w:val="center"/>
              <w:rPr>
                <w:rFonts w:ascii="Arial Narrow" w:hAnsi="Arial Narrow" w:cs="Times New Roman"/>
                <w:sz w:val="20"/>
              </w:rPr>
            </w:pPr>
            <w:r w:rsidRPr="00036700">
              <w:rPr>
                <w:rFonts w:ascii="Arial Narrow" w:hAnsi="Arial Narrow" w:cs="Times New Roman"/>
                <w:sz w:val="20"/>
              </w:rPr>
              <w:t>LDV/SOF12</w:t>
            </w:r>
          </w:p>
          <w:p w:rsidR="00730551" w:rsidRPr="00036700" w:rsidRDefault="00730551" w:rsidP="00277A70">
            <w:pPr>
              <w:widowControl/>
              <w:jc w:val="center"/>
              <w:rPr>
                <w:rFonts w:ascii="Arial Narrow" w:hAnsi="Arial Narrow"/>
                <w:sz w:val="20"/>
              </w:rPr>
            </w:pPr>
            <w:r w:rsidRPr="00036700">
              <w:rPr>
                <w:rFonts w:ascii="Arial Narrow" w:hAnsi="Arial Narrow"/>
                <w:sz w:val="20"/>
              </w:rPr>
              <w:t>19/22 (</w:t>
            </w:r>
            <w:r w:rsidR="00ED3A70" w:rsidRPr="00036700">
              <w:rPr>
                <w:rFonts w:ascii="Arial Narrow" w:hAnsi="Arial Narrow"/>
                <w:sz w:val="20"/>
              </w:rPr>
              <w:t>k=</w:t>
            </w:r>
            <w:r w:rsidRPr="00036700">
              <w:rPr>
                <w:rFonts w:ascii="Arial Narrow" w:hAnsi="Arial Narrow"/>
                <w:sz w:val="20"/>
              </w:rPr>
              <w:t>1</w:t>
            </w:r>
            <w:r w:rsidRPr="00036700">
              <w:rPr>
                <w:rFonts w:ascii="Arial Narrow" w:hAnsi="Arial Narrow"/>
                <w:sz w:val="20"/>
                <w:vertAlign w:val="superscript"/>
              </w:rPr>
              <w:t>i</w:t>
            </w:r>
            <w:r w:rsidRPr="00036700">
              <w:rPr>
                <w:rFonts w:ascii="Arial Narrow" w:hAnsi="Arial Narrow"/>
                <w:sz w:val="20"/>
              </w:rPr>
              <w:t>)</w:t>
            </w:r>
          </w:p>
          <w:p w:rsidR="00730551" w:rsidRPr="00036700" w:rsidRDefault="00730551" w:rsidP="00277A70">
            <w:pPr>
              <w:widowControl/>
              <w:jc w:val="center"/>
              <w:rPr>
                <w:rFonts w:ascii="Arial Narrow" w:hAnsi="Arial Narrow"/>
                <w:sz w:val="20"/>
              </w:rPr>
            </w:pPr>
            <w:r w:rsidRPr="00036700">
              <w:rPr>
                <w:rFonts w:ascii="Arial Narrow" w:hAnsi="Arial Narrow"/>
                <w:sz w:val="20"/>
              </w:rPr>
              <w:t>86.4% [65.1%, 97.1%]</w:t>
            </w:r>
            <w:r w:rsidR="00817CF3" w:rsidRPr="00036700">
              <w:rPr>
                <w:rFonts w:ascii="Arial Narrow" w:hAnsi="Arial Narrow"/>
                <w:b/>
                <w:sz w:val="20"/>
                <w:vertAlign w:val="superscript"/>
              </w:rPr>
              <w:t xml:space="preserve"> a</w:t>
            </w:r>
          </w:p>
        </w:tc>
      </w:tr>
    </w:tbl>
    <w:p w:rsidR="00730551" w:rsidRPr="00036700" w:rsidRDefault="00730551" w:rsidP="00277A70">
      <w:pPr>
        <w:pStyle w:val="TableFooter"/>
        <w:widowControl/>
        <w:ind w:left="737"/>
      </w:pPr>
      <w:r w:rsidRPr="00036700">
        <w:t xml:space="preserve">CI = confidence interval; EBR = elbasvir; GT = genotype; GRZ = grazoprevir; </w:t>
      </w:r>
      <w:r w:rsidR="000D05BB" w:rsidRPr="00036700">
        <w:t xml:space="preserve">LDV = ledipasvir; </w:t>
      </w:r>
      <w:r w:rsidRPr="00036700">
        <w:t>RBV = ribavirin; SOF = sofosbuvir; SVR = sustained virologic response</w:t>
      </w:r>
    </w:p>
    <w:p w:rsidR="00730551" w:rsidRPr="00036700" w:rsidRDefault="00730551" w:rsidP="00277A70">
      <w:pPr>
        <w:pStyle w:val="TableFooter"/>
        <w:widowControl/>
        <w:ind w:left="737"/>
      </w:pPr>
      <w:proofErr w:type="gramStart"/>
      <w:r w:rsidRPr="00036700">
        <w:rPr>
          <w:vertAlign w:val="superscript"/>
        </w:rPr>
        <w:t>a</w:t>
      </w:r>
      <w:proofErr w:type="gramEnd"/>
      <w:r w:rsidRPr="00036700">
        <w:rPr>
          <w:vertAlign w:val="superscript"/>
        </w:rPr>
        <w:t xml:space="preserve"> </w:t>
      </w:r>
      <w:r w:rsidRPr="00036700">
        <w:t>SVR rates for GRZ/EBR±RBV and LDV/SOF were recalculated during the evaluation based on available data. Exact confidence intervals were calculated using the confidence intervals for pro</w:t>
      </w:r>
      <w:r w:rsidR="004B6AF7" w:rsidRPr="00036700">
        <w:t>portions command in Stata</w:t>
      </w:r>
      <w:r w:rsidR="004B6AF7" w:rsidRPr="00036700">
        <w:rPr>
          <w:vertAlign w:val="superscript"/>
        </w:rPr>
        <w:t>®</w:t>
      </w:r>
      <w:r w:rsidR="004B6AF7" w:rsidRPr="00036700">
        <w:t xml:space="preserve"> 13.1</w:t>
      </w:r>
      <w:r w:rsidRPr="00036700">
        <w:t xml:space="preserve"> – exact confidence intervals were calculated using cii in Stata when only one study provided data. When multiple studies were used to generate a pooled estimate, this was performed using a random effects meta-analysis of proportions, with exact confidence intervals and adjusted using the Freeman-Tukey transformation in Stata</w:t>
      </w:r>
      <w:r w:rsidRPr="00036700">
        <w:rPr>
          <w:vertAlign w:val="superscript"/>
        </w:rPr>
        <w:t>®</w:t>
      </w:r>
      <w:r w:rsidRPr="00036700">
        <w:t xml:space="preserve"> 13.1.</w:t>
      </w:r>
    </w:p>
    <w:p w:rsidR="00730551" w:rsidRPr="00036700" w:rsidRDefault="00730551" w:rsidP="00277A70">
      <w:pPr>
        <w:pStyle w:val="TableFooter"/>
        <w:widowControl/>
        <w:ind w:left="737"/>
      </w:pPr>
      <w:proofErr w:type="gramStart"/>
      <w:r w:rsidRPr="00036700">
        <w:rPr>
          <w:vertAlign w:val="superscript"/>
        </w:rPr>
        <w:t>b</w:t>
      </w:r>
      <w:proofErr w:type="gramEnd"/>
      <w:r w:rsidRPr="00036700">
        <w:t xml:space="preserve"> GRZ/EBR12 is the recommended treatment for all genotype 1 treatment-naïve patients. GRZ/EBR8 can be considered for GT1b treatment-naïve patients with limited fibrosis (F0-2). </w:t>
      </w:r>
    </w:p>
    <w:p w:rsidR="00730551" w:rsidRPr="00036700" w:rsidRDefault="00730551" w:rsidP="00277A70">
      <w:pPr>
        <w:pStyle w:val="TableFooter"/>
        <w:widowControl/>
        <w:ind w:left="737"/>
      </w:pPr>
      <w:proofErr w:type="gramStart"/>
      <w:r w:rsidRPr="00036700">
        <w:rPr>
          <w:vertAlign w:val="superscript"/>
        </w:rPr>
        <w:t>c</w:t>
      </w:r>
      <w:proofErr w:type="gramEnd"/>
      <w:r w:rsidRPr="00036700">
        <w:t xml:space="preserve"> SVR data from Groups A3, B3 and C2 in C-WORTHY (71/73) and from Group 1 in C-EDGE TN (207/220</w:t>
      </w:r>
      <w:r w:rsidR="00712ACB" w:rsidRPr="00036700">
        <w:t>)</w:t>
      </w:r>
      <w:r w:rsidRPr="00036700">
        <w:t>.</w:t>
      </w:r>
    </w:p>
    <w:p w:rsidR="00730551" w:rsidRPr="00036700" w:rsidRDefault="00730551" w:rsidP="00277A70">
      <w:pPr>
        <w:pStyle w:val="TableFooter"/>
        <w:widowControl/>
        <w:ind w:left="737"/>
      </w:pPr>
      <w:proofErr w:type="gramStart"/>
      <w:r w:rsidRPr="00036700">
        <w:rPr>
          <w:vertAlign w:val="superscript"/>
        </w:rPr>
        <w:t>d</w:t>
      </w:r>
      <w:proofErr w:type="gramEnd"/>
      <w:r w:rsidRPr="00036700">
        <w:t xml:space="preserve"> SVR data from Group 1 in ION-3 (202/215) and from Group 1 in LONESTAR (19/20)</w:t>
      </w:r>
    </w:p>
    <w:p w:rsidR="00730551" w:rsidRPr="00036700" w:rsidRDefault="00730551" w:rsidP="00277A70">
      <w:pPr>
        <w:pStyle w:val="TableFooter"/>
        <w:widowControl/>
        <w:ind w:left="737"/>
      </w:pPr>
      <w:proofErr w:type="gramStart"/>
      <w:r w:rsidRPr="00036700">
        <w:rPr>
          <w:vertAlign w:val="superscript"/>
        </w:rPr>
        <w:t>e</w:t>
      </w:r>
      <w:proofErr w:type="gramEnd"/>
      <w:r w:rsidRPr="00036700">
        <w:rPr>
          <w:vertAlign w:val="superscript"/>
        </w:rPr>
        <w:t xml:space="preserve"> </w:t>
      </w:r>
      <w:r w:rsidRPr="00036700">
        <w:t>SVR data from Group 1 in C-EDGE TN (66/68</w:t>
      </w:r>
      <w:r w:rsidR="00712ACB" w:rsidRPr="00036700">
        <w:t>)</w:t>
      </w:r>
      <w:r w:rsidRPr="00036700">
        <w:t xml:space="preserve"> and from Group B5 in C-WORTHY (28/29)</w:t>
      </w:r>
    </w:p>
    <w:p w:rsidR="00730551" w:rsidRPr="00036700" w:rsidRDefault="00730551" w:rsidP="00277A70">
      <w:pPr>
        <w:pStyle w:val="TableFooter"/>
        <w:widowControl/>
        <w:ind w:left="737"/>
      </w:pPr>
      <w:proofErr w:type="gramStart"/>
      <w:r w:rsidRPr="00036700">
        <w:rPr>
          <w:vertAlign w:val="superscript"/>
        </w:rPr>
        <w:t>f</w:t>
      </w:r>
      <w:proofErr w:type="gramEnd"/>
      <w:r w:rsidRPr="00036700">
        <w:t xml:space="preserve"> SVR data from Group 1 in ION-1</w:t>
      </w:r>
    </w:p>
    <w:p w:rsidR="00730551" w:rsidRPr="00036700" w:rsidRDefault="00730551" w:rsidP="00277A70">
      <w:pPr>
        <w:pStyle w:val="TableFooter"/>
        <w:widowControl/>
        <w:ind w:left="737"/>
      </w:pPr>
      <w:proofErr w:type="gramStart"/>
      <w:r w:rsidRPr="00036700">
        <w:rPr>
          <w:vertAlign w:val="superscript"/>
        </w:rPr>
        <w:t>g</w:t>
      </w:r>
      <w:proofErr w:type="gramEnd"/>
      <w:r w:rsidRPr="00036700">
        <w:rPr>
          <w:vertAlign w:val="superscript"/>
        </w:rPr>
        <w:t xml:space="preserve"> </w:t>
      </w:r>
      <w:r w:rsidRPr="00036700">
        <w:t>GRZ/EBR12 is recommended for genotype 1 relapsers and genotype 1b on-treatment virologic failures. GRZ/EBR16+RBV16 is recommended for genotype 1a on-treatment virologic failures</w:t>
      </w:r>
    </w:p>
    <w:p w:rsidR="00730551" w:rsidRPr="00036700" w:rsidRDefault="00730551" w:rsidP="00277A70">
      <w:pPr>
        <w:pStyle w:val="TableFooter"/>
        <w:widowControl/>
        <w:ind w:left="737"/>
      </w:pPr>
      <w:proofErr w:type="gramStart"/>
      <w:r w:rsidRPr="00036700">
        <w:rPr>
          <w:vertAlign w:val="superscript"/>
        </w:rPr>
        <w:t>h</w:t>
      </w:r>
      <w:proofErr w:type="gramEnd"/>
      <w:r w:rsidRPr="00036700">
        <w:rPr>
          <w:vertAlign w:val="superscript"/>
        </w:rPr>
        <w:t xml:space="preserve"> </w:t>
      </w:r>
      <w:r w:rsidRPr="00036700">
        <w:t xml:space="preserve">SVR data from Groups 1 and 4 in C-EGDE TE </w:t>
      </w:r>
    </w:p>
    <w:p w:rsidR="00730551" w:rsidRPr="00036700" w:rsidRDefault="00730551" w:rsidP="00277A70">
      <w:pPr>
        <w:pStyle w:val="TableFooter"/>
        <w:widowControl/>
        <w:ind w:left="737"/>
      </w:pPr>
      <w:proofErr w:type="gramStart"/>
      <w:r w:rsidRPr="00036700">
        <w:rPr>
          <w:vertAlign w:val="superscript"/>
        </w:rPr>
        <w:t>i</w:t>
      </w:r>
      <w:proofErr w:type="gramEnd"/>
      <w:r w:rsidRPr="00036700">
        <w:rPr>
          <w:vertAlign w:val="superscript"/>
        </w:rPr>
        <w:t xml:space="preserve"> </w:t>
      </w:r>
      <w:r w:rsidRPr="00036700">
        <w:t xml:space="preserve">SVR data from Group 1 in ION-2. SVR results of LONESTAR are not presented in the table as SVR data stratified by cirrhotic status are not available. The SVR12 rate was 94.7% (18/19) for all </w:t>
      </w:r>
      <w:r w:rsidR="007108AD" w:rsidRPr="00036700">
        <w:t>genotype 1</w:t>
      </w:r>
      <w:r w:rsidRPr="00036700">
        <w:t xml:space="preserve"> treatment-experienced patients.</w:t>
      </w:r>
    </w:p>
    <w:p w:rsidR="00730551" w:rsidRPr="00036700" w:rsidRDefault="00730551" w:rsidP="00277A70">
      <w:pPr>
        <w:pStyle w:val="TableFooter"/>
        <w:widowControl/>
        <w:ind w:left="737"/>
      </w:pPr>
      <w:r w:rsidRPr="00036700">
        <w:t>Source: Table compiled during the evaluation</w:t>
      </w:r>
    </w:p>
    <w:p w:rsidR="00730551" w:rsidRPr="00036700" w:rsidRDefault="00730551" w:rsidP="00277A70">
      <w:pPr>
        <w:widowControl/>
      </w:pPr>
    </w:p>
    <w:p w:rsidR="00730551" w:rsidRPr="00036700" w:rsidRDefault="00730551" w:rsidP="00277A70">
      <w:pPr>
        <w:pStyle w:val="TableHeader"/>
        <w:widowControl/>
        <w:ind w:left="737"/>
      </w:pPr>
      <w:r w:rsidRPr="00036700">
        <w:lastRenderedPageBreak/>
        <w:t xml:space="preserve">Table </w:t>
      </w:r>
      <w:r w:rsidR="0068321D">
        <w:t>5</w:t>
      </w:r>
      <w:r w:rsidRPr="00036700">
        <w:t>: Unadjusted indirect comparison of SVR12 between GRZ/</w:t>
      </w:r>
      <w:proofErr w:type="gramStart"/>
      <w:r w:rsidRPr="00036700">
        <w:t>EBR+SOF</w:t>
      </w:r>
      <w:proofErr w:type="gramEnd"/>
      <w:r w:rsidRPr="00036700">
        <w:t xml:space="preserve"> with SOF+RBV in GT3 patients </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3"/>
        <w:gridCol w:w="3119"/>
        <w:gridCol w:w="3402"/>
      </w:tblGrid>
      <w:tr w:rsidR="00730551" w:rsidRPr="00036700" w:rsidTr="007926A2">
        <w:tc>
          <w:tcPr>
            <w:tcW w:w="1166" w:type="pct"/>
            <w:vAlign w:val="center"/>
          </w:tcPr>
          <w:p w:rsidR="00730551" w:rsidRPr="00036700" w:rsidRDefault="00730551" w:rsidP="00277A70">
            <w:pPr>
              <w:keepNext/>
              <w:keepLines/>
              <w:widowControl/>
              <w:jc w:val="left"/>
              <w:rPr>
                <w:rFonts w:ascii="Arial Narrow" w:hAnsi="Arial Narrow"/>
                <w:b/>
                <w:sz w:val="20"/>
              </w:rPr>
            </w:pPr>
            <w:r w:rsidRPr="00036700">
              <w:rPr>
                <w:rFonts w:ascii="Arial Narrow" w:hAnsi="Arial Narrow"/>
                <w:b/>
                <w:sz w:val="20"/>
              </w:rPr>
              <w:t>Comparison</w:t>
            </w:r>
          </w:p>
        </w:tc>
        <w:tc>
          <w:tcPr>
            <w:tcW w:w="1834" w:type="pct"/>
            <w:vAlign w:val="center"/>
          </w:tcPr>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xml:space="preserve">GRZ/EBR12+SOF12 </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n/N (</w:t>
            </w:r>
            <w:r w:rsidR="001551E1" w:rsidRPr="00036700">
              <w:rPr>
                <w:rFonts w:ascii="Arial Narrow" w:hAnsi="Arial Narrow"/>
                <w:b/>
                <w:sz w:val="20"/>
              </w:rPr>
              <w:t>k=</w:t>
            </w:r>
            <w:r w:rsidRPr="00036700">
              <w:rPr>
                <w:rFonts w:ascii="Arial Narrow" w:hAnsi="Arial Narrow"/>
                <w:b/>
                <w:sz w:val="20"/>
              </w:rPr>
              <w:t>no. of studies)</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p>
        </w:tc>
        <w:tc>
          <w:tcPr>
            <w:tcW w:w="2000" w:type="pct"/>
            <w:vAlign w:val="center"/>
          </w:tcPr>
          <w:p w:rsidR="00730551" w:rsidRPr="00036700" w:rsidRDefault="00730551" w:rsidP="00277A70">
            <w:pPr>
              <w:keepNext/>
              <w:keepLines/>
              <w:widowControl/>
              <w:jc w:val="center"/>
              <w:rPr>
                <w:rFonts w:ascii="Arial Narrow" w:hAnsi="Arial Narrow"/>
                <w:b/>
                <w:sz w:val="20"/>
                <w:vertAlign w:val="superscript"/>
              </w:rPr>
            </w:pPr>
            <w:r w:rsidRPr="00036700">
              <w:rPr>
                <w:rFonts w:ascii="Arial Narrow" w:hAnsi="Arial Narrow"/>
                <w:b/>
                <w:sz w:val="20"/>
              </w:rPr>
              <w:t>SOF24+RBV24</w:t>
            </w:r>
          </w:p>
          <w:p w:rsidR="00730551" w:rsidRPr="00036700" w:rsidRDefault="00730551" w:rsidP="00277A70">
            <w:pPr>
              <w:keepNext/>
              <w:keepLines/>
              <w:widowControl/>
              <w:jc w:val="center"/>
              <w:rPr>
                <w:rFonts w:ascii="Arial Narrow" w:hAnsi="Arial Narrow"/>
                <w:b/>
                <w:sz w:val="20"/>
                <w:vertAlign w:val="superscript"/>
              </w:rPr>
            </w:pPr>
            <w:r w:rsidRPr="00036700">
              <w:rPr>
                <w:rFonts w:ascii="Arial Narrow" w:hAnsi="Arial Narrow"/>
                <w:b/>
                <w:sz w:val="20"/>
              </w:rPr>
              <w:t>n/N (</w:t>
            </w:r>
            <w:r w:rsidR="001551E1" w:rsidRPr="00036700">
              <w:rPr>
                <w:rFonts w:ascii="Arial Narrow" w:hAnsi="Arial Narrow"/>
                <w:b/>
                <w:sz w:val="20"/>
              </w:rPr>
              <w:t>k=</w:t>
            </w:r>
            <w:r w:rsidRPr="00036700">
              <w:rPr>
                <w:rFonts w:ascii="Arial Narrow" w:hAnsi="Arial Narrow"/>
                <w:b/>
                <w:sz w:val="20"/>
              </w:rPr>
              <w:t>no. of studies)</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p>
        </w:tc>
      </w:tr>
      <w:tr w:rsidR="00730551" w:rsidRPr="00036700" w:rsidTr="007926A2">
        <w:tc>
          <w:tcPr>
            <w:tcW w:w="5000" w:type="pct"/>
            <w:gridSpan w:val="3"/>
            <w:vAlign w:val="center"/>
          </w:tcPr>
          <w:p w:rsidR="00730551" w:rsidRPr="00036700" w:rsidRDefault="00730551" w:rsidP="00277A70">
            <w:pPr>
              <w:widowControl/>
              <w:jc w:val="left"/>
              <w:rPr>
                <w:rFonts w:ascii="Arial Narrow" w:hAnsi="Arial Narrow"/>
                <w:b/>
                <w:sz w:val="20"/>
              </w:rPr>
            </w:pPr>
            <w:r w:rsidRPr="00036700">
              <w:rPr>
                <w:rFonts w:ascii="Arial Narrow" w:hAnsi="Arial Narrow"/>
                <w:b/>
                <w:sz w:val="20"/>
              </w:rPr>
              <w:t>Treatment-naïve</w:t>
            </w:r>
          </w:p>
        </w:tc>
      </w:tr>
      <w:tr w:rsidR="00730551" w:rsidRPr="00036700" w:rsidTr="007926A2">
        <w:tc>
          <w:tcPr>
            <w:tcW w:w="1166"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Non-cirrhotic</w:t>
            </w:r>
          </w:p>
        </w:tc>
        <w:tc>
          <w:tcPr>
            <w:tcW w:w="1834" w:type="pct"/>
          </w:tcPr>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14/14 (</w:t>
            </w:r>
            <w:r w:rsidR="001551E1"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a</w:t>
            </w:r>
            <w:r w:rsidRPr="00036700">
              <w:rPr>
                <w:rFonts w:ascii="Arial Narrow" w:hAnsi="Arial Narrow" w:cs="Times New Roman"/>
                <w:sz w:val="20"/>
              </w:rPr>
              <w:t xml:space="preserve">) </w:t>
            </w:r>
            <w:r w:rsidRPr="00036700">
              <w:rPr>
                <w:rFonts w:ascii="Arial Narrow" w:hAnsi="Arial Narrow" w:cs="Times New Roman"/>
                <w:sz w:val="20"/>
              </w:rPr>
              <w:br/>
              <w:t>100% [</w:t>
            </w:r>
            <w:r w:rsidR="002A0C77" w:rsidRPr="00036700">
              <w:rPr>
                <w:rFonts w:ascii="Arial Narrow" w:hAnsi="Arial Narrow" w:cs="Times New Roman"/>
                <w:sz w:val="20"/>
              </w:rPr>
              <w:t>76.8%, 100%]</w:t>
            </w:r>
          </w:p>
        </w:tc>
        <w:tc>
          <w:tcPr>
            <w:tcW w:w="2000" w:type="pct"/>
          </w:tcPr>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87/92 (</w:t>
            </w:r>
            <w:r w:rsidR="001551E1"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b</w:t>
            </w:r>
            <w:r w:rsidRPr="00036700">
              <w:rPr>
                <w:rFonts w:ascii="Arial Narrow" w:hAnsi="Arial Narrow" w:cs="Times New Roman"/>
                <w:sz w:val="20"/>
              </w:rPr>
              <w:t>)</w:t>
            </w:r>
          </w:p>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94.6% [87.8%, 98.2%]</w:t>
            </w:r>
          </w:p>
        </w:tc>
      </w:tr>
      <w:tr w:rsidR="00730551" w:rsidRPr="00036700" w:rsidTr="007926A2">
        <w:tc>
          <w:tcPr>
            <w:tcW w:w="1166"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Cirrhotic</w:t>
            </w:r>
          </w:p>
        </w:tc>
        <w:tc>
          <w:tcPr>
            <w:tcW w:w="1834" w:type="pct"/>
          </w:tcPr>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10/12 (</w:t>
            </w:r>
            <w:r w:rsidR="001551E1"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c</w:t>
            </w:r>
            <w:r w:rsidRPr="00036700">
              <w:rPr>
                <w:rFonts w:ascii="Arial Narrow" w:hAnsi="Arial Narrow" w:cs="Times New Roman"/>
                <w:sz w:val="20"/>
              </w:rPr>
              <w:t>)</w:t>
            </w:r>
          </w:p>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83.3% [51.6%, 97.9%]</w:t>
            </w:r>
          </w:p>
        </w:tc>
        <w:tc>
          <w:tcPr>
            <w:tcW w:w="2000" w:type="pct"/>
          </w:tcPr>
          <w:p w:rsidR="00730551" w:rsidRPr="00036700" w:rsidRDefault="00730551" w:rsidP="00277A70">
            <w:pPr>
              <w:widowControl/>
              <w:jc w:val="center"/>
              <w:rPr>
                <w:rFonts w:ascii="Arial Narrow" w:hAnsi="Arial Narrow" w:cs="Times New Roman"/>
                <w:sz w:val="20"/>
              </w:rPr>
            </w:pPr>
            <w:r w:rsidRPr="00036700">
              <w:rPr>
                <w:rFonts w:ascii="Arial Narrow" w:hAnsi="Arial Narrow" w:cs="Times New Roman"/>
                <w:sz w:val="20"/>
              </w:rPr>
              <w:t>12/13 (</w:t>
            </w:r>
            <w:r w:rsidR="001551E1" w:rsidRPr="00036700">
              <w:rPr>
                <w:rFonts w:ascii="Arial Narrow" w:hAnsi="Arial Narrow" w:cs="Times New Roman"/>
                <w:sz w:val="20"/>
              </w:rPr>
              <w:t>k=</w:t>
            </w:r>
            <w:r w:rsidRPr="00036700">
              <w:rPr>
                <w:rFonts w:ascii="Arial Narrow" w:hAnsi="Arial Narrow" w:cs="Times New Roman"/>
                <w:sz w:val="20"/>
              </w:rPr>
              <w:t>1</w:t>
            </w:r>
            <w:r w:rsidRPr="00036700">
              <w:rPr>
                <w:rFonts w:ascii="Arial Narrow" w:hAnsi="Arial Narrow" w:cs="Times New Roman"/>
                <w:sz w:val="20"/>
                <w:vertAlign w:val="superscript"/>
              </w:rPr>
              <w:t>b</w:t>
            </w:r>
            <w:r w:rsidRPr="00036700">
              <w:rPr>
                <w:rFonts w:ascii="Arial Narrow" w:hAnsi="Arial Narrow" w:cs="Times New Roman"/>
                <w:sz w:val="20"/>
              </w:rPr>
              <w:t>)</w:t>
            </w:r>
          </w:p>
          <w:p w:rsidR="00730551" w:rsidRPr="00036700" w:rsidRDefault="00730551" w:rsidP="00277A70">
            <w:pPr>
              <w:widowControl/>
              <w:jc w:val="center"/>
              <w:rPr>
                <w:rFonts w:ascii="Arial Narrow" w:hAnsi="Arial Narrow"/>
                <w:sz w:val="20"/>
              </w:rPr>
            </w:pPr>
            <w:r w:rsidRPr="00036700">
              <w:rPr>
                <w:rFonts w:ascii="Arial Narrow" w:hAnsi="Arial Narrow" w:cs="Times New Roman"/>
                <w:sz w:val="20"/>
              </w:rPr>
              <w:t>92.3% [64.0%, 99.8%]</w:t>
            </w:r>
          </w:p>
        </w:tc>
      </w:tr>
    </w:tbl>
    <w:p w:rsidR="00730551" w:rsidRPr="00036700" w:rsidRDefault="00730551" w:rsidP="00277A70">
      <w:pPr>
        <w:pStyle w:val="TableFooter"/>
        <w:widowControl/>
        <w:ind w:left="737"/>
      </w:pPr>
      <w:r w:rsidRPr="00036700">
        <w:t>CI = confidence interval; EBR = elbasvir; GT = genotype; GRZ = grazoprevir; RBV = ribavirin; SOF = sofosbuvir; SVR = sustained virologic response</w:t>
      </w:r>
    </w:p>
    <w:p w:rsidR="00730551" w:rsidRPr="00036700" w:rsidRDefault="00730551" w:rsidP="00277A70">
      <w:pPr>
        <w:pStyle w:val="TableFooter"/>
        <w:widowControl/>
        <w:ind w:left="737"/>
      </w:pPr>
      <w:proofErr w:type="gramStart"/>
      <w:r w:rsidRPr="00036700">
        <w:rPr>
          <w:vertAlign w:val="superscript"/>
        </w:rPr>
        <w:t>a</w:t>
      </w:r>
      <w:proofErr w:type="gramEnd"/>
      <w:r w:rsidRPr="00036700">
        <w:rPr>
          <w:vertAlign w:val="superscript"/>
        </w:rPr>
        <w:t xml:space="preserve"> </w:t>
      </w:r>
      <w:r w:rsidRPr="00036700">
        <w:t>SVR data from Group 6 in C-SWIFT</w:t>
      </w:r>
    </w:p>
    <w:p w:rsidR="00730551" w:rsidRPr="00036700" w:rsidRDefault="00730551" w:rsidP="00277A70">
      <w:pPr>
        <w:pStyle w:val="TableFooter"/>
        <w:widowControl/>
        <w:ind w:left="737"/>
      </w:pPr>
      <w:proofErr w:type="gramStart"/>
      <w:r w:rsidRPr="00036700">
        <w:rPr>
          <w:vertAlign w:val="superscript"/>
        </w:rPr>
        <w:t>b</w:t>
      </w:r>
      <w:proofErr w:type="gramEnd"/>
      <w:r w:rsidRPr="00036700">
        <w:t xml:space="preserve"> SVR data from Group 4 in VALENCE</w:t>
      </w:r>
    </w:p>
    <w:p w:rsidR="00730551" w:rsidRPr="00036700" w:rsidRDefault="00730551" w:rsidP="00277A70">
      <w:pPr>
        <w:pStyle w:val="TableFooter"/>
        <w:widowControl/>
        <w:ind w:left="737"/>
      </w:pPr>
      <w:proofErr w:type="gramStart"/>
      <w:r w:rsidRPr="00036700">
        <w:rPr>
          <w:vertAlign w:val="superscript"/>
        </w:rPr>
        <w:t>c</w:t>
      </w:r>
      <w:proofErr w:type="gramEnd"/>
      <w:r w:rsidRPr="00036700">
        <w:rPr>
          <w:vertAlign w:val="superscript"/>
        </w:rPr>
        <w:t xml:space="preserve"> </w:t>
      </w:r>
      <w:r w:rsidRPr="00036700">
        <w:t>SVR data from Group 7 in C-SWIFT</w:t>
      </w:r>
    </w:p>
    <w:p w:rsidR="00730551" w:rsidRPr="00036700" w:rsidRDefault="00730551" w:rsidP="00277A70">
      <w:pPr>
        <w:pStyle w:val="TableFooter"/>
        <w:widowControl/>
        <w:ind w:left="737"/>
      </w:pPr>
      <w:r w:rsidRPr="00036700">
        <w:t>Source: Table B.6-12, p195 of the submission</w:t>
      </w:r>
    </w:p>
    <w:p w:rsidR="00730551" w:rsidRPr="00036700" w:rsidRDefault="00730551" w:rsidP="00277A70">
      <w:pPr>
        <w:widowControl/>
      </w:pPr>
    </w:p>
    <w:p w:rsidR="00730551" w:rsidRPr="00036700" w:rsidRDefault="00730551" w:rsidP="00277A70">
      <w:pPr>
        <w:pStyle w:val="TableHeader"/>
        <w:widowControl/>
        <w:ind w:left="737"/>
      </w:pPr>
      <w:r w:rsidRPr="00036700">
        <w:t xml:space="preserve">Table </w:t>
      </w:r>
      <w:r w:rsidR="00E566C2">
        <w:t>6</w:t>
      </w:r>
      <w:r w:rsidRPr="00036700">
        <w:t>: Unadjusted indirect comparison of SVR12 between GRZ/EBR±</w:t>
      </w:r>
      <w:r w:rsidR="007926A2" w:rsidRPr="00036700">
        <w:t>RBV</w:t>
      </w:r>
      <w:r w:rsidRPr="00036700">
        <w:t xml:space="preserve"> with SOF+PR or no treatment in GT4 or 6 patients </w:t>
      </w:r>
    </w:p>
    <w:tbl>
      <w:tblPr>
        <w:tblW w:w="468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4"/>
        <w:gridCol w:w="3258"/>
        <w:gridCol w:w="3401"/>
      </w:tblGrid>
      <w:tr w:rsidR="00730551" w:rsidRPr="00036700" w:rsidTr="007926A2">
        <w:tc>
          <w:tcPr>
            <w:tcW w:w="1084" w:type="pct"/>
            <w:vAlign w:val="center"/>
          </w:tcPr>
          <w:p w:rsidR="00730551" w:rsidRPr="00036700" w:rsidRDefault="00730551" w:rsidP="00277A70">
            <w:pPr>
              <w:keepNext/>
              <w:keepLines/>
              <w:widowControl/>
              <w:jc w:val="left"/>
              <w:rPr>
                <w:rFonts w:ascii="Arial Narrow" w:hAnsi="Arial Narrow"/>
                <w:b/>
                <w:sz w:val="20"/>
              </w:rPr>
            </w:pPr>
            <w:r w:rsidRPr="00036700">
              <w:rPr>
                <w:rFonts w:ascii="Arial Narrow" w:hAnsi="Arial Narrow"/>
                <w:b/>
                <w:sz w:val="20"/>
              </w:rPr>
              <w:t>Comparison</w:t>
            </w:r>
          </w:p>
        </w:tc>
        <w:tc>
          <w:tcPr>
            <w:tcW w:w="1916" w:type="pct"/>
            <w:vAlign w:val="center"/>
          </w:tcPr>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xml:space="preserve">GRZ/EBR±RBV </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n/N (</w:t>
            </w:r>
            <w:r w:rsidR="001551E1" w:rsidRPr="00036700">
              <w:rPr>
                <w:rFonts w:ascii="Arial Narrow" w:hAnsi="Arial Narrow"/>
                <w:b/>
                <w:sz w:val="20"/>
              </w:rPr>
              <w:t>k=</w:t>
            </w:r>
            <w:r w:rsidRPr="00036700">
              <w:rPr>
                <w:rFonts w:ascii="Arial Narrow" w:hAnsi="Arial Narrow"/>
                <w:b/>
                <w:sz w:val="20"/>
              </w:rPr>
              <w:t>no. of studies)</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r w:rsidRPr="00036700">
              <w:rPr>
                <w:rFonts w:ascii="Arial Narrow" w:hAnsi="Arial Narrow"/>
                <w:b/>
                <w:sz w:val="20"/>
                <w:vertAlign w:val="superscript"/>
              </w:rPr>
              <w:t>a</w:t>
            </w:r>
          </w:p>
        </w:tc>
        <w:tc>
          <w:tcPr>
            <w:tcW w:w="1999" w:type="pct"/>
            <w:vAlign w:val="center"/>
          </w:tcPr>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SOF+PR or no treatment</w:t>
            </w:r>
          </w:p>
          <w:p w:rsidR="00730551" w:rsidRPr="00036700" w:rsidRDefault="00730551" w:rsidP="00277A70">
            <w:pPr>
              <w:keepNext/>
              <w:keepLines/>
              <w:widowControl/>
              <w:jc w:val="center"/>
              <w:rPr>
                <w:rFonts w:ascii="Arial Narrow" w:hAnsi="Arial Narrow"/>
                <w:b/>
                <w:sz w:val="20"/>
                <w:vertAlign w:val="superscript"/>
              </w:rPr>
            </w:pPr>
            <w:r w:rsidRPr="00036700">
              <w:rPr>
                <w:rFonts w:ascii="Arial Narrow" w:hAnsi="Arial Narrow"/>
                <w:b/>
                <w:sz w:val="20"/>
              </w:rPr>
              <w:t>n/N (</w:t>
            </w:r>
            <w:r w:rsidR="001551E1" w:rsidRPr="00036700">
              <w:rPr>
                <w:rFonts w:ascii="Arial Narrow" w:hAnsi="Arial Narrow"/>
                <w:b/>
                <w:sz w:val="20"/>
              </w:rPr>
              <w:t>k=</w:t>
            </w:r>
            <w:r w:rsidRPr="00036700">
              <w:rPr>
                <w:rFonts w:ascii="Arial Narrow" w:hAnsi="Arial Narrow"/>
                <w:b/>
                <w:sz w:val="20"/>
              </w:rPr>
              <w:t>no. of studies)</w:t>
            </w:r>
          </w:p>
          <w:p w:rsidR="00730551" w:rsidRPr="00036700" w:rsidRDefault="00730551" w:rsidP="00277A70">
            <w:pPr>
              <w:keepNext/>
              <w:keepLines/>
              <w:widowControl/>
              <w:jc w:val="center"/>
              <w:rPr>
                <w:rFonts w:ascii="Arial Narrow" w:hAnsi="Arial Narrow"/>
                <w:b/>
                <w:sz w:val="20"/>
              </w:rPr>
            </w:pPr>
            <w:r w:rsidRPr="00036700">
              <w:rPr>
                <w:rFonts w:ascii="Arial Narrow" w:hAnsi="Arial Narrow"/>
                <w:b/>
                <w:sz w:val="20"/>
              </w:rPr>
              <w:t>% [95%CI]</w:t>
            </w:r>
            <w:r w:rsidRPr="00036700">
              <w:rPr>
                <w:rFonts w:ascii="Arial Narrow" w:hAnsi="Arial Narrow"/>
                <w:b/>
                <w:sz w:val="20"/>
                <w:vertAlign w:val="superscript"/>
              </w:rPr>
              <w:t>a</w:t>
            </w:r>
          </w:p>
        </w:tc>
      </w:tr>
      <w:tr w:rsidR="00730551" w:rsidRPr="00036700" w:rsidTr="007926A2">
        <w:tc>
          <w:tcPr>
            <w:tcW w:w="5000" w:type="pct"/>
            <w:gridSpan w:val="3"/>
            <w:vAlign w:val="center"/>
          </w:tcPr>
          <w:p w:rsidR="00730551" w:rsidRPr="00036700" w:rsidRDefault="00730551" w:rsidP="00277A70">
            <w:pPr>
              <w:widowControl/>
              <w:jc w:val="left"/>
              <w:rPr>
                <w:rFonts w:ascii="Arial Narrow" w:hAnsi="Arial Narrow"/>
                <w:b/>
                <w:sz w:val="20"/>
              </w:rPr>
            </w:pPr>
            <w:r w:rsidRPr="00036700">
              <w:rPr>
                <w:rFonts w:ascii="Arial Narrow" w:hAnsi="Arial Narrow"/>
                <w:b/>
                <w:sz w:val="20"/>
              </w:rPr>
              <w:t>Treatment-naïve</w:t>
            </w:r>
          </w:p>
        </w:tc>
      </w:tr>
      <w:tr w:rsidR="00730551" w:rsidRPr="00036700" w:rsidTr="007926A2">
        <w:tc>
          <w:tcPr>
            <w:tcW w:w="1084"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Non-cirrhotic</w:t>
            </w:r>
          </w:p>
        </w:tc>
        <w:tc>
          <w:tcPr>
            <w:tcW w:w="1916" w:type="pct"/>
          </w:tcPr>
          <w:p w:rsidR="00730551" w:rsidRPr="00036700" w:rsidRDefault="00730551" w:rsidP="00277A70">
            <w:pPr>
              <w:widowControl/>
              <w:jc w:val="center"/>
              <w:rPr>
                <w:rFonts w:ascii="Arial Narrow" w:hAnsi="Arial Narrow"/>
                <w:sz w:val="20"/>
              </w:rPr>
            </w:pPr>
            <w:r w:rsidRPr="00036700">
              <w:rPr>
                <w:rFonts w:ascii="Arial Narrow" w:hAnsi="Arial Narrow"/>
                <w:sz w:val="20"/>
              </w:rPr>
              <w:t>GRZ/EBR12</w:t>
            </w:r>
          </w:p>
          <w:p w:rsidR="00730551" w:rsidRPr="00036700" w:rsidRDefault="00730551" w:rsidP="00277A70">
            <w:pPr>
              <w:widowControl/>
              <w:jc w:val="center"/>
              <w:rPr>
                <w:rFonts w:ascii="Arial Narrow" w:hAnsi="Arial Narrow"/>
                <w:sz w:val="20"/>
              </w:rPr>
            </w:pPr>
            <w:r w:rsidRPr="00036700">
              <w:rPr>
                <w:rFonts w:ascii="Arial Narrow" w:hAnsi="Arial Narrow"/>
                <w:sz w:val="20"/>
              </w:rPr>
              <w:t>36/40 (</w:t>
            </w:r>
            <w:r w:rsidR="001551E1" w:rsidRPr="00036700">
              <w:rPr>
                <w:rFonts w:ascii="Arial Narrow" w:hAnsi="Arial Narrow"/>
                <w:sz w:val="20"/>
              </w:rPr>
              <w:t>k=</w:t>
            </w:r>
            <w:r w:rsidRPr="00036700">
              <w:rPr>
                <w:rFonts w:ascii="Arial Narrow" w:hAnsi="Arial Narrow"/>
                <w:sz w:val="20"/>
              </w:rPr>
              <w:t>2</w:t>
            </w:r>
            <w:r w:rsidRPr="00036700">
              <w:rPr>
                <w:rFonts w:ascii="Arial Narrow" w:hAnsi="Arial Narrow"/>
                <w:sz w:val="20"/>
                <w:vertAlign w:val="superscript"/>
              </w:rPr>
              <w:t>b</w:t>
            </w:r>
            <w:r w:rsidRPr="00036700">
              <w:rPr>
                <w:rFonts w:ascii="Arial Narrow" w:hAnsi="Arial Narrow"/>
                <w:sz w:val="20"/>
              </w:rPr>
              <w:t>)</w:t>
            </w:r>
          </w:p>
          <w:p w:rsidR="00730551" w:rsidRPr="00036700" w:rsidRDefault="00730551" w:rsidP="00277A70">
            <w:pPr>
              <w:keepLines/>
              <w:widowControl/>
              <w:tabs>
                <w:tab w:val="left" w:pos="416"/>
                <w:tab w:val="left" w:pos="582"/>
              </w:tabs>
              <w:jc w:val="center"/>
              <w:rPr>
                <w:rFonts w:ascii="Arial Narrow" w:hAnsi="Arial Narrow"/>
                <w:sz w:val="20"/>
              </w:rPr>
            </w:pPr>
            <w:r w:rsidRPr="00036700">
              <w:rPr>
                <w:rFonts w:ascii="Arial Narrow" w:hAnsi="Arial Narrow" w:cs="Times New Roman"/>
                <w:i/>
                <w:sz w:val="20"/>
              </w:rPr>
              <w:t>90.4% [78.4%, 98.4%]</w:t>
            </w:r>
            <w:r w:rsidR="00817CF3" w:rsidRPr="00036700">
              <w:rPr>
                <w:rFonts w:ascii="Arial Narrow" w:hAnsi="Arial Narrow"/>
                <w:b/>
                <w:sz w:val="20"/>
                <w:vertAlign w:val="superscript"/>
              </w:rPr>
              <w:t xml:space="preserve"> a</w:t>
            </w:r>
          </w:p>
        </w:tc>
        <w:tc>
          <w:tcPr>
            <w:tcW w:w="1999" w:type="pct"/>
            <w:vMerge w:val="restart"/>
            <w:vAlign w:val="center"/>
          </w:tcPr>
          <w:p w:rsidR="00730551" w:rsidRPr="00036700" w:rsidRDefault="00730551" w:rsidP="00277A70">
            <w:pPr>
              <w:widowControl/>
              <w:jc w:val="center"/>
              <w:rPr>
                <w:rFonts w:ascii="Arial Narrow" w:hAnsi="Arial Narrow"/>
                <w:sz w:val="20"/>
              </w:rPr>
            </w:pPr>
            <w:r w:rsidRPr="00036700">
              <w:rPr>
                <w:rFonts w:ascii="Arial Narrow" w:hAnsi="Arial Narrow"/>
                <w:sz w:val="20"/>
              </w:rPr>
              <w:t>SOF12+PR12</w:t>
            </w:r>
          </w:p>
          <w:p w:rsidR="00730551" w:rsidRPr="00036700" w:rsidRDefault="00730551" w:rsidP="00277A70">
            <w:pPr>
              <w:widowControl/>
              <w:jc w:val="center"/>
              <w:rPr>
                <w:rFonts w:ascii="Arial Narrow" w:hAnsi="Arial Narrow"/>
                <w:sz w:val="20"/>
              </w:rPr>
            </w:pPr>
            <w:r w:rsidRPr="00036700">
              <w:rPr>
                <w:rFonts w:ascii="Arial Narrow" w:hAnsi="Arial Narrow"/>
                <w:sz w:val="20"/>
              </w:rPr>
              <w:t>44/45 (</w:t>
            </w:r>
            <w:r w:rsidR="001551E1" w:rsidRPr="00036700">
              <w:rPr>
                <w:rFonts w:ascii="Arial Narrow" w:hAnsi="Arial Narrow"/>
                <w:sz w:val="20"/>
              </w:rPr>
              <w:t>k=</w:t>
            </w:r>
            <w:r w:rsidRPr="00036700">
              <w:rPr>
                <w:rFonts w:ascii="Arial Narrow" w:hAnsi="Arial Narrow"/>
                <w:sz w:val="20"/>
              </w:rPr>
              <w:t>2</w:t>
            </w:r>
            <w:r w:rsidRPr="00036700">
              <w:rPr>
                <w:rFonts w:ascii="Arial Narrow" w:hAnsi="Arial Narrow"/>
                <w:sz w:val="20"/>
                <w:vertAlign w:val="superscript"/>
              </w:rPr>
              <w:t>c, d</w:t>
            </w:r>
            <w:r w:rsidRPr="00036700">
              <w:rPr>
                <w:rFonts w:ascii="Arial Narrow" w:hAnsi="Arial Narrow"/>
                <w:sz w:val="20"/>
              </w:rPr>
              <w:t>)</w:t>
            </w:r>
          </w:p>
          <w:p w:rsidR="00730551" w:rsidRPr="00036700" w:rsidRDefault="00730551" w:rsidP="00277A70">
            <w:pPr>
              <w:keepLines/>
              <w:widowControl/>
              <w:tabs>
                <w:tab w:val="left" w:pos="416"/>
                <w:tab w:val="left" w:pos="582"/>
              </w:tabs>
              <w:jc w:val="center"/>
              <w:rPr>
                <w:rFonts w:ascii="Arial Narrow" w:hAnsi="Arial Narrow"/>
                <w:sz w:val="20"/>
              </w:rPr>
            </w:pPr>
            <w:r w:rsidRPr="00036700">
              <w:rPr>
                <w:rFonts w:ascii="Arial Narrow" w:hAnsi="Arial Narrow" w:cs="Times New Roman"/>
                <w:i/>
                <w:sz w:val="20"/>
              </w:rPr>
              <w:t>98.6% [91.4%, 100%]</w:t>
            </w:r>
            <w:r w:rsidR="00817CF3" w:rsidRPr="00036700">
              <w:rPr>
                <w:rFonts w:ascii="Arial Narrow" w:hAnsi="Arial Narrow"/>
                <w:b/>
                <w:sz w:val="20"/>
                <w:vertAlign w:val="superscript"/>
              </w:rPr>
              <w:t xml:space="preserve"> a</w:t>
            </w:r>
          </w:p>
        </w:tc>
      </w:tr>
      <w:tr w:rsidR="00730551" w:rsidRPr="00036700" w:rsidTr="007926A2">
        <w:tc>
          <w:tcPr>
            <w:tcW w:w="1084" w:type="pct"/>
          </w:tcPr>
          <w:p w:rsidR="00730551" w:rsidRPr="00036700" w:rsidRDefault="00730551" w:rsidP="00277A70">
            <w:pPr>
              <w:widowControl/>
              <w:ind w:left="256"/>
              <w:jc w:val="left"/>
              <w:rPr>
                <w:rFonts w:ascii="Arial Narrow" w:hAnsi="Arial Narrow"/>
                <w:sz w:val="20"/>
              </w:rPr>
            </w:pPr>
            <w:r w:rsidRPr="00036700">
              <w:rPr>
                <w:rFonts w:ascii="Arial Narrow" w:hAnsi="Arial Narrow"/>
                <w:sz w:val="20"/>
              </w:rPr>
              <w:t>Cirrhotic</w:t>
            </w:r>
          </w:p>
        </w:tc>
        <w:tc>
          <w:tcPr>
            <w:tcW w:w="1916" w:type="pct"/>
          </w:tcPr>
          <w:p w:rsidR="00730551" w:rsidRPr="00036700" w:rsidRDefault="00730551" w:rsidP="00277A70">
            <w:pPr>
              <w:widowControl/>
              <w:jc w:val="center"/>
              <w:rPr>
                <w:rFonts w:ascii="Arial Narrow" w:hAnsi="Arial Narrow"/>
                <w:sz w:val="20"/>
              </w:rPr>
            </w:pPr>
            <w:r w:rsidRPr="00036700">
              <w:rPr>
                <w:rFonts w:ascii="Arial Narrow" w:hAnsi="Arial Narrow"/>
                <w:sz w:val="20"/>
              </w:rPr>
              <w:t>GRZ/EBR12</w:t>
            </w:r>
          </w:p>
          <w:p w:rsidR="00730551" w:rsidRPr="00036700" w:rsidRDefault="00730551" w:rsidP="00277A70">
            <w:pPr>
              <w:widowControl/>
              <w:jc w:val="center"/>
              <w:rPr>
                <w:rFonts w:ascii="Arial Narrow" w:hAnsi="Arial Narrow"/>
                <w:sz w:val="20"/>
              </w:rPr>
            </w:pPr>
            <w:r w:rsidRPr="00036700">
              <w:rPr>
                <w:rFonts w:ascii="Arial Narrow" w:hAnsi="Arial Narrow"/>
                <w:sz w:val="20"/>
              </w:rPr>
              <w:t>2/2 (</w:t>
            </w:r>
            <w:r w:rsidR="001551E1" w:rsidRPr="00036700">
              <w:rPr>
                <w:rFonts w:ascii="Arial Narrow" w:hAnsi="Arial Narrow"/>
                <w:sz w:val="20"/>
              </w:rPr>
              <w:t>k=</w:t>
            </w:r>
            <w:r w:rsidRPr="00036700">
              <w:rPr>
                <w:rFonts w:ascii="Arial Narrow" w:hAnsi="Arial Narrow"/>
                <w:sz w:val="20"/>
              </w:rPr>
              <w:t>1</w:t>
            </w:r>
            <w:r w:rsidRPr="00036700">
              <w:rPr>
                <w:rFonts w:ascii="Arial Narrow" w:hAnsi="Arial Narrow"/>
                <w:sz w:val="20"/>
                <w:vertAlign w:val="superscript"/>
              </w:rPr>
              <w:t>e</w:t>
            </w:r>
            <w:r w:rsidRPr="00036700">
              <w:rPr>
                <w:rFonts w:ascii="Arial Narrow" w:hAnsi="Arial Narrow"/>
                <w:sz w:val="20"/>
              </w:rPr>
              <w:t>)</w:t>
            </w:r>
          </w:p>
          <w:p w:rsidR="00730551" w:rsidRPr="00036700" w:rsidRDefault="00730551" w:rsidP="00277A70">
            <w:pPr>
              <w:widowControl/>
              <w:jc w:val="center"/>
              <w:rPr>
                <w:rFonts w:ascii="Arial Narrow" w:hAnsi="Arial Narrow"/>
                <w:sz w:val="20"/>
              </w:rPr>
            </w:pPr>
            <w:r w:rsidRPr="00036700">
              <w:rPr>
                <w:rFonts w:ascii="Arial Narrow" w:hAnsi="Arial Narrow" w:cs="Times New Roman"/>
                <w:i/>
                <w:sz w:val="20"/>
              </w:rPr>
              <w:t>100% [15.8%, 100%]</w:t>
            </w:r>
            <w:r w:rsidR="00817CF3" w:rsidRPr="00036700">
              <w:rPr>
                <w:rFonts w:ascii="Arial Narrow" w:hAnsi="Arial Narrow"/>
                <w:b/>
                <w:sz w:val="20"/>
                <w:vertAlign w:val="superscript"/>
              </w:rPr>
              <w:t xml:space="preserve"> a</w:t>
            </w:r>
          </w:p>
        </w:tc>
        <w:tc>
          <w:tcPr>
            <w:tcW w:w="1999" w:type="pct"/>
            <w:vMerge/>
          </w:tcPr>
          <w:p w:rsidR="00730551" w:rsidRPr="00036700" w:rsidRDefault="00730551" w:rsidP="00277A70">
            <w:pPr>
              <w:widowControl/>
              <w:jc w:val="center"/>
              <w:rPr>
                <w:rFonts w:ascii="Arial Narrow" w:hAnsi="Arial Narrow"/>
                <w:sz w:val="20"/>
              </w:rPr>
            </w:pPr>
          </w:p>
        </w:tc>
      </w:tr>
      <w:tr w:rsidR="00730551" w:rsidRPr="00036700" w:rsidTr="007926A2">
        <w:tc>
          <w:tcPr>
            <w:tcW w:w="5000" w:type="pct"/>
            <w:gridSpan w:val="3"/>
            <w:vAlign w:val="center"/>
          </w:tcPr>
          <w:p w:rsidR="00730551" w:rsidRPr="00036700" w:rsidRDefault="00730551" w:rsidP="00277A70">
            <w:pPr>
              <w:widowControl/>
              <w:jc w:val="left"/>
              <w:rPr>
                <w:rFonts w:ascii="Arial Narrow" w:hAnsi="Arial Narrow"/>
                <w:b/>
                <w:i/>
                <w:sz w:val="20"/>
              </w:rPr>
            </w:pPr>
            <w:r w:rsidRPr="00036700">
              <w:rPr>
                <w:rFonts w:ascii="Arial Narrow" w:hAnsi="Arial Narrow"/>
                <w:b/>
                <w:i/>
                <w:sz w:val="20"/>
              </w:rPr>
              <w:t>Treatment-experienced</w:t>
            </w:r>
          </w:p>
        </w:tc>
      </w:tr>
      <w:tr w:rsidR="00730551" w:rsidRPr="00036700" w:rsidTr="007926A2">
        <w:tc>
          <w:tcPr>
            <w:tcW w:w="1084" w:type="pct"/>
          </w:tcPr>
          <w:p w:rsidR="00730551" w:rsidRPr="00036700" w:rsidRDefault="00730551" w:rsidP="00277A70">
            <w:pPr>
              <w:widowControl/>
              <w:ind w:left="256"/>
              <w:jc w:val="left"/>
              <w:rPr>
                <w:rFonts w:ascii="Arial Narrow" w:hAnsi="Arial Narrow"/>
                <w:i/>
                <w:sz w:val="20"/>
              </w:rPr>
            </w:pPr>
            <w:r w:rsidRPr="00036700">
              <w:rPr>
                <w:rFonts w:ascii="Arial Narrow" w:hAnsi="Arial Narrow"/>
                <w:i/>
                <w:sz w:val="20"/>
              </w:rPr>
              <w:t>Non-cirrhotic</w:t>
            </w:r>
          </w:p>
        </w:tc>
        <w:tc>
          <w:tcPr>
            <w:tcW w:w="1916" w:type="pct"/>
          </w:tcPr>
          <w:p w:rsidR="00730551" w:rsidRPr="00036700" w:rsidRDefault="00730551" w:rsidP="00277A70">
            <w:pPr>
              <w:widowControl/>
              <w:jc w:val="center"/>
              <w:rPr>
                <w:rFonts w:ascii="Arial Narrow" w:hAnsi="Arial Narrow"/>
                <w:i/>
                <w:sz w:val="20"/>
              </w:rPr>
            </w:pPr>
            <w:r w:rsidRPr="00036700">
              <w:rPr>
                <w:rFonts w:ascii="Arial Narrow" w:hAnsi="Arial Narrow"/>
                <w:i/>
                <w:sz w:val="20"/>
              </w:rPr>
              <w:t>GRZ/EBR12 or GRZ/EBR16+RBV16</w:t>
            </w:r>
            <w:r w:rsidRPr="00036700">
              <w:rPr>
                <w:rFonts w:ascii="Arial Narrow" w:hAnsi="Arial Narrow"/>
                <w:i/>
                <w:sz w:val="20"/>
                <w:vertAlign w:val="superscript"/>
              </w:rPr>
              <w:t xml:space="preserve">f </w:t>
            </w:r>
          </w:p>
          <w:p w:rsidR="00730551" w:rsidRPr="00036700" w:rsidRDefault="00730551" w:rsidP="00277A70">
            <w:pPr>
              <w:widowControl/>
              <w:jc w:val="center"/>
              <w:rPr>
                <w:rFonts w:ascii="Arial Narrow" w:hAnsi="Arial Narrow"/>
                <w:i/>
                <w:sz w:val="20"/>
              </w:rPr>
            </w:pPr>
            <w:r w:rsidRPr="00036700">
              <w:rPr>
                <w:rFonts w:ascii="Arial Narrow" w:hAnsi="Arial Narrow"/>
                <w:i/>
                <w:sz w:val="20"/>
              </w:rPr>
              <w:t>1/1 (</w:t>
            </w:r>
            <w:r w:rsidR="001551E1" w:rsidRPr="00036700">
              <w:rPr>
                <w:rFonts w:ascii="Arial Narrow" w:hAnsi="Arial Narrow"/>
                <w:i/>
                <w:sz w:val="20"/>
              </w:rPr>
              <w:t>k=</w:t>
            </w:r>
            <w:r w:rsidRPr="00036700">
              <w:rPr>
                <w:rFonts w:ascii="Arial Narrow" w:hAnsi="Arial Narrow"/>
                <w:i/>
                <w:sz w:val="20"/>
              </w:rPr>
              <w:t>1</w:t>
            </w:r>
            <w:r w:rsidRPr="00036700">
              <w:rPr>
                <w:rFonts w:ascii="Arial Narrow" w:hAnsi="Arial Narrow"/>
                <w:i/>
                <w:sz w:val="20"/>
                <w:vertAlign w:val="superscript"/>
              </w:rPr>
              <w:t>g</w:t>
            </w:r>
            <w:r w:rsidRPr="00036700">
              <w:rPr>
                <w:rFonts w:ascii="Arial Narrow" w:hAnsi="Arial Narrow"/>
                <w:i/>
                <w:sz w:val="20"/>
              </w:rPr>
              <w:t>)</w:t>
            </w:r>
          </w:p>
          <w:p w:rsidR="00730551" w:rsidRPr="00036700" w:rsidRDefault="00730551" w:rsidP="00277A70">
            <w:pPr>
              <w:widowControl/>
              <w:jc w:val="center"/>
              <w:rPr>
                <w:rFonts w:ascii="Arial Narrow" w:hAnsi="Arial Narrow"/>
                <w:i/>
                <w:sz w:val="20"/>
              </w:rPr>
            </w:pPr>
            <w:r w:rsidRPr="00036700">
              <w:rPr>
                <w:rFonts w:ascii="Arial Narrow" w:hAnsi="Arial Narrow" w:cs="Times New Roman"/>
                <w:i/>
                <w:sz w:val="20"/>
              </w:rPr>
              <w:t>100% [2.5%, 100%]</w:t>
            </w:r>
            <w:r w:rsidR="00A82505" w:rsidRPr="00036700">
              <w:rPr>
                <w:rFonts w:ascii="Arial Narrow" w:hAnsi="Arial Narrow"/>
                <w:b/>
                <w:sz w:val="20"/>
                <w:vertAlign w:val="superscript"/>
              </w:rPr>
              <w:t xml:space="preserve"> </w:t>
            </w:r>
          </w:p>
        </w:tc>
        <w:tc>
          <w:tcPr>
            <w:tcW w:w="1999" w:type="pct"/>
            <w:vMerge w:val="restart"/>
            <w:vAlign w:val="center"/>
          </w:tcPr>
          <w:p w:rsidR="00730551" w:rsidRPr="00036700" w:rsidRDefault="00730551" w:rsidP="00277A70">
            <w:pPr>
              <w:widowControl/>
              <w:jc w:val="center"/>
              <w:rPr>
                <w:rFonts w:ascii="Arial Narrow" w:hAnsi="Arial Narrow"/>
                <w:i/>
                <w:sz w:val="20"/>
              </w:rPr>
            </w:pPr>
            <w:r w:rsidRPr="00036700">
              <w:rPr>
                <w:rFonts w:ascii="Arial Narrow" w:hAnsi="Arial Narrow"/>
                <w:i/>
                <w:sz w:val="20"/>
              </w:rPr>
              <w:t>No treatment</w:t>
            </w:r>
          </w:p>
          <w:p w:rsidR="00730551" w:rsidRPr="00036700" w:rsidRDefault="00730551" w:rsidP="00277A70">
            <w:pPr>
              <w:widowControl/>
              <w:jc w:val="center"/>
              <w:rPr>
                <w:rFonts w:ascii="Arial Narrow" w:hAnsi="Arial Narrow"/>
                <w:i/>
                <w:sz w:val="20"/>
              </w:rPr>
            </w:pPr>
            <w:r w:rsidRPr="00036700">
              <w:rPr>
                <w:rFonts w:ascii="Arial Narrow" w:hAnsi="Arial Narrow"/>
                <w:i/>
                <w:sz w:val="20"/>
              </w:rPr>
              <w:t>0%</w:t>
            </w:r>
          </w:p>
        </w:tc>
      </w:tr>
      <w:tr w:rsidR="00730551" w:rsidRPr="00036700" w:rsidTr="007926A2">
        <w:tc>
          <w:tcPr>
            <w:tcW w:w="1084" w:type="pct"/>
          </w:tcPr>
          <w:p w:rsidR="00730551" w:rsidRPr="00036700" w:rsidRDefault="00730551" w:rsidP="00277A70">
            <w:pPr>
              <w:widowControl/>
              <w:ind w:left="256"/>
              <w:jc w:val="left"/>
              <w:rPr>
                <w:rFonts w:ascii="Arial Narrow" w:hAnsi="Arial Narrow"/>
                <w:i/>
                <w:sz w:val="20"/>
              </w:rPr>
            </w:pPr>
            <w:r w:rsidRPr="00036700">
              <w:rPr>
                <w:rFonts w:ascii="Arial Narrow" w:hAnsi="Arial Narrow"/>
                <w:i/>
                <w:sz w:val="20"/>
              </w:rPr>
              <w:t>Cirrhotic</w:t>
            </w:r>
          </w:p>
        </w:tc>
        <w:tc>
          <w:tcPr>
            <w:tcW w:w="1916" w:type="pct"/>
          </w:tcPr>
          <w:p w:rsidR="00730551" w:rsidRPr="00036700" w:rsidRDefault="00730551" w:rsidP="00277A70">
            <w:pPr>
              <w:widowControl/>
              <w:jc w:val="center"/>
              <w:rPr>
                <w:rFonts w:ascii="Arial Narrow" w:hAnsi="Arial Narrow"/>
                <w:i/>
                <w:sz w:val="20"/>
              </w:rPr>
            </w:pPr>
            <w:r w:rsidRPr="00036700">
              <w:rPr>
                <w:rFonts w:ascii="Arial Narrow" w:hAnsi="Arial Narrow"/>
                <w:i/>
                <w:sz w:val="20"/>
              </w:rPr>
              <w:t>GRZ/EBR12 or GRZ/EBR16+RBV16</w:t>
            </w:r>
            <w:r w:rsidRPr="00036700">
              <w:rPr>
                <w:rFonts w:ascii="Arial Narrow" w:hAnsi="Arial Narrow"/>
                <w:i/>
                <w:sz w:val="20"/>
                <w:vertAlign w:val="superscript"/>
              </w:rPr>
              <w:t xml:space="preserve">f </w:t>
            </w:r>
          </w:p>
          <w:p w:rsidR="00730551" w:rsidRPr="00036700" w:rsidRDefault="00730551" w:rsidP="00277A70">
            <w:pPr>
              <w:widowControl/>
              <w:jc w:val="center"/>
              <w:rPr>
                <w:rFonts w:ascii="Arial Narrow" w:hAnsi="Arial Narrow"/>
                <w:i/>
                <w:sz w:val="20"/>
              </w:rPr>
            </w:pPr>
            <w:r w:rsidRPr="00036700">
              <w:rPr>
                <w:rFonts w:ascii="Arial Narrow" w:hAnsi="Arial Narrow"/>
                <w:i/>
                <w:sz w:val="20"/>
              </w:rPr>
              <w:t>6/6 (</w:t>
            </w:r>
            <w:r w:rsidR="001551E1" w:rsidRPr="00036700">
              <w:rPr>
                <w:rFonts w:ascii="Arial Narrow" w:hAnsi="Arial Narrow"/>
                <w:i/>
                <w:sz w:val="20"/>
              </w:rPr>
              <w:t>k=</w:t>
            </w:r>
            <w:r w:rsidRPr="00036700">
              <w:rPr>
                <w:rFonts w:ascii="Arial Narrow" w:hAnsi="Arial Narrow"/>
                <w:i/>
                <w:sz w:val="20"/>
              </w:rPr>
              <w:t>1</w:t>
            </w:r>
            <w:r w:rsidRPr="00036700">
              <w:rPr>
                <w:rFonts w:ascii="Arial Narrow" w:hAnsi="Arial Narrow"/>
                <w:i/>
                <w:sz w:val="20"/>
                <w:vertAlign w:val="superscript"/>
              </w:rPr>
              <w:t>h</w:t>
            </w:r>
            <w:r w:rsidRPr="00036700">
              <w:rPr>
                <w:rFonts w:ascii="Arial Narrow" w:hAnsi="Arial Narrow"/>
                <w:i/>
                <w:sz w:val="20"/>
              </w:rPr>
              <w:t>)</w:t>
            </w:r>
          </w:p>
          <w:p w:rsidR="00730551" w:rsidRPr="00036700" w:rsidRDefault="00730551" w:rsidP="00277A70">
            <w:pPr>
              <w:widowControl/>
              <w:jc w:val="center"/>
              <w:rPr>
                <w:rFonts w:ascii="Arial Narrow" w:hAnsi="Arial Narrow"/>
                <w:i/>
                <w:sz w:val="20"/>
              </w:rPr>
            </w:pPr>
            <w:r w:rsidRPr="00036700">
              <w:rPr>
                <w:rFonts w:ascii="Arial Narrow" w:hAnsi="Arial Narrow"/>
                <w:i/>
                <w:sz w:val="20"/>
              </w:rPr>
              <w:t>100% [54.1%, 100%]</w:t>
            </w:r>
            <w:r w:rsidR="00A82505" w:rsidRPr="00036700">
              <w:rPr>
                <w:rFonts w:ascii="Arial Narrow" w:hAnsi="Arial Narrow"/>
                <w:b/>
                <w:sz w:val="20"/>
                <w:vertAlign w:val="superscript"/>
              </w:rPr>
              <w:t xml:space="preserve"> a</w:t>
            </w:r>
          </w:p>
        </w:tc>
        <w:tc>
          <w:tcPr>
            <w:tcW w:w="1999" w:type="pct"/>
            <w:vMerge/>
          </w:tcPr>
          <w:p w:rsidR="00730551" w:rsidRPr="00036700" w:rsidRDefault="00730551" w:rsidP="00277A70">
            <w:pPr>
              <w:widowControl/>
              <w:jc w:val="center"/>
              <w:rPr>
                <w:rFonts w:ascii="Arial Narrow" w:hAnsi="Arial Narrow"/>
                <w:i/>
                <w:sz w:val="20"/>
              </w:rPr>
            </w:pPr>
          </w:p>
        </w:tc>
      </w:tr>
    </w:tbl>
    <w:p w:rsidR="00730551" w:rsidRPr="00036700" w:rsidRDefault="00730551" w:rsidP="00277A70">
      <w:pPr>
        <w:pStyle w:val="TableFooter"/>
        <w:widowControl/>
        <w:ind w:left="737"/>
      </w:pPr>
      <w:r w:rsidRPr="00036700">
        <w:t xml:space="preserve">CI = confidence interval; EBR = elbasvir; GT = genotype; GRZ = grazoprevir; PR = peginterferon and ribavirin; </w:t>
      </w:r>
      <w:r w:rsidR="001A02A9" w:rsidRPr="00036700">
        <w:t xml:space="preserve">RBV = ribavirin; </w:t>
      </w:r>
      <w:r w:rsidRPr="00036700">
        <w:t>SOF = sofosbuvir; SVR = sustained virologic response</w:t>
      </w:r>
    </w:p>
    <w:p w:rsidR="00730551" w:rsidRPr="00036700" w:rsidRDefault="00730551" w:rsidP="00277A70">
      <w:pPr>
        <w:pStyle w:val="TableFooter"/>
        <w:widowControl/>
        <w:ind w:left="737"/>
      </w:pPr>
      <w:proofErr w:type="gramStart"/>
      <w:r w:rsidRPr="00036700">
        <w:rPr>
          <w:vertAlign w:val="superscript"/>
        </w:rPr>
        <w:t>a</w:t>
      </w:r>
      <w:proofErr w:type="gramEnd"/>
      <w:r w:rsidRPr="00036700">
        <w:rPr>
          <w:vertAlign w:val="superscript"/>
        </w:rPr>
        <w:t xml:space="preserve"> </w:t>
      </w:r>
      <w:r w:rsidRPr="00036700">
        <w:t xml:space="preserve">SVR rates for GRZ/EBR±RBV and </w:t>
      </w:r>
      <w:r w:rsidR="00A82505" w:rsidRPr="00036700">
        <w:t>SOF+PR</w:t>
      </w:r>
      <w:r w:rsidRPr="00036700">
        <w:t xml:space="preserve"> were recalculated during the evaluation based on available data. Exact confidence intervals were calculated using the confidence intervals for proportions command in Stata</w:t>
      </w:r>
      <w:r w:rsidRPr="00036700">
        <w:rPr>
          <w:vertAlign w:val="superscript"/>
        </w:rPr>
        <w:t>®</w:t>
      </w:r>
      <w:r w:rsidRPr="00036700">
        <w:t xml:space="preserve"> 13.1. – </w:t>
      </w:r>
      <w:proofErr w:type="gramStart"/>
      <w:r w:rsidRPr="00036700">
        <w:t>exact</w:t>
      </w:r>
      <w:proofErr w:type="gramEnd"/>
      <w:r w:rsidRPr="00036700">
        <w:t xml:space="preserve"> confidence intervals were calculated using cii in Stata when only one study provided data. When multiple studies were used to generate a pooled estimate, this was performed using a random effects meta-analysis of proportions, with exact confidence intervals and adjusted using the Freeman-Tukey transformation in Stata</w:t>
      </w:r>
      <w:r w:rsidRPr="00036700">
        <w:rPr>
          <w:vertAlign w:val="superscript"/>
        </w:rPr>
        <w:t>®</w:t>
      </w:r>
      <w:r w:rsidRPr="00036700">
        <w:t xml:space="preserve"> 13.1.</w:t>
      </w:r>
    </w:p>
    <w:p w:rsidR="00730551" w:rsidRPr="00036700" w:rsidRDefault="00730551" w:rsidP="00277A70">
      <w:pPr>
        <w:pStyle w:val="TableFooter"/>
        <w:widowControl/>
        <w:ind w:left="737"/>
      </w:pPr>
      <w:proofErr w:type="gramStart"/>
      <w:r w:rsidRPr="00036700">
        <w:rPr>
          <w:vertAlign w:val="superscript"/>
        </w:rPr>
        <w:t>b</w:t>
      </w:r>
      <w:proofErr w:type="gramEnd"/>
      <w:r w:rsidRPr="00036700">
        <w:t xml:space="preserve"> SVR data fr</w:t>
      </w:r>
      <w:r w:rsidR="002A0C77" w:rsidRPr="00036700">
        <w:t>om Group 1 in C-EDGE TN (24/26</w:t>
      </w:r>
      <w:r w:rsidRPr="00036700">
        <w:t>) and from Group B3 in C-SCAPE (12/14)</w:t>
      </w:r>
    </w:p>
    <w:p w:rsidR="00730551" w:rsidRPr="00036700" w:rsidRDefault="00730551" w:rsidP="00277A70">
      <w:pPr>
        <w:pStyle w:val="TableFooter"/>
        <w:widowControl/>
        <w:ind w:left="737"/>
      </w:pPr>
      <w:proofErr w:type="gramStart"/>
      <w:r w:rsidRPr="00036700">
        <w:rPr>
          <w:vertAlign w:val="superscript"/>
        </w:rPr>
        <w:t>c</w:t>
      </w:r>
      <w:proofErr w:type="gramEnd"/>
      <w:r w:rsidRPr="00036700">
        <w:t xml:space="preserve"> SVR data from NEUTRINO (33/34) and from Group1 in Wehm</w:t>
      </w:r>
      <w:r w:rsidR="00571855" w:rsidRPr="00036700">
        <w:t>e</w:t>
      </w:r>
      <w:r w:rsidRPr="00036700">
        <w:t>yer 2015 (11/11)</w:t>
      </w:r>
    </w:p>
    <w:p w:rsidR="00730551" w:rsidRPr="00036700" w:rsidRDefault="00730551" w:rsidP="00277A70">
      <w:pPr>
        <w:pStyle w:val="TableFooter"/>
        <w:widowControl/>
        <w:ind w:left="737"/>
      </w:pPr>
      <w:proofErr w:type="gramStart"/>
      <w:r w:rsidRPr="00036700">
        <w:rPr>
          <w:vertAlign w:val="superscript"/>
        </w:rPr>
        <w:t>d</w:t>
      </w:r>
      <w:proofErr w:type="gramEnd"/>
      <w:r w:rsidRPr="00036700">
        <w:t xml:space="preserve"> Data on SVR12 rates stratified by cirrhotic status are not available for genotypes 4 and 6 patients in the two SOF+PR studies.</w:t>
      </w:r>
    </w:p>
    <w:p w:rsidR="00730551" w:rsidRPr="00036700" w:rsidRDefault="00730551" w:rsidP="00277A70">
      <w:pPr>
        <w:pStyle w:val="TableFooter"/>
        <w:widowControl/>
        <w:ind w:left="737"/>
      </w:pPr>
      <w:proofErr w:type="gramStart"/>
      <w:r w:rsidRPr="00036700">
        <w:rPr>
          <w:vertAlign w:val="superscript"/>
        </w:rPr>
        <w:t>e</w:t>
      </w:r>
      <w:proofErr w:type="gramEnd"/>
      <w:r w:rsidRPr="00036700">
        <w:t xml:space="preserve"> SVR data from Group 1 in C-EDGE TN. </w:t>
      </w:r>
    </w:p>
    <w:p w:rsidR="00730551" w:rsidRPr="00036700" w:rsidRDefault="00730551" w:rsidP="00277A70">
      <w:pPr>
        <w:pStyle w:val="TableFooter"/>
        <w:widowControl/>
        <w:ind w:left="737"/>
      </w:pPr>
      <w:proofErr w:type="gramStart"/>
      <w:r w:rsidRPr="00036700">
        <w:rPr>
          <w:vertAlign w:val="superscript"/>
        </w:rPr>
        <w:t>f</w:t>
      </w:r>
      <w:proofErr w:type="gramEnd"/>
      <w:r w:rsidRPr="00036700">
        <w:rPr>
          <w:vertAlign w:val="superscript"/>
        </w:rPr>
        <w:t xml:space="preserve"> </w:t>
      </w:r>
      <w:r w:rsidRPr="00036700">
        <w:t>GRZ/EBR12 is recommended for genotype 4 or 6 relapsers. GRZ/EBR16+RBV16 is recommended for genotype 4 or 6 on-treatment virologic failures</w:t>
      </w:r>
    </w:p>
    <w:p w:rsidR="00730551" w:rsidRPr="00036700" w:rsidRDefault="00730551" w:rsidP="00277A70">
      <w:pPr>
        <w:pStyle w:val="TableFooter"/>
        <w:widowControl/>
        <w:ind w:left="737"/>
      </w:pPr>
      <w:proofErr w:type="gramStart"/>
      <w:r w:rsidRPr="00036700">
        <w:rPr>
          <w:vertAlign w:val="superscript"/>
        </w:rPr>
        <w:t>g</w:t>
      </w:r>
      <w:proofErr w:type="gramEnd"/>
      <w:r w:rsidRPr="00036700">
        <w:t xml:space="preserve"> SVR data from Group 4 in C-EDGE TE </w:t>
      </w:r>
    </w:p>
    <w:p w:rsidR="00730551" w:rsidRPr="00036700" w:rsidRDefault="00730551" w:rsidP="00277A70">
      <w:pPr>
        <w:pStyle w:val="TableFooter"/>
        <w:widowControl/>
        <w:ind w:left="737"/>
      </w:pPr>
      <w:proofErr w:type="gramStart"/>
      <w:r w:rsidRPr="00036700">
        <w:rPr>
          <w:vertAlign w:val="superscript"/>
        </w:rPr>
        <w:t>h</w:t>
      </w:r>
      <w:proofErr w:type="gramEnd"/>
      <w:r w:rsidRPr="00036700">
        <w:t xml:space="preserve"> SVR data from Groups 1 </w:t>
      </w:r>
      <w:r w:rsidR="002A0C77" w:rsidRPr="00036700">
        <w:t>and 4 in C-EDGE TE</w:t>
      </w:r>
    </w:p>
    <w:p w:rsidR="00730551" w:rsidRPr="00036700" w:rsidRDefault="00730551" w:rsidP="00277A70">
      <w:pPr>
        <w:pStyle w:val="TableFooter"/>
        <w:widowControl/>
        <w:ind w:left="737"/>
      </w:pPr>
      <w:r w:rsidRPr="00036700">
        <w:t>Source: Table complied during the evaluation</w:t>
      </w:r>
    </w:p>
    <w:p w:rsidR="00837BF7" w:rsidRPr="00036700" w:rsidRDefault="00837BF7" w:rsidP="00277A70">
      <w:pPr>
        <w:pStyle w:val="ListParagraph"/>
        <w:widowControl/>
        <w:rPr>
          <w:i/>
          <w:szCs w:val="22"/>
        </w:rPr>
      </w:pPr>
    </w:p>
    <w:p w:rsidR="00B53157" w:rsidRPr="00036700" w:rsidRDefault="00837BF7" w:rsidP="00D9008B">
      <w:pPr>
        <w:pStyle w:val="ListParagraph"/>
        <w:widowControl/>
        <w:numPr>
          <w:ilvl w:val="1"/>
          <w:numId w:val="1"/>
        </w:numPr>
        <w:rPr>
          <w:szCs w:val="22"/>
        </w:rPr>
      </w:pPr>
      <w:r w:rsidRPr="00036700">
        <w:rPr>
          <w:szCs w:val="22"/>
        </w:rPr>
        <w:t xml:space="preserve">Adjustment </w:t>
      </w:r>
      <w:r w:rsidR="00774D9A" w:rsidRPr="00036700">
        <w:rPr>
          <w:szCs w:val="22"/>
        </w:rPr>
        <w:t xml:space="preserve">for population baseline risk </w:t>
      </w:r>
      <w:r w:rsidRPr="00036700">
        <w:rPr>
          <w:szCs w:val="22"/>
        </w:rPr>
        <w:t>could not be undertaken due to the lack of a control arm/common reference in the</w:t>
      </w:r>
      <w:r w:rsidR="00774D9A" w:rsidRPr="00036700">
        <w:rPr>
          <w:szCs w:val="22"/>
        </w:rPr>
        <w:t>se</w:t>
      </w:r>
      <w:r w:rsidRPr="00036700">
        <w:rPr>
          <w:szCs w:val="22"/>
        </w:rPr>
        <w:t xml:space="preserve"> studies. </w:t>
      </w:r>
      <w:r w:rsidR="0089377B" w:rsidRPr="00036700">
        <w:t>The</w:t>
      </w:r>
      <w:r w:rsidR="00246A51" w:rsidRPr="00036700">
        <w:t xml:space="preserve"> evaluation considered that the</w:t>
      </w:r>
      <w:r w:rsidR="0089377B" w:rsidRPr="00036700">
        <w:t xml:space="preserve"> r</w:t>
      </w:r>
      <w:r w:rsidR="007926A2" w:rsidRPr="00036700">
        <w:t>esults of</w:t>
      </w:r>
      <w:r w:rsidR="00774D9A" w:rsidRPr="00036700">
        <w:t xml:space="preserve"> the</w:t>
      </w:r>
      <w:r w:rsidR="007926A2" w:rsidRPr="00036700">
        <w:t xml:space="preserve"> indirect comparison</w:t>
      </w:r>
      <w:r w:rsidR="0089377B" w:rsidRPr="00036700">
        <w:t>s</w:t>
      </w:r>
      <w:r w:rsidR="007926A2" w:rsidRPr="00036700">
        <w:t xml:space="preserve"> between </w:t>
      </w:r>
      <w:r w:rsidR="00774D9A" w:rsidRPr="00036700">
        <w:t xml:space="preserve">GRZ/EBR therapies and the other </w:t>
      </w:r>
      <w:r w:rsidR="007926A2" w:rsidRPr="00036700">
        <w:t xml:space="preserve">active </w:t>
      </w:r>
      <w:r w:rsidR="00401BA4" w:rsidRPr="00036700">
        <w:t>CHC</w:t>
      </w:r>
      <w:r w:rsidR="007926A2" w:rsidRPr="00036700">
        <w:t xml:space="preserve"> treatments are</w:t>
      </w:r>
      <w:r w:rsidRPr="00036700">
        <w:rPr>
          <w:i/>
        </w:rPr>
        <w:t xml:space="preserve"> </w:t>
      </w:r>
      <w:r w:rsidRPr="00036700">
        <w:t>highly uncertain due to exchangeability concerns</w:t>
      </w:r>
      <w:r w:rsidR="007926A2" w:rsidRPr="00036700">
        <w:t xml:space="preserve">. </w:t>
      </w:r>
      <w:r w:rsidR="00DD37AA" w:rsidRPr="00036700">
        <w:t xml:space="preserve">However, as </w:t>
      </w:r>
      <w:r w:rsidR="00DD37AA" w:rsidRPr="00036700">
        <w:lastRenderedPageBreak/>
        <w:t>the SVR rates are presented in subgroups that represent the main influencers of treatment success (cirrhotic status and treatment experience)</w:t>
      </w:r>
      <w:proofErr w:type="gramStart"/>
      <w:r w:rsidR="00DD37AA" w:rsidRPr="00036700">
        <w:t>,</w:t>
      </w:r>
      <w:proofErr w:type="gramEnd"/>
      <w:r w:rsidR="00DD37AA" w:rsidRPr="00036700">
        <w:t xml:space="preserve"> some of the confounding that may </w:t>
      </w:r>
      <w:r w:rsidR="00774D9A" w:rsidRPr="00036700">
        <w:t xml:space="preserve">influence study population exchangeability </w:t>
      </w:r>
      <w:r w:rsidR="00DD37AA" w:rsidRPr="00036700">
        <w:t>in an indirect comparison has been controlled for.</w:t>
      </w:r>
    </w:p>
    <w:p w:rsidR="003A04BB" w:rsidRPr="00036700" w:rsidRDefault="003A04BB" w:rsidP="004500A1"/>
    <w:p w:rsidR="00C976AB" w:rsidRPr="00036700" w:rsidRDefault="00C976AB" w:rsidP="00D9008B">
      <w:pPr>
        <w:pStyle w:val="ListParagraph"/>
        <w:widowControl/>
        <w:numPr>
          <w:ilvl w:val="1"/>
          <w:numId w:val="1"/>
        </w:numPr>
        <w:rPr>
          <w:szCs w:val="22"/>
        </w:rPr>
      </w:pPr>
      <w:r w:rsidRPr="00036700">
        <w:t>The ESC noted that no direct comparisons with active comparators were presented in the submission, but considered that GRZ/EBR had a similar evidence base to other agents.</w:t>
      </w:r>
    </w:p>
    <w:p w:rsidR="00B53157" w:rsidRPr="00036700" w:rsidRDefault="00B53157" w:rsidP="00277A70">
      <w:pPr>
        <w:pStyle w:val="ListParagraph"/>
        <w:widowControl/>
        <w:rPr>
          <w:szCs w:val="22"/>
        </w:rPr>
      </w:pPr>
    </w:p>
    <w:p w:rsidR="007926A2" w:rsidRPr="00036700" w:rsidRDefault="00340B06" w:rsidP="00D9008B">
      <w:pPr>
        <w:pStyle w:val="ListParagraph"/>
        <w:widowControl/>
        <w:numPr>
          <w:ilvl w:val="1"/>
          <w:numId w:val="1"/>
        </w:numPr>
        <w:rPr>
          <w:szCs w:val="22"/>
        </w:rPr>
      </w:pPr>
      <w:r w:rsidRPr="00036700">
        <w:t>T</w:t>
      </w:r>
      <w:r w:rsidR="007926A2" w:rsidRPr="00036700">
        <w:t xml:space="preserve">he SVR12 rates with GRZ/EBR±RBV were consistently high across all genotype 1 subgroups and </w:t>
      </w:r>
      <w:r w:rsidR="00C776AE" w:rsidRPr="00036700">
        <w:t xml:space="preserve">appeared </w:t>
      </w:r>
      <w:r w:rsidRPr="00036700">
        <w:t>non-inferior to</w:t>
      </w:r>
      <w:r w:rsidR="007926A2" w:rsidRPr="00036700">
        <w:t xml:space="preserve"> those </w:t>
      </w:r>
      <w:r w:rsidRPr="00036700">
        <w:t xml:space="preserve">of LDV/SOF. </w:t>
      </w:r>
    </w:p>
    <w:p w:rsidR="00C5358E" w:rsidRPr="00036700" w:rsidRDefault="00C5358E" w:rsidP="00277A70">
      <w:pPr>
        <w:pStyle w:val="ListParagraph"/>
        <w:widowControl/>
        <w:rPr>
          <w:szCs w:val="22"/>
        </w:rPr>
      </w:pPr>
    </w:p>
    <w:p w:rsidR="0053662B" w:rsidRPr="00036700" w:rsidRDefault="0053662B" w:rsidP="00D9008B">
      <w:pPr>
        <w:pStyle w:val="ListParagraph"/>
        <w:widowControl/>
        <w:numPr>
          <w:ilvl w:val="1"/>
          <w:numId w:val="1"/>
        </w:numPr>
        <w:rPr>
          <w:szCs w:val="22"/>
        </w:rPr>
      </w:pPr>
      <w:r w:rsidRPr="00036700">
        <w:rPr>
          <w:szCs w:val="22"/>
        </w:rPr>
        <w:t xml:space="preserve">The SVR rate with GRZ/EBR12 in genotype 4 or 6 </w:t>
      </w:r>
      <w:r w:rsidR="009B68E4" w:rsidRPr="00036700">
        <w:rPr>
          <w:szCs w:val="22"/>
        </w:rPr>
        <w:t xml:space="preserve">treatment-naïve, </w:t>
      </w:r>
      <w:r w:rsidRPr="00036700">
        <w:rPr>
          <w:szCs w:val="22"/>
        </w:rPr>
        <w:t>non-cirrhotic patients w</w:t>
      </w:r>
      <w:r w:rsidR="00F55B64" w:rsidRPr="00036700">
        <w:rPr>
          <w:szCs w:val="22"/>
        </w:rPr>
        <w:t>as</w:t>
      </w:r>
      <w:r w:rsidRPr="00036700">
        <w:rPr>
          <w:szCs w:val="22"/>
        </w:rPr>
        <w:t xml:space="preserve"> numerically lower than the comparator arm</w:t>
      </w:r>
      <w:r w:rsidR="00F55B64" w:rsidRPr="00036700">
        <w:rPr>
          <w:szCs w:val="22"/>
        </w:rPr>
        <w:t xml:space="preserve"> (90.4% </w:t>
      </w:r>
      <w:r w:rsidR="00EB7243" w:rsidRPr="00036700">
        <w:rPr>
          <w:szCs w:val="22"/>
        </w:rPr>
        <w:t>[</w:t>
      </w:r>
      <w:r w:rsidR="00DA53F8" w:rsidRPr="00036700">
        <w:rPr>
          <w:szCs w:val="22"/>
        </w:rPr>
        <w:t xml:space="preserve">78.4%, 98.4%] </w:t>
      </w:r>
      <w:r w:rsidR="00F55B64" w:rsidRPr="00036700">
        <w:rPr>
          <w:szCs w:val="22"/>
        </w:rPr>
        <w:t xml:space="preserve">in non-cirrhotic </w:t>
      </w:r>
      <w:proofErr w:type="gramStart"/>
      <w:r w:rsidR="00F55B64" w:rsidRPr="00036700">
        <w:rPr>
          <w:szCs w:val="22"/>
        </w:rPr>
        <w:t>patients</w:t>
      </w:r>
      <w:proofErr w:type="gramEnd"/>
      <w:r w:rsidR="00F55B64" w:rsidRPr="00036700">
        <w:rPr>
          <w:szCs w:val="22"/>
        </w:rPr>
        <w:t xml:space="preserve"> vs 98.6% </w:t>
      </w:r>
      <w:r w:rsidR="00DA53F8" w:rsidRPr="00036700">
        <w:rPr>
          <w:szCs w:val="22"/>
        </w:rPr>
        <w:t>[</w:t>
      </w:r>
      <w:r w:rsidR="00EB7243" w:rsidRPr="00036700">
        <w:rPr>
          <w:szCs w:val="22"/>
        </w:rPr>
        <w:t xml:space="preserve">91.4%, 100%] </w:t>
      </w:r>
      <w:r w:rsidR="00F55B64" w:rsidRPr="00036700">
        <w:rPr>
          <w:szCs w:val="22"/>
        </w:rPr>
        <w:t>in a mixed non-cirrhotic and cirrhotic population)</w:t>
      </w:r>
      <w:r w:rsidRPr="00036700">
        <w:rPr>
          <w:szCs w:val="22"/>
        </w:rPr>
        <w:t xml:space="preserve">. </w:t>
      </w:r>
      <w:r w:rsidR="00DA53F8" w:rsidRPr="00036700">
        <w:rPr>
          <w:szCs w:val="22"/>
        </w:rPr>
        <w:t>The wide confidence intervals indicate that the subgroup</w:t>
      </w:r>
      <w:r w:rsidR="00EB7243" w:rsidRPr="00036700">
        <w:rPr>
          <w:szCs w:val="22"/>
        </w:rPr>
        <w:t>s</w:t>
      </w:r>
      <w:r w:rsidR="00DA53F8" w:rsidRPr="00036700">
        <w:rPr>
          <w:szCs w:val="22"/>
        </w:rPr>
        <w:t xml:space="preserve"> were statistically underpowered. This, in addition to the exchangeability concerns, </w:t>
      </w:r>
      <w:r w:rsidR="003D0031" w:rsidRPr="00036700">
        <w:rPr>
          <w:szCs w:val="22"/>
        </w:rPr>
        <w:t>suggest</w:t>
      </w:r>
      <w:r w:rsidR="00DA53F8" w:rsidRPr="00036700">
        <w:rPr>
          <w:szCs w:val="22"/>
        </w:rPr>
        <w:t xml:space="preserve">s </w:t>
      </w:r>
      <w:r w:rsidR="003D0031" w:rsidRPr="00036700">
        <w:rPr>
          <w:szCs w:val="22"/>
        </w:rPr>
        <w:t xml:space="preserve">that </w:t>
      </w:r>
      <w:r w:rsidR="00DA53F8" w:rsidRPr="00036700">
        <w:rPr>
          <w:szCs w:val="22"/>
        </w:rPr>
        <w:t>it is not possible to reliably determine the comparative eff</w:t>
      </w:r>
      <w:r w:rsidR="00EB7243" w:rsidRPr="00036700">
        <w:rPr>
          <w:szCs w:val="22"/>
        </w:rPr>
        <w:t>i</w:t>
      </w:r>
      <w:r w:rsidR="00DA53F8" w:rsidRPr="00036700">
        <w:rPr>
          <w:szCs w:val="22"/>
        </w:rPr>
        <w:t>cacy of GRZ/EBR versus SOF+PR</w:t>
      </w:r>
      <w:r w:rsidR="00F3670F" w:rsidRPr="00036700">
        <w:rPr>
          <w:szCs w:val="22"/>
        </w:rPr>
        <w:t xml:space="preserve"> in genotype 4 or 6 treatment-naïve, non-cirrhotic patients</w:t>
      </w:r>
      <w:r w:rsidR="00DA53F8" w:rsidRPr="00036700">
        <w:rPr>
          <w:szCs w:val="22"/>
        </w:rPr>
        <w:t xml:space="preserve">. </w:t>
      </w:r>
    </w:p>
    <w:p w:rsidR="0053662B" w:rsidRPr="00036700" w:rsidRDefault="0053662B" w:rsidP="00277A70">
      <w:pPr>
        <w:pStyle w:val="ListParagraph"/>
        <w:widowControl/>
        <w:rPr>
          <w:szCs w:val="22"/>
        </w:rPr>
      </w:pPr>
    </w:p>
    <w:p w:rsidR="007926A2" w:rsidRPr="00036700" w:rsidRDefault="00C5358E" w:rsidP="00D9008B">
      <w:pPr>
        <w:pStyle w:val="ListParagraph"/>
        <w:widowControl/>
        <w:numPr>
          <w:ilvl w:val="1"/>
          <w:numId w:val="1"/>
        </w:numPr>
        <w:rPr>
          <w:szCs w:val="22"/>
        </w:rPr>
      </w:pPr>
      <w:r w:rsidRPr="00036700">
        <w:rPr>
          <w:szCs w:val="22"/>
        </w:rPr>
        <w:t xml:space="preserve">Limited </w:t>
      </w:r>
      <w:r w:rsidR="0095256B" w:rsidRPr="00036700">
        <w:rPr>
          <w:szCs w:val="22"/>
        </w:rPr>
        <w:t xml:space="preserve">clinical data were available </w:t>
      </w:r>
      <w:r w:rsidR="00CE0F0D" w:rsidRPr="00036700">
        <w:rPr>
          <w:szCs w:val="22"/>
        </w:rPr>
        <w:t>on patients receiving</w:t>
      </w:r>
      <w:r w:rsidR="0095256B" w:rsidRPr="00036700">
        <w:rPr>
          <w:szCs w:val="22"/>
        </w:rPr>
        <w:t xml:space="preserve"> GRZ/EBR±RBV</w:t>
      </w:r>
      <w:r w:rsidR="00F55B64" w:rsidRPr="00036700">
        <w:rPr>
          <w:szCs w:val="22"/>
        </w:rPr>
        <w:t xml:space="preserve"> or SOF in genotype 3 treatment-naïve patients (n=</w:t>
      </w:r>
      <w:r w:rsidR="005E729D" w:rsidRPr="00036700">
        <w:rPr>
          <w:szCs w:val="22"/>
        </w:rPr>
        <w:t>26</w:t>
      </w:r>
      <w:r w:rsidR="00F55B64" w:rsidRPr="00036700">
        <w:rPr>
          <w:szCs w:val="22"/>
        </w:rPr>
        <w:t>),</w:t>
      </w:r>
      <w:r w:rsidR="0095256B" w:rsidRPr="00036700">
        <w:rPr>
          <w:szCs w:val="22"/>
        </w:rPr>
        <w:t xml:space="preserve"> in genotype 4 or 6 treatment-naïve cirrhotic patients (n=</w:t>
      </w:r>
      <w:r w:rsidR="00F55B64" w:rsidRPr="00036700">
        <w:rPr>
          <w:szCs w:val="22"/>
        </w:rPr>
        <w:t>2</w:t>
      </w:r>
      <w:r w:rsidR="0095256B" w:rsidRPr="00036700">
        <w:rPr>
          <w:szCs w:val="22"/>
        </w:rPr>
        <w:t xml:space="preserve">) and </w:t>
      </w:r>
      <w:r w:rsidR="00F55B64" w:rsidRPr="00036700">
        <w:rPr>
          <w:szCs w:val="22"/>
        </w:rPr>
        <w:t xml:space="preserve">in genotype 4 or 6 </w:t>
      </w:r>
      <w:r w:rsidR="0095256B" w:rsidRPr="00036700">
        <w:rPr>
          <w:szCs w:val="22"/>
        </w:rPr>
        <w:t>treatment-experienced patients (n=</w:t>
      </w:r>
      <w:r w:rsidR="00F55B64" w:rsidRPr="00036700">
        <w:rPr>
          <w:szCs w:val="22"/>
        </w:rPr>
        <w:t>7</w:t>
      </w:r>
      <w:r w:rsidR="0095256B" w:rsidRPr="00036700">
        <w:rPr>
          <w:szCs w:val="22"/>
        </w:rPr>
        <w:t xml:space="preserve">). </w:t>
      </w:r>
    </w:p>
    <w:p w:rsidR="008F3F39" w:rsidRPr="00036700" w:rsidRDefault="008F3F39" w:rsidP="00277A70">
      <w:pPr>
        <w:pStyle w:val="ListParagraph"/>
        <w:widowControl/>
        <w:rPr>
          <w:szCs w:val="22"/>
        </w:rPr>
      </w:pPr>
    </w:p>
    <w:p w:rsidR="008F3F39" w:rsidRPr="00036700" w:rsidRDefault="008F3F39" w:rsidP="00D9008B">
      <w:pPr>
        <w:pStyle w:val="ListParagraph"/>
        <w:widowControl/>
        <w:numPr>
          <w:ilvl w:val="1"/>
          <w:numId w:val="1"/>
        </w:numPr>
        <w:rPr>
          <w:szCs w:val="22"/>
        </w:rPr>
      </w:pPr>
      <w:r w:rsidRPr="00036700">
        <w:rPr>
          <w:szCs w:val="22"/>
        </w:rPr>
        <w:t>The</w:t>
      </w:r>
      <w:r w:rsidR="001732DF" w:rsidRPr="00036700">
        <w:rPr>
          <w:szCs w:val="22"/>
        </w:rPr>
        <w:t xml:space="preserve"> PSCR (p.3)</w:t>
      </w:r>
      <w:r w:rsidRPr="00036700">
        <w:rPr>
          <w:szCs w:val="22"/>
        </w:rPr>
        <w:t xml:space="preserve"> argued that despite the limited clinical data for genotypes 4 and 6, patient populations are small</w:t>
      </w:r>
      <w:r w:rsidR="0027501A" w:rsidRPr="00036700">
        <w:rPr>
          <w:szCs w:val="22"/>
        </w:rPr>
        <w:t xml:space="preserve"> and recommending GRZ/EBR for genotypes 4 and 6 would enable patients to access interferon free treatment on the PBS.</w:t>
      </w:r>
      <w:r w:rsidR="00C976AB" w:rsidRPr="00036700">
        <w:t xml:space="preserve"> </w:t>
      </w:r>
      <w:r w:rsidR="00C976AB" w:rsidRPr="00036700">
        <w:rPr>
          <w:szCs w:val="22"/>
        </w:rPr>
        <w:t xml:space="preserve">The ESC </w:t>
      </w:r>
      <w:r w:rsidR="00941D91" w:rsidRPr="00036700">
        <w:rPr>
          <w:szCs w:val="22"/>
        </w:rPr>
        <w:t>considered</w:t>
      </w:r>
      <w:r w:rsidR="00C976AB" w:rsidRPr="00036700">
        <w:rPr>
          <w:szCs w:val="22"/>
        </w:rPr>
        <w:t xml:space="preserve"> </w:t>
      </w:r>
      <w:r w:rsidR="00941D91" w:rsidRPr="00036700">
        <w:rPr>
          <w:szCs w:val="22"/>
        </w:rPr>
        <w:t>there was limited data for genotypes 3, 4 and 6, however acknowledged the small patient populations in these groups created barriers to additional data collection.</w:t>
      </w:r>
    </w:p>
    <w:p w:rsidR="00F55B64" w:rsidRPr="00036700" w:rsidRDefault="00F55B64" w:rsidP="00277A70">
      <w:pPr>
        <w:pStyle w:val="ListParagraph"/>
        <w:widowControl/>
        <w:rPr>
          <w:szCs w:val="22"/>
        </w:rPr>
      </w:pPr>
    </w:p>
    <w:p w:rsidR="00E70A74" w:rsidRPr="00036700" w:rsidRDefault="003B2650" w:rsidP="00D9008B">
      <w:pPr>
        <w:pStyle w:val="ListParagraph"/>
        <w:widowControl/>
        <w:numPr>
          <w:ilvl w:val="1"/>
          <w:numId w:val="1"/>
        </w:numPr>
        <w:rPr>
          <w:szCs w:val="22"/>
        </w:rPr>
      </w:pPr>
      <w:r w:rsidRPr="00036700">
        <w:rPr>
          <w:szCs w:val="22"/>
        </w:rPr>
        <w:t xml:space="preserve">SVR rates in patients who had failed prior protease inhibitor therapy were comparable between the GRZ/EBR study (96.2% (76/79) in C-SALVAGE) and the LDV/SOF studies (93.9% (62/22) in ION-2 and 94.7% (18/19) in LONESTAR). </w:t>
      </w:r>
      <w:r w:rsidR="00AA3757" w:rsidRPr="00036700">
        <w:rPr>
          <w:szCs w:val="22"/>
        </w:rPr>
        <w:t xml:space="preserve">Any interpretation of the results should consider the exchangeability concerns </w:t>
      </w:r>
      <w:r w:rsidR="00E70A74" w:rsidRPr="00036700">
        <w:rPr>
          <w:szCs w:val="22"/>
        </w:rPr>
        <w:t>raised previously, along with the fact that the</w:t>
      </w:r>
      <w:r w:rsidR="00AA3757" w:rsidRPr="00036700">
        <w:rPr>
          <w:szCs w:val="22"/>
        </w:rPr>
        <w:t xml:space="preserve"> treatment regimen in C-SALVAGE</w:t>
      </w:r>
      <w:r w:rsidR="00E70A74" w:rsidRPr="00036700">
        <w:rPr>
          <w:szCs w:val="22"/>
        </w:rPr>
        <w:t xml:space="preserve"> (GRZ/EBR12+RBV12) is not recommended</w:t>
      </w:r>
      <w:r w:rsidR="008815FD" w:rsidRPr="00036700">
        <w:rPr>
          <w:szCs w:val="22"/>
        </w:rPr>
        <w:t xml:space="preserve"> by the draft PI</w:t>
      </w:r>
      <w:r w:rsidR="00DD288D" w:rsidRPr="00036700">
        <w:rPr>
          <w:szCs w:val="22"/>
        </w:rPr>
        <w:t xml:space="preserve">. </w:t>
      </w:r>
    </w:p>
    <w:p w:rsidR="00D776A4" w:rsidRPr="00036700" w:rsidRDefault="00D776A4" w:rsidP="00277A70">
      <w:pPr>
        <w:pStyle w:val="ListParagraph"/>
        <w:widowControl/>
        <w:rPr>
          <w:szCs w:val="22"/>
        </w:rPr>
      </w:pPr>
    </w:p>
    <w:p w:rsidR="00F55B64" w:rsidRPr="00036700" w:rsidRDefault="00E70A74" w:rsidP="00D9008B">
      <w:pPr>
        <w:pStyle w:val="ListParagraph"/>
        <w:widowControl/>
        <w:numPr>
          <w:ilvl w:val="1"/>
          <w:numId w:val="1"/>
        </w:numPr>
        <w:rPr>
          <w:szCs w:val="22"/>
        </w:rPr>
      </w:pPr>
      <w:r w:rsidRPr="00036700">
        <w:rPr>
          <w:szCs w:val="22"/>
        </w:rPr>
        <w:t>I</w:t>
      </w:r>
      <w:r w:rsidR="00F55B64" w:rsidRPr="00036700">
        <w:rPr>
          <w:szCs w:val="22"/>
        </w:rPr>
        <w:t xml:space="preserve">t is </w:t>
      </w:r>
      <w:r w:rsidRPr="00036700">
        <w:rPr>
          <w:szCs w:val="22"/>
        </w:rPr>
        <w:t xml:space="preserve">not possible </w:t>
      </w:r>
      <w:r w:rsidR="00F55B64" w:rsidRPr="00036700">
        <w:rPr>
          <w:szCs w:val="22"/>
        </w:rPr>
        <w:t xml:space="preserve">to make a comparison of SVR results in patients infected with viruses harbouring RAVs between GRZ/EBR and LDV/SOF, </w:t>
      </w:r>
      <w:r w:rsidR="00422D91" w:rsidRPr="00036700">
        <w:rPr>
          <w:szCs w:val="22"/>
        </w:rPr>
        <w:t xml:space="preserve">due to the lack of relevant data for </w:t>
      </w:r>
      <w:r w:rsidRPr="00036700">
        <w:rPr>
          <w:szCs w:val="22"/>
        </w:rPr>
        <w:t xml:space="preserve">patients receiving </w:t>
      </w:r>
      <w:r w:rsidR="00422D91" w:rsidRPr="00036700">
        <w:rPr>
          <w:szCs w:val="22"/>
        </w:rPr>
        <w:t xml:space="preserve">LDV/SOF. </w:t>
      </w:r>
    </w:p>
    <w:p w:rsidR="00B60939" w:rsidRPr="00036700" w:rsidRDefault="00B60939" w:rsidP="00277A70">
      <w:pPr>
        <w:widowControl/>
        <w:rPr>
          <w:i/>
          <w:szCs w:val="22"/>
        </w:rPr>
      </w:pPr>
    </w:p>
    <w:p w:rsidR="00B60939" w:rsidRPr="005E5DEF" w:rsidRDefault="00B60939" w:rsidP="00277A70">
      <w:pPr>
        <w:pStyle w:val="Heading2"/>
        <w:widowControl/>
        <w:rPr>
          <w:i/>
        </w:rPr>
      </w:pPr>
      <w:bookmarkStart w:id="10" w:name="_Toc440963731"/>
      <w:r w:rsidRPr="005E5DEF">
        <w:rPr>
          <w:i/>
        </w:rPr>
        <w:t>Comparative harms</w:t>
      </w:r>
      <w:bookmarkEnd w:id="10"/>
    </w:p>
    <w:p w:rsidR="00B60939" w:rsidRPr="00036700" w:rsidRDefault="00B60939" w:rsidP="00277A70">
      <w:pPr>
        <w:widowControl/>
        <w:ind w:left="720" w:hanging="720"/>
        <w:rPr>
          <w:szCs w:val="22"/>
        </w:rPr>
      </w:pPr>
    </w:p>
    <w:p w:rsidR="00B60939" w:rsidRPr="00036700" w:rsidRDefault="0095256B" w:rsidP="00D9008B">
      <w:pPr>
        <w:pStyle w:val="ListParagraph"/>
        <w:widowControl/>
        <w:numPr>
          <w:ilvl w:val="1"/>
          <w:numId w:val="1"/>
        </w:numPr>
        <w:rPr>
          <w:szCs w:val="22"/>
        </w:rPr>
      </w:pPr>
      <w:r w:rsidRPr="00036700">
        <w:t xml:space="preserve">The safety data of GRZ/EBR from the placebo-controlled trial of C-EDGE TN are summarised </w:t>
      </w:r>
      <w:r w:rsidR="00F74FB1" w:rsidRPr="00036700">
        <w:t xml:space="preserve">in Table </w:t>
      </w:r>
      <w:r w:rsidR="00047804">
        <w:t>7</w:t>
      </w:r>
      <w:r w:rsidRPr="00036700">
        <w:t xml:space="preserve">. </w:t>
      </w:r>
    </w:p>
    <w:p w:rsidR="006D3837" w:rsidRPr="00036700" w:rsidRDefault="006D3837" w:rsidP="00277A70">
      <w:pPr>
        <w:widowControl/>
        <w:jc w:val="left"/>
        <w:rPr>
          <w:rFonts w:ascii="Arial Narrow" w:hAnsi="Arial Narrow"/>
          <w:b/>
          <w:sz w:val="20"/>
        </w:rPr>
      </w:pPr>
    </w:p>
    <w:p w:rsidR="00891A0A" w:rsidRPr="00036700" w:rsidRDefault="00891A0A" w:rsidP="00277A70">
      <w:pPr>
        <w:pStyle w:val="TableHeader"/>
        <w:widowControl/>
        <w:ind w:left="737"/>
      </w:pPr>
      <w:r w:rsidRPr="00036700">
        <w:lastRenderedPageBreak/>
        <w:t xml:space="preserve">Table </w:t>
      </w:r>
      <w:r w:rsidR="00047804">
        <w:t>7</w:t>
      </w:r>
      <w:r w:rsidRPr="00036700">
        <w:t xml:space="preserve">: Summary of AEs reported in C-EDGE TN </w:t>
      </w:r>
    </w:p>
    <w:tbl>
      <w:tblPr>
        <w:tblW w:w="464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1421"/>
        <w:gridCol w:w="1415"/>
        <w:gridCol w:w="1839"/>
        <w:gridCol w:w="1556"/>
      </w:tblGrid>
      <w:tr w:rsidR="00755402" w:rsidRPr="00036700" w:rsidTr="008B6C92">
        <w:tc>
          <w:tcPr>
            <w:tcW w:w="1368" w:type="pct"/>
            <w:tcBorders>
              <w:top w:val="single" w:sz="4" w:space="0" w:color="auto"/>
              <w:left w:val="single" w:sz="4" w:space="0" w:color="auto"/>
              <w:bottom w:val="single" w:sz="4" w:space="0" w:color="auto"/>
              <w:right w:val="single" w:sz="4" w:space="0" w:color="auto"/>
            </w:tcBorders>
            <w:vAlign w:val="center"/>
            <w:hideMark/>
          </w:tcPr>
          <w:p w:rsidR="00755402" w:rsidRPr="00036700" w:rsidRDefault="00755402" w:rsidP="00277A70">
            <w:pPr>
              <w:keepNext/>
              <w:widowControl/>
              <w:rPr>
                <w:rFonts w:ascii="Arial Narrow" w:hAnsi="Arial Narrow"/>
                <w:b/>
                <w:sz w:val="20"/>
                <w:lang w:eastAsia="en-AU"/>
              </w:rPr>
            </w:pPr>
          </w:p>
        </w:tc>
        <w:tc>
          <w:tcPr>
            <w:tcW w:w="828" w:type="pct"/>
            <w:tcBorders>
              <w:top w:val="single" w:sz="4" w:space="0" w:color="auto"/>
              <w:left w:val="single" w:sz="4" w:space="0" w:color="auto"/>
              <w:bottom w:val="single" w:sz="4" w:space="0" w:color="auto"/>
              <w:right w:val="single" w:sz="4" w:space="0" w:color="auto"/>
            </w:tcBorders>
            <w:vAlign w:val="center"/>
            <w:hideMark/>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b/>
                <w:sz w:val="20"/>
                <w:lang w:eastAsia="en-AU"/>
              </w:rPr>
              <w:t>GRZ/EBR12</w:t>
            </w:r>
          </w:p>
          <w:p w:rsidR="00755402" w:rsidRPr="00036700" w:rsidRDefault="00755402" w:rsidP="00277A70">
            <w:pPr>
              <w:keepNext/>
              <w:widowControl/>
              <w:jc w:val="center"/>
              <w:rPr>
                <w:rFonts w:ascii="Arial Narrow" w:hAnsi="Arial Narrow"/>
                <w:b/>
                <w:sz w:val="20"/>
                <w:lang w:eastAsia="en-AU"/>
              </w:rPr>
            </w:pPr>
            <w:proofErr w:type="gramStart"/>
            <w:r w:rsidRPr="00036700">
              <w:rPr>
                <w:rFonts w:ascii="Arial Narrow" w:hAnsi="Arial Narrow"/>
                <w:b/>
                <w:sz w:val="20"/>
                <w:lang w:eastAsia="en-AU"/>
              </w:rPr>
              <w:t>n</w:t>
            </w:r>
            <w:proofErr w:type="gramEnd"/>
            <w:r w:rsidRPr="00036700">
              <w:rPr>
                <w:rFonts w:ascii="Arial Narrow" w:hAnsi="Arial Narrow"/>
                <w:b/>
                <w:sz w:val="20"/>
                <w:lang w:eastAsia="en-AU"/>
              </w:rPr>
              <w:t xml:space="preserve"> (%)</w:t>
            </w:r>
          </w:p>
        </w:tc>
        <w:tc>
          <w:tcPr>
            <w:tcW w:w="825" w:type="pct"/>
            <w:tcBorders>
              <w:top w:val="single" w:sz="4" w:space="0" w:color="auto"/>
              <w:left w:val="single" w:sz="4" w:space="0" w:color="auto"/>
              <w:bottom w:val="single" w:sz="4" w:space="0" w:color="auto"/>
              <w:right w:val="single" w:sz="4" w:space="0" w:color="auto"/>
            </w:tcBorders>
            <w:vAlign w:val="center"/>
            <w:hideMark/>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b/>
                <w:sz w:val="20"/>
                <w:lang w:eastAsia="en-AU"/>
              </w:rPr>
              <w:t>Placebo</w:t>
            </w:r>
          </w:p>
          <w:p w:rsidR="00755402" w:rsidRPr="00036700" w:rsidRDefault="00755402" w:rsidP="00277A70">
            <w:pPr>
              <w:keepNext/>
              <w:widowControl/>
              <w:ind w:left="-57" w:right="-57"/>
              <w:jc w:val="center"/>
              <w:rPr>
                <w:rFonts w:ascii="Arial Narrow" w:hAnsi="Arial Narrow"/>
                <w:b/>
                <w:sz w:val="20"/>
                <w:lang w:eastAsia="en-AU"/>
              </w:rPr>
            </w:pPr>
            <w:proofErr w:type="gramStart"/>
            <w:r w:rsidRPr="00036700">
              <w:rPr>
                <w:rFonts w:ascii="Arial Narrow" w:hAnsi="Arial Narrow"/>
                <w:b/>
                <w:sz w:val="20"/>
                <w:lang w:eastAsia="en-AU"/>
              </w:rPr>
              <w:t>n</w:t>
            </w:r>
            <w:proofErr w:type="gramEnd"/>
            <w:r w:rsidRPr="00036700">
              <w:rPr>
                <w:rFonts w:ascii="Arial Narrow" w:hAnsi="Arial Narrow"/>
                <w:b/>
                <w:sz w:val="20"/>
                <w:lang w:eastAsia="en-AU"/>
              </w:rPr>
              <w:t xml:space="preserve"> (%)</w:t>
            </w:r>
          </w:p>
        </w:tc>
        <w:tc>
          <w:tcPr>
            <w:tcW w:w="1072"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b/>
                <w:sz w:val="20"/>
                <w:lang w:eastAsia="en-AU"/>
              </w:rPr>
              <w:t>Risk difference</w:t>
            </w:r>
          </w:p>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b/>
                <w:sz w:val="20"/>
                <w:lang w:eastAsia="en-AU"/>
              </w:rPr>
              <w:t>[95% CI]</w:t>
            </w:r>
            <w:r w:rsidRPr="00036700">
              <w:rPr>
                <w:rFonts w:ascii="Arial Narrow" w:hAnsi="Arial Narrow"/>
                <w:b/>
                <w:sz w:val="20"/>
                <w:vertAlign w:val="superscript"/>
                <w:lang w:eastAsia="en-AU"/>
              </w:rPr>
              <w:t>a</w:t>
            </w:r>
          </w:p>
        </w:tc>
        <w:tc>
          <w:tcPr>
            <w:tcW w:w="907"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b/>
                <w:sz w:val="20"/>
                <w:lang w:eastAsia="en-AU"/>
              </w:rPr>
              <w:t>Relative risk</w:t>
            </w:r>
          </w:p>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b/>
                <w:sz w:val="20"/>
                <w:lang w:eastAsia="en-AU"/>
              </w:rPr>
              <w:t>[95% CI]</w:t>
            </w:r>
            <w:r w:rsidR="00B2525A" w:rsidRPr="00036700">
              <w:rPr>
                <w:rFonts w:ascii="Arial Narrow" w:hAnsi="Arial Narrow"/>
                <w:b/>
                <w:sz w:val="20"/>
                <w:vertAlign w:val="superscript"/>
                <w:lang w:eastAsia="en-AU"/>
              </w:rPr>
              <w:t>a</w:t>
            </w:r>
          </w:p>
        </w:tc>
      </w:tr>
      <w:tr w:rsidR="00755402" w:rsidRPr="00036700" w:rsidTr="00B2525A">
        <w:tc>
          <w:tcPr>
            <w:tcW w:w="1368"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tcPr>
          <w:p w:rsidR="00755402" w:rsidRPr="00036700" w:rsidRDefault="00755402" w:rsidP="00277A70">
            <w:pPr>
              <w:keepNext/>
              <w:widowControl/>
              <w:rPr>
                <w:rFonts w:ascii="Arial Narrow" w:hAnsi="Arial Narrow"/>
                <w:b/>
                <w:sz w:val="20"/>
                <w:lang w:eastAsia="en-AU"/>
              </w:rPr>
            </w:pPr>
            <w:r w:rsidRPr="00036700">
              <w:rPr>
                <w:rFonts w:ascii="Arial Narrow" w:hAnsi="Arial Narrow"/>
                <w:b/>
                <w:sz w:val="20"/>
                <w:lang w:eastAsia="en-AU"/>
              </w:rPr>
              <w:t>N</w:t>
            </w:r>
          </w:p>
        </w:tc>
        <w:tc>
          <w:tcPr>
            <w:tcW w:w="828"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jc w:val="center"/>
              <w:rPr>
                <w:rFonts w:ascii="Arial Narrow" w:hAnsi="Arial Narrow"/>
                <w:b/>
                <w:sz w:val="20"/>
              </w:rPr>
            </w:pPr>
            <w:r w:rsidRPr="00036700">
              <w:rPr>
                <w:rFonts w:ascii="Arial Narrow" w:hAnsi="Arial Narrow"/>
                <w:b/>
                <w:sz w:val="20"/>
              </w:rPr>
              <w:t>316</w:t>
            </w:r>
          </w:p>
        </w:tc>
        <w:tc>
          <w:tcPr>
            <w:tcW w:w="825"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jc w:val="center"/>
              <w:rPr>
                <w:rFonts w:ascii="Arial Narrow" w:hAnsi="Arial Narrow"/>
                <w:b/>
                <w:sz w:val="20"/>
              </w:rPr>
            </w:pPr>
            <w:r w:rsidRPr="00036700">
              <w:rPr>
                <w:rFonts w:ascii="Arial Narrow" w:hAnsi="Arial Narrow"/>
                <w:b/>
                <w:sz w:val="20"/>
              </w:rPr>
              <w:t>105</w:t>
            </w:r>
          </w:p>
        </w:tc>
        <w:tc>
          <w:tcPr>
            <w:tcW w:w="1072"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jc w:val="center"/>
              <w:rPr>
                <w:rFonts w:ascii="Arial Narrow" w:hAnsi="Arial Narrow"/>
                <w:b/>
                <w:sz w:val="20"/>
              </w:rPr>
            </w:pPr>
          </w:p>
        </w:tc>
        <w:tc>
          <w:tcPr>
            <w:tcW w:w="907" w:type="pct"/>
            <w:tcBorders>
              <w:top w:val="single" w:sz="4" w:space="0" w:color="auto"/>
              <w:left w:val="single" w:sz="4" w:space="0" w:color="auto"/>
              <w:bottom w:val="single" w:sz="4" w:space="0" w:color="auto"/>
              <w:right w:val="single" w:sz="4" w:space="0" w:color="auto"/>
            </w:tcBorders>
          </w:tcPr>
          <w:p w:rsidR="00755402" w:rsidRPr="00036700" w:rsidRDefault="00755402" w:rsidP="00277A70">
            <w:pPr>
              <w:keepNext/>
              <w:widowControl/>
              <w:jc w:val="center"/>
              <w:rPr>
                <w:rFonts w:ascii="Arial Narrow" w:hAnsi="Arial Narrow"/>
                <w:b/>
                <w:sz w:val="20"/>
              </w:rPr>
            </w:pPr>
          </w:p>
        </w:tc>
      </w:tr>
      <w:tr w:rsidR="00755402" w:rsidRPr="00036700" w:rsidTr="00B2525A">
        <w:tc>
          <w:tcPr>
            <w:tcW w:w="136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left"/>
              <w:rPr>
                <w:rFonts w:ascii="Arial Narrow" w:hAnsi="Arial Narrow" w:cs="Times New Roman"/>
                <w:sz w:val="20"/>
              </w:rPr>
            </w:pPr>
            <w:r w:rsidRPr="00036700">
              <w:rPr>
                <w:rFonts w:ascii="Arial Narrow" w:hAnsi="Arial Narrow" w:cs="Times New Roman"/>
                <w:sz w:val="20"/>
              </w:rPr>
              <w:t>Overall</w:t>
            </w:r>
          </w:p>
        </w:tc>
        <w:tc>
          <w:tcPr>
            <w:tcW w:w="82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i/>
                <w:sz w:val="20"/>
                <w:lang w:eastAsia="en-AU"/>
              </w:rPr>
            </w:pPr>
          </w:p>
        </w:tc>
        <w:tc>
          <w:tcPr>
            <w:tcW w:w="825"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i/>
                <w:sz w:val="20"/>
                <w:lang w:eastAsia="en-AU"/>
              </w:rPr>
            </w:pPr>
          </w:p>
        </w:tc>
        <w:tc>
          <w:tcPr>
            <w:tcW w:w="1072" w:type="pct"/>
            <w:tcBorders>
              <w:top w:val="single" w:sz="4" w:space="0" w:color="auto"/>
              <w:left w:val="single" w:sz="4" w:space="0" w:color="auto"/>
              <w:bottom w:val="dotted" w:sz="4" w:space="0" w:color="auto"/>
              <w:right w:val="single" w:sz="4" w:space="0" w:color="auto"/>
            </w:tcBorders>
          </w:tcPr>
          <w:p w:rsidR="00755402" w:rsidRPr="00036700" w:rsidRDefault="00755402" w:rsidP="00277A70">
            <w:pPr>
              <w:keepNext/>
              <w:widowControl/>
              <w:ind w:left="-57" w:right="-57"/>
              <w:jc w:val="center"/>
              <w:rPr>
                <w:rFonts w:ascii="Arial Narrow" w:hAnsi="Arial Narrow"/>
                <w:i/>
                <w:sz w:val="20"/>
                <w:lang w:eastAsia="en-AU"/>
              </w:rPr>
            </w:pPr>
          </w:p>
        </w:tc>
        <w:tc>
          <w:tcPr>
            <w:tcW w:w="907" w:type="pct"/>
            <w:tcBorders>
              <w:top w:val="single" w:sz="4" w:space="0" w:color="auto"/>
              <w:left w:val="single" w:sz="4" w:space="0" w:color="auto"/>
              <w:bottom w:val="dotted" w:sz="4" w:space="0" w:color="auto"/>
              <w:right w:val="single" w:sz="4" w:space="0" w:color="auto"/>
            </w:tcBorders>
          </w:tcPr>
          <w:p w:rsidR="00755402" w:rsidRPr="00036700" w:rsidRDefault="00755402" w:rsidP="00277A70">
            <w:pPr>
              <w:keepNext/>
              <w:widowControl/>
              <w:ind w:left="-57" w:right="-57"/>
              <w:jc w:val="center"/>
              <w:rPr>
                <w:rFonts w:ascii="Arial Narrow" w:hAnsi="Arial Narrow"/>
                <w:i/>
                <w:sz w:val="20"/>
                <w:lang w:eastAsia="en-AU"/>
              </w:rPr>
            </w:pP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tcMar>
              <w:top w:w="0" w:type="dxa"/>
              <w:left w:w="108" w:type="dxa"/>
              <w:bottom w:w="0" w:type="dxa"/>
              <w:right w:w="28" w:type="dxa"/>
            </w:tcMar>
            <w:vAlign w:val="center"/>
            <w:hideMark/>
          </w:tcPr>
          <w:p w:rsidR="00755402" w:rsidRPr="00036700" w:rsidRDefault="00755402" w:rsidP="00277A70">
            <w:pPr>
              <w:keepNext/>
              <w:widowControl/>
              <w:ind w:left="256"/>
              <w:rPr>
                <w:rFonts w:ascii="Arial Narrow" w:hAnsi="Arial Narrow"/>
                <w:sz w:val="20"/>
                <w:lang w:eastAsia="en-AU"/>
              </w:rPr>
            </w:pPr>
            <w:r w:rsidRPr="00036700">
              <w:rPr>
                <w:rFonts w:ascii="Arial Narrow" w:hAnsi="Arial Narrow"/>
                <w:sz w:val="20"/>
                <w:lang w:eastAsia="en-AU"/>
              </w:rPr>
              <w:t>Any AEs</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lang w:eastAsia="en-AU"/>
              </w:rPr>
            </w:pPr>
            <w:r w:rsidRPr="00036700">
              <w:rPr>
                <w:rFonts w:ascii="Arial Narrow" w:hAnsi="Arial Narrow"/>
                <w:sz w:val="20"/>
              </w:rPr>
              <w:t>213 (67.4%)</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lang w:eastAsia="en-AU"/>
              </w:rPr>
            </w:pPr>
            <w:r w:rsidRPr="00036700">
              <w:rPr>
                <w:rFonts w:ascii="Arial Narrow" w:hAnsi="Arial Narrow"/>
                <w:sz w:val="20"/>
              </w:rPr>
              <w:t>72 (68.6%)</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rPr>
            </w:pPr>
            <w:r w:rsidRPr="00036700">
              <w:rPr>
                <w:rFonts w:ascii="Arial Narrow" w:hAnsi="Arial Narrow"/>
                <w:sz w:val="20"/>
              </w:rPr>
              <w:t>-1.2% [-11.4%, 9.1%]</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rPr>
            </w:pPr>
            <w:r w:rsidRPr="00036700">
              <w:rPr>
                <w:rFonts w:ascii="Arial Narrow" w:hAnsi="Arial Narrow"/>
                <w:sz w:val="20"/>
              </w:rPr>
              <w:t>0.98 [0.85, 1.14]</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tcPr>
          <w:p w:rsidR="00755402" w:rsidRPr="00036700" w:rsidRDefault="00755402" w:rsidP="00277A70">
            <w:pPr>
              <w:keepNext/>
              <w:widowControl/>
              <w:ind w:left="256"/>
              <w:rPr>
                <w:rFonts w:ascii="Arial Narrow" w:hAnsi="Arial Narrow"/>
                <w:b/>
                <w:sz w:val="20"/>
                <w:lang w:eastAsia="en-AU"/>
              </w:rPr>
            </w:pPr>
            <w:r w:rsidRPr="00036700">
              <w:rPr>
                <w:rFonts w:ascii="Arial Narrow" w:hAnsi="Arial Narrow" w:cs="Times New Roman"/>
                <w:sz w:val="20"/>
              </w:rPr>
              <w:t>Drug-related AEs</w:t>
            </w:r>
            <w:r w:rsidRPr="00036700">
              <w:rPr>
                <w:rFonts w:ascii="Arial Narrow" w:hAnsi="Arial Narrow" w:cs="Times New Roman"/>
                <w:sz w:val="20"/>
                <w:vertAlign w:val="superscript"/>
              </w:rPr>
              <w:t>b</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114 (36.1%)</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41 (39.0%)</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-3.0% [-13.7%, 7.8%]</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0.92 [0.70, 1.22]</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Serious AEs</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9 (2.8%)</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3 (2.9%)</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-0.0% [-3.7%, 3.7%]</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1.00 [0.28, 3.61]</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Serious drug-related AEs</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0 (0%)</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0 (0%)</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Deaths</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2 (0.6%)</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0 (0 %)</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0.6% [-0.2%, 1.5%]</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Discontinuation due to AEs</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3 (0.9%)</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1 (1.0%)</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-0.0% [-2.2%, 2.1%]</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1.00 [0.11, 9.48]</w:t>
            </w:r>
          </w:p>
        </w:tc>
      </w:tr>
      <w:tr w:rsidR="00755402" w:rsidRPr="00036700" w:rsidTr="00B2525A">
        <w:tc>
          <w:tcPr>
            <w:tcW w:w="136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Discontinuation due to drug-related AEs</w:t>
            </w:r>
          </w:p>
        </w:tc>
        <w:tc>
          <w:tcPr>
            <w:tcW w:w="82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2 (0.6%)</w:t>
            </w:r>
          </w:p>
        </w:tc>
        <w:tc>
          <w:tcPr>
            <w:tcW w:w="825"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1 (1.0%)</w:t>
            </w:r>
          </w:p>
        </w:tc>
        <w:tc>
          <w:tcPr>
            <w:tcW w:w="1072"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-0.3% [-2.4%, 1.7%]</w:t>
            </w:r>
          </w:p>
        </w:tc>
        <w:tc>
          <w:tcPr>
            <w:tcW w:w="907"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0.67 [0.06, 7.26]</w:t>
            </w:r>
          </w:p>
        </w:tc>
      </w:tr>
      <w:tr w:rsidR="00755402" w:rsidRPr="00036700" w:rsidTr="00B2525A">
        <w:tc>
          <w:tcPr>
            <w:tcW w:w="136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left"/>
              <w:rPr>
                <w:rFonts w:ascii="Arial Narrow" w:hAnsi="Arial Narrow" w:cs="Times New Roman"/>
                <w:sz w:val="20"/>
              </w:rPr>
            </w:pPr>
            <w:r w:rsidRPr="00036700">
              <w:rPr>
                <w:rFonts w:ascii="Arial Narrow" w:hAnsi="Arial Narrow" w:cs="Times New Roman"/>
                <w:sz w:val="20"/>
              </w:rPr>
              <w:t>Common AEs</w:t>
            </w:r>
          </w:p>
        </w:tc>
        <w:tc>
          <w:tcPr>
            <w:tcW w:w="82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i/>
                <w:sz w:val="20"/>
                <w:lang w:eastAsia="en-AU"/>
              </w:rPr>
            </w:pPr>
          </w:p>
        </w:tc>
        <w:tc>
          <w:tcPr>
            <w:tcW w:w="825"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i/>
                <w:sz w:val="20"/>
                <w:lang w:eastAsia="en-AU"/>
              </w:rPr>
            </w:pPr>
          </w:p>
        </w:tc>
        <w:tc>
          <w:tcPr>
            <w:tcW w:w="1072"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p>
        </w:tc>
        <w:tc>
          <w:tcPr>
            <w:tcW w:w="907"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Headache</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52 (16.5%)</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19 (18.1%)</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-1.6% [-10.1%, 6.8%]</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0.91 [0.57, 1.47]</w:t>
            </w: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Fatigue</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49 (15.5%)</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18 (17.1%)</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-1.6% [-9.9%, 6.6%]</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rPr>
              <w:t>0.91 [0.55, 1.48]</w:t>
            </w:r>
          </w:p>
        </w:tc>
      </w:tr>
      <w:tr w:rsidR="00755402" w:rsidRPr="00036700" w:rsidTr="00B2525A">
        <w:tc>
          <w:tcPr>
            <w:tcW w:w="136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b/>
                <w:sz w:val="20"/>
                <w:lang w:eastAsia="en-AU"/>
              </w:rPr>
            </w:pPr>
            <w:r w:rsidRPr="00036700">
              <w:rPr>
                <w:rFonts w:ascii="Arial Narrow" w:hAnsi="Arial Narrow" w:cs="Times New Roman"/>
                <w:sz w:val="20"/>
              </w:rPr>
              <w:t>Nausea</w:t>
            </w:r>
          </w:p>
        </w:tc>
        <w:tc>
          <w:tcPr>
            <w:tcW w:w="82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jc w:val="center"/>
              <w:rPr>
                <w:rFonts w:ascii="Arial Narrow" w:hAnsi="Arial Narrow"/>
                <w:b/>
                <w:sz w:val="20"/>
                <w:lang w:eastAsia="en-AU"/>
              </w:rPr>
            </w:pPr>
            <w:r w:rsidRPr="00036700">
              <w:rPr>
                <w:rFonts w:ascii="Arial Narrow" w:hAnsi="Arial Narrow"/>
                <w:sz w:val="20"/>
              </w:rPr>
              <w:t>28 (8.9%)</w:t>
            </w:r>
          </w:p>
        </w:tc>
        <w:tc>
          <w:tcPr>
            <w:tcW w:w="825"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b/>
                <w:sz w:val="20"/>
                <w:lang w:eastAsia="en-AU"/>
              </w:rPr>
            </w:pPr>
            <w:r w:rsidRPr="00036700">
              <w:rPr>
                <w:rFonts w:ascii="Arial Narrow" w:hAnsi="Arial Narrow"/>
                <w:sz w:val="20"/>
              </w:rPr>
              <w:t>8 (7.6%)</w:t>
            </w:r>
          </w:p>
        </w:tc>
        <w:tc>
          <w:tcPr>
            <w:tcW w:w="1072"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lang w:eastAsia="en-AU"/>
              </w:rPr>
              <w:t>1.2% [-4.7%, 7.2%]</w:t>
            </w:r>
          </w:p>
        </w:tc>
        <w:tc>
          <w:tcPr>
            <w:tcW w:w="907"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rPr>
            </w:pPr>
            <w:r w:rsidRPr="00036700">
              <w:rPr>
                <w:rFonts w:ascii="Arial Narrow" w:hAnsi="Arial Narrow"/>
                <w:sz w:val="20"/>
                <w:lang w:eastAsia="en-AU"/>
              </w:rPr>
              <w:t>1.16 [0.55, 2.47]</w:t>
            </w:r>
          </w:p>
        </w:tc>
      </w:tr>
      <w:tr w:rsidR="00755402" w:rsidRPr="00036700" w:rsidTr="00B2525A">
        <w:tc>
          <w:tcPr>
            <w:tcW w:w="136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left"/>
              <w:rPr>
                <w:rFonts w:ascii="Arial Narrow" w:hAnsi="Arial Narrow" w:cs="Times New Roman"/>
                <w:sz w:val="20"/>
              </w:rPr>
            </w:pPr>
            <w:r w:rsidRPr="00036700">
              <w:rPr>
                <w:rFonts w:ascii="Arial Narrow" w:hAnsi="Arial Narrow" w:cs="Times New Roman"/>
                <w:sz w:val="20"/>
              </w:rPr>
              <w:t>Hepatic events</w:t>
            </w:r>
            <w:r w:rsidRPr="00036700">
              <w:rPr>
                <w:rFonts w:ascii="Arial Narrow" w:hAnsi="Arial Narrow" w:cs="Times New Roman"/>
                <w:sz w:val="20"/>
                <w:vertAlign w:val="superscript"/>
              </w:rPr>
              <w:t>c</w:t>
            </w:r>
          </w:p>
        </w:tc>
        <w:tc>
          <w:tcPr>
            <w:tcW w:w="828"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i/>
                <w:sz w:val="20"/>
                <w:lang w:eastAsia="en-AU"/>
              </w:rPr>
            </w:pPr>
          </w:p>
        </w:tc>
        <w:tc>
          <w:tcPr>
            <w:tcW w:w="825"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i/>
                <w:sz w:val="20"/>
                <w:lang w:eastAsia="en-AU"/>
              </w:rPr>
            </w:pPr>
          </w:p>
        </w:tc>
        <w:tc>
          <w:tcPr>
            <w:tcW w:w="1072"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p>
        </w:tc>
        <w:tc>
          <w:tcPr>
            <w:tcW w:w="907" w:type="pct"/>
            <w:tcBorders>
              <w:top w:val="single"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p>
        </w:tc>
      </w:tr>
      <w:tr w:rsidR="00755402" w:rsidRPr="00036700" w:rsidTr="00B2525A">
        <w:tc>
          <w:tcPr>
            <w:tcW w:w="136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cs="Times New Roman"/>
                <w:sz w:val="20"/>
              </w:rPr>
            </w:pPr>
            <w:r w:rsidRPr="00036700">
              <w:rPr>
                <w:rFonts w:ascii="Arial Narrow" w:hAnsi="Arial Narrow" w:cs="Times New Roman"/>
                <w:sz w:val="20"/>
              </w:rPr>
              <w:t>Hepatic events of clinical interest</w:t>
            </w:r>
            <w:r w:rsidRPr="00036700">
              <w:rPr>
                <w:rFonts w:ascii="Arial Narrow" w:hAnsi="Arial Narrow" w:cs="Times New Roman"/>
                <w:sz w:val="20"/>
                <w:vertAlign w:val="superscript"/>
              </w:rPr>
              <w:t>d</w:t>
            </w:r>
          </w:p>
        </w:tc>
        <w:tc>
          <w:tcPr>
            <w:tcW w:w="828"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lang w:eastAsia="en-AU"/>
              </w:rPr>
            </w:pPr>
            <w:r w:rsidRPr="00036700">
              <w:rPr>
                <w:rFonts w:ascii="Arial Narrow" w:hAnsi="Arial Narrow"/>
                <w:sz w:val="20"/>
                <w:lang w:eastAsia="en-AU"/>
              </w:rPr>
              <w:t>5 (1.6%)</w:t>
            </w:r>
          </w:p>
        </w:tc>
        <w:tc>
          <w:tcPr>
            <w:tcW w:w="825"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lang w:eastAsia="en-AU"/>
              </w:rPr>
              <w:t>0 (0%)</w:t>
            </w:r>
          </w:p>
        </w:tc>
        <w:tc>
          <w:tcPr>
            <w:tcW w:w="1072"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lang w:eastAsia="en-AU"/>
              </w:rPr>
              <w:t>1.6% [0.2%, 3.0%]</w:t>
            </w:r>
          </w:p>
        </w:tc>
        <w:tc>
          <w:tcPr>
            <w:tcW w:w="907" w:type="pct"/>
            <w:tcBorders>
              <w:top w:val="dotted" w:sz="4" w:space="0" w:color="auto"/>
              <w:left w:val="single" w:sz="4" w:space="0" w:color="auto"/>
              <w:bottom w:val="dotted"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rPr>
              <w:t>–</w:t>
            </w:r>
          </w:p>
        </w:tc>
      </w:tr>
      <w:tr w:rsidR="00755402" w:rsidRPr="00036700" w:rsidTr="00B2525A">
        <w:tc>
          <w:tcPr>
            <w:tcW w:w="136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256"/>
              <w:jc w:val="left"/>
              <w:rPr>
                <w:rFonts w:ascii="Arial Narrow" w:hAnsi="Arial Narrow" w:cs="Times New Roman"/>
                <w:sz w:val="20"/>
              </w:rPr>
            </w:pPr>
            <w:r w:rsidRPr="00036700">
              <w:rPr>
                <w:rFonts w:ascii="Arial Narrow" w:hAnsi="Arial Narrow" w:cs="Times New Roman"/>
                <w:sz w:val="20"/>
              </w:rPr>
              <w:t>ALT or AST &gt; 5xULN</w:t>
            </w:r>
          </w:p>
        </w:tc>
        <w:tc>
          <w:tcPr>
            <w:tcW w:w="828"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jc w:val="center"/>
              <w:rPr>
                <w:rFonts w:ascii="Arial Narrow" w:hAnsi="Arial Narrow"/>
                <w:sz w:val="20"/>
                <w:lang w:eastAsia="en-AU"/>
              </w:rPr>
            </w:pPr>
            <w:r w:rsidRPr="00036700">
              <w:rPr>
                <w:rFonts w:ascii="Arial Narrow" w:hAnsi="Arial Narrow"/>
                <w:sz w:val="20"/>
                <w:lang w:eastAsia="en-AU"/>
              </w:rPr>
              <w:t>4 (1.3</w:t>
            </w:r>
            <w:r w:rsidRPr="00036700">
              <w:rPr>
                <w:rFonts w:ascii="Arial Narrow" w:hAnsi="Arial Narrow"/>
                <w:sz w:val="20"/>
              </w:rPr>
              <w:t>%</w:t>
            </w:r>
            <w:r w:rsidRPr="00036700">
              <w:rPr>
                <w:rFonts w:ascii="Arial Narrow" w:hAnsi="Arial Narrow"/>
                <w:sz w:val="20"/>
                <w:lang w:eastAsia="en-AU"/>
              </w:rPr>
              <w:t>)</w:t>
            </w:r>
          </w:p>
        </w:tc>
        <w:tc>
          <w:tcPr>
            <w:tcW w:w="825"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lang w:eastAsia="en-AU"/>
              </w:rPr>
              <w:t>0 (0%)</w:t>
            </w:r>
          </w:p>
        </w:tc>
        <w:tc>
          <w:tcPr>
            <w:tcW w:w="1072"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lang w:eastAsia="en-AU"/>
              </w:rPr>
              <w:t>1.3% [0.0%, 2.5%]</w:t>
            </w:r>
          </w:p>
        </w:tc>
        <w:tc>
          <w:tcPr>
            <w:tcW w:w="907" w:type="pct"/>
            <w:tcBorders>
              <w:top w:val="dotted" w:sz="4" w:space="0" w:color="auto"/>
              <w:left w:val="single" w:sz="4" w:space="0" w:color="auto"/>
              <w:bottom w:val="single" w:sz="4" w:space="0" w:color="auto"/>
              <w:right w:val="single" w:sz="4" w:space="0" w:color="auto"/>
            </w:tcBorders>
            <w:vAlign w:val="center"/>
          </w:tcPr>
          <w:p w:rsidR="00755402" w:rsidRPr="00036700" w:rsidRDefault="00755402" w:rsidP="00277A70">
            <w:pPr>
              <w:keepNext/>
              <w:widowControl/>
              <w:ind w:left="-57" w:right="-57"/>
              <w:jc w:val="center"/>
              <w:rPr>
                <w:rFonts w:ascii="Arial Narrow" w:hAnsi="Arial Narrow"/>
                <w:sz w:val="20"/>
                <w:lang w:eastAsia="en-AU"/>
              </w:rPr>
            </w:pPr>
            <w:r w:rsidRPr="00036700">
              <w:rPr>
                <w:rFonts w:ascii="Arial Narrow" w:hAnsi="Arial Narrow"/>
                <w:sz w:val="20"/>
              </w:rPr>
              <w:t>–</w:t>
            </w:r>
          </w:p>
        </w:tc>
      </w:tr>
    </w:tbl>
    <w:p w:rsidR="00755402" w:rsidRPr="00036700" w:rsidRDefault="00755402" w:rsidP="00277A70">
      <w:pPr>
        <w:pStyle w:val="TableFooter"/>
        <w:keepNext/>
        <w:widowControl/>
        <w:ind w:left="737"/>
      </w:pPr>
      <w:r w:rsidRPr="00036700">
        <w:t>AE = adverse event; ALP = alkaline phosphatase; ALT = alanine aminotransferase; AST = aspartate aminotransferase; EBR = elbasvir; GRZ = grazoprevir</w:t>
      </w:r>
      <w:r w:rsidR="008B6C92" w:rsidRPr="00036700">
        <w:t xml:space="preserve">; </w:t>
      </w:r>
      <w:r w:rsidRPr="00036700">
        <w:t xml:space="preserve">ULN = upper limit of normal </w:t>
      </w:r>
    </w:p>
    <w:p w:rsidR="00755402" w:rsidRPr="00036700" w:rsidRDefault="00755402" w:rsidP="00277A70">
      <w:pPr>
        <w:pStyle w:val="TableFooter"/>
        <w:keepNext/>
        <w:widowControl/>
        <w:ind w:left="737"/>
      </w:pPr>
      <w:proofErr w:type="gramStart"/>
      <w:r w:rsidRPr="00036700">
        <w:rPr>
          <w:vertAlign w:val="superscript"/>
        </w:rPr>
        <w:t>a</w:t>
      </w:r>
      <w:proofErr w:type="gramEnd"/>
      <w:r w:rsidRPr="00036700">
        <w:t xml:space="preserve"> Relative risks and risk differences were calculated during the evaluation. </w:t>
      </w:r>
    </w:p>
    <w:p w:rsidR="00755402" w:rsidRPr="00036700" w:rsidRDefault="00755402" w:rsidP="00277A70">
      <w:pPr>
        <w:pStyle w:val="TableFooter"/>
        <w:widowControl/>
        <w:ind w:left="737"/>
      </w:pPr>
      <w:proofErr w:type="gramStart"/>
      <w:r w:rsidRPr="002C3191">
        <w:rPr>
          <w:i/>
          <w:vertAlign w:val="superscript"/>
          <w:lang w:eastAsia="en-GB"/>
        </w:rPr>
        <w:t>b</w:t>
      </w:r>
      <w:proofErr w:type="gramEnd"/>
      <w:r w:rsidRPr="002C3191">
        <w:rPr>
          <w:i/>
          <w:lang w:eastAsia="en-GB"/>
        </w:rPr>
        <w:t xml:space="preserve"> </w:t>
      </w:r>
      <w:r w:rsidRPr="00036700">
        <w:t>Determined by investigator to be related to the drug</w:t>
      </w:r>
    </w:p>
    <w:p w:rsidR="00755402" w:rsidRPr="00036700" w:rsidRDefault="00755402" w:rsidP="00277A70">
      <w:pPr>
        <w:pStyle w:val="TableFooter"/>
        <w:widowControl/>
        <w:ind w:left="737"/>
      </w:pPr>
      <w:proofErr w:type="gramStart"/>
      <w:r w:rsidRPr="002C3191">
        <w:rPr>
          <w:i/>
          <w:vertAlign w:val="superscript"/>
          <w:lang w:eastAsia="en-GB"/>
        </w:rPr>
        <w:t>c</w:t>
      </w:r>
      <w:proofErr w:type="gramEnd"/>
      <w:r w:rsidRPr="002C3191">
        <w:rPr>
          <w:i/>
          <w:lang w:eastAsia="en-GB"/>
        </w:rPr>
        <w:t xml:space="preserve"> Data on hepatic events were extracted from the clinical study report, as they were not provided in the submission</w:t>
      </w:r>
    </w:p>
    <w:p w:rsidR="00755402" w:rsidRPr="00036700" w:rsidRDefault="00755402" w:rsidP="00277A70">
      <w:pPr>
        <w:widowControl/>
        <w:ind w:left="737"/>
        <w:rPr>
          <w:rFonts w:ascii="Arial Narrow" w:hAnsi="Arial Narrow"/>
          <w:sz w:val="18"/>
          <w:szCs w:val="18"/>
        </w:rPr>
      </w:pPr>
      <w:proofErr w:type="gramStart"/>
      <w:r w:rsidRPr="00036700">
        <w:rPr>
          <w:rFonts w:ascii="Arial Narrow" w:hAnsi="Arial Narrow"/>
          <w:sz w:val="18"/>
          <w:szCs w:val="18"/>
          <w:vertAlign w:val="superscript"/>
        </w:rPr>
        <w:t>d</w:t>
      </w:r>
      <w:proofErr w:type="gramEnd"/>
      <w:r w:rsidRPr="00036700">
        <w:rPr>
          <w:rFonts w:ascii="Arial Narrow" w:hAnsi="Arial Narrow"/>
          <w:sz w:val="18"/>
          <w:szCs w:val="18"/>
        </w:rPr>
        <w:t xml:space="preserve"> Hepatic laboratory events of clinical interest were defined as the following:</w:t>
      </w:r>
      <w:r w:rsidR="00B83C43" w:rsidRPr="00036700">
        <w:rPr>
          <w:rFonts w:ascii="Arial Narrow" w:hAnsi="Arial Narrow"/>
          <w:sz w:val="18"/>
          <w:szCs w:val="18"/>
        </w:rPr>
        <w:t xml:space="preserve"> </w:t>
      </w:r>
      <w:r w:rsidRPr="00036700">
        <w:rPr>
          <w:rFonts w:ascii="Arial Narrow" w:hAnsi="Arial Narrow"/>
          <w:sz w:val="18"/>
          <w:szCs w:val="18"/>
        </w:rPr>
        <w:t>1) ALT or AST &gt;500 IU/mL regardless of baseline ALT/AST (not associated with virologic failure); or 2) ALT or AST &gt;3x baseline and &gt;100 IU/mL (not associated with virologic failure); or 3) alkaline phosphatase &gt;3x ULN (not associated with virologic failure).</w:t>
      </w:r>
    </w:p>
    <w:p w:rsidR="00755402" w:rsidRPr="002C3191" w:rsidRDefault="00755402" w:rsidP="00277A70">
      <w:pPr>
        <w:pStyle w:val="TableFooter"/>
        <w:widowControl/>
        <w:ind w:left="737"/>
        <w:rPr>
          <w:lang w:eastAsia="en-GB"/>
        </w:rPr>
      </w:pPr>
      <w:r w:rsidRPr="002C3191">
        <w:rPr>
          <w:lang w:eastAsia="en-GB"/>
        </w:rPr>
        <w:t>Source: Table B.6-15, pp206-207 and Table B.6-17, pp209-210 of the submission</w:t>
      </w:r>
    </w:p>
    <w:p w:rsidR="00891A0A" w:rsidRPr="002C3191" w:rsidRDefault="00891A0A" w:rsidP="00277A70">
      <w:pPr>
        <w:widowControl/>
        <w:rPr>
          <w:i/>
        </w:rPr>
      </w:pPr>
    </w:p>
    <w:p w:rsidR="00E2241C" w:rsidRPr="00036700" w:rsidRDefault="00E2241C" w:rsidP="00D9008B">
      <w:pPr>
        <w:pStyle w:val="ListParagraph"/>
        <w:widowControl/>
        <w:numPr>
          <w:ilvl w:val="1"/>
          <w:numId w:val="1"/>
        </w:numPr>
      </w:pPr>
      <w:r w:rsidRPr="002C3191">
        <w:t xml:space="preserve">In C-EDGE TN, </w:t>
      </w:r>
      <w:r w:rsidR="00B86554" w:rsidRPr="002C3191">
        <w:t>rates</w:t>
      </w:r>
      <w:r w:rsidRPr="00036700">
        <w:t xml:space="preserve"> of any AEs</w:t>
      </w:r>
      <w:r w:rsidR="00C448AA" w:rsidRPr="00036700">
        <w:t xml:space="preserve"> and</w:t>
      </w:r>
      <w:r w:rsidRPr="00036700">
        <w:t xml:space="preserve"> drug-related AEs</w:t>
      </w:r>
      <w:r w:rsidR="00C448AA" w:rsidRPr="00036700">
        <w:t xml:space="preserve"> were comparable </w:t>
      </w:r>
      <w:r w:rsidRPr="00036700">
        <w:t xml:space="preserve">between the GRZ/EBR12 </w:t>
      </w:r>
      <w:r w:rsidR="00C448AA" w:rsidRPr="00036700">
        <w:t>arm and the placebo arm. GRZ/EBR was generally well tolerated</w:t>
      </w:r>
      <w:r w:rsidR="00E70A74" w:rsidRPr="00036700">
        <w:t>. There was a</w:t>
      </w:r>
      <w:r w:rsidR="00C448AA" w:rsidRPr="00036700">
        <w:t xml:space="preserve"> low incidence of serious AEs (2.8%) and </w:t>
      </w:r>
      <w:r w:rsidR="00E70A74" w:rsidRPr="00036700">
        <w:t xml:space="preserve">a low incidence of </w:t>
      </w:r>
      <w:r w:rsidR="00C448AA" w:rsidRPr="00036700">
        <w:t>treatment discontinuation due to AEs (0.9%). Two patients receiving GRZ/EBR died during the study</w:t>
      </w:r>
      <w:r w:rsidR="00C0409C" w:rsidRPr="00036700">
        <w:t xml:space="preserve">. </w:t>
      </w:r>
      <w:r w:rsidRPr="00036700">
        <w:t xml:space="preserve">Neither death was considered </w:t>
      </w:r>
      <w:r w:rsidR="00876C2E" w:rsidRPr="00036700">
        <w:t xml:space="preserve">to be </w:t>
      </w:r>
      <w:r w:rsidRPr="00036700">
        <w:t>drug-related</w:t>
      </w:r>
      <w:r w:rsidR="00C0409C" w:rsidRPr="00036700">
        <w:t xml:space="preserve"> by the investigator</w:t>
      </w:r>
      <w:r w:rsidR="00876C2E" w:rsidRPr="00036700">
        <w:t>s</w:t>
      </w:r>
      <w:r w:rsidRPr="00036700">
        <w:t xml:space="preserve">. </w:t>
      </w:r>
      <w:r w:rsidR="00750897" w:rsidRPr="00036700">
        <w:t xml:space="preserve">However, it is unknown whether the investigators were blinded to treatment allocation when they determined the relationship between death and </w:t>
      </w:r>
      <w:r w:rsidR="00CC23F9" w:rsidRPr="00036700">
        <w:t>the study drug</w:t>
      </w:r>
      <w:r w:rsidR="002E4470" w:rsidRPr="00036700">
        <w:t xml:space="preserve"> in C</w:t>
      </w:r>
      <w:r w:rsidR="002E4470" w:rsidRPr="00036700">
        <w:noBreakHyphen/>
      </w:r>
      <w:r w:rsidR="00750897" w:rsidRPr="00036700">
        <w:t>EDG</w:t>
      </w:r>
      <w:r w:rsidR="002E4470" w:rsidRPr="00036700">
        <w:t>E </w:t>
      </w:r>
      <w:r w:rsidR="00750897" w:rsidRPr="00036700">
        <w:t xml:space="preserve">TN. </w:t>
      </w:r>
      <w:r w:rsidRPr="00036700">
        <w:t xml:space="preserve">The most common AEs </w:t>
      </w:r>
      <w:r w:rsidR="00CB146C" w:rsidRPr="00036700">
        <w:t xml:space="preserve">in both treatment groups </w:t>
      </w:r>
      <w:r w:rsidRPr="00036700">
        <w:t xml:space="preserve">were headache, fatigue, and nausea. </w:t>
      </w:r>
      <w:r w:rsidR="00EB04B0" w:rsidRPr="00036700">
        <w:t xml:space="preserve">With regard to </w:t>
      </w:r>
      <w:r w:rsidRPr="00036700">
        <w:t>hepatic events</w:t>
      </w:r>
      <w:r w:rsidR="00EB04B0" w:rsidRPr="00036700">
        <w:t>, f</w:t>
      </w:r>
      <w:r w:rsidRPr="00036700">
        <w:t xml:space="preserve">ive subjects (1.6%) </w:t>
      </w:r>
      <w:r w:rsidR="00CB146C" w:rsidRPr="00036700">
        <w:t xml:space="preserve">treated with </w:t>
      </w:r>
      <w:r w:rsidRPr="00036700">
        <w:t xml:space="preserve">GRZ/EBR, but none in the placebo arm, had elevated transaminases that were considered </w:t>
      </w:r>
      <w:r w:rsidR="00CB146C" w:rsidRPr="00036700">
        <w:t>events of clinical interest</w:t>
      </w:r>
      <w:r w:rsidR="00FC7A32" w:rsidRPr="00036700">
        <w:t xml:space="preserve"> (for definition, see the note below Table </w:t>
      </w:r>
      <w:r w:rsidR="00047804">
        <w:t>7</w:t>
      </w:r>
      <w:r w:rsidR="00FC7A32" w:rsidRPr="00036700">
        <w:t>)</w:t>
      </w:r>
      <w:r w:rsidRPr="00036700">
        <w:t xml:space="preserve">. </w:t>
      </w:r>
      <w:r w:rsidR="0027048B" w:rsidRPr="00036700">
        <w:t xml:space="preserve">The difference between the two arms was statistically significant. </w:t>
      </w:r>
    </w:p>
    <w:p w:rsidR="00891A0A" w:rsidRPr="00036700" w:rsidRDefault="00891A0A" w:rsidP="00277A70">
      <w:pPr>
        <w:widowControl/>
      </w:pPr>
    </w:p>
    <w:p w:rsidR="00CB146C" w:rsidRPr="002C3191" w:rsidRDefault="00CB146C" w:rsidP="00D9008B">
      <w:pPr>
        <w:pStyle w:val="ListParagraph"/>
        <w:widowControl/>
        <w:numPr>
          <w:ilvl w:val="1"/>
          <w:numId w:val="1"/>
        </w:numPr>
      </w:pPr>
      <w:r w:rsidRPr="002C3191">
        <w:t>Safety data for the treatment arms relevant to the proposed GRZ/EBR listing</w:t>
      </w:r>
      <w:r w:rsidR="00EB04B0" w:rsidRPr="002C3191">
        <w:t>s</w:t>
      </w:r>
      <w:r w:rsidRPr="002C3191">
        <w:t xml:space="preserve">, as well as the active comparators, </w:t>
      </w:r>
      <w:r w:rsidR="00700F6B" w:rsidRPr="002C3191">
        <w:t>were</w:t>
      </w:r>
      <w:r w:rsidRPr="002C3191">
        <w:t xml:space="preserve"> pooled during the evaluation and are summarised below.</w:t>
      </w:r>
    </w:p>
    <w:p w:rsidR="006D3837" w:rsidRPr="00036700" w:rsidRDefault="006D3837" w:rsidP="00277A70">
      <w:pPr>
        <w:widowControl/>
        <w:jc w:val="left"/>
        <w:rPr>
          <w:rFonts w:ascii="Arial Narrow" w:hAnsi="Arial Narrow"/>
          <w:b/>
          <w:bCs/>
          <w:i/>
          <w:sz w:val="20"/>
          <w:szCs w:val="18"/>
        </w:rPr>
      </w:pPr>
    </w:p>
    <w:p w:rsidR="00CE40BD" w:rsidRPr="00036700" w:rsidRDefault="00CE40BD">
      <w:pPr>
        <w:widowControl/>
        <w:jc w:val="left"/>
        <w:rPr>
          <w:rFonts w:ascii="Arial Narrow" w:hAnsi="Arial Narrow"/>
          <w:b/>
          <w:bCs/>
          <w:sz w:val="20"/>
          <w:szCs w:val="18"/>
        </w:rPr>
      </w:pPr>
      <w:r w:rsidRPr="00036700">
        <w:br w:type="page"/>
      </w:r>
    </w:p>
    <w:p w:rsidR="00B86554" w:rsidRPr="00036700" w:rsidRDefault="00B86554" w:rsidP="00277A70">
      <w:pPr>
        <w:pStyle w:val="Caption"/>
        <w:keepNext/>
        <w:widowControl/>
        <w:ind w:left="737"/>
      </w:pPr>
      <w:r w:rsidRPr="00036700">
        <w:lastRenderedPageBreak/>
        <w:t xml:space="preserve">Table </w:t>
      </w:r>
      <w:r w:rsidR="00047804">
        <w:t>8</w:t>
      </w:r>
      <w:r w:rsidRPr="00036700">
        <w:t xml:space="preserve">: Summary of AEs </w:t>
      </w:r>
      <w:r w:rsidR="005D2230" w:rsidRPr="00036700">
        <w:t>across GRZ/EBR-containing therapies and SOF-containing therapies</w:t>
      </w:r>
      <w:r w:rsidRPr="00036700">
        <w:rPr>
          <w:vertAlign w:val="superscript"/>
        </w:rPr>
        <w:t>a</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134"/>
        <w:gridCol w:w="1134"/>
        <w:gridCol w:w="1134"/>
        <w:gridCol w:w="1134"/>
        <w:gridCol w:w="1134"/>
        <w:gridCol w:w="1134"/>
      </w:tblGrid>
      <w:tr w:rsidR="008B6C92" w:rsidRPr="00036700" w:rsidTr="008B6C92">
        <w:tc>
          <w:tcPr>
            <w:tcW w:w="1781" w:type="dxa"/>
          </w:tcPr>
          <w:p w:rsidR="008B6C92" w:rsidRPr="00036700" w:rsidRDefault="008B6C92" w:rsidP="00277A70">
            <w:pPr>
              <w:widowControl/>
              <w:jc w:val="left"/>
              <w:rPr>
                <w:rFonts w:ascii="Arial Narrow" w:hAnsi="Arial Narrow" w:cs="Times New Roman"/>
                <w:b/>
                <w:i/>
                <w:snapToGrid/>
                <w:color w:val="000000"/>
                <w:sz w:val="20"/>
                <w:lang w:eastAsia="en-AU"/>
              </w:rPr>
            </w:pPr>
          </w:p>
        </w:tc>
        <w:tc>
          <w:tcPr>
            <w:tcW w:w="6804" w:type="dxa"/>
            <w:gridSpan w:val="6"/>
            <w:shd w:val="clear" w:color="auto" w:fill="auto"/>
            <w:noWrap/>
          </w:tcPr>
          <w:p w:rsidR="008B6C92" w:rsidRPr="00036700" w:rsidRDefault="008B6C92" w:rsidP="00277A70">
            <w:pPr>
              <w:widowControl/>
              <w:jc w:val="center"/>
              <w:rPr>
                <w:rFonts w:ascii="Arial Narrow" w:hAnsi="Arial Narrow" w:cs="Times New Roman"/>
                <w:b/>
                <w:i/>
                <w:snapToGrid/>
                <w:color w:val="000000"/>
                <w:sz w:val="20"/>
                <w:lang w:eastAsia="en-AU"/>
              </w:rPr>
            </w:pPr>
            <w:r w:rsidRPr="00036700">
              <w:rPr>
                <w:rFonts w:ascii="Arial Narrow" w:hAnsi="Arial Narrow" w:cs="Times New Roman"/>
                <w:b/>
                <w:i/>
                <w:snapToGrid/>
                <w:color w:val="000000"/>
                <w:sz w:val="20"/>
                <w:lang w:eastAsia="en-AU"/>
              </w:rPr>
              <w:t>AEs, n (%)</w:t>
            </w:r>
          </w:p>
        </w:tc>
      </w:tr>
      <w:tr w:rsidR="008B6C92" w:rsidRPr="00036700" w:rsidTr="008B6C92">
        <w:tc>
          <w:tcPr>
            <w:tcW w:w="1781" w:type="dxa"/>
          </w:tcPr>
          <w:p w:rsidR="008B6C92" w:rsidRPr="00036700" w:rsidRDefault="008B6C92" w:rsidP="00277A70">
            <w:pPr>
              <w:widowControl/>
              <w:jc w:val="left"/>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Treatment combination</w:t>
            </w:r>
          </w:p>
        </w:tc>
        <w:tc>
          <w:tcPr>
            <w:tcW w:w="1134" w:type="dxa"/>
            <w:shd w:val="clear" w:color="auto" w:fill="auto"/>
            <w:noWrap/>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GRZ/EBR</w:t>
            </w:r>
          </w:p>
        </w:tc>
        <w:tc>
          <w:tcPr>
            <w:tcW w:w="1134" w:type="dxa"/>
            <w:shd w:val="clear" w:color="auto" w:fill="auto"/>
            <w:noWrap/>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GRZ/EBR</w:t>
            </w:r>
            <w:r w:rsidRPr="00036700">
              <w:rPr>
                <w:rFonts w:ascii="Arial Narrow" w:hAnsi="Arial Narrow" w:cs="Times New Roman"/>
                <w:b/>
                <w:snapToGrid/>
                <w:color w:val="000000"/>
                <w:sz w:val="20"/>
                <w:lang w:eastAsia="en-AU"/>
              </w:rPr>
              <w:br/>
              <w:t>+RBV</w:t>
            </w:r>
          </w:p>
        </w:tc>
        <w:tc>
          <w:tcPr>
            <w:tcW w:w="1134" w:type="dxa"/>
            <w:shd w:val="clear" w:color="auto" w:fill="auto"/>
            <w:noWrap/>
          </w:tcPr>
          <w:p w:rsidR="008B6C92" w:rsidRPr="00036700" w:rsidRDefault="008B6C92" w:rsidP="00277A70">
            <w:pPr>
              <w:widowControl/>
              <w:jc w:val="center"/>
              <w:rPr>
                <w:rFonts w:ascii="Arial Narrow" w:hAnsi="Arial Narrow" w:cs="Times New Roman"/>
                <w:b/>
                <w:snapToGrid/>
                <w:color w:val="000000"/>
                <w:sz w:val="20"/>
                <w:vertAlign w:val="superscript"/>
                <w:lang w:eastAsia="en-AU"/>
              </w:rPr>
            </w:pPr>
            <w:r w:rsidRPr="00036700">
              <w:rPr>
                <w:rFonts w:ascii="Arial Narrow" w:hAnsi="Arial Narrow" w:cs="Times New Roman"/>
                <w:b/>
                <w:snapToGrid/>
                <w:color w:val="000000"/>
                <w:sz w:val="20"/>
                <w:lang w:eastAsia="en-AU"/>
              </w:rPr>
              <w:t>GRZ/EBR</w:t>
            </w:r>
            <w:r w:rsidRPr="00036700">
              <w:rPr>
                <w:rFonts w:ascii="Arial Narrow" w:hAnsi="Arial Narrow" w:cs="Times New Roman"/>
                <w:b/>
                <w:snapToGrid/>
                <w:color w:val="000000"/>
                <w:sz w:val="20"/>
                <w:lang w:eastAsia="en-AU"/>
              </w:rPr>
              <w:br/>
              <w:t>+SOF</w:t>
            </w:r>
          </w:p>
        </w:tc>
        <w:tc>
          <w:tcPr>
            <w:tcW w:w="1134" w:type="dxa"/>
          </w:tcPr>
          <w:p w:rsidR="008B6C92" w:rsidRPr="00036700" w:rsidRDefault="008B6C92" w:rsidP="00277A70">
            <w:pPr>
              <w:widowControl/>
              <w:jc w:val="center"/>
              <w:rPr>
                <w:rFonts w:ascii="Arial Narrow" w:hAnsi="Arial Narrow" w:cs="Times New Roman"/>
                <w:b/>
                <w:snapToGrid/>
                <w:color w:val="000000"/>
                <w:sz w:val="20"/>
                <w:vertAlign w:val="superscript"/>
                <w:lang w:eastAsia="en-AU"/>
              </w:rPr>
            </w:pPr>
            <w:r w:rsidRPr="00036700">
              <w:rPr>
                <w:rFonts w:ascii="Arial Narrow" w:hAnsi="Arial Narrow" w:cs="Times New Roman"/>
                <w:b/>
                <w:snapToGrid/>
                <w:color w:val="000000"/>
                <w:sz w:val="20"/>
                <w:lang w:eastAsia="en-AU"/>
              </w:rPr>
              <w:t>LDV/SOF</w:t>
            </w:r>
            <w:r w:rsidRPr="00036700">
              <w:rPr>
                <w:rFonts w:ascii="Arial Narrow" w:hAnsi="Arial Narrow" w:cs="Times New Roman"/>
                <w:b/>
                <w:snapToGrid/>
                <w:color w:val="000000"/>
                <w:sz w:val="20"/>
                <w:vertAlign w:val="superscript"/>
                <w:lang w:eastAsia="en-AU"/>
              </w:rPr>
              <w:t>e</w:t>
            </w:r>
          </w:p>
        </w:tc>
        <w:tc>
          <w:tcPr>
            <w:tcW w:w="1134" w:type="dxa"/>
          </w:tcPr>
          <w:p w:rsidR="008B6C92" w:rsidRPr="00036700" w:rsidRDefault="008B6C92" w:rsidP="00277A70">
            <w:pPr>
              <w:widowControl/>
              <w:jc w:val="center"/>
              <w:rPr>
                <w:rFonts w:ascii="Arial Narrow" w:hAnsi="Arial Narrow" w:cs="Times New Roman"/>
                <w:b/>
                <w:snapToGrid/>
                <w:color w:val="000000"/>
                <w:sz w:val="20"/>
                <w:vertAlign w:val="superscript"/>
                <w:lang w:eastAsia="en-AU"/>
              </w:rPr>
            </w:pPr>
            <w:r w:rsidRPr="00036700">
              <w:rPr>
                <w:rFonts w:ascii="Arial Narrow" w:hAnsi="Arial Narrow" w:cs="Times New Roman"/>
                <w:b/>
                <w:snapToGrid/>
                <w:color w:val="000000"/>
                <w:sz w:val="20"/>
                <w:lang w:eastAsia="en-AU"/>
              </w:rPr>
              <w:t>SOF+RBV</w:t>
            </w:r>
          </w:p>
        </w:tc>
        <w:tc>
          <w:tcPr>
            <w:tcW w:w="1134" w:type="dxa"/>
          </w:tcPr>
          <w:p w:rsidR="008B6C92" w:rsidRPr="00036700" w:rsidRDefault="008B6C92" w:rsidP="00277A70">
            <w:pPr>
              <w:widowControl/>
              <w:jc w:val="center"/>
              <w:rPr>
                <w:rFonts w:ascii="Arial Narrow" w:hAnsi="Arial Narrow" w:cs="Times New Roman"/>
                <w:b/>
                <w:snapToGrid/>
                <w:color w:val="000000"/>
                <w:sz w:val="20"/>
                <w:vertAlign w:val="superscript"/>
                <w:lang w:eastAsia="en-AU"/>
              </w:rPr>
            </w:pPr>
            <w:r w:rsidRPr="00036700">
              <w:rPr>
                <w:rFonts w:ascii="Arial Narrow" w:hAnsi="Arial Narrow" w:cs="Times New Roman"/>
                <w:b/>
                <w:snapToGrid/>
                <w:color w:val="000000"/>
                <w:sz w:val="20"/>
                <w:lang w:eastAsia="en-AU"/>
              </w:rPr>
              <w:t>SOF+PR</w:t>
            </w:r>
          </w:p>
        </w:tc>
      </w:tr>
      <w:tr w:rsidR="008B6C92" w:rsidRPr="00036700" w:rsidTr="008B6C92">
        <w:tc>
          <w:tcPr>
            <w:tcW w:w="1781" w:type="dxa"/>
          </w:tcPr>
          <w:p w:rsidR="008B6C92" w:rsidRPr="00036700" w:rsidRDefault="008B6C92" w:rsidP="00277A70">
            <w:pPr>
              <w:widowControl/>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Duration of treatment</w:t>
            </w:r>
          </w:p>
        </w:tc>
        <w:tc>
          <w:tcPr>
            <w:tcW w:w="1134" w:type="dxa"/>
            <w:shd w:val="clear" w:color="auto" w:fill="auto"/>
            <w:noWrap/>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8 or 12 weeks</w:t>
            </w:r>
          </w:p>
        </w:tc>
        <w:tc>
          <w:tcPr>
            <w:tcW w:w="1134" w:type="dxa"/>
            <w:shd w:val="clear" w:color="auto" w:fill="auto"/>
            <w:noWrap/>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12 or 16 weeks</w:t>
            </w:r>
          </w:p>
        </w:tc>
        <w:tc>
          <w:tcPr>
            <w:tcW w:w="1134" w:type="dxa"/>
            <w:shd w:val="clear" w:color="auto" w:fill="auto"/>
            <w:noWrap/>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12 weeks</w:t>
            </w:r>
          </w:p>
        </w:tc>
        <w:tc>
          <w:tcPr>
            <w:tcW w:w="1134" w:type="dxa"/>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8 or 12 weeks</w:t>
            </w:r>
          </w:p>
        </w:tc>
        <w:tc>
          <w:tcPr>
            <w:tcW w:w="1134" w:type="dxa"/>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24 weeks</w:t>
            </w:r>
          </w:p>
        </w:tc>
        <w:tc>
          <w:tcPr>
            <w:tcW w:w="1134" w:type="dxa"/>
          </w:tcPr>
          <w:p w:rsidR="008B6C92" w:rsidRPr="00036700" w:rsidRDefault="008B6C92" w:rsidP="00277A70">
            <w:pPr>
              <w:widowControl/>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12 weeks</w:t>
            </w:r>
          </w:p>
        </w:tc>
      </w:tr>
      <w:tr w:rsidR="008B6C92" w:rsidRPr="00036700" w:rsidTr="00B2525A">
        <w:tc>
          <w:tcPr>
            <w:tcW w:w="1781" w:type="dxa"/>
            <w:tcBorders>
              <w:bottom w:val="single" w:sz="4" w:space="0" w:color="auto"/>
            </w:tcBorders>
          </w:tcPr>
          <w:p w:rsidR="008B6C92" w:rsidRPr="00036700" w:rsidRDefault="008B6C92" w:rsidP="00277A70">
            <w:pPr>
              <w:widowControl/>
              <w:jc w:val="left"/>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N</w:t>
            </w:r>
          </w:p>
        </w:tc>
        <w:tc>
          <w:tcPr>
            <w:tcW w:w="1134" w:type="dxa"/>
            <w:tcBorders>
              <w:bottom w:val="single" w:sz="4" w:space="0" w:color="auto"/>
            </w:tcBorders>
            <w:shd w:val="clear" w:color="auto" w:fill="auto"/>
            <w:noWrap/>
            <w:hideMark/>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543</w:t>
            </w:r>
            <w:r w:rsidRPr="00036700">
              <w:rPr>
                <w:rFonts w:ascii="Arial Narrow" w:hAnsi="Arial Narrow" w:cs="Times New Roman"/>
                <w:b/>
                <w:snapToGrid/>
                <w:color w:val="000000"/>
                <w:sz w:val="20"/>
                <w:vertAlign w:val="superscript"/>
                <w:lang w:eastAsia="en-AU"/>
              </w:rPr>
              <w:t>b</w:t>
            </w:r>
          </w:p>
        </w:tc>
        <w:tc>
          <w:tcPr>
            <w:tcW w:w="1134" w:type="dxa"/>
            <w:tcBorders>
              <w:bottom w:val="single" w:sz="4" w:space="0" w:color="auto"/>
            </w:tcBorders>
            <w:shd w:val="clear" w:color="auto" w:fill="auto"/>
            <w:noWrap/>
            <w:hideMark/>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185</w:t>
            </w:r>
            <w:r w:rsidRPr="00036700">
              <w:rPr>
                <w:rFonts w:ascii="Arial Narrow" w:hAnsi="Arial Narrow" w:cs="Times New Roman"/>
                <w:b/>
                <w:snapToGrid/>
                <w:color w:val="000000"/>
                <w:sz w:val="20"/>
                <w:vertAlign w:val="superscript"/>
                <w:lang w:eastAsia="en-AU"/>
              </w:rPr>
              <w:t>c</w:t>
            </w:r>
          </w:p>
        </w:tc>
        <w:tc>
          <w:tcPr>
            <w:tcW w:w="1134" w:type="dxa"/>
            <w:tcBorders>
              <w:bottom w:val="single" w:sz="4" w:space="0" w:color="auto"/>
            </w:tcBorders>
            <w:shd w:val="clear" w:color="auto" w:fill="auto"/>
            <w:noWrap/>
            <w:hideMark/>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26</w:t>
            </w:r>
            <w:r w:rsidRPr="00036700">
              <w:rPr>
                <w:rFonts w:ascii="Arial Narrow" w:hAnsi="Arial Narrow" w:cs="Times New Roman"/>
                <w:b/>
                <w:snapToGrid/>
                <w:color w:val="000000"/>
                <w:sz w:val="20"/>
                <w:vertAlign w:val="superscript"/>
                <w:lang w:eastAsia="en-AU"/>
              </w:rPr>
              <w:t>d</w:t>
            </w:r>
          </w:p>
        </w:tc>
        <w:tc>
          <w:tcPr>
            <w:tcW w:w="1134" w:type="dxa"/>
            <w:tcBorders>
              <w:bottom w:val="single" w:sz="4" w:space="0" w:color="auto"/>
            </w:tcBorders>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577</w:t>
            </w:r>
            <w:r w:rsidRPr="00036700">
              <w:rPr>
                <w:rFonts w:ascii="Arial Narrow" w:hAnsi="Arial Narrow" w:cs="Times New Roman"/>
                <w:b/>
                <w:snapToGrid/>
                <w:color w:val="000000"/>
                <w:sz w:val="20"/>
                <w:vertAlign w:val="superscript"/>
                <w:lang w:eastAsia="en-AU"/>
              </w:rPr>
              <w:t>e</w:t>
            </w:r>
          </w:p>
        </w:tc>
        <w:tc>
          <w:tcPr>
            <w:tcW w:w="1134" w:type="dxa"/>
            <w:tcBorders>
              <w:bottom w:val="single" w:sz="4" w:space="0" w:color="auto"/>
            </w:tcBorders>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250</w:t>
            </w:r>
            <w:r w:rsidRPr="00036700">
              <w:rPr>
                <w:rFonts w:ascii="Arial Narrow" w:hAnsi="Arial Narrow" w:cs="Times New Roman"/>
                <w:b/>
                <w:snapToGrid/>
                <w:color w:val="000000"/>
                <w:sz w:val="20"/>
                <w:vertAlign w:val="superscript"/>
                <w:lang w:eastAsia="en-AU"/>
              </w:rPr>
              <w:t>f</w:t>
            </w:r>
          </w:p>
        </w:tc>
        <w:tc>
          <w:tcPr>
            <w:tcW w:w="1134" w:type="dxa"/>
            <w:tcBorders>
              <w:bottom w:val="single" w:sz="4" w:space="0" w:color="auto"/>
            </w:tcBorders>
          </w:tcPr>
          <w:p w:rsidR="008B6C92" w:rsidRPr="00036700" w:rsidRDefault="008B6C92" w:rsidP="00277A70">
            <w:pPr>
              <w:widowControl/>
              <w:jc w:val="center"/>
              <w:rPr>
                <w:rFonts w:ascii="Arial Narrow" w:hAnsi="Arial Narrow" w:cs="Times New Roman"/>
                <w:b/>
                <w:snapToGrid/>
                <w:color w:val="000000"/>
                <w:sz w:val="20"/>
                <w:lang w:eastAsia="en-AU"/>
              </w:rPr>
            </w:pPr>
            <w:r w:rsidRPr="00036700">
              <w:rPr>
                <w:rFonts w:ascii="Arial Narrow" w:hAnsi="Arial Narrow" w:cs="Times New Roman"/>
                <w:b/>
                <w:snapToGrid/>
                <w:color w:val="000000"/>
                <w:sz w:val="20"/>
                <w:lang w:eastAsia="en-AU"/>
              </w:rPr>
              <w:t>327</w:t>
            </w:r>
            <w:r w:rsidRPr="00036700">
              <w:rPr>
                <w:rFonts w:ascii="Arial Narrow" w:hAnsi="Arial Narrow" w:cs="Times New Roman"/>
                <w:b/>
                <w:snapToGrid/>
                <w:color w:val="000000"/>
                <w:sz w:val="20"/>
                <w:vertAlign w:val="superscript"/>
                <w:lang w:eastAsia="en-AU"/>
              </w:rPr>
              <w:t>g</w:t>
            </w:r>
          </w:p>
        </w:tc>
      </w:tr>
      <w:tr w:rsidR="008B6C92" w:rsidRPr="00036700" w:rsidTr="00B2525A">
        <w:trPr>
          <w:trHeight w:val="70"/>
        </w:trPr>
        <w:tc>
          <w:tcPr>
            <w:tcW w:w="1781" w:type="dxa"/>
            <w:tcBorders>
              <w:bottom w:val="dotted" w:sz="4" w:space="0" w:color="auto"/>
              <w:right w:val="single" w:sz="4" w:space="0" w:color="auto"/>
            </w:tcBorders>
          </w:tcPr>
          <w:p w:rsidR="008B6C92" w:rsidRPr="00036700" w:rsidRDefault="008B6C92" w:rsidP="00277A70">
            <w:pPr>
              <w:widowControl/>
              <w:ind w:left="34"/>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Overall</w:t>
            </w: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r>
      <w:tr w:rsidR="008B6C92" w:rsidRPr="00036700" w:rsidTr="00B2525A">
        <w:trPr>
          <w:trHeight w:val="70"/>
        </w:trPr>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Any AEs</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37</w:t>
            </w:r>
            <w:r w:rsidR="006072A3" w:rsidRPr="00036700">
              <w:rPr>
                <w:rFonts w:ascii="Arial Narrow" w:hAnsi="Arial Narrow" w:cs="Times New Roman"/>
                <w:snapToGrid/>
                <w:color w:val="000000"/>
                <w:sz w:val="20"/>
                <w:lang w:eastAsia="en-AU"/>
              </w:rPr>
              <w:t>6</w:t>
            </w:r>
            <w:r w:rsidRPr="00036700">
              <w:rPr>
                <w:rFonts w:ascii="Arial Narrow" w:hAnsi="Arial Narrow" w:cs="Times New Roman"/>
                <w:snapToGrid/>
                <w:color w:val="000000"/>
                <w:sz w:val="20"/>
                <w:lang w:eastAsia="en-AU"/>
              </w:rPr>
              <w:t xml:space="preserve"> (69.</w:t>
            </w:r>
            <w:r w:rsidR="006072A3" w:rsidRPr="00036700">
              <w:rPr>
                <w:rFonts w:ascii="Arial Narrow" w:hAnsi="Arial Narrow" w:cs="Times New Roman"/>
                <w:snapToGrid/>
                <w:color w:val="000000"/>
                <w:sz w:val="20"/>
                <w:lang w:eastAsia="en-AU"/>
              </w:rPr>
              <w:t>2</w:t>
            </w:r>
            <w:r w:rsidRPr="00036700">
              <w:rPr>
                <w:rFonts w:ascii="Arial Narrow" w:hAnsi="Arial Narrow" w:cs="Times New Roman"/>
                <w:snapToGrid/>
                <w:color w:val="000000"/>
                <w:sz w:val="20"/>
                <w:lang w:eastAsia="en-AU"/>
              </w:rPr>
              <w:t>%)</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158 (85.4%)</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 (23.1%)</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403 (69.8%)</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229 (91.6%)</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310 (94.8%)</w:t>
            </w:r>
          </w:p>
        </w:tc>
      </w:tr>
      <w:tr w:rsidR="008B6C92" w:rsidRPr="00036700" w:rsidTr="00B2525A">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Serious AEs</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15 (2.8%)</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8 (4.3%)</w:t>
            </w:r>
          </w:p>
        </w:tc>
        <w:tc>
          <w:tcPr>
            <w:tcW w:w="1134" w:type="dxa"/>
            <w:tcBorders>
              <w:top w:val="dotted" w:sz="4" w:space="0" w:color="auto"/>
              <w:bottom w:val="dotted"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 (1.0%)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10 (4.0%)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4 (1.2%)</w:t>
            </w:r>
          </w:p>
        </w:tc>
      </w:tr>
      <w:tr w:rsidR="008B6C92" w:rsidRPr="00036700" w:rsidTr="00B2525A">
        <w:tc>
          <w:tcPr>
            <w:tcW w:w="1781" w:type="dxa"/>
            <w:tcBorders>
              <w:top w:val="dotted" w:sz="4" w:space="0" w:color="auto"/>
              <w:bottom w:val="single"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Discontinuation due to AEs</w:t>
            </w:r>
          </w:p>
        </w:tc>
        <w:tc>
          <w:tcPr>
            <w:tcW w:w="1134" w:type="dxa"/>
            <w:tcBorders>
              <w:top w:val="dotted" w:sz="4" w:space="0" w:color="auto"/>
              <w:bottom w:val="single"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5 (0.9%)</w:t>
            </w:r>
          </w:p>
        </w:tc>
        <w:tc>
          <w:tcPr>
            <w:tcW w:w="1134" w:type="dxa"/>
            <w:tcBorders>
              <w:top w:val="dotted" w:sz="4" w:space="0" w:color="auto"/>
              <w:bottom w:val="single"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 (3.2%)</w:t>
            </w:r>
          </w:p>
        </w:tc>
        <w:tc>
          <w:tcPr>
            <w:tcW w:w="1134" w:type="dxa"/>
            <w:tcBorders>
              <w:top w:val="dotted" w:sz="4" w:space="0" w:color="auto"/>
              <w:bottom w:val="single" w:sz="4" w:space="0" w:color="auto"/>
            </w:tcBorders>
            <w:shd w:val="clear" w:color="auto" w:fill="auto"/>
            <w:noWrap/>
            <w:vAlign w:val="center"/>
            <w:hideMark/>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bottom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bottom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 (0.4%)</w:t>
            </w:r>
          </w:p>
        </w:tc>
        <w:tc>
          <w:tcPr>
            <w:tcW w:w="1134" w:type="dxa"/>
            <w:tcBorders>
              <w:top w:val="dotted" w:sz="4" w:space="0" w:color="auto"/>
              <w:bottom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5 (1.5%)</w:t>
            </w:r>
          </w:p>
        </w:tc>
      </w:tr>
      <w:tr w:rsidR="008B6C92" w:rsidRPr="00036700" w:rsidTr="00B2525A">
        <w:trPr>
          <w:trHeight w:val="70"/>
        </w:trPr>
        <w:tc>
          <w:tcPr>
            <w:tcW w:w="1781" w:type="dxa"/>
            <w:tcBorders>
              <w:bottom w:val="dotted" w:sz="4" w:space="0" w:color="auto"/>
              <w:right w:val="single" w:sz="4" w:space="0" w:color="auto"/>
            </w:tcBorders>
          </w:tcPr>
          <w:p w:rsidR="008B6C92" w:rsidRPr="00036700" w:rsidRDefault="008B6C92" w:rsidP="00277A70">
            <w:pPr>
              <w:widowControl/>
              <w:ind w:left="34"/>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AEs of interest</w:t>
            </w: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right w:val="single"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c>
          <w:tcPr>
            <w:tcW w:w="1134" w:type="dxa"/>
            <w:tcBorders>
              <w:left w:val="single"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p>
        </w:tc>
      </w:tr>
      <w:tr w:rsidR="008B6C92" w:rsidRPr="00036700" w:rsidTr="00B2525A">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Anaemia</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 (0.4%)</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23 (12.4%)</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 (7.7%)</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 (0.3%)</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15 (6.0%)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68 (20.8%)</w:t>
            </w:r>
          </w:p>
        </w:tc>
      </w:tr>
      <w:tr w:rsidR="008B6C92" w:rsidRPr="00036700" w:rsidTr="00B2525A">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Neutropenia</w:t>
            </w:r>
            <w:r w:rsidRPr="00036700">
              <w:rPr>
                <w:rFonts w:ascii="Arial Narrow" w:hAnsi="Arial Narrow" w:cs="Times New Roman"/>
                <w:snapToGrid/>
                <w:color w:val="000000"/>
                <w:sz w:val="20"/>
                <w:vertAlign w:val="superscript"/>
                <w:lang w:eastAsia="en-AU"/>
              </w:rPr>
              <w:t>h</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 (0.4%)</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(0.0%)</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 (0.2)</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 (0.4%)</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54 (16.5%)</w:t>
            </w:r>
          </w:p>
        </w:tc>
      </w:tr>
      <w:tr w:rsidR="008B6C92" w:rsidRPr="00036700" w:rsidTr="00B2525A">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Rash</w:t>
            </w:r>
            <w:r w:rsidRPr="00036700">
              <w:rPr>
                <w:rFonts w:ascii="Arial Narrow" w:hAnsi="Arial Narrow" w:cs="Times New Roman"/>
                <w:snapToGrid/>
                <w:color w:val="000000"/>
                <w:sz w:val="20"/>
                <w:vertAlign w:val="superscript"/>
                <w:lang w:eastAsia="en-AU"/>
              </w:rPr>
              <w:t>i</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11 (2.0%)</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11 (</w:t>
            </w:r>
            <w:r w:rsidR="00604555" w:rsidRPr="00036700">
              <w:rPr>
                <w:rFonts w:ascii="Arial Narrow" w:hAnsi="Arial Narrow" w:cs="Times New Roman"/>
                <w:snapToGrid/>
                <w:color w:val="000000"/>
                <w:sz w:val="20"/>
                <w:lang w:eastAsia="en-AU"/>
              </w:rPr>
              <w:t>5.9</w:t>
            </w:r>
            <w:r w:rsidRPr="00036700">
              <w:rPr>
                <w:rFonts w:ascii="Arial Narrow" w:hAnsi="Arial Narrow" w:cs="Times New Roman"/>
                <w:snapToGrid/>
                <w:color w:val="000000"/>
                <w:sz w:val="20"/>
                <w:lang w:eastAsia="en-AU"/>
              </w:rPr>
              <w:t>%)</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21 (3.9%)</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NA</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59 (18.0%)</w:t>
            </w:r>
          </w:p>
        </w:tc>
      </w:tr>
      <w:tr w:rsidR="008B6C92" w:rsidRPr="00036700" w:rsidTr="00B2525A">
        <w:tc>
          <w:tcPr>
            <w:tcW w:w="1781" w:type="dxa"/>
            <w:tcBorders>
              <w:top w:val="dotted" w:sz="4" w:space="0" w:color="auto"/>
              <w:bottom w:val="dotted" w:sz="4" w:space="0" w:color="auto"/>
            </w:tcBorders>
          </w:tcPr>
          <w:p w:rsidR="008B6C92" w:rsidRPr="00036700" w:rsidRDefault="008B6C92" w:rsidP="00277A70">
            <w:pPr>
              <w:widowControl/>
              <w:ind w:left="198"/>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Pruritus</w:t>
            </w:r>
            <w:r w:rsidRPr="00036700">
              <w:rPr>
                <w:rFonts w:ascii="Arial Narrow" w:hAnsi="Arial Narrow" w:cs="Times New Roman"/>
                <w:snapToGrid/>
                <w:color w:val="000000"/>
                <w:sz w:val="20"/>
                <w:vertAlign w:val="superscript"/>
                <w:lang w:eastAsia="en-AU"/>
              </w:rPr>
              <w:t>h</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10 (1.8%)</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14 (7.6%)</w:t>
            </w:r>
          </w:p>
        </w:tc>
        <w:tc>
          <w:tcPr>
            <w:tcW w:w="1134" w:type="dxa"/>
            <w:tcBorders>
              <w:top w:val="dotted" w:sz="4" w:space="0" w:color="auto"/>
              <w:bottom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13 (3.0%)</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67 (26.8%)</w:t>
            </w:r>
          </w:p>
        </w:tc>
        <w:tc>
          <w:tcPr>
            <w:tcW w:w="1134" w:type="dxa"/>
            <w:tcBorders>
              <w:top w:val="dotted" w:sz="4" w:space="0" w:color="auto"/>
              <w:bottom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54 (16.5%)</w:t>
            </w:r>
          </w:p>
        </w:tc>
      </w:tr>
      <w:tr w:rsidR="008B6C92" w:rsidRPr="00036700" w:rsidTr="00B2525A">
        <w:tc>
          <w:tcPr>
            <w:tcW w:w="1781" w:type="dxa"/>
            <w:tcBorders>
              <w:top w:val="dotted" w:sz="4" w:space="0" w:color="auto"/>
            </w:tcBorders>
          </w:tcPr>
          <w:p w:rsidR="008B6C92" w:rsidRPr="00036700" w:rsidRDefault="008B6C92" w:rsidP="00277A70">
            <w:pPr>
              <w:widowControl/>
              <w:ind w:left="198" w:right="-57"/>
              <w:jc w:val="left"/>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Hepatic events with clinical interest</w:t>
            </w:r>
            <w:r w:rsidRPr="00036700">
              <w:rPr>
                <w:rFonts w:ascii="Arial Narrow" w:hAnsi="Arial Narrow" w:cs="Times New Roman"/>
                <w:snapToGrid/>
                <w:color w:val="000000"/>
                <w:sz w:val="20"/>
                <w:vertAlign w:val="superscript"/>
                <w:lang w:eastAsia="en-AU"/>
              </w:rPr>
              <w:t>j</w:t>
            </w:r>
          </w:p>
        </w:tc>
        <w:tc>
          <w:tcPr>
            <w:tcW w:w="1134" w:type="dxa"/>
            <w:tcBorders>
              <w:top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6 (1.1%)</w:t>
            </w:r>
          </w:p>
        </w:tc>
        <w:tc>
          <w:tcPr>
            <w:tcW w:w="1134" w:type="dxa"/>
            <w:tcBorders>
              <w:top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tcBorders>
            <w:shd w:val="clear" w:color="auto" w:fill="auto"/>
            <w:noWrap/>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0 (0%)</w:t>
            </w:r>
          </w:p>
        </w:tc>
        <w:tc>
          <w:tcPr>
            <w:tcW w:w="1134" w:type="dxa"/>
            <w:tcBorders>
              <w:top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NA</w:t>
            </w:r>
          </w:p>
        </w:tc>
        <w:tc>
          <w:tcPr>
            <w:tcW w:w="1134" w:type="dxa"/>
            <w:tcBorders>
              <w:top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NA</w:t>
            </w:r>
          </w:p>
        </w:tc>
        <w:tc>
          <w:tcPr>
            <w:tcW w:w="1134" w:type="dxa"/>
            <w:tcBorders>
              <w:top w:val="dotted" w:sz="4" w:space="0" w:color="auto"/>
            </w:tcBorders>
            <w:vAlign w:val="center"/>
          </w:tcPr>
          <w:p w:rsidR="008B6C92" w:rsidRPr="00036700" w:rsidRDefault="008B6C92" w:rsidP="00277A70">
            <w:pPr>
              <w:widowControl/>
              <w:ind w:left="-57" w:right="-57"/>
              <w:jc w:val="center"/>
              <w:rPr>
                <w:rFonts w:ascii="Arial Narrow" w:hAnsi="Arial Narrow" w:cs="Times New Roman"/>
                <w:snapToGrid/>
                <w:color w:val="000000"/>
                <w:sz w:val="20"/>
                <w:lang w:eastAsia="en-AU"/>
              </w:rPr>
            </w:pPr>
            <w:r w:rsidRPr="00036700">
              <w:rPr>
                <w:rFonts w:ascii="Arial Narrow" w:hAnsi="Arial Narrow" w:cs="Times New Roman"/>
                <w:snapToGrid/>
                <w:color w:val="000000"/>
                <w:sz w:val="20"/>
                <w:lang w:eastAsia="en-AU"/>
              </w:rPr>
              <w:t>NA</w:t>
            </w:r>
          </w:p>
        </w:tc>
      </w:tr>
    </w:tbl>
    <w:p w:rsidR="00B86554" w:rsidRPr="00036700" w:rsidRDefault="00B86554" w:rsidP="00277A70">
      <w:pPr>
        <w:pStyle w:val="TableFooter"/>
        <w:widowControl/>
        <w:ind w:left="737"/>
        <w:rPr>
          <w:szCs w:val="18"/>
        </w:rPr>
      </w:pPr>
      <w:r w:rsidRPr="00036700">
        <w:rPr>
          <w:szCs w:val="18"/>
        </w:rPr>
        <w:t xml:space="preserve">AE = adverse event; EBR = elbasvir; GRZ = grazoprevir; LDV = ledipasvir; PR = peginterferon and ribavirin; RBV = ribavirin; SOF = sofosbuvir; ULN = upper limit of normal </w:t>
      </w:r>
    </w:p>
    <w:p w:rsidR="00B86554" w:rsidRPr="00036700" w:rsidRDefault="00B86554" w:rsidP="00277A70">
      <w:pPr>
        <w:pStyle w:val="TableFooter"/>
        <w:widowControl/>
        <w:ind w:left="737"/>
        <w:rPr>
          <w:szCs w:val="18"/>
        </w:rPr>
      </w:pPr>
      <w:proofErr w:type="gramStart"/>
      <w:r w:rsidRPr="00036700">
        <w:rPr>
          <w:szCs w:val="18"/>
          <w:vertAlign w:val="superscript"/>
        </w:rPr>
        <w:t>a</w:t>
      </w:r>
      <w:proofErr w:type="gramEnd"/>
      <w:r w:rsidRPr="00036700">
        <w:rPr>
          <w:szCs w:val="18"/>
          <w:vertAlign w:val="superscript"/>
        </w:rPr>
        <w:t xml:space="preserve"> </w:t>
      </w:r>
      <w:r w:rsidRPr="00036700">
        <w:rPr>
          <w:szCs w:val="18"/>
        </w:rPr>
        <w:t xml:space="preserve">Data on AEs were pooled and calculated during the evaluation. </w:t>
      </w:r>
    </w:p>
    <w:p w:rsidR="00B86554" w:rsidRPr="00036700" w:rsidRDefault="00B86554" w:rsidP="00277A70">
      <w:pPr>
        <w:pStyle w:val="TableFooter"/>
        <w:widowControl/>
        <w:ind w:left="737"/>
        <w:rPr>
          <w:rFonts w:cs="Times New Roman"/>
          <w:snapToGrid/>
          <w:color w:val="000000"/>
          <w:szCs w:val="18"/>
          <w:lang w:eastAsia="en-AU"/>
        </w:rPr>
      </w:pPr>
      <w:proofErr w:type="gramStart"/>
      <w:r w:rsidRPr="00036700">
        <w:rPr>
          <w:szCs w:val="18"/>
          <w:vertAlign w:val="superscript"/>
        </w:rPr>
        <w:t>b</w:t>
      </w:r>
      <w:proofErr w:type="gramEnd"/>
      <w:r w:rsidRPr="00036700">
        <w:rPr>
          <w:szCs w:val="18"/>
          <w:vertAlign w:val="superscript"/>
        </w:rPr>
        <w:t xml:space="preserve"> </w:t>
      </w:r>
      <w:r w:rsidRPr="00036700">
        <w:rPr>
          <w:szCs w:val="18"/>
        </w:rPr>
        <w:t xml:space="preserve">Including the following treatment arms: Group </w:t>
      </w:r>
      <w:r w:rsidRPr="00036700">
        <w:rPr>
          <w:rFonts w:cs="Times New Roman"/>
          <w:snapToGrid/>
          <w:color w:val="000000"/>
          <w:szCs w:val="18"/>
          <w:lang w:eastAsia="en-AU"/>
        </w:rPr>
        <w:t>1 in C-EDGE TN, Group 1 in C-EDGE TE, Groups 3, B3, B5 and Group C2 in C-WORTHY, and Group B3 in C-SCAPE</w:t>
      </w:r>
    </w:p>
    <w:p w:rsidR="00B86554" w:rsidRPr="00036700" w:rsidRDefault="00B86554" w:rsidP="00277A70">
      <w:pPr>
        <w:pStyle w:val="TableFooter"/>
        <w:widowControl/>
        <w:ind w:left="737"/>
        <w:rPr>
          <w:szCs w:val="18"/>
        </w:rPr>
      </w:pPr>
      <w:proofErr w:type="gramStart"/>
      <w:r w:rsidRPr="00036700">
        <w:rPr>
          <w:szCs w:val="18"/>
          <w:vertAlign w:val="superscript"/>
        </w:rPr>
        <w:t>c</w:t>
      </w:r>
      <w:proofErr w:type="gramEnd"/>
      <w:r w:rsidRPr="00036700">
        <w:rPr>
          <w:szCs w:val="18"/>
          <w:vertAlign w:val="superscript"/>
        </w:rPr>
        <w:t xml:space="preserve"> </w:t>
      </w:r>
      <w:r w:rsidR="005D2230" w:rsidRPr="00036700">
        <w:rPr>
          <w:szCs w:val="18"/>
        </w:rPr>
        <w:t xml:space="preserve">Including </w:t>
      </w:r>
      <w:r w:rsidRPr="00036700">
        <w:rPr>
          <w:szCs w:val="18"/>
        </w:rPr>
        <w:t xml:space="preserve">Group 4 in C-EDGE TE and </w:t>
      </w:r>
      <w:r w:rsidR="005D2230" w:rsidRPr="00036700">
        <w:rPr>
          <w:szCs w:val="18"/>
        </w:rPr>
        <w:t>the subjects in C-SALVAGE</w:t>
      </w:r>
    </w:p>
    <w:p w:rsidR="00B86554" w:rsidRPr="00036700" w:rsidRDefault="00B86554" w:rsidP="00277A70">
      <w:pPr>
        <w:pStyle w:val="TableFooter"/>
        <w:widowControl/>
        <w:ind w:left="737"/>
        <w:rPr>
          <w:szCs w:val="18"/>
        </w:rPr>
      </w:pPr>
      <w:proofErr w:type="gramStart"/>
      <w:r w:rsidRPr="00036700">
        <w:rPr>
          <w:szCs w:val="18"/>
          <w:vertAlign w:val="superscript"/>
        </w:rPr>
        <w:t>d</w:t>
      </w:r>
      <w:proofErr w:type="gramEnd"/>
      <w:r w:rsidRPr="00036700">
        <w:rPr>
          <w:szCs w:val="18"/>
        </w:rPr>
        <w:t xml:space="preserve"> Including Groups 6 and 7 in C-</w:t>
      </w:r>
      <w:r w:rsidR="005D2230" w:rsidRPr="00036700">
        <w:rPr>
          <w:szCs w:val="18"/>
        </w:rPr>
        <w:t>SWIFT</w:t>
      </w:r>
    </w:p>
    <w:p w:rsidR="00B86554" w:rsidRPr="00036700" w:rsidRDefault="00B86554" w:rsidP="00277A70">
      <w:pPr>
        <w:pStyle w:val="TableFooter"/>
        <w:widowControl/>
        <w:ind w:left="737"/>
        <w:rPr>
          <w:szCs w:val="18"/>
        </w:rPr>
      </w:pPr>
      <w:proofErr w:type="gramStart"/>
      <w:r w:rsidRPr="00036700">
        <w:rPr>
          <w:szCs w:val="18"/>
          <w:vertAlign w:val="superscript"/>
        </w:rPr>
        <w:t>e</w:t>
      </w:r>
      <w:proofErr w:type="gramEnd"/>
      <w:r w:rsidRPr="00036700">
        <w:rPr>
          <w:szCs w:val="18"/>
        </w:rPr>
        <w:t xml:space="preserve"> Including the following treatment arms: Group 1 in ION-1, Group 1 in ION-2, Group 1 in ION-3 and Groups 1 and 4 in LONESTAR</w:t>
      </w:r>
    </w:p>
    <w:p w:rsidR="00B86554" w:rsidRPr="00036700" w:rsidRDefault="00B86554" w:rsidP="00277A70">
      <w:pPr>
        <w:pStyle w:val="TableFooter"/>
        <w:widowControl/>
        <w:ind w:left="737"/>
        <w:rPr>
          <w:szCs w:val="18"/>
        </w:rPr>
      </w:pPr>
      <w:proofErr w:type="gramStart"/>
      <w:r w:rsidRPr="00036700">
        <w:rPr>
          <w:szCs w:val="18"/>
          <w:vertAlign w:val="superscript"/>
        </w:rPr>
        <w:t>f</w:t>
      </w:r>
      <w:proofErr w:type="gramEnd"/>
      <w:r w:rsidRPr="00036700">
        <w:rPr>
          <w:szCs w:val="18"/>
          <w:vertAlign w:val="superscript"/>
        </w:rPr>
        <w:t xml:space="preserve"> </w:t>
      </w:r>
      <w:r w:rsidRPr="00036700">
        <w:rPr>
          <w:szCs w:val="18"/>
        </w:rPr>
        <w:t xml:space="preserve">Including Group 4 in VALENCE </w:t>
      </w:r>
    </w:p>
    <w:p w:rsidR="00B86554" w:rsidRPr="00036700" w:rsidRDefault="00B86554" w:rsidP="00277A70">
      <w:pPr>
        <w:pStyle w:val="TableFooter"/>
        <w:widowControl/>
        <w:ind w:left="737"/>
        <w:rPr>
          <w:szCs w:val="18"/>
        </w:rPr>
      </w:pPr>
      <w:proofErr w:type="gramStart"/>
      <w:r w:rsidRPr="00036700">
        <w:rPr>
          <w:szCs w:val="18"/>
          <w:vertAlign w:val="superscript"/>
        </w:rPr>
        <w:t>g</w:t>
      </w:r>
      <w:proofErr w:type="gramEnd"/>
      <w:r w:rsidRPr="00036700">
        <w:rPr>
          <w:szCs w:val="18"/>
        </w:rPr>
        <w:t xml:space="preserve"> Including the subjects in NEUTRINO. Data on the number of patients experiencing AEs among patients receiving SOF+PR in Wehmeyer were not provided.</w:t>
      </w:r>
    </w:p>
    <w:p w:rsidR="00B86554" w:rsidRPr="00036700" w:rsidRDefault="00B86554" w:rsidP="00277A70">
      <w:pPr>
        <w:pStyle w:val="TableFooter"/>
        <w:widowControl/>
        <w:ind w:left="737"/>
        <w:rPr>
          <w:szCs w:val="18"/>
        </w:rPr>
      </w:pPr>
      <w:proofErr w:type="gramStart"/>
      <w:r w:rsidRPr="00036700">
        <w:rPr>
          <w:szCs w:val="18"/>
          <w:vertAlign w:val="superscript"/>
        </w:rPr>
        <w:t>h</w:t>
      </w:r>
      <w:proofErr w:type="gramEnd"/>
      <w:r w:rsidRPr="00036700">
        <w:rPr>
          <w:szCs w:val="18"/>
        </w:rPr>
        <w:t xml:space="preserve"> </w:t>
      </w:r>
      <w:r w:rsidR="002E5FD1" w:rsidRPr="00036700">
        <w:rPr>
          <w:szCs w:val="18"/>
        </w:rPr>
        <w:t>Relevant safety data were not reported for ION-2 and LONESTAR</w:t>
      </w:r>
    </w:p>
    <w:p w:rsidR="00B86554" w:rsidRPr="00036700" w:rsidRDefault="00B86554" w:rsidP="00277A70">
      <w:pPr>
        <w:pStyle w:val="TableFooter"/>
        <w:widowControl/>
        <w:ind w:left="737"/>
        <w:rPr>
          <w:szCs w:val="18"/>
        </w:rPr>
      </w:pPr>
      <w:proofErr w:type="gramStart"/>
      <w:r w:rsidRPr="00036700">
        <w:rPr>
          <w:szCs w:val="18"/>
          <w:vertAlign w:val="superscript"/>
        </w:rPr>
        <w:t>i</w:t>
      </w:r>
      <w:proofErr w:type="gramEnd"/>
      <w:r w:rsidRPr="00036700">
        <w:rPr>
          <w:szCs w:val="18"/>
          <w:vertAlign w:val="superscript"/>
        </w:rPr>
        <w:t xml:space="preserve"> </w:t>
      </w:r>
      <w:r w:rsidR="002E5FD1" w:rsidRPr="00036700">
        <w:rPr>
          <w:szCs w:val="18"/>
        </w:rPr>
        <w:t>Relevant safety data were not reported for LONESTAR and VALANCE</w:t>
      </w:r>
    </w:p>
    <w:p w:rsidR="00B86554" w:rsidRPr="00036700" w:rsidRDefault="00B86554" w:rsidP="00277A70">
      <w:pPr>
        <w:pStyle w:val="TableFooter"/>
        <w:widowControl/>
        <w:ind w:left="737"/>
        <w:rPr>
          <w:szCs w:val="18"/>
        </w:rPr>
      </w:pPr>
      <w:proofErr w:type="gramStart"/>
      <w:r w:rsidRPr="00036700">
        <w:rPr>
          <w:szCs w:val="18"/>
          <w:vertAlign w:val="superscript"/>
        </w:rPr>
        <w:t>j</w:t>
      </w:r>
      <w:proofErr w:type="gramEnd"/>
      <w:r w:rsidRPr="00036700">
        <w:rPr>
          <w:szCs w:val="18"/>
        </w:rPr>
        <w:t xml:space="preserve"> </w:t>
      </w:r>
      <w:r w:rsidR="002E5FD1" w:rsidRPr="00036700">
        <w:rPr>
          <w:szCs w:val="18"/>
        </w:rPr>
        <w:t>Relevant safety data were not reported for all comparator studies</w:t>
      </w:r>
      <w:r w:rsidR="00C776AE" w:rsidRPr="00036700">
        <w:rPr>
          <w:szCs w:val="18"/>
        </w:rPr>
        <w:t>.</w:t>
      </w:r>
      <w:r w:rsidR="00C776AE" w:rsidRPr="00036700">
        <w:t xml:space="preserve"> </w:t>
      </w:r>
      <w:r w:rsidR="00C776AE" w:rsidRPr="00036700">
        <w:rPr>
          <w:szCs w:val="18"/>
        </w:rPr>
        <w:t>Hepatic laboratory events of clinical interest were defined as the following:</w:t>
      </w:r>
      <w:r w:rsidR="00A85568" w:rsidRPr="00036700">
        <w:rPr>
          <w:szCs w:val="18"/>
        </w:rPr>
        <w:t xml:space="preserve"> </w:t>
      </w:r>
      <w:r w:rsidR="00C776AE" w:rsidRPr="00036700">
        <w:rPr>
          <w:szCs w:val="18"/>
        </w:rPr>
        <w:t>1) ALT or AST &gt;500 IU/mL regardless of baseline ALT/AST (not associated with virologic failure); or 2) ALT or AST &gt;3x baseline and &gt;100 IU/mL (not associated with virologic failure); or 3) alkaline phosphatase &gt;3x ULN (not associated with virologic failure).</w:t>
      </w:r>
    </w:p>
    <w:p w:rsidR="00B86554" w:rsidRPr="00036700" w:rsidRDefault="00B86554" w:rsidP="00277A70">
      <w:pPr>
        <w:pStyle w:val="TableFooter"/>
        <w:widowControl/>
        <w:ind w:left="737"/>
        <w:rPr>
          <w:szCs w:val="18"/>
        </w:rPr>
      </w:pPr>
      <w:r w:rsidRPr="00036700">
        <w:rPr>
          <w:szCs w:val="18"/>
        </w:rPr>
        <w:t>Source: Table constructed during the evaluation.</w:t>
      </w:r>
    </w:p>
    <w:p w:rsidR="002E5FD1" w:rsidRPr="00036700" w:rsidRDefault="002E5FD1" w:rsidP="00277A70">
      <w:pPr>
        <w:widowControl/>
      </w:pPr>
    </w:p>
    <w:p w:rsidR="00B60939" w:rsidRPr="002C3191" w:rsidRDefault="00295690" w:rsidP="00D9008B">
      <w:pPr>
        <w:pStyle w:val="ListParagraph"/>
        <w:widowControl/>
        <w:numPr>
          <w:ilvl w:val="1"/>
          <w:numId w:val="1"/>
        </w:numPr>
      </w:pPr>
      <w:r w:rsidRPr="002C3191">
        <w:t xml:space="preserve">The comparative safety results across treatment regimens via indirect comparisons are indicative, given the lack of exchangeability across studies. </w:t>
      </w:r>
      <w:r w:rsidR="002F420B" w:rsidRPr="002C3191">
        <w:t>T</w:t>
      </w:r>
      <w:r w:rsidR="00B86554" w:rsidRPr="002C3191">
        <w:t xml:space="preserve">he </w:t>
      </w:r>
      <w:r w:rsidR="00FC7A32" w:rsidRPr="002C3191">
        <w:t>incidence of serious AEs and treatment discontinuation as a result of AEs</w:t>
      </w:r>
      <w:r w:rsidR="00B86554" w:rsidRPr="002C3191">
        <w:t xml:space="preserve"> </w:t>
      </w:r>
      <w:r w:rsidR="00FC7A32" w:rsidRPr="002C3191">
        <w:t xml:space="preserve">was low in patients receiving GRZ/EBR </w:t>
      </w:r>
      <w:r w:rsidR="009A3ABA" w:rsidRPr="002C3191">
        <w:t>or</w:t>
      </w:r>
      <w:r w:rsidR="00FC7A32" w:rsidRPr="002C3191">
        <w:t xml:space="preserve"> LDV/SOF.</w:t>
      </w:r>
      <w:r w:rsidR="00F73D3D" w:rsidRPr="002C3191">
        <w:t xml:space="preserve"> </w:t>
      </w:r>
      <w:r w:rsidR="00FC7A32" w:rsidRPr="002C3191">
        <w:t xml:space="preserve">GRZ/EBR therapies were associated with hepatic events of clinical interest; but relevant data were not provided for the active comparators in the submission. </w:t>
      </w:r>
      <w:r w:rsidR="00FE28B2" w:rsidRPr="002C3191">
        <w:t>The key differences in AE rates between treatment arms containing RBV versus those without RBV</w:t>
      </w:r>
      <w:r w:rsidR="0089036B" w:rsidRPr="002C3191">
        <w:t xml:space="preserve"> </w:t>
      </w:r>
      <w:r w:rsidR="00FE28B2" w:rsidRPr="002C3191">
        <w:t>were rash and anaemia related events, bot</w:t>
      </w:r>
      <w:r w:rsidR="00D20344" w:rsidRPr="002C3191">
        <w:t xml:space="preserve">h of </w:t>
      </w:r>
      <w:r w:rsidR="00FE28B2" w:rsidRPr="002C3191">
        <w:t>which</w:t>
      </w:r>
      <w:r w:rsidR="00D20344" w:rsidRPr="002C3191">
        <w:t xml:space="preserve"> are known </w:t>
      </w:r>
      <w:r w:rsidR="0089036B" w:rsidRPr="002C3191">
        <w:t>AE</w:t>
      </w:r>
      <w:r w:rsidR="00D20344" w:rsidRPr="002C3191">
        <w:t xml:space="preserve">s related to the use of </w:t>
      </w:r>
      <w:r w:rsidR="00FE28B2" w:rsidRPr="002C3191">
        <w:t>RBV</w:t>
      </w:r>
      <w:r w:rsidR="00D20344" w:rsidRPr="002C3191">
        <w:t xml:space="preserve">. </w:t>
      </w:r>
      <w:r w:rsidR="0089036B" w:rsidRPr="002C3191">
        <w:t xml:space="preserve">The use of interferon </w:t>
      </w:r>
      <w:r w:rsidR="00FE28B2" w:rsidRPr="002C3191">
        <w:t xml:space="preserve">in addition to DAAs raises </w:t>
      </w:r>
      <w:r w:rsidR="0089036B" w:rsidRPr="002C3191">
        <w:t>more safety issues, eg neutropenia.</w:t>
      </w:r>
    </w:p>
    <w:p w:rsidR="00C606C5" w:rsidRPr="002C3191" w:rsidRDefault="00C606C5" w:rsidP="004500A1"/>
    <w:p w:rsidR="00C606C5" w:rsidRPr="002C3191" w:rsidRDefault="00C606C5" w:rsidP="00D9008B">
      <w:pPr>
        <w:pStyle w:val="ListParagraph"/>
        <w:widowControl/>
        <w:numPr>
          <w:ilvl w:val="1"/>
          <w:numId w:val="1"/>
        </w:numPr>
      </w:pPr>
      <w:r w:rsidRPr="002C3191">
        <w:t>The PSCR (p.4) stated that the majority of patients treated with GRZ/EBR do not require RBV, and only a small proportion of GT 1a, 4 and 5 patients who have failed prior treatment will require GRZ/EBR + RBV. The ESC noted the higher rates of adverse events in patients given GRZ/EBR + RBV compared to GRZ/EBR alone or LDV/SOF.</w:t>
      </w:r>
    </w:p>
    <w:p w:rsidR="007F3886" w:rsidRPr="002C3191" w:rsidRDefault="007F3886" w:rsidP="00277A70">
      <w:pPr>
        <w:pStyle w:val="ListParagraph"/>
        <w:widowControl/>
      </w:pPr>
    </w:p>
    <w:p w:rsidR="007F3886" w:rsidRPr="00036700" w:rsidRDefault="007F3886" w:rsidP="00D9008B">
      <w:pPr>
        <w:pStyle w:val="ListParagraph"/>
        <w:widowControl/>
        <w:numPr>
          <w:ilvl w:val="1"/>
          <w:numId w:val="1"/>
        </w:numPr>
      </w:pPr>
      <w:r w:rsidRPr="00036700">
        <w:lastRenderedPageBreak/>
        <w:t xml:space="preserve">The PSCR (p.4) argued that data on hepatic events for the active comparators was not provided as the information was not contained in publically available publications or Product Information (PI) documents, and was therefore unable to provide it. The </w:t>
      </w:r>
      <w:r w:rsidR="001617F3" w:rsidRPr="00036700">
        <w:t>PSCR also noted</w:t>
      </w:r>
      <w:r w:rsidRPr="00036700">
        <w:t xml:space="preserve"> the PI for Viekira Pak stated that hepatic events of interest occurred in about 1% of all subjects, </w:t>
      </w:r>
      <w:r w:rsidR="001617F3" w:rsidRPr="00036700">
        <w:t>and argued it was similar to the rate of hepatic events found with GRZ/EBR (0.8%) and that the types of events observed were similar.</w:t>
      </w:r>
      <w:r w:rsidRPr="00036700">
        <w:t xml:space="preserve"> The ESC noted that guidelines are now in place for the use of new hepatitis C medicines in practice, and considered that these measures would be appropriate and adequate for GRZ/EBR.</w:t>
      </w:r>
    </w:p>
    <w:p w:rsidR="003A04BB" w:rsidRPr="002C3191" w:rsidRDefault="003A04BB" w:rsidP="004500A1"/>
    <w:p w:rsidR="00B86554" w:rsidRPr="002C3191" w:rsidRDefault="00B86554" w:rsidP="00D9008B">
      <w:pPr>
        <w:pStyle w:val="ListParagraph"/>
        <w:widowControl/>
        <w:numPr>
          <w:ilvl w:val="1"/>
          <w:numId w:val="1"/>
        </w:numPr>
      </w:pPr>
      <w:r w:rsidRPr="002C3191">
        <w:t>There were limited data on the safety of GRZ/EBR administered in combination with SOF.</w:t>
      </w:r>
    </w:p>
    <w:p w:rsidR="00CB146C" w:rsidRPr="00036700" w:rsidRDefault="00CB146C" w:rsidP="00277A70">
      <w:pPr>
        <w:widowControl/>
      </w:pPr>
    </w:p>
    <w:p w:rsidR="007F1017" w:rsidRPr="005E5DEF" w:rsidRDefault="007F1017" w:rsidP="00277A70">
      <w:pPr>
        <w:pStyle w:val="Heading2"/>
        <w:widowControl/>
        <w:rPr>
          <w:i/>
          <w:szCs w:val="22"/>
        </w:rPr>
      </w:pPr>
      <w:bookmarkStart w:id="11" w:name="_Toc440963732"/>
      <w:r w:rsidRPr="005E5DEF">
        <w:rPr>
          <w:i/>
        </w:rPr>
        <w:t>Benefits/harms</w:t>
      </w:r>
      <w:bookmarkEnd w:id="11"/>
    </w:p>
    <w:p w:rsidR="007F1017" w:rsidRPr="00036700" w:rsidRDefault="007F1017" w:rsidP="00277A70">
      <w:pPr>
        <w:pStyle w:val="ListParagraph"/>
        <w:widowControl/>
        <w:ind w:left="0"/>
        <w:rPr>
          <w:szCs w:val="22"/>
        </w:rPr>
      </w:pPr>
    </w:p>
    <w:p w:rsidR="00876C2E" w:rsidRPr="002C3191" w:rsidRDefault="008552A0" w:rsidP="00D9008B">
      <w:pPr>
        <w:pStyle w:val="ListParagraph"/>
        <w:widowControl/>
        <w:numPr>
          <w:ilvl w:val="1"/>
          <w:numId w:val="1"/>
        </w:numPr>
      </w:pPr>
      <w:r w:rsidRPr="002C3191">
        <w:t xml:space="preserve">A summary table of benefits and harms cannot be formulated, given: </w:t>
      </w:r>
    </w:p>
    <w:p w:rsidR="00876C2E" w:rsidRPr="002C3191" w:rsidRDefault="006926DC" w:rsidP="00D9008B">
      <w:pPr>
        <w:pStyle w:val="ListParagraph"/>
        <w:widowControl/>
        <w:numPr>
          <w:ilvl w:val="0"/>
          <w:numId w:val="11"/>
        </w:numPr>
        <w:ind w:left="1134" w:hanging="283"/>
      </w:pPr>
      <w:r w:rsidRPr="002C3191">
        <w:t xml:space="preserve">the lack of comparative evidence from </w:t>
      </w:r>
      <w:r w:rsidR="00876C2E" w:rsidRPr="002C3191">
        <w:t>head-to-head</w:t>
      </w:r>
      <w:r w:rsidRPr="002C3191">
        <w:t xml:space="preserve"> trials</w:t>
      </w:r>
      <w:r w:rsidR="008552A0" w:rsidRPr="002C3191">
        <w:t xml:space="preserve">; </w:t>
      </w:r>
    </w:p>
    <w:p w:rsidR="00876C2E" w:rsidRPr="002C3191" w:rsidRDefault="002257BB" w:rsidP="00D9008B">
      <w:pPr>
        <w:pStyle w:val="ListParagraph"/>
        <w:widowControl/>
        <w:numPr>
          <w:ilvl w:val="0"/>
          <w:numId w:val="11"/>
        </w:numPr>
        <w:ind w:left="1134" w:hanging="283"/>
      </w:pPr>
      <w:r w:rsidRPr="002C3191">
        <w:t>concerns regarding unadjusted indirect comparison</w:t>
      </w:r>
      <w:r w:rsidR="007738F3" w:rsidRPr="002C3191">
        <w:t>s</w:t>
      </w:r>
      <w:r w:rsidRPr="002C3191">
        <w:t xml:space="preserve"> of clinical studies with potential exchangeability issues</w:t>
      </w:r>
      <w:r w:rsidR="008552A0" w:rsidRPr="002C3191">
        <w:t xml:space="preserve">; </w:t>
      </w:r>
    </w:p>
    <w:p w:rsidR="00876C2E" w:rsidRPr="002C3191" w:rsidRDefault="002257BB" w:rsidP="00D9008B">
      <w:pPr>
        <w:pStyle w:val="ListParagraph"/>
        <w:widowControl/>
        <w:numPr>
          <w:ilvl w:val="0"/>
          <w:numId w:val="11"/>
        </w:numPr>
        <w:ind w:left="1134" w:hanging="283"/>
      </w:pPr>
      <w:r w:rsidRPr="002C3191">
        <w:t xml:space="preserve">the lack of </w:t>
      </w:r>
      <w:r w:rsidR="006926DC" w:rsidRPr="002C3191">
        <w:t xml:space="preserve">statistically significant differences </w:t>
      </w:r>
      <w:r w:rsidR="008552A0" w:rsidRPr="002C3191">
        <w:t xml:space="preserve">in SVR rates </w:t>
      </w:r>
      <w:r w:rsidR="006926DC" w:rsidRPr="002C3191">
        <w:t xml:space="preserve">between </w:t>
      </w:r>
      <w:r w:rsidR="007738F3" w:rsidRPr="002C3191">
        <w:t>GRZ/EBR</w:t>
      </w:r>
      <w:r w:rsidR="005F11CC" w:rsidRPr="002C3191">
        <w:t xml:space="preserve"> therapies </w:t>
      </w:r>
      <w:r w:rsidR="008552A0" w:rsidRPr="002C3191">
        <w:t xml:space="preserve">and </w:t>
      </w:r>
      <w:r w:rsidR="00876C2E" w:rsidRPr="002C3191">
        <w:t xml:space="preserve">the </w:t>
      </w:r>
      <w:r w:rsidR="008552A0" w:rsidRPr="002C3191">
        <w:t xml:space="preserve">active comparators; and </w:t>
      </w:r>
    </w:p>
    <w:p w:rsidR="00B60939" w:rsidRPr="002C3191" w:rsidRDefault="008552A0" w:rsidP="00D9008B">
      <w:pPr>
        <w:pStyle w:val="ListParagraph"/>
        <w:widowControl/>
        <w:numPr>
          <w:ilvl w:val="0"/>
          <w:numId w:val="11"/>
        </w:numPr>
        <w:ind w:left="1134" w:hanging="283"/>
      </w:pPr>
      <w:proofErr w:type="gramStart"/>
      <w:r w:rsidRPr="002C3191">
        <w:t>the</w:t>
      </w:r>
      <w:proofErr w:type="gramEnd"/>
      <w:r w:rsidRPr="002C3191">
        <w:t xml:space="preserve"> small size of the genotype 4 or 6 treatment-experienced subgroup (n=7), which </w:t>
      </w:r>
      <w:r w:rsidR="00876C2E" w:rsidRPr="002C3191">
        <w:t xml:space="preserve">means that </w:t>
      </w:r>
      <w:r w:rsidRPr="002C3191">
        <w:t xml:space="preserve">the </w:t>
      </w:r>
      <w:r w:rsidR="003C11E8" w:rsidRPr="002C3191">
        <w:t xml:space="preserve">magnitude of the clinical benefits associated with GRZ/EBR±RBV </w:t>
      </w:r>
      <w:r w:rsidR="003C11E8" w:rsidRPr="002C3191">
        <w:rPr>
          <w:i/>
        </w:rPr>
        <w:t xml:space="preserve">versus </w:t>
      </w:r>
      <w:r w:rsidR="003C11E8" w:rsidRPr="002C3191">
        <w:t xml:space="preserve">no treatment </w:t>
      </w:r>
      <w:r w:rsidR="002948AC" w:rsidRPr="002C3191">
        <w:t>unable to</w:t>
      </w:r>
      <w:r w:rsidR="003C11E8" w:rsidRPr="002C3191">
        <w:t xml:space="preserve"> be reliably </w:t>
      </w:r>
      <w:r w:rsidR="00876C2E" w:rsidRPr="002C3191">
        <w:t>estimated</w:t>
      </w:r>
      <w:r w:rsidR="006926DC" w:rsidRPr="002C3191">
        <w:t>.</w:t>
      </w:r>
      <w:r w:rsidR="007738F3" w:rsidRPr="002C3191">
        <w:t xml:space="preserve"> </w:t>
      </w:r>
    </w:p>
    <w:p w:rsidR="006926DC" w:rsidRPr="00036700" w:rsidRDefault="006926DC" w:rsidP="00277A70">
      <w:pPr>
        <w:widowControl/>
      </w:pPr>
    </w:p>
    <w:p w:rsidR="00B60939" w:rsidRPr="005E5DEF" w:rsidRDefault="00B60939" w:rsidP="00277A70">
      <w:pPr>
        <w:pStyle w:val="Heading2"/>
        <w:widowControl/>
        <w:rPr>
          <w:i/>
        </w:rPr>
      </w:pPr>
      <w:bookmarkStart w:id="12" w:name="_Toc440963733"/>
      <w:r w:rsidRPr="005E5DEF">
        <w:rPr>
          <w:i/>
        </w:rPr>
        <w:t>Clinical claim</w:t>
      </w:r>
      <w:bookmarkEnd w:id="12"/>
    </w:p>
    <w:p w:rsidR="00B60939" w:rsidRPr="00036700" w:rsidRDefault="00B60939" w:rsidP="00277A70">
      <w:pPr>
        <w:widowControl/>
        <w:ind w:left="720" w:hanging="720"/>
        <w:rPr>
          <w:szCs w:val="22"/>
        </w:rPr>
      </w:pPr>
    </w:p>
    <w:p w:rsidR="00FC45A9" w:rsidRPr="00036700" w:rsidRDefault="003C11E8" w:rsidP="00D9008B">
      <w:pPr>
        <w:pStyle w:val="ListParagraph"/>
        <w:widowControl/>
        <w:numPr>
          <w:ilvl w:val="1"/>
          <w:numId w:val="1"/>
        </w:numPr>
      </w:pPr>
      <w:r w:rsidRPr="00036700">
        <w:t>The submission describe</w:t>
      </w:r>
      <w:r w:rsidR="00615E79" w:rsidRPr="00036700">
        <w:t>d</w:t>
      </w:r>
      <w:r w:rsidR="00FC45A9" w:rsidRPr="00036700">
        <w:t>:</w:t>
      </w:r>
    </w:p>
    <w:p w:rsidR="00FC45A9" w:rsidRPr="00036700" w:rsidRDefault="00FC45A9" w:rsidP="00277A70">
      <w:pPr>
        <w:widowControl/>
      </w:pPr>
    </w:p>
    <w:p w:rsidR="00FC45A9" w:rsidRPr="00036700" w:rsidRDefault="00FC45A9" w:rsidP="00D9008B">
      <w:pPr>
        <w:pStyle w:val="ListParagraph"/>
        <w:widowControl/>
        <w:numPr>
          <w:ilvl w:val="0"/>
          <w:numId w:val="3"/>
        </w:numPr>
        <w:ind w:left="993"/>
      </w:pPr>
      <w:r w:rsidRPr="00036700">
        <w:t>GRZ/EBR12 as non-inferior to LDV/SOF8 in terms of comparative effectiveness and safety in genotype 1 treatment-naïve non-cirrhotic patients (GRZ/EBR8 could be considered in subjects with genotype 1b with minimal fibrosis (F0-F2));</w:t>
      </w:r>
    </w:p>
    <w:p w:rsidR="00FC45A9" w:rsidRPr="00036700" w:rsidRDefault="00FC45A9" w:rsidP="00D9008B">
      <w:pPr>
        <w:pStyle w:val="ListParagraph"/>
        <w:widowControl/>
        <w:numPr>
          <w:ilvl w:val="0"/>
          <w:numId w:val="3"/>
        </w:numPr>
        <w:ind w:left="993"/>
      </w:pPr>
      <w:r w:rsidRPr="00036700">
        <w:t>GRZ/EBR12 as non-inferior to LDV/SOF12 in terms of comparative effectiveness and safety in genotype 1 treatment-naïve cirrhotic patients, genotype 1 treatment-experienced relapsers and genotype 1b patients who have experienced on-treatment virologic failure;</w:t>
      </w:r>
    </w:p>
    <w:p w:rsidR="00FC45A9" w:rsidRPr="00036700" w:rsidRDefault="00FC45A9" w:rsidP="00D9008B">
      <w:pPr>
        <w:pStyle w:val="ListParagraph"/>
        <w:widowControl/>
        <w:numPr>
          <w:ilvl w:val="0"/>
          <w:numId w:val="3"/>
        </w:numPr>
        <w:ind w:left="993"/>
      </w:pPr>
      <w:r w:rsidRPr="00036700">
        <w:t xml:space="preserve">GRZ/EBR16+RBV16 as non-inferior to LDV/SOF12 in terms of comparative effectiveness and safety in genotype 1a patients who have experienced on-treatment virologic failure; </w:t>
      </w:r>
    </w:p>
    <w:p w:rsidR="00FC45A9" w:rsidRPr="00036700" w:rsidRDefault="00FC45A9" w:rsidP="00D9008B">
      <w:pPr>
        <w:pStyle w:val="ListParagraph"/>
        <w:widowControl/>
        <w:numPr>
          <w:ilvl w:val="0"/>
          <w:numId w:val="3"/>
        </w:numPr>
        <w:ind w:left="993"/>
      </w:pPr>
      <w:r w:rsidRPr="00036700">
        <w:t>GRZ/EBR12+SOF12 as non-inferior to SOF24+RBV24 in terms of comparative effectiveness and safety in genotype 3 treatment-</w:t>
      </w:r>
      <w:r w:rsidR="00426671" w:rsidRPr="00036700">
        <w:t>naive</w:t>
      </w:r>
      <w:r w:rsidRPr="00036700">
        <w:t xml:space="preserve"> patients; </w:t>
      </w:r>
    </w:p>
    <w:p w:rsidR="00FC45A9" w:rsidRPr="00036700" w:rsidRDefault="00FC45A9" w:rsidP="00D9008B">
      <w:pPr>
        <w:pStyle w:val="ListParagraph"/>
        <w:widowControl/>
        <w:numPr>
          <w:ilvl w:val="0"/>
          <w:numId w:val="3"/>
        </w:numPr>
        <w:ind w:left="993"/>
      </w:pPr>
      <w:r w:rsidRPr="00036700">
        <w:t>GRZ/EBR12 as non-inferior to SOF12+PR12 in terms of comparative effectiveness and safety in genotypes 4 and 6 treatment-naïve patients</w:t>
      </w:r>
      <w:r w:rsidR="00426671" w:rsidRPr="00036700">
        <w:t>;</w:t>
      </w:r>
    </w:p>
    <w:p w:rsidR="00FC45A9" w:rsidRPr="00036700" w:rsidRDefault="00FC45A9" w:rsidP="00D9008B">
      <w:pPr>
        <w:pStyle w:val="ListParagraph"/>
        <w:widowControl/>
        <w:numPr>
          <w:ilvl w:val="0"/>
          <w:numId w:val="3"/>
        </w:numPr>
        <w:ind w:left="993"/>
      </w:pPr>
      <w:r w:rsidRPr="00036700">
        <w:t xml:space="preserve">GRZ/EBR12 as superior in terms of comparative effectiveness and non-inferior in terms of comparative safety </w:t>
      </w:r>
      <w:r w:rsidR="00282F39" w:rsidRPr="00036700">
        <w:t xml:space="preserve">to no treatment </w:t>
      </w:r>
      <w:r w:rsidRPr="00036700">
        <w:t xml:space="preserve">in genotypes 4 and 6 treatment-experienced relapsers; and </w:t>
      </w:r>
    </w:p>
    <w:p w:rsidR="00FC45A9" w:rsidRPr="00036700" w:rsidRDefault="00FC45A9" w:rsidP="00D9008B">
      <w:pPr>
        <w:pStyle w:val="ListParagraph"/>
        <w:widowControl/>
        <w:numPr>
          <w:ilvl w:val="0"/>
          <w:numId w:val="3"/>
        </w:numPr>
        <w:ind w:left="993"/>
      </w:pPr>
      <w:r w:rsidRPr="00036700">
        <w:t xml:space="preserve">GRZ/EBR16+RBV16 as superior in terms of comparative effectiveness and non-inferior in terms of comparative safety </w:t>
      </w:r>
      <w:r w:rsidR="00282F39" w:rsidRPr="00036700">
        <w:t xml:space="preserve">to no treatment </w:t>
      </w:r>
      <w:r w:rsidRPr="00036700">
        <w:t xml:space="preserve">in genotypes 4 and 6 patients who have experienced on-treatment virologic failure. </w:t>
      </w:r>
    </w:p>
    <w:p w:rsidR="00FC45A9" w:rsidRPr="00036700" w:rsidRDefault="00FC45A9" w:rsidP="00277A70">
      <w:pPr>
        <w:pStyle w:val="ListParagraph"/>
        <w:widowControl/>
      </w:pPr>
    </w:p>
    <w:p w:rsidR="00D9008B" w:rsidRPr="00036700" w:rsidRDefault="00D9008B" w:rsidP="0053195E">
      <w:pPr>
        <w:pStyle w:val="ListParagraph"/>
        <w:widowControl/>
        <w:numPr>
          <w:ilvl w:val="1"/>
          <w:numId w:val="1"/>
        </w:numPr>
        <w:rPr>
          <w:bCs/>
        </w:rPr>
      </w:pPr>
      <w:r w:rsidRPr="00036700">
        <w:rPr>
          <w:bCs/>
          <w:szCs w:val="22"/>
        </w:rPr>
        <w:lastRenderedPageBreak/>
        <w:t>The PBAC consid</w:t>
      </w:r>
      <w:r w:rsidR="000D5B7F" w:rsidRPr="00036700">
        <w:rPr>
          <w:bCs/>
          <w:szCs w:val="22"/>
        </w:rPr>
        <w:t>ered that the claim of non-inferior</w:t>
      </w:r>
      <w:r w:rsidRPr="00036700">
        <w:rPr>
          <w:bCs/>
          <w:szCs w:val="22"/>
        </w:rPr>
        <w:t xml:space="preserve"> comparative effectiveness was reasonable</w:t>
      </w:r>
      <w:r w:rsidR="000D5B7F" w:rsidRPr="00036700">
        <w:rPr>
          <w:bCs/>
          <w:szCs w:val="22"/>
        </w:rPr>
        <w:t xml:space="preserve"> for genotypes 1, 4 and 6,</w:t>
      </w:r>
      <w:r w:rsidR="000750DE" w:rsidRPr="00036700">
        <w:rPr>
          <w:bCs/>
          <w:szCs w:val="22"/>
        </w:rPr>
        <w:t xml:space="preserve"> albeit noting the small patient numbers for genotypes 4 and 6.  The PBAC considered the claim of non-inferior comparative effectiveness</w:t>
      </w:r>
      <w:r w:rsidR="0079171B" w:rsidRPr="00036700">
        <w:rPr>
          <w:bCs/>
          <w:szCs w:val="22"/>
        </w:rPr>
        <w:t xml:space="preserve"> </w:t>
      </w:r>
      <w:r w:rsidRPr="00036700">
        <w:rPr>
          <w:bCs/>
          <w:szCs w:val="22"/>
        </w:rPr>
        <w:t>was not adequately supported by the data</w:t>
      </w:r>
      <w:r w:rsidR="000D5B7F" w:rsidRPr="00036700">
        <w:rPr>
          <w:bCs/>
          <w:szCs w:val="22"/>
        </w:rPr>
        <w:t xml:space="preserve"> for genotype 3</w:t>
      </w:r>
      <w:r w:rsidRPr="00036700">
        <w:rPr>
          <w:bCs/>
          <w:szCs w:val="22"/>
        </w:rPr>
        <w:t>.</w:t>
      </w:r>
      <w:r w:rsidR="000D5B7F" w:rsidRPr="00036700">
        <w:rPr>
          <w:bCs/>
          <w:szCs w:val="22"/>
        </w:rPr>
        <w:t xml:space="preserve"> </w:t>
      </w:r>
    </w:p>
    <w:p w:rsidR="00D9008B" w:rsidRPr="00036700" w:rsidRDefault="00D9008B" w:rsidP="00D9008B">
      <w:pPr>
        <w:pStyle w:val="ListParagraph"/>
        <w:rPr>
          <w:bCs/>
          <w:szCs w:val="22"/>
        </w:rPr>
      </w:pPr>
    </w:p>
    <w:p w:rsidR="00D9008B" w:rsidRPr="00036700" w:rsidRDefault="00D9008B" w:rsidP="00D9008B">
      <w:pPr>
        <w:pStyle w:val="ListParagraph"/>
        <w:widowControl/>
        <w:numPr>
          <w:ilvl w:val="1"/>
          <w:numId w:val="1"/>
        </w:numPr>
        <w:rPr>
          <w:szCs w:val="22"/>
        </w:rPr>
      </w:pPr>
      <w:r w:rsidRPr="00036700">
        <w:rPr>
          <w:szCs w:val="22"/>
        </w:rPr>
        <w:t>The PBAC consid</w:t>
      </w:r>
      <w:r w:rsidR="000D5B7F" w:rsidRPr="00036700">
        <w:rPr>
          <w:szCs w:val="22"/>
        </w:rPr>
        <w:t>ered that the claim of non-inferior</w:t>
      </w:r>
      <w:r w:rsidRPr="00036700">
        <w:rPr>
          <w:szCs w:val="22"/>
        </w:rPr>
        <w:t xml:space="preserve"> comparativ</w:t>
      </w:r>
      <w:r w:rsidR="000D5B7F" w:rsidRPr="00036700">
        <w:rPr>
          <w:szCs w:val="22"/>
        </w:rPr>
        <w:t>e safety was reasonable</w:t>
      </w:r>
      <w:r w:rsidRPr="00036700">
        <w:rPr>
          <w:szCs w:val="22"/>
        </w:rPr>
        <w:t>.</w:t>
      </w:r>
    </w:p>
    <w:p w:rsidR="00D9008B" w:rsidRPr="005E5DEF" w:rsidRDefault="00D9008B" w:rsidP="00277A70">
      <w:pPr>
        <w:widowControl/>
        <w:ind w:left="720" w:hanging="720"/>
        <w:rPr>
          <w:i/>
          <w:szCs w:val="22"/>
        </w:rPr>
      </w:pPr>
    </w:p>
    <w:p w:rsidR="00B60939" w:rsidRPr="005E5DEF" w:rsidRDefault="00B60939" w:rsidP="00277A70">
      <w:pPr>
        <w:pStyle w:val="Heading2"/>
        <w:widowControl/>
        <w:rPr>
          <w:i/>
        </w:rPr>
      </w:pPr>
      <w:bookmarkStart w:id="13" w:name="_Toc440963734"/>
      <w:r w:rsidRPr="005E5DEF">
        <w:rPr>
          <w:i/>
        </w:rPr>
        <w:t>Economic analysis</w:t>
      </w:r>
      <w:bookmarkEnd w:id="13"/>
      <w:r w:rsidR="00491B3A" w:rsidRPr="005E5DEF">
        <w:rPr>
          <w:i/>
        </w:rPr>
        <w:t xml:space="preserve"> </w:t>
      </w:r>
    </w:p>
    <w:p w:rsidR="00B60939" w:rsidRPr="005E5DEF" w:rsidRDefault="00B60939" w:rsidP="00277A70">
      <w:pPr>
        <w:widowControl/>
        <w:ind w:left="720" w:hanging="720"/>
        <w:rPr>
          <w:i/>
          <w:szCs w:val="22"/>
        </w:rPr>
      </w:pPr>
    </w:p>
    <w:p w:rsidR="00803FEE" w:rsidRPr="00036700" w:rsidRDefault="00775939" w:rsidP="00D9008B">
      <w:pPr>
        <w:pStyle w:val="ListParagraph"/>
        <w:widowControl/>
        <w:numPr>
          <w:ilvl w:val="1"/>
          <w:numId w:val="1"/>
        </w:numPr>
        <w:rPr>
          <w:szCs w:val="22"/>
        </w:rPr>
      </w:pPr>
      <w:r w:rsidRPr="00036700">
        <w:rPr>
          <w:szCs w:val="22"/>
        </w:rPr>
        <w:t xml:space="preserve">The submission took a </w:t>
      </w:r>
      <w:r w:rsidR="00803FEE" w:rsidRPr="00036700">
        <w:rPr>
          <w:szCs w:val="22"/>
        </w:rPr>
        <w:t>cost</w:t>
      </w:r>
      <w:r w:rsidR="006D70E3" w:rsidRPr="00036700">
        <w:rPr>
          <w:szCs w:val="22"/>
        </w:rPr>
        <w:t>-</w:t>
      </w:r>
      <w:r w:rsidR="00803FEE" w:rsidRPr="00036700">
        <w:rPr>
          <w:szCs w:val="22"/>
        </w:rPr>
        <w:t xml:space="preserve">minimisation </w:t>
      </w:r>
      <w:r w:rsidRPr="00036700">
        <w:rPr>
          <w:szCs w:val="22"/>
        </w:rPr>
        <w:t>approach</w:t>
      </w:r>
      <w:r w:rsidR="006D70E3" w:rsidRPr="00036700">
        <w:rPr>
          <w:szCs w:val="22"/>
        </w:rPr>
        <w:t>.</w:t>
      </w:r>
      <w:r w:rsidR="006D70E3" w:rsidRPr="00036700">
        <w:t xml:space="preserve"> The equi-effective doses</w:t>
      </w:r>
      <w:r w:rsidR="000F5E73">
        <w:t xml:space="preserve"> presented in the submission and</w:t>
      </w:r>
      <w:r w:rsidR="007076B5" w:rsidRPr="00036700">
        <w:t xml:space="preserve"> based on the requested PBS listings for GRZ/EBR and </w:t>
      </w:r>
      <w:r w:rsidR="00282F39" w:rsidRPr="00036700">
        <w:t xml:space="preserve">clinical </w:t>
      </w:r>
      <w:r w:rsidR="0034580D" w:rsidRPr="00036700">
        <w:t xml:space="preserve">studies </w:t>
      </w:r>
      <w:r w:rsidR="00282F39" w:rsidRPr="00036700">
        <w:t xml:space="preserve">presented </w:t>
      </w:r>
      <w:r w:rsidR="007076B5" w:rsidRPr="00036700">
        <w:t xml:space="preserve">in Section B(i), </w:t>
      </w:r>
      <w:r w:rsidR="006D70E3" w:rsidRPr="00036700">
        <w:t>are</w:t>
      </w:r>
      <w:r w:rsidR="006D70E3" w:rsidRPr="00036700">
        <w:rPr>
          <w:szCs w:val="22"/>
        </w:rPr>
        <w:t>:</w:t>
      </w:r>
    </w:p>
    <w:p w:rsidR="006D70E3" w:rsidRPr="00036700" w:rsidRDefault="006D70E3" w:rsidP="00277A70">
      <w:pPr>
        <w:widowControl/>
      </w:pPr>
    </w:p>
    <w:p w:rsidR="006D70E3" w:rsidRPr="00036700" w:rsidRDefault="002524DF" w:rsidP="00D9008B">
      <w:pPr>
        <w:pStyle w:val="ListParagraph"/>
        <w:widowControl/>
        <w:numPr>
          <w:ilvl w:val="0"/>
          <w:numId w:val="7"/>
        </w:numPr>
        <w:ind w:left="1134" w:hanging="425"/>
      </w:pPr>
      <w:r w:rsidRPr="00036700">
        <w:t>GRZ/EBR</w:t>
      </w:r>
      <w:r w:rsidR="006D70E3" w:rsidRPr="00036700">
        <w:t xml:space="preserve"> (10</w:t>
      </w:r>
      <w:r w:rsidR="006D3837" w:rsidRPr="00036700">
        <w:t>0 mg</w:t>
      </w:r>
      <w:r w:rsidR="006D70E3" w:rsidRPr="00036700">
        <w:t>/5</w:t>
      </w:r>
      <w:r w:rsidR="006D3837" w:rsidRPr="00036700">
        <w:t>0 mg</w:t>
      </w:r>
      <w:r w:rsidR="006D70E3" w:rsidRPr="00036700">
        <w:t>) once daily for 12 weeks is equivalent to LDV/SOF (9</w:t>
      </w:r>
      <w:r w:rsidR="006D3837" w:rsidRPr="00036700">
        <w:t>0 mg</w:t>
      </w:r>
      <w:r w:rsidR="006D70E3" w:rsidRPr="00036700">
        <w:t>/40</w:t>
      </w:r>
      <w:r w:rsidR="006D3837" w:rsidRPr="00036700">
        <w:t>0 mg</w:t>
      </w:r>
      <w:r w:rsidR="006D70E3" w:rsidRPr="00036700">
        <w:t xml:space="preserve">) once daily for 8 weeks in genotype 1 treatment-naïve </w:t>
      </w:r>
      <w:r w:rsidR="00FE4A94" w:rsidRPr="00036700">
        <w:t xml:space="preserve">non-cirrhotic </w:t>
      </w:r>
      <w:r w:rsidR="006D70E3" w:rsidRPr="00036700">
        <w:t xml:space="preserve">patients; </w:t>
      </w:r>
    </w:p>
    <w:p w:rsidR="006D70E3" w:rsidRPr="00036700" w:rsidRDefault="002524DF" w:rsidP="00D9008B">
      <w:pPr>
        <w:pStyle w:val="ListParagraph"/>
        <w:widowControl/>
        <w:numPr>
          <w:ilvl w:val="0"/>
          <w:numId w:val="7"/>
        </w:numPr>
        <w:ind w:left="1134" w:hanging="425"/>
      </w:pPr>
      <w:r w:rsidRPr="00036700">
        <w:t>GRZ/EBR</w:t>
      </w:r>
      <w:r w:rsidR="006D70E3" w:rsidRPr="00036700">
        <w:t xml:space="preserve"> (10</w:t>
      </w:r>
      <w:r w:rsidR="006D3837" w:rsidRPr="00036700">
        <w:t>0 mg</w:t>
      </w:r>
      <w:r w:rsidR="006D70E3" w:rsidRPr="00036700">
        <w:t>/5</w:t>
      </w:r>
      <w:r w:rsidR="006D3837" w:rsidRPr="00036700">
        <w:t>0 mg</w:t>
      </w:r>
      <w:r w:rsidR="006D70E3" w:rsidRPr="00036700">
        <w:t>) once daily for 12 weeks is equivalent to LDV/SOF (9</w:t>
      </w:r>
      <w:r w:rsidR="006D3837" w:rsidRPr="00036700">
        <w:t>0 mg</w:t>
      </w:r>
      <w:r w:rsidR="006D70E3" w:rsidRPr="00036700">
        <w:t>/40</w:t>
      </w:r>
      <w:r w:rsidR="006D3837" w:rsidRPr="00036700">
        <w:t>0 mg</w:t>
      </w:r>
      <w:r w:rsidR="006D70E3" w:rsidRPr="00036700">
        <w:t xml:space="preserve">) once daily for 12 </w:t>
      </w:r>
      <w:r w:rsidR="0097581C">
        <w:t xml:space="preserve">or 24 </w:t>
      </w:r>
      <w:r w:rsidR="006D70E3" w:rsidRPr="00036700">
        <w:t xml:space="preserve">weeks in genotype 1 </w:t>
      </w:r>
      <w:r w:rsidR="00FE4A94" w:rsidRPr="00036700">
        <w:t xml:space="preserve">treatment-naïve cirrhotic </w:t>
      </w:r>
      <w:r w:rsidR="00F54380" w:rsidRPr="00036700">
        <w:t>patients, genotype 1 prior rela</w:t>
      </w:r>
      <w:r w:rsidR="00FE4A94" w:rsidRPr="00036700">
        <w:t>p</w:t>
      </w:r>
      <w:r w:rsidR="00F54380" w:rsidRPr="00036700">
        <w:t>s</w:t>
      </w:r>
      <w:r w:rsidR="00FE4A94" w:rsidRPr="00036700">
        <w:t xml:space="preserve">ers and genotype 1b patients who </w:t>
      </w:r>
      <w:r w:rsidR="00FD0BD7" w:rsidRPr="00036700">
        <w:t xml:space="preserve">have </w:t>
      </w:r>
      <w:r w:rsidR="00FE4A94" w:rsidRPr="00036700">
        <w:t xml:space="preserve">experienced on-treatment virologic failure; </w:t>
      </w:r>
    </w:p>
    <w:p w:rsidR="00FE4A94" w:rsidRPr="00036700" w:rsidRDefault="002524DF" w:rsidP="00D9008B">
      <w:pPr>
        <w:pStyle w:val="ListParagraph"/>
        <w:widowControl/>
        <w:numPr>
          <w:ilvl w:val="0"/>
          <w:numId w:val="7"/>
        </w:numPr>
        <w:ind w:left="1134" w:hanging="425"/>
      </w:pPr>
      <w:r w:rsidRPr="00036700">
        <w:t>GRZ/EBR</w:t>
      </w:r>
      <w:r w:rsidR="00FE4A94" w:rsidRPr="00036700">
        <w:t xml:space="preserve"> (10</w:t>
      </w:r>
      <w:r w:rsidR="006D3837" w:rsidRPr="00036700">
        <w:t>0 mg</w:t>
      </w:r>
      <w:r w:rsidR="00FE4A94" w:rsidRPr="00036700">
        <w:t>/5</w:t>
      </w:r>
      <w:r w:rsidR="006D3837" w:rsidRPr="00036700">
        <w:t>0 mg</w:t>
      </w:r>
      <w:r w:rsidR="00FE4A94" w:rsidRPr="00036700">
        <w:t>) once daily plus RBV</w:t>
      </w:r>
      <w:r w:rsidR="0066176D" w:rsidRPr="00036700">
        <w:rPr>
          <w:rStyle w:val="FootnoteReference"/>
        </w:rPr>
        <w:footnoteReference w:id="7"/>
      </w:r>
      <w:r w:rsidR="00FE4A94" w:rsidRPr="00036700">
        <w:t xml:space="preserve"> for 16 weeks is equivalent to </w:t>
      </w:r>
      <w:r w:rsidR="00D0342D" w:rsidRPr="00036700">
        <w:t>LDV/SOF (9</w:t>
      </w:r>
      <w:r w:rsidR="006D3837" w:rsidRPr="00036700">
        <w:t>0 mg</w:t>
      </w:r>
      <w:r w:rsidR="00D0342D" w:rsidRPr="00036700">
        <w:t>/40</w:t>
      </w:r>
      <w:r w:rsidR="006D3837" w:rsidRPr="00036700">
        <w:t>0 mg</w:t>
      </w:r>
      <w:r w:rsidR="00D0342D" w:rsidRPr="00036700">
        <w:t xml:space="preserve">) once daily for 12 weeks in genotype 1a patients who </w:t>
      </w:r>
      <w:r w:rsidR="00FD0BD7" w:rsidRPr="00036700">
        <w:t xml:space="preserve">have </w:t>
      </w:r>
      <w:r w:rsidR="00D0342D" w:rsidRPr="00036700">
        <w:t xml:space="preserve">experienced on-treatment virologic failure; </w:t>
      </w:r>
    </w:p>
    <w:p w:rsidR="006D70E3" w:rsidRPr="00036700" w:rsidRDefault="002524DF" w:rsidP="00D9008B">
      <w:pPr>
        <w:pStyle w:val="ListParagraph"/>
        <w:widowControl/>
        <w:numPr>
          <w:ilvl w:val="0"/>
          <w:numId w:val="7"/>
        </w:numPr>
        <w:ind w:left="1134" w:hanging="425"/>
      </w:pPr>
      <w:r w:rsidRPr="00036700">
        <w:t>GRZ/EBR</w:t>
      </w:r>
      <w:r w:rsidR="006D70E3" w:rsidRPr="00036700">
        <w:t xml:space="preserve"> (10</w:t>
      </w:r>
      <w:r w:rsidR="006D3837" w:rsidRPr="00036700">
        <w:t>0 mg</w:t>
      </w:r>
      <w:r w:rsidR="006D70E3" w:rsidRPr="00036700">
        <w:t>/5</w:t>
      </w:r>
      <w:r w:rsidR="006D3837" w:rsidRPr="00036700">
        <w:t>0 mg</w:t>
      </w:r>
      <w:r w:rsidR="006D70E3" w:rsidRPr="00036700">
        <w:t xml:space="preserve">) once daily </w:t>
      </w:r>
      <w:r w:rsidR="00E3678A" w:rsidRPr="00036700">
        <w:t>plus</w:t>
      </w:r>
      <w:r w:rsidR="006D70E3" w:rsidRPr="00036700">
        <w:t xml:space="preserve"> SOF 40</w:t>
      </w:r>
      <w:r w:rsidR="006D3837" w:rsidRPr="00036700">
        <w:t>0 mg</w:t>
      </w:r>
      <w:r w:rsidR="006D70E3" w:rsidRPr="00036700">
        <w:t xml:space="preserve"> </w:t>
      </w:r>
      <w:r w:rsidR="00E3678A" w:rsidRPr="00036700">
        <w:t xml:space="preserve">once daily </w:t>
      </w:r>
      <w:r w:rsidR="006D70E3" w:rsidRPr="00036700">
        <w:t xml:space="preserve">for 12 weeks is equivalent to </w:t>
      </w:r>
      <w:r w:rsidR="00E3678A" w:rsidRPr="00036700">
        <w:t>SOF 40</w:t>
      </w:r>
      <w:r w:rsidR="006D3837" w:rsidRPr="00036700">
        <w:t>0 mg</w:t>
      </w:r>
      <w:r w:rsidR="006D70E3" w:rsidRPr="00036700">
        <w:t xml:space="preserve"> </w:t>
      </w:r>
      <w:r w:rsidR="00E3678A" w:rsidRPr="00036700">
        <w:t xml:space="preserve">once daily plus RBV </w:t>
      </w:r>
      <w:r w:rsidR="006D70E3" w:rsidRPr="00036700">
        <w:t>1</w:t>
      </w:r>
      <w:r w:rsidR="00E3678A" w:rsidRPr="00036700">
        <w:t>,</w:t>
      </w:r>
      <w:r w:rsidR="006D70E3" w:rsidRPr="00036700">
        <w:t>000 mg daily (in patients with a body weight</w:t>
      </w:r>
      <w:r w:rsidR="00E3678A" w:rsidRPr="00036700">
        <w:t xml:space="preserve"> of &lt;75</w:t>
      </w:r>
      <w:r w:rsidR="006D70E3" w:rsidRPr="00036700">
        <w:t>kg) or 1</w:t>
      </w:r>
      <w:r w:rsidR="00E3678A" w:rsidRPr="00036700">
        <w:t>,20</w:t>
      </w:r>
      <w:r w:rsidR="006D3837" w:rsidRPr="00036700">
        <w:t>0 mg</w:t>
      </w:r>
      <w:r w:rsidR="006D70E3" w:rsidRPr="00036700">
        <w:t xml:space="preserve"> daily (in patients with a body weight </w:t>
      </w:r>
      <w:r w:rsidR="00E3678A" w:rsidRPr="00036700">
        <w:t>of ≥75</w:t>
      </w:r>
      <w:r w:rsidR="006D70E3" w:rsidRPr="00036700">
        <w:t xml:space="preserve">kg) for 24 weeks </w:t>
      </w:r>
      <w:r w:rsidR="00E3678A" w:rsidRPr="00036700">
        <w:t>in genotype 3 treatment-naïve patients;</w:t>
      </w:r>
      <w:r w:rsidR="00C75196" w:rsidRPr="00036700">
        <w:t xml:space="preserve"> and</w:t>
      </w:r>
    </w:p>
    <w:p w:rsidR="006D70E3" w:rsidRPr="00036700" w:rsidRDefault="002524DF" w:rsidP="00D9008B">
      <w:pPr>
        <w:pStyle w:val="ListParagraph"/>
        <w:widowControl/>
        <w:numPr>
          <w:ilvl w:val="0"/>
          <w:numId w:val="7"/>
        </w:numPr>
        <w:ind w:left="1134" w:hanging="425"/>
      </w:pPr>
      <w:r w:rsidRPr="00036700">
        <w:t>GRZ/EBR</w:t>
      </w:r>
      <w:r w:rsidR="00E3678A" w:rsidRPr="00036700">
        <w:t xml:space="preserve"> (10</w:t>
      </w:r>
      <w:r w:rsidR="006D3837" w:rsidRPr="00036700">
        <w:t>0 mg</w:t>
      </w:r>
      <w:r w:rsidR="00E3678A" w:rsidRPr="00036700">
        <w:t>/5</w:t>
      </w:r>
      <w:r w:rsidR="006D3837" w:rsidRPr="00036700">
        <w:t>0 mg</w:t>
      </w:r>
      <w:r w:rsidR="00E3678A" w:rsidRPr="00036700">
        <w:t xml:space="preserve">) once daily </w:t>
      </w:r>
      <w:r w:rsidR="006D70E3" w:rsidRPr="00036700">
        <w:t xml:space="preserve">for 12 weeks is equivalent to </w:t>
      </w:r>
      <w:r w:rsidR="00E3678A" w:rsidRPr="00036700">
        <w:t>SOF 40</w:t>
      </w:r>
      <w:r w:rsidR="006D3837" w:rsidRPr="00036700">
        <w:t>0 mg</w:t>
      </w:r>
      <w:r w:rsidR="00E3678A" w:rsidRPr="00036700">
        <w:t xml:space="preserve"> once daily plus</w:t>
      </w:r>
      <w:r w:rsidR="006D70E3" w:rsidRPr="00036700">
        <w:t xml:space="preserve"> </w:t>
      </w:r>
      <w:r w:rsidR="00E3678A" w:rsidRPr="00036700">
        <w:t>RBV 1,</w:t>
      </w:r>
      <w:r w:rsidR="0066176D" w:rsidRPr="00036700">
        <w:t>00</w:t>
      </w:r>
      <w:r w:rsidR="006D3837" w:rsidRPr="00036700">
        <w:t>0 mg</w:t>
      </w:r>
      <w:r w:rsidR="00E3678A" w:rsidRPr="00036700">
        <w:t xml:space="preserve"> daily (in patients with a body weight of &lt;75kg) or 1,20</w:t>
      </w:r>
      <w:r w:rsidR="006D3837" w:rsidRPr="00036700">
        <w:t>0 mg</w:t>
      </w:r>
      <w:r w:rsidR="00E3678A" w:rsidRPr="00036700">
        <w:t xml:space="preserve"> daily (in patients with a body weight of ≥75kg) plus </w:t>
      </w:r>
      <w:r w:rsidR="006D70E3" w:rsidRPr="00036700">
        <w:t>peg</w:t>
      </w:r>
      <w:r w:rsidR="00401BA4" w:rsidRPr="00036700">
        <w:t>-</w:t>
      </w:r>
      <w:r w:rsidR="006D70E3" w:rsidRPr="00036700">
        <w:t xml:space="preserve">interferon </w:t>
      </w:r>
      <w:r w:rsidR="003437FA" w:rsidRPr="00036700">
        <w:t>(</w:t>
      </w:r>
      <w:r w:rsidR="00EE7524" w:rsidRPr="00036700">
        <w:t>PegIFN</w:t>
      </w:r>
      <w:r w:rsidR="003437FA" w:rsidRPr="00036700">
        <w:t xml:space="preserve">) </w:t>
      </w:r>
      <w:r w:rsidR="006D70E3" w:rsidRPr="00036700">
        <w:t xml:space="preserve">alfa-2a 180μg weekly </w:t>
      </w:r>
      <w:r w:rsidR="00B5158B" w:rsidRPr="00036700">
        <w:t xml:space="preserve">for 12 weeks </w:t>
      </w:r>
      <w:r w:rsidR="00E3678A" w:rsidRPr="00036700">
        <w:t xml:space="preserve">in genotypes 4 and 6 treatment-naïve </w:t>
      </w:r>
      <w:r w:rsidR="00C75196" w:rsidRPr="00036700">
        <w:t>patients.</w:t>
      </w:r>
      <w:r w:rsidR="00E3678A" w:rsidRPr="00036700">
        <w:t xml:space="preserve"> </w:t>
      </w:r>
    </w:p>
    <w:p w:rsidR="006D70E3" w:rsidRPr="00036700" w:rsidRDefault="006D70E3" w:rsidP="00277A70">
      <w:pPr>
        <w:widowControl/>
      </w:pPr>
    </w:p>
    <w:p w:rsidR="00C75196" w:rsidRPr="00036700" w:rsidRDefault="0034580D" w:rsidP="00D9008B">
      <w:pPr>
        <w:pStyle w:val="ListParagraph"/>
        <w:widowControl/>
        <w:numPr>
          <w:ilvl w:val="1"/>
          <w:numId w:val="1"/>
        </w:numPr>
        <w:rPr>
          <w:szCs w:val="22"/>
        </w:rPr>
      </w:pPr>
      <w:r w:rsidRPr="00036700">
        <w:rPr>
          <w:szCs w:val="22"/>
        </w:rPr>
        <w:t>T</w:t>
      </w:r>
      <w:r w:rsidR="006B3048" w:rsidRPr="00036700">
        <w:rPr>
          <w:szCs w:val="22"/>
        </w:rPr>
        <w:t xml:space="preserve">he submission claimed that </w:t>
      </w:r>
      <w:r w:rsidR="00A952BE" w:rsidRPr="00036700">
        <w:rPr>
          <w:szCs w:val="22"/>
        </w:rPr>
        <w:t xml:space="preserve">GRZ/EBR12 (for relapsers) or GRZ/EBR16+RBV16 (for on-treatment virologic failures) </w:t>
      </w:r>
      <w:proofErr w:type="gramStart"/>
      <w:r w:rsidRPr="00036700">
        <w:rPr>
          <w:szCs w:val="22"/>
        </w:rPr>
        <w:t>has</w:t>
      </w:r>
      <w:proofErr w:type="gramEnd"/>
      <w:r w:rsidR="006B3048" w:rsidRPr="00036700">
        <w:rPr>
          <w:szCs w:val="22"/>
        </w:rPr>
        <w:t xml:space="preserve"> superior effectiveness and non-inferior safety </w:t>
      </w:r>
      <w:r w:rsidR="0032482A" w:rsidRPr="00036700">
        <w:rPr>
          <w:i/>
          <w:szCs w:val="22"/>
        </w:rPr>
        <w:t>versus</w:t>
      </w:r>
      <w:r w:rsidR="006B3048" w:rsidRPr="00036700">
        <w:rPr>
          <w:szCs w:val="22"/>
        </w:rPr>
        <w:t xml:space="preserve"> no treatment in genotype 4 or 6 treatment-experienced patients</w:t>
      </w:r>
      <w:r w:rsidR="00EE21AE" w:rsidRPr="00036700">
        <w:rPr>
          <w:szCs w:val="22"/>
        </w:rPr>
        <w:t>. N</w:t>
      </w:r>
      <w:r w:rsidR="006B3048" w:rsidRPr="00036700">
        <w:rPr>
          <w:szCs w:val="22"/>
        </w:rPr>
        <w:t xml:space="preserve">o cost-effectiveness analysis was presented in the submission </w:t>
      </w:r>
      <w:r w:rsidRPr="00036700">
        <w:rPr>
          <w:szCs w:val="22"/>
        </w:rPr>
        <w:t>on basis of</w:t>
      </w:r>
      <w:r w:rsidR="006B3048" w:rsidRPr="00036700">
        <w:rPr>
          <w:szCs w:val="22"/>
        </w:rPr>
        <w:t xml:space="preserve"> this clinical claim.</w:t>
      </w:r>
    </w:p>
    <w:p w:rsidR="00A952BE" w:rsidRPr="00036700" w:rsidRDefault="00A952BE" w:rsidP="00277A70">
      <w:pPr>
        <w:pStyle w:val="ListParagraph"/>
        <w:widowControl/>
        <w:rPr>
          <w:szCs w:val="22"/>
        </w:rPr>
      </w:pPr>
    </w:p>
    <w:p w:rsidR="00C8575C" w:rsidRPr="00036700" w:rsidRDefault="00A952BE" w:rsidP="00D9008B">
      <w:pPr>
        <w:pStyle w:val="ListParagraph"/>
        <w:widowControl/>
        <w:numPr>
          <w:ilvl w:val="1"/>
          <w:numId w:val="1"/>
        </w:numPr>
        <w:rPr>
          <w:szCs w:val="22"/>
        </w:rPr>
      </w:pPr>
      <w:r w:rsidRPr="00036700">
        <w:rPr>
          <w:szCs w:val="22"/>
        </w:rPr>
        <w:t xml:space="preserve">In the absence </w:t>
      </w:r>
      <w:r w:rsidR="00EE7524" w:rsidRPr="00036700">
        <w:rPr>
          <w:szCs w:val="22"/>
        </w:rPr>
        <w:t>of information</w:t>
      </w:r>
      <w:r w:rsidR="000750DE" w:rsidRPr="00036700">
        <w:rPr>
          <w:szCs w:val="22"/>
        </w:rPr>
        <w:t xml:space="preserve"> on the effective prices of the</w:t>
      </w:r>
      <w:r w:rsidRPr="00036700">
        <w:rPr>
          <w:szCs w:val="22"/>
        </w:rPr>
        <w:t xml:space="preserve"> DAA comparators, eg LDV/SOF and SOF, the submission used a placeholder price (for illustrative purposes) of $</w:t>
      </w:r>
      <w:r w:rsidR="00270A63">
        <w:rPr>
          <w:noProof/>
          <w:color w:val="000000"/>
          <w:szCs w:val="22"/>
          <w:highlight w:val="black"/>
        </w:rPr>
        <w:t>''''''''''''''''</w:t>
      </w:r>
      <w:r w:rsidRPr="00036700">
        <w:rPr>
          <w:szCs w:val="22"/>
        </w:rPr>
        <w:t xml:space="preserve"> ex-manufacturer per course of GRZ/EBR treatment regardless of </w:t>
      </w:r>
      <w:r w:rsidR="00401BA4" w:rsidRPr="00036700">
        <w:rPr>
          <w:szCs w:val="22"/>
        </w:rPr>
        <w:t>CHC</w:t>
      </w:r>
      <w:r w:rsidRPr="00036700">
        <w:rPr>
          <w:szCs w:val="22"/>
        </w:rPr>
        <w:t xml:space="preserve"> genotype treated. </w:t>
      </w:r>
      <w:r w:rsidR="0089209B" w:rsidRPr="00036700">
        <w:rPr>
          <w:szCs w:val="22"/>
        </w:rPr>
        <w:t xml:space="preserve">The submission expected that </w:t>
      </w:r>
      <w:r w:rsidR="00827CDA" w:rsidRPr="00036700">
        <w:rPr>
          <w:szCs w:val="22"/>
        </w:rPr>
        <w:t xml:space="preserve">the </w:t>
      </w:r>
      <w:r w:rsidR="0089209B" w:rsidRPr="00036700">
        <w:rPr>
          <w:szCs w:val="22"/>
        </w:rPr>
        <w:t xml:space="preserve">majority </w:t>
      </w:r>
      <w:r w:rsidR="009134FE" w:rsidRPr="00036700">
        <w:rPr>
          <w:szCs w:val="22"/>
        </w:rPr>
        <w:t>(&gt;</w:t>
      </w:r>
      <w:r w:rsidR="00270A63">
        <w:rPr>
          <w:noProof/>
          <w:color w:val="000000"/>
          <w:szCs w:val="22"/>
          <w:highlight w:val="black"/>
        </w:rPr>
        <w:t>''''''</w:t>
      </w:r>
      <w:r w:rsidR="009134FE" w:rsidRPr="00036700">
        <w:rPr>
          <w:szCs w:val="22"/>
        </w:rPr>
        <w:t xml:space="preserve">%) </w:t>
      </w:r>
      <w:r w:rsidR="0089209B" w:rsidRPr="00036700">
        <w:rPr>
          <w:szCs w:val="22"/>
        </w:rPr>
        <w:t>of PBS target patients will take GRZ/EBR for 12 weeks (requiring 3 packs of GRZ/EBR), with a small proportion of patients receiving either 8 weeks (some genotype 1b treatment-naïve patients with limited fibrosis) or 16 weeks (1a, 4 or 6 patients who have experienced on-treatment failures) of therapy. Using the placeholder price per patient of $</w:t>
      </w:r>
      <w:r w:rsidR="00270A63">
        <w:rPr>
          <w:noProof/>
          <w:color w:val="000000"/>
          <w:szCs w:val="22"/>
          <w:highlight w:val="black"/>
        </w:rPr>
        <w:t>'''''''''''''''</w:t>
      </w:r>
      <w:r w:rsidR="0089209B" w:rsidRPr="00036700">
        <w:rPr>
          <w:szCs w:val="22"/>
        </w:rPr>
        <w:t xml:space="preserve">, the indicative GRZ/EBR ex-manufacturer price per pack was calculated to </w:t>
      </w:r>
      <w:r w:rsidR="0089209B" w:rsidRPr="00036700">
        <w:rPr>
          <w:szCs w:val="22"/>
        </w:rPr>
        <w:lastRenderedPageBreak/>
        <w:t>be $</w:t>
      </w:r>
      <w:r w:rsidR="00270A63">
        <w:rPr>
          <w:noProof/>
          <w:color w:val="000000"/>
          <w:szCs w:val="22"/>
          <w:highlight w:val="black"/>
        </w:rPr>
        <w:t>'''''''''''''''</w:t>
      </w:r>
      <w:r w:rsidR="0089209B" w:rsidRPr="00036700">
        <w:rPr>
          <w:szCs w:val="22"/>
        </w:rPr>
        <w:t xml:space="preserve"> (=$</w:t>
      </w:r>
      <w:r w:rsidR="00270A63">
        <w:rPr>
          <w:noProof/>
          <w:color w:val="000000"/>
          <w:szCs w:val="22"/>
          <w:highlight w:val="black"/>
        </w:rPr>
        <w:t>''''''''''''''''''</w:t>
      </w:r>
      <w:r w:rsidR="0089209B" w:rsidRPr="00036700">
        <w:rPr>
          <w:szCs w:val="22"/>
        </w:rPr>
        <w:t xml:space="preserve">/3) per pack. </w:t>
      </w:r>
      <w:r w:rsidR="009100B6" w:rsidRPr="00036700">
        <w:t>In the recent considerations of treatments for Hepatitis C, the PBAC advised the Minister that there was no basis on which to recommend that any one treatment be more expensive than another</w:t>
      </w:r>
      <w:r w:rsidR="005D214A" w:rsidRPr="00036700">
        <w:rPr>
          <w:szCs w:val="22"/>
        </w:rPr>
        <w:t xml:space="preserve">. Drug prices for concomitant SOF and RBV should be taken into account in the cost-minimisation analysis while calculating the price per GRZ/EBR pack </w:t>
      </w:r>
      <w:r w:rsidR="0032482A" w:rsidRPr="00036700">
        <w:rPr>
          <w:szCs w:val="22"/>
        </w:rPr>
        <w:t>when</w:t>
      </w:r>
      <w:r w:rsidR="005D214A" w:rsidRPr="00036700">
        <w:rPr>
          <w:szCs w:val="22"/>
        </w:rPr>
        <w:t xml:space="preserve"> the overall cost per course of </w:t>
      </w:r>
      <w:r w:rsidR="00401BA4" w:rsidRPr="00036700">
        <w:rPr>
          <w:szCs w:val="22"/>
        </w:rPr>
        <w:t>CHC</w:t>
      </w:r>
      <w:r w:rsidR="005D214A" w:rsidRPr="00036700">
        <w:rPr>
          <w:szCs w:val="22"/>
        </w:rPr>
        <w:t xml:space="preserve"> therapy in the comparator arm has been determined.</w:t>
      </w:r>
    </w:p>
    <w:p w:rsidR="00C8575C" w:rsidRPr="00036700" w:rsidRDefault="00C8575C" w:rsidP="00277A70">
      <w:pPr>
        <w:pStyle w:val="ListParagraph"/>
        <w:widowControl/>
        <w:rPr>
          <w:szCs w:val="22"/>
        </w:rPr>
      </w:pPr>
    </w:p>
    <w:p w:rsidR="00C8575C" w:rsidRPr="00036700" w:rsidRDefault="005B2329" w:rsidP="00D9008B">
      <w:pPr>
        <w:pStyle w:val="ListParagraph"/>
        <w:widowControl/>
        <w:numPr>
          <w:ilvl w:val="1"/>
          <w:numId w:val="1"/>
        </w:numPr>
        <w:rPr>
          <w:szCs w:val="22"/>
        </w:rPr>
      </w:pPr>
      <w:r w:rsidRPr="00036700">
        <w:rPr>
          <w:szCs w:val="22"/>
        </w:rPr>
        <w:t>The sponsor acknowledge</w:t>
      </w:r>
      <w:r w:rsidR="00B5158B" w:rsidRPr="00036700">
        <w:rPr>
          <w:szCs w:val="22"/>
        </w:rPr>
        <w:t>d</w:t>
      </w:r>
      <w:r w:rsidRPr="00036700">
        <w:rPr>
          <w:szCs w:val="22"/>
        </w:rPr>
        <w:t xml:space="preserve"> the final reimbursed price w</w:t>
      </w:r>
      <w:r w:rsidR="00B5158B" w:rsidRPr="00036700">
        <w:rPr>
          <w:szCs w:val="22"/>
        </w:rPr>
        <w:t>ould</w:t>
      </w:r>
      <w:r w:rsidRPr="00036700">
        <w:rPr>
          <w:szCs w:val="22"/>
        </w:rPr>
        <w:t xml:space="preserve"> depend on the conditions for listing for the other DAAs and </w:t>
      </w:r>
      <w:r w:rsidR="00B5158B" w:rsidRPr="00036700">
        <w:rPr>
          <w:szCs w:val="22"/>
        </w:rPr>
        <w:t>wa</w:t>
      </w:r>
      <w:r w:rsidRPr="00036700">
        <w:rPr>
          <w:szCs w:val="22"/>
        </w:rPr>
        <w:t xml:space="preserve">s prepared to negotiate accordingly with the PBAC and the Australian Government. </w:t>
      </w:r>
    </w:p>
    <w:p w:rsidR="00C8575C" w:rsidRPr="00036700" w:rsidRDefault="00C8575C" w:rsidP="00277A70">
      <w:pPr>
        <w:pStyle w:val="ListParagraph"/>
        <w:widowControl/>
        <w:rPr>
          <w:szCs w:val="22"/>
        </w:rPr>
      </w:pPr>
    </w:p>
    <w:p w:rsidR="005B2329" w:rsidRPr="00036700" w:rsidRDefault="005B2329" w:rsidP="00D9008B">
      <w:pPr>
        <w:pStyle w:val="ListParagraph"/>
        <w:widowControl/>
        <w:numPr>
          <w:ilvl w:val="1"/>
          <w:numId w:val="1"/>
        </w:numPr>
        <w:rPr>
          <w:szCs w:val="22"/>
        </w:rPr>
      </w:pPr>
      <w:r w:rsidRPr="00036700">
        <w:rPr>
          <w:szCs w:val="22"/>
        </w:rPr>
        <w:t xml:space="preserve">Irrespective of the final agreed cost per patient course, </w:t>
      </w:r>
      <w:r w:rsidR="004603F7" w:rsidRPr="00036700">
        <w:rPr>
          <w:szCs w:val="22"/>
        </w:rPr>
        <w:t xml:space="preserve">the sponsor requested </w:t>
      </w:r>
      <w:r w:rsidRPr="00036700">
        <w:rPr>
          <w:szCs w:val="22"/>
        </w:rPr>
        <w:t xml:space="preserve">a </w:t>
      </w:r>
      <w:r w:rsidR="00B5158B" w:rsidRPr="00036700">
        <w:rPr>
          <w:szCs w:val="22"/>
        </w:rPr>
        <w:t>S</w:t>
      </w:r>
      <w:r w:rsidRPr="00036700">
        <w:rPr>
          <w:szCs w:val="22"/>
        </w:rPr>
        <w:t xml:space="preserve">pecial </w:t>
      </w:r>
      <w:r w:rsidR="00414530" w:rsidRPr="00036700">
        <w:rPr>
          <w:szCs w:val="22"/>
        </w:rPr>
        <w:t>P</w:t>
      </w:r>
      <w:r w:rsidRPr="00036700">
        <w:rPr>
          <w:szCs w:val="22"/>
        </w:rPr>
        <w:t xml:space="preserve">ricing </w:t>
      </w:r>
      <w:r w:rsidR="00414530" w:rsidRPr="00036700">
        <w:rPr>
          <w:szCs w:val="22"/>
        </w:rPr>
        <w:t>A</w:t>
      </w:r>
      <w:r w:rsidRPr="00036700">
        <w:rPr>
          <w:szCs w:val="22"/>
        </w:rPr>
        <w:t xml:space="preserve">rrangement with </w:t>
      </w:r>
      <w:r w:rsidR="004603F7" w:rsidRPr="00036700">
        <w:rPr>
          <w:szCs w:val="22"/>
        </w:rPr>
        <w:t>a published ex-manufacturer price of $</w:t>
      </w:r>
      <w:r w:rsidR="00270A63">
        <w:rPr>
          <w:noProof/>
          <w:color w:val="000000"/>
          <w:szCs w:val="22"/>
          <w:highlight w:val="black"/>
        </w:rPr>
        <w:t>''''''''''''''''''</w:t>
      </w:r>
      <w:r w:rsidR="004603F7" w:rsidRPr="00036700">
        <w:rPr>
          <w:szCs w:val="22"/>
        </w:rPr>
        <w:t xml:space="preserve"> per </w:t>
      </w:r>
      <w:r w:rsidR="000750DE" w:rsidRPr="00036700">
        <w:rPr>
          <w:szCs w:val="22"/>
        </w:rPr>
        <w:t xml:space="preserve">12 week </w:t>
      </w:r>
      <w:r w:rsidR="004603F7" w:rsidRPr="00036700">
        <w:rPr>
          <w:szCs w:val="22"/>
        </w:rPr>
        <w:t xml:space="preserve">course </w:t>
      </w:r>
      <w:r w:rsidRPr="00036700">
        <w:rPr>
          <w:szCs w:val="22"/>
        </w:rPr>
        <w:t>as a condition of listing.</w:t>
      </w:r>
    </w:p>
    <w:p w:rsidR="008D43FC" w:rsidRPr="00036700" w:rsidRDefault="008D43FC" w:rsidP="00277A70">
      <w:pPr>
        <w:pStyle w:val="ListParagraph"/>
        <w:widowControl/>
        <w:rPr>
          <w:szCs w:val="22"/>
        </w:rPr>
      </w:pPr>
    </w:p>
    <w:p w:rsidR="00972783" w:rsidRPr="00036700" w:rsidRDefault="00972783" w:rsidP="00277A70">
      <w:pPr>
        <w:pStyle w:val="Heading2"/>
        <w:widowControl/>
      </w:pPr>
      <w:bookmarkStart w:id="14" w:name="_Toc440963735"/>
      <w:r w:rsidRPr="00036700">
        <w:t>Drug cost/patient/</w:t>
      </w:r>
      <w:r w:rsidR="00C25D9C" w:rsidRPr="00036700">
        <w:t xml:space="preserve">course: </w:t>
      </w:r>
      <w:r w:rsidR="00C25D9C" w:rsidRPr="00036700">
        <w:rPr>
          <w:b w:val="0"/>
        </w:rPr>
        <w:t>$</w:t>
      </w:r>
      <w:r w:rsidR="00270A63">
        <w:rPr>
          <w:b w:val="0"/>
          <w:noProof/>
          <w:color w:val="000000"/>
          <w:highlight w:val="black"/>
        </w:rPr>
        <w:t>''''''''''''''''''</w:t>
      </w:r>
      <w:r w:rsidRPr="00036700">
        <w:rPr>
          <w:b w:val="0"/>
        </w:rPr>
        <w:t xml:space="preserve"> (placeholder price</w:t>
      </w:r>
      <w:r w:rsidR="00AF5860" w:rsidRPr="00036700">
        <w:rPr>
          <w:b w:val="0"/>
        </w:rPr>
        <w:t xml:space="preserve">, regardless </w:t>
      </w:r>
      <w:r w:rsidR="009C077E" w:rsidRPr="00036700">
        <w:rPr>
          <w:b w:val="0"/>
        </w:rPr>
        <w:t>of treatment duration</w:t>
      </w:r>
      <w:r w:rsidRPr="00036700">
        <w:rPr>
          <w:b w:val="0"/>
        </w:rPr>
        <w:t>)</w:t>
      </w:r>
      <w:bookmarkEnd w:id="14"/>
    </w:p>
    <w:p w:rsidR="00F47912" w:rsidRPr="005E5DEF" w:rsidRDefault="00F47912" w:rsidP="00277A70">
      <w:pPr>
        <w:widowControl/>
        <w:rPr>
          <w:i/>
          <w:szCs w:val="22"/>
        </w:rPr>
      </w:pPr>
    </w:p>
    <w:p w:rsidR="00B60939" w:rsidRPr="005E5DEF" w:rsidRDefault="00B60939" w:rsidP="00277A70">
      <w:pPr>
        <w:pStyle w:val="Heading2"/>
        <w:widowControl/>
        <w:rPr>
          <w:i/>
        </w:rPr>
      </w:pPr>
      <w:bookmarkStart w:id="15" w:name="_Toc440963736"/>
      <w:r w:rsidRPr="005E5DEF">
        <w:rPr>
          <w:i/>
        </w:rPr>
        <w:t>Estimated PBS usage &amp; financial implications</w:t>
      </w:r>
      <w:bookmarkEnd w:id="15"/>
    </w:p>
    <w:p w:rsidR="00B60939" w:rsidRPr="00036700" w:rsidRDefault="00B60939" w:rsidP="00277A70">
      <w:pPr>
        <w:widowControl/>
        <w:ind w:left="720" w:hanging="720"/>
        <w:rPr>
          <w:b/>
          <w:i/>
          <w:szCs w:val="22"/>
        </w:rPr>
      </w:pPr>
    </w:p>
    <w:p w:rsidR="00615E79" w:rsidRPr="00036700" w:rsidRDefault="00C8575C" w:rsidP="00D9008B">
      <w:pPr>
        <w:pStyle w:val="ListParagraph"/>
        <w:widowControl/>
        <w:numPr>
          <w:ilvl w:val="1"/>
          <w:numId w:val="1"/>
        </w:numPr>
        <w:ind w:left="709"/>
        <w:rPr>
          <w:szCs w:val="22"/>
        </w:rPr>
      </w:pPr>
      <w:r w:rsidRPr="00036700">
        <w:t xml:space="preserve">This submission </w:t>
      </w:r>
      <w:r w:rsidR="00C33971" w:rsidRPr="00036700">
        <w:t xml:space="preserve">was not </w:t>
      </w:r>
      <w:r w:rsidR="00C25D9C" w:rsidRPr="00036700">
        <w:t>considered by DUSC</w:t>
      </w:r>
      <w:r w:rsidR="00C25D9C" w:rsidRPr="00036700">
        <w:rPr>
          <w:color w:val="0070C0"/>
        </w:rPr>
        <w:t xml:space="preserve">. </w:t>
      </w:r>
    </w:p>
    <w:p w:rsidR="00615E79" w:rsidRPr="00036700" w:rsidRDefault="00615E79" w:rsidP="00277A70">
      <w:pPr>
        <w:pStyle w:val="ListParagraph"/>
        <w:widowControl/>
        <w:ind w:left="709"/>
        <w:rPr>
          <w:szCs w:val="22"/>
        </w:rPr>
      </w:pPr>
    </w:p>
    <w:p w:rsidR="009016D8" w:rsidRPr="00036700" w:rsidRDefault="009016D8" w:rsidP="00D9008B">
      <w:pPr>
        <w:pStyle w:val="ListParagraph"/>
        <w:widowControl/>
        <w:numPr>
          <w:ilvl w:val="1"/>
          <w:numId w:val="1"/>
        </w:numPr>
        <w:ind w:left="709"/>
        <w:rPr>
          <w:szCs w:val="22"/>
        </w:rPr>
      </w:pPr>
      <w:r w:rsidRPr="00036700">
        <w:rPr>
          <w:szCs w:val="22"/>
        </w:rPr>
        <w:t>The submission used an epidemiological approach</w:t>
      </w:r>
      <w:r w:rsidR="00374E13" w:rsidRPr="00036700">
        <w:rPr>
          <w:szCs w:val="22"/>
        </w:rPr>
        <w:t xml:space="preserve"> and a market share approach</w:t>
      </w:r>
      <w:r w:rsidRPr="00036700">
        <w:rPr>
          <w:szCs w:val="22"/>
        </w:rPr>
        <w:t xml:space="preserve"> to estimate the financial implications of listing </w:t>
      </w:r>
      <w:r w:rsidR="00374E13" w:rsidRPr="00036700">
        <w:rPr>
          <w:szCs w:val="22"/>
        </w:rPr>
        <w:t xml:space="preserve">GRZ/EBR </w:t>
      </w:r>
      <w:r w:rsidRPr="00036700">
        <w:rPr>
          <w:szCs w:val="22"/>
        </w:rPr>
        <w:t xml:space="preserve">for treatment of </w:t>
      </w:r>
      <w:r w:rsidR="0032482A" w:rsidRPr="00036700">
        <w:rPr>
          <w:szCs w:val="22"/>
        </w:rPr>
        <w:t xml:space="preserve">CHC </w:t>
      </w:r>
      <w:r w:rsidRPr="00036700">
        <w:rPr>
          <w:szCs w:val="22"/>
        </w:rPr>
        <w:t>genotype 1</w:t>
      </w:r>
      <w:r w:rsidR="00374E13" w:rsidRPr="00036700">
        <w:rPr>
          <w:szCs w:val="22"/>
        </w:rPr>
        <w:t>, 4 or 6 both treatment-naïve and treatment-experienced patients and genotype 3 treatment-experienced patients</w:t>
      </w:r>
      <w:r w:rsidRPr="00036700">
        <w:rPr>
          <w:szCs w:val="22"/>
        </w:rPr>
        <w:t xml:space="preserve">. The </w:t>
      </w:r>
      <w:r w:rsidR="00374E13" w:rsidRPr="00036700">
        <w:rPr>
          <w:szCs w:val="22"/>
        </w:rPr>
        <w:t xml:space="preserve">number of </w:t>
      </w:r>
      <w:r w:rsidR="00401BA4" w:rsidRPr="00036700">
        <w:rPr>
          <w:szCs w:val="22"/>
        </w:rPr>
        <w:t>CHC</w:t>
      </w:r>
      <w:r w:rsidR="00374E13" w:rsidRPr="00036700">
        <w:rPr>
          <w:szCs w:val="22"/>
        </w:rPr>
        <w:t xml:space="preserve"> patients likely to receive interferon-free treatments was </w:t>
      </w:r>
      <w:r w:rsidRPr="00036700">
        <w:rPr>
          <w:szCs w:val="22"/>
        </w:rPr>
        <w:t xml:space="preserve">sourced from the </w:t>
      </w:r>
      <w:r w:rsidR="00374E13" w:rsidRPr="00036700">
        <w:rPr>
          <w:szCs w:val="22"/>
        </w:rPr>
        <w:t xml:space="preserve">DUSC estimates </w:t>
      </w:r>
      <w:r w:rsidR="0034580D" w:rsidRPr="00036700">
        <w:rPr>
          <w:szCs w:val="22"/>
        </w:rPr>
        <w:t>when</w:t>
      </w:r>
      <w:r w:rsidR="00374E13" w:rsidRPr="00036700">
        <w:rPr>
          <w:szCs w:val="22"/>
        </w:rPr>
        <w:t xml:space="preserve"> </w:t>
      </w:r>
      <w:r w:rsidR="006B2B74" w:rsidRPr="00036700">
        <w:rPr>
          <w:szCs w:val="22"/>
        </w:rPr>
        <w:t xml:space="preserve">the DUSC </w:t>
      </w:r>
      <w:r w:rsidR="00374E13" w:rsidRPr="00036700">
        <w:rPr>
          <w:szCs w:val="22"/>
        </w:rPr>
        <w:t>cons</w:t>
      </w:r>
      <w:r w:rsidR="00786920" w:rsidRPr="00036700">
        <w:rPr>
          <w:szCs w:val="22"/>
        </w:rPr>
        <w:t>idered LDV/SOF, SOF+P</w:t>
      </w:r>
      <w:r w:rsidR="00374E13" w:rsidRPr="00036700">
        <w:rPr>
          <w:szCs w:val="22"/>
        </w:rPr>
        <w:t>R and DCV+SOF (</w:t>
      </w:r>
      <w:r w:rsidR="00270A63">
        <w:rPr>
          <w:noProof/>
          <w:color w:val="000000"/>
          <w:szCs w:val="22"/>
          <w:highlight w:val="black"/>
        </w:rPr>
        <w:t>''''''''''''</w:t>
      </w:r>
      <w:r w:rsidR="00374E13" w:rsidRPr="00036700">
        <w:rPr>
          <w:szCs w:val="22"/>
        </w:rPr>
        <w:t xml:space="preserve"> in Year 1 and </w:t>
      </w:r>
      <w:r w:rsidR="00270A63">
        <w:rPr>
          <w:noProof/>
          <w:color w:val="000000"/>
          <w:szCs w:val="22"/>
          <w:highlight w:val="black"/>
        </w:rPr>
        <w:t>''''''''''''''''''</w:t>
      </w:r>
      <w:r w:rsidR="00374E13" w:rsidRPr="00036700">
        <w:rPr>
          <w:szCs w:val="22"/>
        </w:rPr>
        <w:t xml:space="preserve"> in Years 2-5). The submission assumed that the uptake rate (market share) of GRZ/EBR would be </w:t>
      </w:r>
      <w:r w:rsidR="00270A63">
        <w:rPr>
          <w:noProof/>
          <w:color w:val="000000"/>
          <w:szCs w:val="22"/>
          <w:highlight w:val="black"/>
        </w:rPr>
        <w:t>''''''</w:t>
      </w:r>
      <w:r w:rsidR="00374E13" w:rsidRPr="00036700">
        <w:rPr>
          <w:szCs w:val="22"/>
        </w:rPr>
        <w:t xml:space="preserve">% in Year 1 of listing, increasing to </w:t>
      </w:r>
      <w:r w:rsidR="00270A63">
        <w:rPr>
          <w:noProof/>
          <w:color w:val="000000"/>
          <w:szCs w:val="22"/>
          <w:highlight w:val="black"/>
        </w:rPr>
        <w:t>''''''</w:t>
      </w:r>
      <w:r w:rsidR="00374E13" w:rsidRPr="00036700">
        <w:rPr>
          <w:szCs w:val="22"/>
        </w:rPr>
        <w:t xml:space="preserve">% in Year 5. </w:t>
      </w:r>
      <w:r w:rsidR="0032482A" w:rsidRPr="00036700">
        <w:rPr>
          <w:szCs w:val="22"/>
        </w:rPr>
        <w:t>A</w:t>
      </w:r>
      <w:r w:rsidR="00273FFF" w:rsidRPr="00036700">
        <w:rPr>
          <w:szCs w:val="22"/>
        </w:rPr>
        <w:t xml:space="preserve"> placeholder DPMQ of $</w:t>
      </w:r>
      <w:r w:rsidR="00270A63">
        <w:rPr>
          <w:noProof/>
          <w:color w:val="000000"/>
          <w:szCs w:val="22"/>
          <w:highlight w:val="black"/>
        </w:rPr>
        <w:t>''''''''''''''''</w:t>
      </w:r>
      <w:r w:rsidR="00273FFF" w:rsidRPr="00036700">
        <w:rPr>
          <w:szCs w:val="22"/>
        </w:rPr>
        <w:t xml:space="preserve"> </w:t>
      </w:r>
      <w:r w:rsidR="00DE3CD8" w:rsidRPr="00036700">
        <w:rPr>
          <w:szCs w:val="22"/>
        </w:rPr>
        <w:t xml:space="preserve">and </w:t>
      </w:r>
      <w:r w:rsidR="0032482A" w:rsidRPr="00036700">
        <w:rPr>
          <w:szCs w:val="22"/>
        </w:rPr>
        <w:t xml:space="preserve">an </w:t>
      </w:r>
      <w:r w:rsidR="00DE3CD8" w:rsidRPr="00036700">
        <w:rPr>
          <w:szCs w:val="22"/>
        </w:rPr>
        <w:t xml:space="preserve">average treatment duration of 12 weeks for GRZ/EBR </w:t>
      </w:r>
      <w:r w:rsidR="00273FFF" w:rsidRPr="00036700">
        <w:rPr>
          <w:szCs w:val="22"/>
        </w:rPr>
        <w:t>w</w:t>
      </w:r>
      <w:r w:rsidR="0032482A" w:rsidRPr="00036700">
        <w:rPr>
          <w:szCs w:val="22"/>
        </w:rPr>
        <w:t>ere</w:t>
      </w:r>
      <w:r w:rsidR="00273FFF" w:rsidRPr="00036700">
        <w:rPr>
          <w:szCs w:val="22"/>
        </w:rPr>
        <w:t xml:space="preserve"> used in the </w:t>
      </w:r>
      <w:r w:rsidR="00DE3CD8" w:rsidRPr="00036700">
        <w:rPr>
          <w:szCs w:val="22"/>
        </w:rPr>
        <w:t>financial</w:t>
      </w:r>
      <w:r w:rsidR="00273FFF" w:rsidRPr="00036700">
        <w:rPr>
          <w:szCs w:val="22"/>
        </w:rPr>
        <w:t xml:space="preserve"> analysis</w:t>
      </w:r>
      <w:r w:rsidR="00DE3CD8" w:rsidRPr="00036700">
        <w:rPr>
          <w:szCs w:val="22"/>
        </w:rPr>
        <w:t xml:space="preserve">. The submission assumed that GRZ/EBR, once listed, would substitute </w:t>
      </w:r>
      <w:r w:rsidR="00036700">
        <w:rPr>
          <w:szCs w:val="22"/>
        </w:rPr>
        <w:t xml:space="preserve">for </w:t>
      </w:r>
      <w:r w:rsidR="00DE3CD8" w:rsidRPr="00036700">
        <w:rPr>
          <w:szCs w:val="22"/>
        </w:rPr>
        <w:t xml:space="preserve">other </w:t>
      </w:r>
      <w:r w:rsidR="005D5371" w:rsidRPr="00036700">
        <w:rPr>
          <w:szCs w:val="22"/>
        </w:rPr>
        <w:t xml:space="preserve">recommended </w:t>
      </w:r>
      <w:r w:rsidR="00E66BC3" w:rsidRPr="00036700">
        <w:rPr>
          <w:szCs w:val="22"/>
        </w:rPr>
        <w:t>interferon-free treatment combinations</w:t>
      </w:r>
      <w:r w:rsidR="00DE3CD8" w:rsidRPr="00036700">
        <w:rPr>
          <w:szCs w:val="22"/>
        </w:rPr>
        <w:t xml:space="preserve">, against which the price for GRZ/EBR will be </w:t>
      </w:r>
      <w:r w:rsidR="0032482A" w:rsidRPr="00036700">
        <w:rPr>
          <w:szCs w:val="22"/>
        </w:rPr>
        <w:t>determin</w:t>
      </w:r>
      <w:r w:rsidR="00DE3CD8" w:rsidRPr="00036700">
        <w:rPr>
          <w:szCs w:val="22"/>
        </w:rPr>
        <w:t xml:space="preserve">ed on a cost-minimisation basis. </w:t>
      </w:r>
    </w:p>
    <w:p w:rsidR="00C25D9C" w:rsidRPr="00036700" w:rsidRDefault="00C25D9C" w:rsidP="00277A70">
      <w:pPr>
        <w:widowControl/>
        <w:rPr>
          <w:szCs w:val="22"/>
        </w:rPr>
      </w:pPr>
    </w:p>
    <w:p w:rsidR="00C25D9C" w:rsidRPr="00036700" w:rsidRDefault="00C25D9C" w:rsidP="00277A70">
      <w:pPr>
        <w:pStyle w:val="Caption"/>
        <w:keepNext/>
        <w:widowControl/>
        <w:ind w:left="737"/>
      </w:pPr>
      <w:r w:rsidRPr="00036700">
        <w:t xml:space="preserve">Table </w:t>
      </w:r>
      <w:r w:rsidR="00047804">
        <w:t>9</w:t>
      </w:r>
      <w:r w:rsidRPr="00036700">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7"/>
        <w:gridCol w:w="1169"/>
        <w:gridCol w:w="1280"/>
        <w:gridCol w:w="1280"/>
        <w:gridCol w:w="1280"/>
        <w:gridCol w:w="1280"/>
      </w:tblGrid>
      <w:tr w:rsidR="00C25D9C" w:rsidRPr="00036700" w:rsidTr="00C8575C">
        <w:trPr>
          <w:tblHeader/>
        </w:trPr>
        <w:tc>
          <w:tcPr>
            <w:tcW w:w="1232" w:type="pct"/>
            <w:shd w:val="clear" w:color="auto" w:fill="auto"/>
            <w:vAlign w:val="center"/>
          </w:tcPr>
          <w:p w:rsidR="00C25D9C" w:rsidRPr="00036700" w:rsidRDefault="00C25D9C" w:rsidP="00277A70">
            <w:pPr>
              <w:widowControl/>
              <w:tabs>
                <w:tab w:val="left" w:pos="142"/>
              </w:tabs>
              <w:jc w:val="left"/>
              <w:rPr>
                <w:rFonts w:ascii="Arial Narrow" w:hAnsi="Arial Narrow"/>
                <w:b/>
                <w:sz w:val="20"/>
              </w:rPr>
            </w:pPr>
          </w:p>
        </w:tc>
        <w:tc>
          <w:tcPr>
            <w:tcW w:w="700" w:type="pct"/>
            <w:shd w:val="clear" w:color="auto" w:fill="auto"/>
            <w:vAlign w:val="center"/>
          </w:tcPr>
          <w:p w:rsidR="00C25D9C" w:rsidRPr="00036700" w:rsidRDefault="00C25D9C" w:rsidP="00277A70">
            <w:pPr>
              <w:widowControl/>
              <w:jc w:val="center"/>
              <w:rPr>
                <w:rFonts w:ascii="Arial Narrow" w:hAnsi="Arial Narrow"/>
                <w:b/>
                <w:sz w:val="20"/>
              </w:rPr>
            </w:pPr>
            <w:r w:rsidRPr="00036700">
              <w:rPr>
                <w:rFonts w:ascii="Arial Narrow" w:hAnsi="Arial Narrow"/>
                <w:b/>
                <w:sz w:val="20"/>
              </w:rPr>
              <w:t>Year 1</w:t>
            </w:r>
          </w:p>
        </w:tc>
        <w:tc>
          <w:tcPr>
            <w:tcW w:w="767" w:type="pct"/>
            <w:shd w:val="clear" w:color="auto" w:fill="auto"/>
            <w:vAlign w:val="center"/>
          </w:tcPr>
          <w:p w:rsidR="00C25D9C" w:rsidRPr="00036700" w:rsidRDefault="00C25D9C" w:rsidP="00277A70">
            <w:pPr>
              <w:widowControl/>
              <w:jc w:val="center"/>
              <w:rPr>
                <w:rFonts w:ascii="Arial Narrow" w:hAnsi="Arial Narrow"/>
                <w:b/>
                <w:sz w:val="20"/>
              </w:rPr>
            </w:pPr>
            <w:r w:rsidRPr="00036700">
              <w:rPr>
                <w:rFonts w:ascii="Arial Narrow" w:hAnsi="Arial Narrow"/>
                <w:b/>
                <w:sz w:val="20"/>
              </w:rPr>
              <w:t>Year 2</w:t>
            </w:r>
          </w:p>
        </w:tc>
        <w:tc>
          <w:tcPr>
            <w:tcW w:w="767" w:type="pct"/>
            <w:shd w:val="clear" w:color="auto" w:fill="auto"/>
            <w:vAlign w:val="center"/>
          </w:tcPr>
          <w:p w:rsidR="00C25D9C" w:rsidRPr="00036700" w:rsidRDefault="00C25D9C" w:rsidP="00277A70">
            <w:pPr>
              <w:widowControl/>
              <w:jc w:val="center"/>
              <w:rPr>
                <w:rFonts w:ascii="Arial Narrow" w:hAnsi="Arial Narrow"/>
                <w:b/>
                <w:sz w:val="20"/>
              </w:rPr>
            </w:pPr>
            <w:r w:rsidRPr="00036700">
              <w:rPr>
                <w:rFonts w:ascii="Arial Narrow" w:hAnsi="Arial Narrow"/>
                <w:b/>
                <w:sz w:val="20"/>
              </w:rPr>
              <w:t>Year 3</w:t>
            </w:r>
          </w:p>
        </w:tc>
        <w:tc>
          <w:tcPr>
            <w:tcW w:w="767" w:type="pct"/>
            <w:shd w:val="clear" w:color="auto" w:fill="auto"/>
            <w:vAlign w:val="center"/>
          </w:tcPr>
          <w:p w:rsidR="00C25D9C" w:rsidRPr="00036700" w:rsidRDefault="00C25D9C" w:rsidP="00277A70">
            <w:pPr>
              <w:widowControl/>
              <w:jc w:val="center"/>
              <w:rPr>
                <w:rFonts w:ascii="Arial Narrow" w:hAnsi="Arial Narrow"/>
                <w:b/>
                <w:sz w:val="20"/>
              </w:rPr>
            </w:pPr>
            <w:r w:rsidRPr="00036700">
              <w:rPr>
                <w:rFonts w:ascii="Arial Narrow" w:hAnsi="Arial Narrow"/>
                <w:b/>
                <w:sz w:val="20"/>
              </w:rPr>
              <w:t>Year 4</w:t>
            </w:r>
          </w:p>
        </w:tc>
        <w:tc>
          <w:tcPr>
            <w:tcW w:w="767" w:type="pct"/>
            <w:shd w:val="clear" w:color="auto" w:fill="auto"/>
            <w:vAlign w:val="center"/>
          </w:tcPr>
          <w:p w:rsidR="00C25D9C" w:rsidRPr="00036700" w:rsidRDefault="00C25D9C" w:rsidP="00277A70">
            <w:pPr>
              <w:widowControl/>
              <w:jc w:val="center"/>
              <w:rPr>
                <w:rFonts w:ascii="Arial Narrow" w:hAnsi="Arial Narrow"/>
                <w:b/>
                <w:sz w:val="20"/>
              </w:rPr>
            </w:pPr>
            <w:r w:rsidRPr="00036700">
              <w:rPr>
                <w:rFonts w:ascii="Arial Narrow" w:hAnsi="Arial Narrow"/>
                <w:b/>
                <w:sz w:val="20"/>
              </w:rPr>
              <w:t>Year 5</w:t>
            </w:r>
          </w:p>
        </w:tc>
      </w:tr>
      <w:tr w:rsidR="00C25D9C" w:rsidRPr="00036700" w:rsidTr="005D044D">
        <w:tc>
          <w:tcPr>
            <w:tcW w:w="5000" w:type="pct"/>
            <w:gridSpan w:val="6"/>
            <w:shd w:val="clear" w:color="auto" w:fill="auto"/>
            <w:vAlign w:val="center"/>
          </w:tcPr>
          <w:p w:rsidR="00C25D9C" w:rsidRPr="00036700" w:rsidRDefault="00C25D9C" w:rsidP="00277A70">
            <w:pPr>
              <w:widowControl/>
              <w:jc w:val="left"/>
              <w:rPr>
                <w:rFonts w:ascii="Arial Narrow" w:hAnsi="Arial Narrow"/>
                <w:b/>
                <w:bCs/>
                <w:color w:val="000000"/>
                <w:sz w:val="20"/>
              </w:rPr>
            </w:pPr>
            <w:r w:rsidRPr="00036700">
              <w:rPr>
                <w:rFonts w:ascii="Arial Narrow" w:hAnsi="Arial Narrow"/>
                <w:b/>
                <w:bCs/>
                <w:color w:val="000000"/>
                <w:sz w:val="20"/>
              </w:rPr>
              <w:t>Estimated extent of use</w:t>
            </w:r>
          </w:p>
        </w:tc>
      </w:tr>
      <w:tr w:rsidR="00C8575C" w:rsidRPr="00036700" w:rsidTr="00C8575C">
        <w:tc>
          <w:tcPr>
            <w:tcW w:w="1232" w:type="pct"/>
            <w:shd w:val="clear" w:color="auto" w:fill="auto"/>
            <w:vAlign w:val="center"/>
          </w:tcPr>
          <w:p w:rsidR="00C8575C" w:rsidRPr="00036700" w:rsidRDefault="00C8575C" w:rsidP="00277A70">
            <w:pPr>
              <w:widowControl/>
              <w:tabs>
                <w:tab w:val="left" w:pos="142"/>
              </w:tabs>
              <w:jc w:val="left"/>
              <w:rPr>
                <w:rFonts w:ascii="Arial Narrow" w:hAnsi="Arial Narrow"/>
                <w:sz w:val="20"/>
              </w:rPr>
            </w:pPr>
            <w:r w:rsidRPr="00036700">
              <w:rPr>
                <w:rFonts w:ascii="Arial Narrow" w:hAnsi="Arial Narrow"/>
                <w:sz w:val="20"/>
              </w:rPr>
              <w:t>Number treated</w:t>
            </w:r>
          </w:p>
        </w:tc>
        <w:tc>
          <w:tcPr>
            <w:tcW w:w="700"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8575C" w:rsidRPr="00036700" w:rsidTr="00C8575C">
        <w:tc>
          <w:tcPr>
            <w:tcW w:w="1232" w:type="pct"/>
            <w:shd w:val="clear" w:color="auto" w:fill="auto"/>
            <w:vAlign w:val="center"/>
          </w:tcPr>
          <w:p w:rsidR="00C8575C" w:rsidRPr="00036700" w:rsidRDefault="00C8575C" w:rsidP="00277A70">
            <w:pPr>
              <w:widowControl/>
              <w:tabs>
                <w:tab w:val="left" w:pos="142"/>
              </w:tabs>
              <w:jc w:val="left"/>
              <w:rPr>
                <w:rFonts w:ascii="Arial Narrow" w:hAnsi="Arial Narrow"/>
                <w:sz w:val="20"/>
              </w:rPr>
            </w:pPr>
            <w:r w:rsidRPr="00036700">
              <w:rPr>
                <w:rFonts w:ascii="Arial Narrow" w:hAnsi="Arial Narrow"/>
                <w:sz w:val="20"/>
              </w:rPr>
              <w:t>Scripts</w:t>
            </w:r>
            <w:r w:rsidRPr="00036700">
              <w:rPr>
                <w:rFonts w:ascii="Arial Narrow" w:hAnsi="Arial Narrow"/>
                <w:sz w:val="20"/>
                <w:vertAlign w:val="superscript"/>
              </w:rPr>
              <w:t>a</w:t>
            </w:r>
          </w:p>
        </w:tc>
        <w:tc>
          <w:tcPr>
            <w:tcW w:w="700"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7" w:type="pct"/>
            <w:shd w:val="clear" w:color="auto" w:fill="auto"/>
            <w:vAlign w:val="center"/>
          </w:tcPr>
          <w:p w:rsidR="00C8575C" w:rsidRPr="00270A63" w:rsidRDefault="00270A63" w:rsidP="00277A70">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25D9C" w:rsidRPr="00036700" w:rsidTr="005D044D">
        <w:tc>
          <w:tcPr>
            <w:tcW w:w="5000" w:type="pct"/>
            <w:gridSpan w:val="6"/>
            <w:shd w:val="clear" w:color="auto" w:fill="auto"/>
            <w:vAlign w:val="center"/>
          </w:tcPr>
          <w:p w:rsidR="00C25D9C" w:rsidRPr="00036700" w:rsidRDefault="00C25D9C" w:rsidP="00277A70">
            <w:pPr>
              <w:widowControl/>
              <w:jc w:val="left"/>
              <w:rPr>
                <w:rFonts w:ascii="Arial Narrow" w:hAnsi="Arial Narrow"/>
                <w:b/>
                <w:bCs/>
                <w:color w:val="000000"/>
                <w:sz w:val="20"/>
              </w:rPr>
            </w:pPr>
            <w:r w:rsidRPr="00036700">
              <w:rPr>
                <w:rFonts w:ascii="Arial Narrow" w:hAnsi="Arial Narrow"/>
                <w:b/>
                <w:bCs/>
                <w:color w:val="000000"/>
                <w:sz w:val="20"/>
              </w:rPr>
              <w:t xml:space="preserve">Estimated net cost </w:t>
            </w:r>
            <w:r w:rsidR="006B2B74" w:rsidRPr="00036700">
              <w:rPr>
                <w:rFonts w:ascii="Arial Narrow" w:hAnsi="Arial Narrow"/>
                <w:b/>
                <w:bCs/>
                <w:color w:val="000000"/>
                <w:sz w:val="20"/>
              </w:rPr>
              <w:t xml:space="preserve">of GRZ/EBR </w:t>
            </w:r>
            <w:r w:rsidRPr="00036700">
              <w:rPr>
                <w:rFonts w:ascii="Arial Narrow" w:hAnsi="Arial Narrow"/>
                <w:b/>
                <w:bCs/>
                <w:color w:val="000000"/>
                <w:sz w:val="20"/>
              </w:rPr>
              <w:t>to PBS/RPBS</w:t>
            </w:r>
          </w:p>
        </w:tc>
      </w:tr>
      <w:tr w:rsidR="00C8575C" w:rsidRPr="00036700" w:rsidTr="00C8575C">
        <w:tc>
          <w:tcPr>
            <w:tcW w:w="1232" w:type="pct"/>
            <w:shd w:val="clear" w:color="auto" w:fill="auto"/>
            <w:vAlign w:val="center"/>
          </w:tcPr>
          <w:p w:rsidR="00C8575C" w:rsidRPr="00036700" w:rsidRDefault="00C8575C" w:rsidP="00277A70">
            <w:pPr>
              <w:widowControl/>
              <w:tabs>
                <w:tab w:val="left" w:pos="142"/>
              </w:tabs>
              <w:jc w:val="left"/>
              <w:rPr>
                <w:rFonts w:ascii="Arial Narrow" w:hAnsi="Arial Narrow"/>
                <w:sz w:val="20"/>
              </w:rPr>
            </w:pPr>
            <w:r w:rsidRPr="00036700">
              <w:rPr>
                <w:rFonts w:ascii="Arial Narrow" w:hAnsi="Arial Narrow"/>
                <w:sz w:val="20"/>
              </w:rPr>
              <w:t xml:space="preserve">Net cost </w:t>
            </w:r>
            <w:r w:rsidR="004F3473" w:rsidRPr="00036700">
              <w:rPr>
                <w:rFonts w:ascii="Arial Narrow" w:hAnsi="Arial Narrow"/>
                <w:sz w:val="20"/>
              </w:rPr>
              <w:t xml:space="preserve">of GRZ/EBR </w:t>
            </w:r>
            <w:r w:rsidRPr="00036700">
              <w:rPr>
                <w:rFonts w:ascii="Arial Narrow" w:hAnsi="Arial Narrow"/>
                <w:sz w:val="20"/>
              </w:rPr>
              <w:t>to PBS/RPBS</w:t>
            </w:r>
          </w:p>
        </w:tc>
        <w:tc>
          <w:tcPr>
            <w:tcW w:w="700" w:type="pct"/>
            <w:shd w:val="clear" w:color="auto" w:fill="auto"/>
            <w:vAlign w:val="bottom"/>
          </w:tcPr>
          <w:p w:rsidR="00C8575C" w:rsidRPr="00036700" w:rsidRDefault="00C8575C" w:rsidP="00277A70">
            <w:pPr>
              <w:widowControl/>
              <w:jc w:val="center"/>
              <w:rPr>
                <w:rFonts w:ascii="Arial Narrow" w:hAnsi="Arial Narrow"/>
                <w:bCs/>
                <w:color w:val="000000"/>
                <w:sz w:val="20"/>
              </w:rPr>
            </w:pPr>
            <w:r w:rsidRPr="00E600D5">
              <w:rPr>
                <w:rFonts w:ascii="Arial Narrow" w:hAnsi="Arial Narrow"/>
                <w:sz w:val="20"/>
              </w:rPr>
              <w:t>$</w:t>
            </w:r>
            <w:r w:rsidR="00270A63">
              <w:rPr>
                <w:rFonts w:ascii="Arial Narrow" w:hAnsi="Arial Narrow"/>
                <w:noProof/>
                <w:color w:val="000000"/>
                <w:sz w:val="20"/>
                <w:highlight w:val="black"/>
              </w:rPr>
              <w:t>''''''''''''''''''''''''''''</w:t>
            </w:r>
          </w:p>
        </w:tc>
        <w:tc>
          <w:tcPr>
            <w:tcW w:w="767" w:type="pct"/>
            <w:shd w:val="clear" w:color="auto" w:fill="auto"/>
            <w:vAlign w:val="bottom"/>
          </w:tcPr>
          <w:p w:rsidR="00C8575C" w:rsidRPr="00036700" w:rsidRDefault="00C8575C" w:rsidP="00277A70">
            <w:pPr>
              <w:widowControl/>
              <w:jc w:val="center"/>
              <w:rPr>
                <w:rFonts w:ascii="Arial Narrow" w:hAnsi="Arial Narrow"/>
                <w:bCs/>
                <w:color w:val="000000"/>
                <w:sz w:val="20"/>
              </w:rPr>
            </w:pPr>
            <w:r w:rsidRPr="00E600D5">
              <w:rPr>
                <w:rFonts w:ascii="Arial Narrow" w:hAnsi="Arial Narrow"/>
                <w:sz w:val="20"/>
              </w:rPr>
              <w:t>$</w:t>
            </w:r>
            <w:r w:rsidR="00270A63">
              <w:rPr>
                <w:rFonts w:ascii="Arial Narrow" w:hAnsi="Arial Narrow"/>
                <w:noProof/>
                <w:color w:val="000000"/>
                <w:sz w:val="20"/>
                <w:highlight w:val="black"/>
              </w:rPr>
              <w:t>'''''''''''''''''''''''''''''''''</w:t>
            </w:r>
          </w:p>
        </w:tc>
        <w:tc>
          <w:tcPr>
            <w:tcW w:w="767" w:type="pct"/>
            <w:shd w:val="clear" w:color="auto" w:fill="auto"/>
            <w:vAlign w:val="bottom"/>
          </w:tcPr>
          <w:p w:rsidR="00C8575C" w:rsidRPr="00036700" w:rsidRDefault="00C8575C" w:rsidP="00277A70">
            <w:pPr>
              <w:widowControl/>
              <w:jc w:val="center"/>
              <w:rPr>
                <w:rFonts w:ascii="Arial Narrow" w:hAnsi="Arial Narrow"/>
                <w:bCs/>
                <w:color w:val="000000"/>
                <w:sz w:val="20"/>
              </w:rPr>
            </w:pPr>
            <w:r w:rsidRPr="00E600D5">
              <w:rPr>
                <w:rFonts w:ascii="Arial Narrow" w:hAnsi="Arial Narrow"/>
                <w:sz w:val="20"/>
              </w:rPr>
              <w:t>$</w:t>
            </w:r>
            <w:r w:rsidR="00270A63">
              <w:rPr>
                <w:rFonts w:ascii="Arial Narrow" w:hAnsi="Arial Narrow"/>
                <w:noProof/>
                <w:color w:val="000000"/>
                <w:sz w:val="20"/>
                <w:highlight w:val="black"/>
              </w:rPr>
              <w:t>'''''''''''''''''''''''''''''</w:t>
            </w:r>
          </w:p>
        </w:tc>
        <w:tc>
          <w:tcPr>
            <w:tcW w:w="767" w:type="pct"/>
            <w:shd w:val="clear" w:color="auto" w:fill="auto"/>
            <w:vAlign w:val="bottom"/>
          </w:tcPr>
          <w:p w:rsidR="00C8575C" w:rsidRPr="00036700" w:rsidRDefault="00C8575C" w:rsidP="00277A70">
            <w:pPr>
              <w:widowControl/>
              <w:jc w:val="center"/>
              <w:rPr>
                <w:rFonts w:ascii="Arial Narrow" w:hAnsi="Arial Narrow"/>
                <w:bCs/>
                <w:color w:val="000000"/>
                <w:sz w:val="20"/>
              </w:rPr>
            </w:pPr>
            <w:r w:rsidRPr="00E600D5">
              <w:rPr>
                <w:rFonts w:ascii="Arial Narrow" w:hAnsi="Arial Narrow"/>
                <w:sz w:val="20"/>
              </w:rPr>
              <w:t>$</w:t>
            </w:r>
            <w:r w:rsidR="00270A63">
              <w:rPr>
                <w:rFonts w:ascii="Arial Narrow" w:hAnsi="Arial Narrow"/>
                <w:noProof/>
                <w:color w:val="000000"/>
                <w:sz w:val="20"/>
                <w:highlight w:val="black"/>
              </w:rPr>
              <w:t>'''''''''''''''''''''''''''''</w:t>
            </w:r>
          </w:p>
        </w:tc>
        <w:tc>
          <w:tcPr>
            <w:tcW w:w="767" w:type="pct"/>
            <w:shd w:val="clear" w:color="auto" w:fill="auto"/>
            <w:vAlign w:val="bottom"/>
          </w:tcPr>
          <w:p w:rsidR="00C8575C" w:rsidRPr="00036700" w:rsidRDefault="00C8575C" w:rsidP="00277A70">
            <w:pPr>
              <w:widowControl/>
              <w:jc w:val="center"/>
              <w:rPr>
                <w:rFonts w:ascii="Arial Narrow" w:hAnsi="Arial Narrow"/>
                <w:bCs/>
                <w:color w:val="000000"/>
                <w:sz w:val="20"/>
              </w:rPr>
            </w:pPr>
            <w:r w:rsidRPr="00E600D5">
              <w:rPr>
                <w:rFonts w:ascii="Arial Narrow" w:hAnsi="Arial Narrow"/>
                <w:sz w:val="20"/>
              </w:rPr>
              <w:t>$</w:t>
            </w:r>
            <w:r w:rsidR="00270A63">
              <w:rPr>
                <w:rFonts w:ascii="Arial Narrow" w:hAnsi="Arial Narrow"/>
                <w:noProof/>
                <w:color w:val="000000"/>
                <w:sz w:val="20"/>
                <w:highlight w:val="black"/>
              </w:rPr>
              <w:t>'''''''''''''''''''''''''''''''''</w:t>
            </w:r>
          </w:p>
        </w:tc>
      </w:tr>
      <w:tr w:rsidR="00C25D9C" w:rsidRPr="00036700" w:rsidTr="005D044D">
        <w:tc>
          <w:tcPr>
            <w:tcW w:w="5000" w:type="pct"/>
            <w:gridSpan w:val="6"/>
            <w:shd w:val="clear" w:color="auto" w:fill="auto"/>
            <w:vAlign w:val="center"/>
          </w:tcPr>
          <w:p w:rsidR="00C25D9C" w:rsidRPr="00036700" w:rsidRDefault="00C25D9C" w:rsidP="00277A70">
            <w:pPr>
              <w:widowControl/>
              <w:jc w:val="left"/>
              <w:rPr>
                <w:rFonts w:ascii="Arial Narrow" w:hAnsi="Arial Narrow"/>
                <w:b/>
                <w:color w:val="000000"/>
                <w:sz w:val="20"/>
              </w:rPr>
            </w:pPr>
            <w:r w:rsidRPr="00036700">
              <w:rPr>
                <w:rFonts w:ascii="Arial Narrow" w:hAnsi="Arial Narrow"/>
                <w:b/>
                <w:color w:val="000000"/>
                <w:sz w:val="20"/>
              </w:rPr>
              <w:t>Estimated total net cost</w:t>
            </w:r>
          </w:p>
        </w:tc>
      </w:tr>
      <w:tr w:rsidR="00C8575C" w:rsidRPr="00036700" w:rsidTr="00C8575C">
        <w:tc>
          <w:tcPr>
            <w:tcW w:w="1232" w:type="pct"/>
            <w:shd w:val="clear" w:color="auto" w:fill="auto"/>
            <w:vAlign w:val="center"/>
          </w:tcPr>
          <w:p w:rsidR="00C8575C" w:rsidRPr="00036700" w:rsidRDefault="00C8575C" w:rsidP="00277A70">
            <w:pPr>
              <w:widowControl/>
              <w:tabs>
                <w:tab w:val="left" w:pos="142"/>
              </w:tabs>
              <w:jc w:val="left"/>
              <w:rPr>
                <w:rFonts w:ascii="Arial Narrow" w:hAnsi="Arial Narrow"/>
                <w:b/>
                <w:sz w:val="20"/>
              </w:rPr>
            </w:pPr>
            <w:r w:rsidRPr="00036700">
              <w:rPr>
                <w:rFonts w:ascii="Arial Narrow" w:hAnsi="Arial Narrow"/>
                <w:b/>
                <w:bCs/>
                <w:color w:val="000000"/>
                <w:sz w:val="20"/>
              </w:rPr>
              <w:t>Net cost to PBS/RPBS</w:t>
            </w:r>
          </w:p>
        </w:tc>
        <w:tc>
          <w:tcPr>
            <w:tcW w:w="700" w:type="pct"/>
            <w:shd w:val="clear" w:color="auto" w:fill="auto"/>
            <w:vAlign w:val="center"/>
          </w:tcPr>
          <w:p w:rsidR="00C8575C" w:rsidRPr="00036700" w:rsidRDefault="00C8575C" w:rsidP="00277A70">
            <w:pPr>
              <w:widowControl/>
              <w:jc w:val="center"/>
              <w:rPr>
                <w:rFonts w:ascii="Arial Narrow" w:hAnsi="Arial Narrow"/>
                <w:b/>
                <w:color w:val="000000"/>
                <w:sz w:val="20"/>
              </w:rPr>
            </w:pPr>
            <w:r w:rsidRPr="00036700">
              <w:rPr>
                <w:rFonts w:ascii="Arial Narrow" w:hAnsi="Arial Narrow"/>
                <w:b/>
                <w:sz w:val="20"/>
              </w:rPr>
              <w:t>$</w:t>
            </w:r>
            <w:r w:rsidR="00270A63">
              <w:rPr>
                <w:rFonts w:ascii="Arial Narrow" w:hAnsi="Arial Narrow"/>
                <w:b/>
                <w:noProof/>
                <w:color w:val="000000"/>
                <w:sz w:val="20"/>
                <w:highlight w:val="black"/>
              </w:rPr>
              <w:t>'''</w:t>
            </w:r>
          </w:p>
        </w:tc>
        <w:tc>
          <w:tcPr>
            <w:tcW w:w="767" w:type="pct"/>
            <w:shd w:val="clear" w:color="auto" w:fill="auto"/>
            <w:vAlign w:val="center"/>
          </w:tcPr>
          <w:p w:rsidR="00C8575C" w:rsidRPr="00036700" w:rsidRDefault="00C8575C" w:rsidP="00277A70">
            <w:pPr>
              <w:widowControl/>
              <w:jc w:val="center"/>
              <w:rPr>
                <w:rFonts w:ascii="Arial Narrow" w:hAnsi="Arial Narrow"/>
                <w:b/>
                <w:color w:val="000000"/>
                <w:sz w:val="20"/>
              </w:rPr>
            </w:pPr>
            <w:r w:rsidRPr="00036700">
              <w:rPr>
                <w:rFonts w:ascii="Arial Narrow" w:hAnsi="Arial Narrow"/>
                <w:b/>
                <w:sz w:val="20"/>
              </w:rPr>
              <w:t>$</w:t>
            </w:r>
            <w:r w:rsidR="00270A63">
              <w:rPr>
                <w:rFonts w:ascii="Arial Narrow" w:hAnsi="Arial Narrow"/>
                <w:b/>
                <w:noProof/>
                <w:color w:val="000000"/>
                <w:sz w:val="20"/>
                <w:highlight w:val="black"/>
              </w:rPr>
              <w:t>''</w:t>
            </w:r>
          </w:p>
        </w:tc>
        <w:tc>
          <w:tcPr>
            <w:tcW w:w="767" w:type="pct"/>
            <w:shd w:val="clear" w:color="auto" w:fill="auto"/>
            <w:vAlign w:val="center"/>
          </w:tcPr>
          <w:p w:rsidR="00C8575C" w:rsidRPr="00036700" w:rsidRDefault="00C8575C" w:rsidP="00277A70">
            <w:pPr>
              <w:widowControl/>
              <w:jc w:val="center"/>
              <w:rPr>
                <w:rFonts w:ascii="Arial Narrow" w:hAnsi="Arial Narrow"/>
                <w:b/>
                <w:color w:val="000000"/>
                <w:sz w:val="20"/>
              </w:rPr>
            </w:pPr>
            <w:r w:rsidRPr="00036700">
              <w:rPr>
                <w:rFonts w:ascii="Arial Narrow" w:hAnsi="Arial Narrow"/>
                <w:b/>
                <w:sz w:val="20"/>
              </w:rPr>
              <w:t>$</w:t>
            </w:r>
            <w:r w:rsidR="00270A63">
              <w:rPr>
                <w:rFonts w:ascii="Arial Narrow" w:hAnsi="Arial Narrow"/>
                <w:b/>
                <w:noProof/>
                <w:color w:val="000000"/>
                <w:sz w:val="20"/>
                <w:highlight w:val="black"/>
              </w:rPr>
              <w:t>'''</w:t>
            </w:r>
          </w:p>
        </w:tc>
        <w:tc>
          <w:tcPr>
            <w:tcW w:w="767" w:type="pct"/>
            <w:shd w:val="clear" w:color="auto" w:fill="auto"/>
            <w:vAlign w:val="center"/>
          </w:tcPr>
          <w:p w:rsidR="00C8575C" w:rsidRPr="00036700" w:rsidRDefault="00C8575C" w:rsidP="00277A70">
            <w:pPr>
              <w:widowControl/>
              <w:jc w:val="center"/>
              <w:rPr>
                <w:rFonts w:ascii="Arial Narrow" w:hAnsi="Arial Narrow"/>
                <w:b/>
                <w:color w:val="000000"/>
                <w:sz w:val="20"/>
              </w:rPr>
            </w:pPr>
            <w:r w:rsidRPr="00036700">
              <w:rPr>
                <w:rFonts w:ascii="Arial Narrow" w:hAnsi="Arial Narrow"/>
                <w:b/>
                <w:sz w:val="20"/>
              </w:rPr>
              <w:t>$</w:t>
            </w:r>
            <w:r w:rsidR="00270A63">
              <w:rPr>
                <w:rFonts w:ascii="Arial Narrow" w:hAnsi="Arial Narrow"/>
                <w:b/>
                <w:noProof/>
                <w:color w:val="000000"/>
                <w:sz w:val="20"/>
                <w:highlight w:val="black"/>
              </w:rPr>
              <w:t>'''</w:t>
            </w:r>
          </w:p>
        </w:tc>
        <w:tc>
          <w:tcPr>
            <w:tcW w:w="767" w:type="pct"/>
            <w:shd w:val="clear" w:color="auto" w:fill="auto"/>
            <w:vAlign w:val="center"/>
          </w:tcPr>
          <w:p w:rsidR="00C8575C" w:rsidRPr="00036700" w:rsidRDefault="00C8575C" w:rsidP="00277A70">
            <w:pPr>
              <w:widowControl/>
              <w:jc w:val="center"/>
              <w:rPr>
                <w:rFonts w:ascii="Arial Narrow" w:hAnsi="Arial Narrow"/>
                <w:b/>
                <w:color w:val="000000"/>
                <w:sz w:val="20"/>
              </w:rPr>
            </w:pPr>
            <w:r w:rsidRPr="00036700">
              <w:rPr>
                <w:rFonts w:ascii="Arial Narrow" w:hAnsi="Arial Narrow"/>
                <w:b/>
                <w:sz w:val="20"/>
              </w:rPr>
              <w:t>$</w:t>
            </w:r>
            <w:r w:rsidR="00270A63">
              <w:rPr>
                <w:rFonts w:ascii="Arial Narrow" w:hAnsi="Arial Narrow"/>
                <w:b/>
                <w:noProof/>
                <w:color w:val="000000"/>
                <w:sz w:val="20"/>
                <w:highlight w:val="black"/>
              </w:rPr>
              <w:t>'''</w:t>
            </w:r>
          </w:p>
        </w:tc>
      </w:tr>
    </w:tbl>
    <w:p w:rsidR="00C25D9C" w:rsidRPr="00036700" w:rsidRDefault="00C25D9C" w:rsidP="00277A70">
      <w:pPr>
        <w:pStyle w:val="TableFooter"/>
        <w:widowControl/>
        <w:ind w:left="737"/>
        <w:rPr>
          <w:sz w:val="16"/>
          <w:szCs w:val="18"/>
        </w:rPr>
      </w:pPr>
      <w:proofErr w:type="gramStart"/>
      <w:r w:rsidRPr="00036700">
        <w:rPr>
          <w:vertAlign w:val="superscript"/>
        </w:rPr>
        <w:t>a</w:t>
      </w:r>
      <w:proofErr w:type="gramEnd"/>
      <w:r w:rsidRPr="00036700">
        <w:t xml:space="preserve"> Assuming </w:t>
      </w:r>
      <w:r w:rsidR="00C8575C" w:rsidRPr="00036700">
        <w:t>3</w:t>
      </w:r>
      <w:r w:rsidR="0034580D" w:rsidRPr="00036700">
        <w:t xml:space="preserve"> scripts</w:t>
      </w:r>
      <w:r w:rsidRPr="00036700">
        <w:t xml:space="preserve"> per </w:t>
      </w:r>
      <w:r w:rsidR="00C8575C" w:rsidRPr="00036700">
        <w:t xml:space="preserve">patient </w:t>
      </w:r>
      <w:r w:rsidRPr="00036700">
        <w:t xml:space="preserve">as estimated </w:t>
      </w:r>
      <w:r w:rsidR="0034580D" w:rsidRPr="00036700">
        <w:t>in</w:t>
      </w:r>
      <w:r w:rsidRPr="00036700">
        <w:t xml:space="preserve"> the submission.</w:t>
      </w:r>
    </w:p>
    <w:p w:rsidR="00C25D9C" w:rsidRPr="00036700" w:rsidRDefault="00C25D9C" w:rsidP="00277A70">
      <w:pPr>
        <w:pStyle w:val="TableFooter"/>
        <w:widowControl/>
        <w:ind w:left="737"/>
        <w:rPr>
          <w:szCs w:val="22"/>
        </w:rPr>
      </w:pPr>
      <w:r w:rsidRPr="00036700">
        <w:rPr>
          <w:sz w:val="16"/>
        </w:rPr>
        <w:t>Source:</w:t>
      </w:r>
      <w:r w:rsidR="00FE109C" w:rsidRPr="00036700">
        <w:rPr>
          <w:sz w:val="16"/>
        </w:rPr>
        <w:t xml:space="preserve"> Table E.3-1, p252 of the submission. </w:t>
      </w:r>
    </w:p>
    <w:p w:rsidR="00C25D9C" w:rsidRDefault="00C25D9C" w:rsidP="00277A70">
      <w:pPr>
        <w:widowControl/>
        <w:rPr>
          <w:szCs w:val="22"/>
        </w:rPr>
      </w:pPr>
    </w:p>
    <w:p w:rsidR="005146BA" w:rsidRPr="00036700" w:rsidRDefault="005146BA" w:rsidP="004B4A72">
      <w:pPr>
        <w:widowControl/>
        <w:ind w:left="720"/>
        <w:rPr>
          <w:szCs w:val="22"/>
        </w:rPr>
      </w:pPr>
      <w:r>
        <w:rPr>
          <w:szCs w:val="22"/>
        </w:rPr>
        <w:t>The redacted table shows that at year 5, the estimated number of patients was less than 10,000 per year and the</w:t>
      </w:r>
      <w:r w:rsidR="00E600D5">
        <w:rPr>
          <w:szCs w:val="22"/>
        </w:rPr>
        <w:t xml:space="preserve"> estimated total </w:t>
      </w:r>
      <w:r>
        <w:rPr>
          <w:szCs w:val="22"/>
        </w:rPr>
        <w:t>net cost to the PBS</w:t>
      </w:r>
      <w:r w:rsidR="00E600D5">
        <w:rPr>
          <w:szCs w:val="22"/>
        </w:rPr>
        <w:t>/RPBS</w:t>
      </w:r>
      <w:r>
        <w:rPr>
          <w:szCs w:val="22"/>
        </w:rPr>
        <w:t xml:space="preserve"> would be less than $10 million per year. </w:t>
      </w:r>
    </w:p>
    <w:p w:rsidR="00D52644" w:rsidRPr="00036700" w:rsidRDefault="00D52644" w:rsidP="00277A70">
      <w:pPr>
        <w:pStyle w:val="ListParagraph"/>
        <w:widowControl/>
        <w:rPr>
          <w:szCs w:val="22"/>
        </w:rPr>
      </w:pPr>
    </w:p>
    <w:p w:rsidR="00D52644" w:rsidRPr="00036700" w:rsidRDefault="00D52644" w:rsidP="00D9008B">
      <w:pPr>
        <w:pStyle w:val="ListParagraph"/>
        <w:widowControl/>
        <w:numPr>
          <w:ilvl w:val="1"/>
          <w:numId w:val="1"/>
        </w:numPr>
        <w:rPr>
          <w:szCs w:val="22"/>
        </w:rPr>
      </w:pPr>
      <w:r w:rsidRPr="00036700">
        <w:rPr>
          <w:szCs w:val="22"/>
        </w:rPr>
        <w:lastRenderedPageBreak/>
        <w:t xml:space="preserve">The ESC recalled </w:t>
      </w:r>
      <w:r w:rsidR="00D0392F" w:rsidRPr="00036700">
        <w:rPr>
          <w:szCs w:val="22"/>
        </w:rPr>
        <w:t xml:space="preserve">the previous PBAC recommendation of LDV/SOF in March 2015, where it was considered that the cost of a course of treatment should be set irrespective of treatment duration. The ESC noted the submission </w:t>
      </w:r>
      <w:r w:rsidR="003827F2" w:rsidRPr="00036700">
        <w:rPr>
          <w:szCs w:val="22"/>
        </w:rPr>
        <w:t xml:space="preserve">had proposed pricing irrespective of treatment duration and offered to join the existing </w:t>
      </w:r>
      <w:r w:rsidR="00036700">
        <w:rPr>
          <w:szCs w:val="22"/>
        </w:rPr>
        <w:t>R</w:t>
      </w:r>
      <w:r w:rsidR="00036700" w:rsidRPr="00036700">
        <w:rPr>
          <w:szCs w:val="22"/>
        </w:rPr>
        <w:t xml:space="preserve">isk </w:t>
      </w:r>
      <w:r w:rsidR="00036700">
        <w:rPr>
          <w:szCs w:val="22"/>
        </w:rPr>
        <w:t>S</w:t>
      </w:r>
      <w:r w:rsidR="00036700" w:rsidRPr="00036700">
        <w:rPr>
          <w:szCs w:val="22"/>
        </w:rPr>
        <w:t xml:space="preserve">hare </w:t>
      </w:r>
      <w:r w:rsidR="00036700">
        <w:rPr>
          <w:szCs w:val="22"/>
        </w:rPr>
        <w:t>A</w:t>
      </w:r>
      <w:r w:rsidR="00036700" w:rsidRPr="00036700">
        <w:rPr>
          <w:szCs w:val="22"/>
        </w:rPr>
        <w:t xml:space="preserve">rrangement </w:t>
      </w:r>
      <w:r w:rsidR="003827F2" w:rsidRPr="00036700">
        <w:rPr>
          <w:szCs w:val="22"/>
        </w:rPr>
        <w:t>for all DAAs.</w:t>
      </w:r>
    </w:p>
    <w:p w:rsidR="00771634" w:rsidRPr="00036700" w:rsidRDefault="00374E13" w:rsidP="00277A70">
      <w:pPr>
        <w:widowControl/>
      </w:pPr>
      <w:r w:rsidRPr="00036700" w:rsidDel="00374E13">
        <w:t xml:space="preserve"> </w:t>
      </w:r>
    </w:p>
    <w:p w:rsidR="00576972" w:rsidRPr="005E5DEF" w:rsidRDefault="00576972" w:rsidP="00277A70">
      <w:pPr>
        <w:pStyle w:val="Heading2"/>
        <w:widowControl/>
        <w:rPr>
          <w:i/>
          <w:szCs w:val="22"/>
        </w:rPr>
      </w:pPr>
      <w:bookmarkStart w:id="16" w:name="_Toc440963738"/>
      <w:r w:rsidRPr="005E5DEF">
        <w:rPr>
          <w:i/>
        </w:rPr>
        <w:t>Financial Management – Risk Sharing Arrangements</w:t>
      </w:r>
      <w:bookmarkEnd w:id="16"/>
    </w:p>
    <w:p w:rsidR="00C25D9C" w:rsidRPr="00036700" w:rsidRDefault="00C25D9C" w:rsidP="00277A70">
      <w:pPr>
        <w:widowControl/>
        <w:rPr>
          <w:szCs w:val="22"/>
        </w:rPr>
      </w:pPr>
    </w:p>
    <w:p w:rsidR="00F47912" w:rsidRPr="00036700" w:rsidRDefault="00B2032C" w:rsidP="00F47912">
      <w:pPr>
        <w:pStyle w:val="ListParagraph"/>
        <w:numPr>
          <w:ilvl w:val="1"/>
          <w:numId w:val="1"/>
        </w:numPr>
      </w:pPr>
      <w:r w:rsidRPr="00036700">
        <w:t xml:space="preserve">As part of the conditions of approval for LDV/SOF, SOF, DCV and Viekira PAK, the PBAC recommended all new DAAs come under a Risk </w:t>
      </w:r>
      <w:r w:rsidR="00414530" w:rsidRPr="00036700">
        <w:t>S</w:t>
      </w:r>
      <w:r w:rsidRPr="00036700">
        <w:t xml:space="preserve">hare </w:t>
      </w:r>
      <w:r w:rsidR="00414530" w:rsidRPr="00036700">
        <w:t>A</w:t>
      </w:r>
      <w:r w:rsidRPr="00036700">
        <w:t xml:space="preserve">rrangement. The sponsor </w:t>
      </w:r>
      <w:r w:rsidR="006F6185" w:rsidRPr="00036700">
        <w:t xml:space="preserve">indicated its understanding </w:t>
      </w:r>
      <w:r w:rsidRPr="00036700">
        <w:t xml:space="preserve">that, should GRZ/EBR be approved for reimbursement, it will be required to join the </w:t>
      </w:r>
      <w:r w:rsidR="00475156" w:rsidRPr="00036700">
        <w:t xml:space="preserve">arrangement </w:t>
      </w:r>
      <w:r w:rsidRPr="00036700">
        <w:t xml:space="preserve">negotiated with </w:t>
      </w:r>
      <w:r w:rsidR="00084473" w:rsidRPr="00036700">
        <w:t xml:space="preserve">the </w:t>
      </w:r>
      <w:r w:rsidRPr="00036700">
        <w:t>sponsors of other DAAs.</w:t>
      </w:r>
    </w:p>
    <w:p w:rsidR="00F47912" w:rsidRPr="00036700" w:rsidRDefault="00F47912" w:rsidP="00F47912">
      <w:pPr>
        <w:rPr>
          <w:bCs/>
          <w:szCs w:val="22"/>
        </w:rPr>
      </w:pPr>
    </w:p>
    <w:p w:rsidR="00762D6D" w:rsidRPr="00036700" w:rsidRDefault="00B2032C" w:rsidP="00F47912">
      <w:pPr>
        <w:ind w:left="709"/>
        <w:rPr>
          <w:bCs/>
          <w:szCs w:val="22"/>
        </w:rPr>
      </w:pPr>
      <w:r w:rsidRPr="00036700">
        <w:t xml:space="preserve"> </w:t>
      </w:r>
      <w:r w:rsidR="00762D6D" w:rsidRPr="00036700">
        <w:rPr>
          <w:bCs/>
          <w:i/>
          <w:szCs w:val="22"/>
        </w:rPr>
        <w:t>For more detail on PBAC’s view, see section 7 “PBAC outcome”</w:t>
      </w:r>
    </w:p>
    <w:p w:rsidR="00762D6D" w:rsidRPr="00036700" w:rsidRDefault="00762D6D" w:rsidP="00277A70">
      <w:pPr>
        <w:widowControl/>
        <w:rPr>
          <w:szCs w:val="22"/>
        </w:rPr>
      </w:pPr>
    </w:p>
    <w:p w:rsidR="00E1410A" w:rsidRPr="00036700" w:rsidRDefault="00E1410A" w:rsidP="00277A70">
      <w:pPr>
        <w:widowControl/>
        <w:rPr>
          <w:szCs w:val="22"/>
        </w:rPr>
      </w:pPr>
    </w:p>
    <w:p w:rsidR="00D9008B" w:rsidRPr="009F1E19" w:rsidRDefault="00D9008B" w:rsidP="004500A1">
      <w:pPr>
        <w:pStyle w:val="PBACHeading1"/>
        <w:rPr>
          <w:sz w:val="22"/>
        </w:rPr>
      </w:pPr>
      <w:r w:rsidRPr="009F1E19">
        <w:rPr>
          <w:sz w:val="22"/>
        </w:rPr>
        <w:t>PBAC Outcome</w:t>
      </w:r>
    </w:p>
    <w:p w:rsidR="00D9008B" w:rsidRPr="002C3191" w:rsidRDefault="00D9008B" w:rsidP="00D9008B">
      <w:pPr>
        <w:rPr>
          <w:b/>
          <w:bCs/>
          <w:highlight w:val="yellow"/>
        </w:rPr>
      </w:pPr>
    </w:p>
    <w:p w:rsidR="00D9008B" w:rsidRPr="002C3191" w:rsidRDefault="002666DF" w:rsidP="00D9008B">
      <w:pPr>
        <w:numPr>
          <w:ilvl w:val="1"/>
          <w:numId w:val="1"/>
        </w:numPr>
        <w:rPr>
          <w:bCs/>
        </w:rPr>
      </w:pPr>
      <w:r w:rsidRPr="002C3191">
        <w:rPr>
          <w:bCs/>
        </w:rPr>
        <w:t xml:space="preserve">The PBAC recommended the listing of </w:t>
      </w:r>
      <w:r w:rsidR="00401BA4" w:rsidRPr="002C3191">
        <w:rPr>
          <w:bCs/>
        </w:rPr>
        <w:t>GRZ/EBR</w:t>
      </w:r>
      <w:r w:rsidR="008C4077" w:rsidRPr="002C3191">
        <w:rPr>
          <w:bCs/>
        </w:rPr>
        <w:t xml:space="preserve"> +/- </w:t>
      </w:r>
      <w:r w:rsidR="00401BA4" w:rsidRPr="002C3191">
        <w:rPr>
          <w:bCs/>
        </w:rPr>
        <w:t>RBV</w:t>
      </w:r>
      <w:r w:rsidR="0052482A" w:rsidRPr="002C3191">
        <w:rPr>
          <w:bCs/>
        </w:rPr>
        <w:t xml:space="preserve"> </w:t>
      </w:r>
      <w:r w:rsidRPr="002C3191">
        <w:rPr>
          <w:bCs/>
        </w:rPr>
        <w:t>for the treatment of treatment-naïve and treatment experienced genotype</w:t>
      </w:r>
      <w:r w:rsidR="00714199" w:rsidRPr="002C3191">
        <w:rPr>
          <w:bCs/>
        </w:rPr>
        <w:t>s</w:t>
      </w:r>
      <w:r w:rsidRPr="002C3191">
        <w:rPr>
          <w:bCs/>
        </w:rPr>
        <w:t xml:space="preserve"> 1, 4 and 6 </w:t>
      </w:r>
      <w:r w:rsidR="0052482A" w:rsidRPr="002C3191">
        <w:rPr>
          <w:bCs/>
        </w:rPr>
        <w:t xml:space="preserve">CHC </w:t>
      </w:r>
      <w:r w:rsidRPr="002C3191">
        <w:rPr>
          <w:bCs/>
        </w:rPr>
        <w:t>on a cost minimisa</w:t>
      </w:r>
      <w:r w:rsidR="001C4D71" w:rsidRPr="002C3191">
        <w:rPr>
          <w:bCs/>
        </w:rPr>
        <w:t>tion basis with</w:t>
      </w:r>
      <w:r w:rsidR="00A05584" w:rsidRPr="002C3191">
        <w:rPr>
          <w:bCs/>
        </w:rPr>
        <w:t xml:space="preserve"> LDV</w:t>
      </w:r>
      <w:r w:rsidR="006F6185" w:rsidRPr="002C3191">
        <w:rPr>
          <w:bCs/>
        </w:rPr>
        <w:t xml:space="preserve">/SOF for GT1 disease and </w:t>
      </w:r>
      <w:r w:rsidR="0052482A" w:rsidRPr="002C3191">
        <w:rPr>
          <w:bCs/>
        </w:rPr>
        <w:t xml:space="preserve">on a cost-minimisation basis </w:t>
      </w:r>
      <w:r w:rsidR="006F6185" w:rsidRPr="002C3191">
        <w:rPr>
          <w:bCs/>
        </w:rPr>
        <w:t>with SOF</w:t>
      </w:r>
      <w:r w:rsidR="00036700">
        <w:rPr>
          <w:bCs/>
        </w:rPr>
        <w:t>+PR</w:t>
      </w:r>
      <w:r w:rsidR="00036700" w:rsidRPr="00036700" w:rsidDel="00036700">
        <w:rPr>
          <w:bCs/>
        </w:rPr>
        <w:t xml:space="preserve"> </w:t>
      </w:r>
      <w:r w:rsidR="0052482A" w:rsidRPr="002C3191">
        <w:rPr>
          <w:bCs/>
        </w:rPr>
        <w:t xml:space="preserve"> for GT 4 and 6 disease.</w:t>
      </w:r>
    </w:p>
    <w:p w:rsidR="002666DF" w:rsidRPr="002C3191" w:rsidRDefault="002666DF" w:rsidP="004500A1"/>
    <w:p w:rsidR="002666DF" w:rsidRPr="002C3191" w:rsidRDefault="002666DF" w:rsidP="00D9008B">
      <w:pPr>
        <w:numPr>
          <w:ilvl w:val="1"/>
          <w:numId w:val="1"/>
        </w:numPr>
        <w:rPr>
          <w:bCs/>
        </w:rPr>
      </w:pPr>
      <w:r w:rsidRPr="002C3191">
        <w:rPr>
          <w:bCs/>
        </w:rPr>
        <w:t xml:space="preserve">The PBAC rejected the requested listing of </w:t>
      </w:r>
      <w:r w:rsidR="00401BA4" w:rsidRPr="002C3191">
        <w:rPr>
          <w:bCs/>
        </w:rPr>
        <w:t>GRZ/EBR</w:t>
      </w:r>
      <w:r w:rsidR="00990EA3" w:rsidRPr="002C3191">
        <w:rPr>
          <w:bCs/>
        </w:rPr>
        <w:t xml:space="preserve"> and </w:t>
      </w:r>
      <w:r w:rsidR="00036700">
        <w:rPr>
          <w:bCs/>
        </w:rPr>
        <w:t xml:space="preserve">SOF </w:t>
      </w:r>
      <w:r w:rsidRPr="002C3191">
        <w:rPr>
          <w:bCs/>
        </w:rPr>
        <w:t xml:space="preserve">for </w:t>
      </w:r>
      <w:r w:rsidR="00625BDB" w:rsidRPr="002C3191">
        <w:rPr>
          <w:bCs/>
        </w:rPr>
        <w:t>treatme</w:t>
      </w:r>
      <w:r w:rsidR="00A6015B" w:rsidRPr="002C3191">
        <w:rPr>
          <w:bCs/>
        </w:rPr>
        <w:t>nt</w:t>
      </w:r>
      <w:r w:rsidR="00A6015B" w:rsidRPr="002C3191">
        <w:rPr>
          <w:bCs/>
        </w:rPr>
        <w:noBreakHyphen/>
      </w:r>
      <w:r w:rsidR="00625BDB" w:rsidRPr="002C3191">
        <w:rPr>
          <w:bCs/>
        </w:rPr>
        <w:t>naï</w:t>
      </w:r>
      <w:r w:rsidR="00412F5F" w:rsidRPr="002C3191">
        <w:rPr>
          <w:bCs/>
        </w:rPr>
        <w:t xml:space="preserve">ve genotype 3 </w:t>
      </w:r>
      <w:r w:rsidR="00401BA4" w:rsidRPr="002C3191">
        <w:rPr>
          <w:bCs/>
        </w:rPr>
        <w:t>CHC</w:t>
      </w:r>
      <w:r w:rsidR="00412F5F" w:rsidRPr="002C3191">
        <w:rPr>
          <w:bCs/>
        </w:rPr>
        <w:t xml:space="preserve"> as </w:t>
      </w:r>
      <w:r w:rsidR="0052482A" w:rsidRPr="002C3191">
        <w:rPr>
          <w:bCs/>
        </w:rPr>
        <w:t xml:space="preserve">it considered </w:t>
      </w:r>
      <w:r w:rsidR="00412F5F" w:rsidRPr="002C3191">
        <w:rPr>
          <w:bCs/>
        </w:rPr>
        <w:t xml:space="preserve">there was insufficient </w:t>
      </w:r>
      <w:r w:rsidR="003F1C5E" w:rsidRPr="002C3191">
        <w:rPr>
          <w:bCs/>
        </w:rPr>
        <w:t xml:space="preserve">data </w:t>
      </w:r>
      <w:r w:rsidR="00412F5F" w:rsidRPr="002C3191">
        <w:rPr>
          <w:bCs/>
        </w:rPr>
        <w:t xml:space="preserve">to </w:t>
      </w:r>
      <w:r w:rsidR="00375C4B" w:rsidRPr="002C3191">
        <w:rPr>
          <w:bCs/>
        </w:rPr>
        <w:t xml:space="preserve">support </w:t>
      </w:r>
      <w:r w:rsidR="00412F5F" w:rsidRPr="002C3191">
        <w:rPr>
          <w:bCs/>
        </w:rPr>
        <w:t>recommending listing for this group.</w:t>
      </w:r>
    </w:p>
    <w:p w:rsidR="00D9008B" w:rsidRPr="002C3191" w:rsidRDefault="00D9008B" w:rsidP="00D9008B">
      <w:pPr>
        <w:rPr>
          <w:bCs/>
        </w:rPr>
      </w:pPr>
    </w:p>
    <w:p w:rsidR="00D9008B" w:rsidRPr="002C3191" w:rsidRDefault="002666DF" w:rsidP="002666DF">
      <w:pPr>
        <w:numPr>
          <w:ilvl w:val="1"/>
          <w:numId w:val="1"/>
        </w:numPr>
        <w:rPr>
          <w:bCs/>
        </w:rPr>
      </w:pPr>
      <w:r w:rsidRPr="002C3191">
        <w:rPr>
          <w:bCs/>
        </w:rPr>
        <w:t>In making this recommendation, the</w:t>
      </w:r>
      <w:r w:rsidR="00D9008B" w:rsidRPr="002C3191">
        <w:rPr>
          <w:bCs/>
        </w:rPr>
        <w:t xml:space="preserve"> PBAC </w:t>
      </w:r>
      <w:r w:rsidRPr="002C3191">
        <w:rPr>
          <w:bCs/>
        </w:rPr>
        <w:t xml:space="preserve">noted that new DAA treatment regimens for </w:t>
      </w:r>
      <w:r w:rsidR="001B3F51" w:rsidRPr="002C3191">
        <w:rPr>
          <w:bCs/>
        </w:rPr>
        <w:t>CHC</w:t>
      </w:r>
      <w:r w:rsidRPr="002C3191">
        <w:rPr>
          <w:bCs/>
        </w:rPr>
        <w:t xml:space="preserve"> are available both as General Schedule items and under special arrangements under Section 100. The </w:t>
      </w:r>
      <w:r w:rsidR="001B3F51" w:rsidRPr="002C3191">
        <w:rPr>
          <w:bCs/>
        </w:rPr>
        <w:t xml:space="preserve">PBAC </w:t>
      </w:r>
      <w:r w:rsidR="00F17F75" w:rsidRPr="002C3191">
        <w:rPr>
          <w:bCs/>
        </w:rPr>
        <w:t xml:space="preserve">recommended </w:t>
      </w:r>
      <w:r w:rsidR="00786920" w:rsidRPr="002C3191">
        <w:rPr>
          <w:bCs/>
        </w:rPr>
        <w:t xml:space="preserve">that </w:t>
      </w:r>
      <w:r w:rsidR="00F17F75" w:rsidRPr="002C3191">
        <w:rPr>
          <w:bCs/>
        </w:rPr>
        <w:t>GRZ/EBR</w:t>
      </w:r>
      <w:r w:rsidR="00786920" w:rsidRPr="002C3191">
        <w:rPr>
          <w:bCs/>
        </w:rPr>
        <w:t xml:space="preserve"> be listed in the same way as existing DAA listings for CHC</w:t>
      </w:r>
      <w:r w:rsidR="00F17F75" w:rsidRPr="002C3191">
        <w:rPr>
          <w:bCs/>
        </w:rPr>
        <w:t>.</w:t>
      </w:r>
    </w:p>
    <w:p w:rsidR="00BB0646" w:rsidRPr="002C3191" w:rsidRDefault="00BB0646" w:rsidP="004500A1"/>
    <w:p w:rsidR="00BB0646" w:rsidRPr="002C3191" w:rsidRDefault="00BB0646" w:rsidP="002666DF">
      <w:pPr>
        <w:numPr>
          <w:ilvl w:val="1"/>
          <w:numId w:val="1"/>
        </w:numPr>
        <w:rPr>
          <w:bCs/>
        </w:rPr>
      </w:pPr>
      <w:r w:rsidRPr="002C3191">
        <w:rPr>
          <w:bCs/>
        </w:rPr>
        <w:t xml:space="preserve">The PBAC </w:t>
      </w:r>
      <w:r w:rsidR="00990EA3" w:rsidRPr="002C3191">
        <w:rPr>
          <w:bCs/>
        </w:rPr>
        <w:t xml:space="preserve">noted that the submission proposed </w:t>
      </w:r>
      <w:r w:rsidRPr="002C3191">
        <w:rPr>
          <w:bCs/>
        </w:rPr>
        <w:t xml:space="preserve"> the following equi-effective doses for the recommended genotypes:</w:t>
      </w:r>
    </w:p>
    <w:p w:rsidR="00BB0646" w:rsidRPr="002C3191" w:rsidRDefault="00BB0646" w:rsidP="00BB0646">
      <w:pPr>
        <w:pStyle w:val="ListParagraph"/>
        <w:numPr>
          <w:ilvl w:val="0"/>
          <w:numId w:val="16"/>
        </w:numPr>
        <w:ind w:left="1134"/>
        <w:rPr>
          <w:bCs/>
        </w:rPr>
      </w:pPr>
      <w:r w:rsidRPr="002C3191">
        <w:rPr>
          <w:bCs/>
        </w:rPr>
        <w:t>GRZ/EBR (100 mg/ 50 mg) once daily for 12 weeks equals LDV/SOF (90 mg/ 400 mg) once daily for 8 weeks in genotype 1 treatment-naïve non-cirrhotic patients.</w:t>
      </w:r>
    </w:p>
    <w:p w:rsidR="00BB0646" w:rsidRPr="002C3191" w:rsidRDefault="00BB0646" w:rsidP="00BB0646">
      <w:pPr>
        <w:pStyle w:val="ListParagraph"/>
        <w:numPr>
          <w:ilvl w:val="0"/>
          <w:numId w:val="16"/>
        </w:numPr>
        <w:ind w:left="1134"/>
        <w:rPr>
          <w:bCs/>
        </w:rPr>
      </w:pPr>
      <w:r w:rsidRPr="002C3191">
        <w:rPr>
          <w:bCs/>
        </w:rPr>
        <w:t>GRZ/EBR (100 mg/ 50 mg) once daily for 12 weeks equals LDV/SOF (90 mg/ 400 mg) once daily for 12 weeks in genotype 1 treatment-naïve cirrhotic patients.</w:t>
      </w:r>
    </w:p>
    <w:p w:rsidR="00DB25B7" w:rsidRPr="002C3191" w:rsidRDefault="00DB25B7" w:rsidP="00BB0646">
      <w:pPr>
        <w:pStyle w:val="ListParagraph"/>
        <w:numPr>
          <w:ilvl w:val="0"/>
          <w:numId w:val="16"/>
        </w:numPr>
        <w:ind w:left="1134"/>
        <w:rPr>
          <w:bCs/>
        </w:rPr>
      </w:pPr>
      <w:r w:rsidRPr="002C3191">
        <w:rPr>
          <w:bCs/>
        </w:rPr>
        <w:t>GRZ/EBR (100 mg/ 50 mg) once daily for 12 weeks equals LDV/SOF (90 mg/ 400 mg) once daily for 12 weeks in genotype 1b treatment-experienced patients.</w:t>
      </w:r>
    </w:p>
    <w:p w:rsidR="00DB25B7" w:rsidRPr="002C3191" w:rsidRDefault="00DB25B7" w:rsidP="00BB0646">
      <w:pPr>
        <w:pStyle w:val="ListParagraph"/>
        <w:numPr>
          <w:ilvl w:val="0"/>
          <w:numId w:val="16"/>
        </w:numPr>
        <w:ind w:left="1134"/>
        <w:rPr>
          <w:bCs/>
        </w:rPr>
      </w:pPr>
      <w:r w:rsidRPr="002C3191">
        <w:rPr>
          <w:bCs/>
        </w:rPr>
        <w:t>GRZ/EBR (100 mg/ 50 mg) once daily for 16 weeks</w:t>
      </w:r>
      <w:r w:rsidR="008C4077" w:rsidRPr="002C3191">
        <w:rPr>
          <w:bCs/>
        </w:rPr>
        <w:t xml:space="preserve"> plus RBV for 16 weeks</w:t>
      </w:r>
      <w:r w:rsidRPr="002C3191">
        <w:rPr>
          <w:bCs/>
        </w:rPr>
        <w:t xml:space="preserve"> equals LDV/SOF (90 mg/ 400 mg) once daily for 12</w:t>
      </w:r>
      <w:r w:rsidR="00034122">
        <w:rPr>
          <w:bCs/>
        </w:rPr>
        <w:t xml:space="preserve"> </w:t>
      </w:r>
      <w:r w:rsidRPr="002C3191">
        <w:rPr>
          <w:bCs/>
        </w:rPr>
        <w:t>weeks in genotype 1a treatment-experienced patients.</w:t>
      </w:r>
    </w:p>
    <w:p w:rsidR="0030661C" w:rsidRPr="002C3191" w:rsidRDefault="00DB25B7" w:rsidP="0030661C">
      <w:pPr>
        <w:pStyle w:val="ListParagraph"/>
        <w:numPr>
          <w:ilvl w:val="0"/>
          <w:numId w:val="16"/>
        </w:numPr>
        <w:ind w:left="1134"/>
        <w:rPr>
          <w:bCs/>
        </w:rPr>
      </w:pPr>
      <w:r w:rsidRPr="002C3191">
        <w:rPr>
          <w:bCs/>
        </w:rPr>
        <w:t>GRZ/EBR (100 mg/ 50 mg)</w:t>
      </w:r>
      <w:r w:rsidR="008C4077" w:rsidRPr="002C3191">
        <w:rPr>
          <w:bCs/>
        </w:rPr>
        <w:t xml:space="preserve"> </w:t>
      </w:r>
      <w:r w:rsidR="00685B04" w:rsidRPr="002C3191">
        <w:rPr>
          <w:bCs/>
        </w:rPr>
        <w:t xml:space="preserve">+/- ribavirin </w:t>
      </w:r>
      <w:r w:rsidRPr="002C3191">
        <w:rPr>
          <w:bCs/>
        </w:rPr>
        <w:t xml:space="preserve">once daily for 12 </w:t>
      </w:r>
      <w:r w:rsidR="008C4077" w:rsidRPr="002C3191">
        <w:rPr>
          <w:bCs/>
        </w:rPr>
        <w:t xml:space="preserve">or 16 </w:t>
      </w:r>
      <w:r w:rsidRPr="002C3191">
        <w:rPr>
          <w:bCs/>
        </w:rPr>
        <w:t xml:space="preserve">weeks equals SOF 400 mg once daily plus RBV 1,000 mg (patients with a body weight less than 75 kg) or 1,200 mg (patients with a body weight greater than 75 kg) plus </w:t>
      </w:r>
      <w:r w:rsidRPr="002C3191">
        <w:rPr>
          <w:bCs/>
        </w:rPr>
        <w:lastRenderedPageBreak/>
        <w:t>Peg-interferon alfa-2a 180 µg weekly for 12 weeks in genotype 4 and 6 patients.</w:t>
      </w:r>
    </w:p>
    <w:p w:rsidR="00DB25B7" w:rsidRPr="002C3191" w:rsidRDefault="00DB25B7" w:rsidP="00DB25B7">
      <w:pPr>
        <w:rPr>
          <w:bCs/>
        </w:rPr>
      </w:pPr>
    </w:p>
    <w:p w:rsidR="00F17F75" w:rsidRPr="002C3191" w:rsidRDefault="00034122" w:rsidP="00034122">
      <w:pPr>
        <w:numPr>
          <w:ilvl w:val="1"/>
          <w:numId w:val="1"/>
        </w:numPr>
        <w:rPr>
          <w:bCs/>
        </w:rPr>
      </w:pPr>
      <w:r>
        <w:rPr>
          <w:bCs/>
        </w:rPr>
        <w:t>T</w:t>
      </w:r>
      <w:r w:rsidR="00BB0646" w:rsidRPr="002C3191">
        <w:rPr>
          <w:bCs/>
        </w:rPr>
        <w:t>he</w:t>
      </w:r>
      <w:r w:rsidR="00F17F75" w:rsidRPr="00036700">
        <w:t xml:space="preserve"> </w:t>
      </w:r>
      <w:r w:rsidR="00F17F75" w:rsidRPr="002C3191">
        <w:rPr>
          <w:bCs/>
        </w:rPr>
        <w:t>PBAC</w:t>
      </w:r>
      <w:r>
        <w:rPr>
          <w:bCs/>
        </w:rPr>
        <w:t xml:space="preserve"> noted that </w:t>
      </w:r>
      <w:r w:rsidRPr="00034122">
        <w:rPr>
          <w:bCs/>
        </w:rPr>
        <w:t>the treatment duration for LDV/SOF for genotype 1 treatment experienced, cirrhotic patients should be 24 rather than 12</w:t>
      </w:r>
      <w:r>
        <w:rPr>
          <w:bCs/>
        </w:rPr>
        <w:t xml:space="preserve"> weeks, and</w:t>
      </w:r>
      <w:r w:rsidR="00F17F75" w:rsidRPr="002C3191">
        <w:rPr>
          <w:bCs/>
        </w:rPr>
        <w:t xml:space="preserve"> th</w:t>
      </w:r>
      <w:r>
        <w:rPr>
          <w:bCs/>
        </w:rPr>
        <w:t xml:space="preserve">at </w:t>
      </w:r>
      <w:r w:rsidR="00F17F75" w:rsidRPr="002C3191">
        <w:rPr>
          <w:bCs/>
        </w:rPr>
        <w:t>Product Information for GRZ/EBR has not been finalised by TGA and agreed that the above GRZ/EBR regimens should be updated for consistency with the final TGA approved Product Information.</w:t>
      </w:r>
    </w:p>
    <w:p w:rsidR="00F17F75" w:rsidRPr="002C3191" w:rsidRDefault="00F17F75" w:rsidP="00401BA4"/>
    <w:p w:rsidR="00BB0646" w:rsidRPr="002C3191" w:rsidRDefault="00F17F75" w:rsidP="002666DF">
      <w:pPr>
        <w:numPr>
          <w:ilvl w:val="1"/>
          <w:numId w:val="1"/>
        </w:numPr>
        <w:rPr>
          <w:bCs/>
        </w:rPr>
      </w:pPr>
      <w:r w:rsidRPr="002C3191">
        <w:rPr>
          <w:bCs/>
        </w:rPr>
        <w:t>The</w:t>
      </w:r>
      <w:r w:rsidR="00BB0646" w:rsidRPr="002C3191">
        <w:rPr>
          <w:bCs/>
        </w:rPr>
        <w:t xml:space="preserve"> PBAC considered there was a high clinical need for interferon-free treatment</w:t>
      </w:r>
      <w:r w:rsidR="00412F5F" w:rsidRPr="002C3191">
        <w:rPr>
          <w:bCs/>
        </w:rPr>
        <w:t xml:space="preserve"> regimens for </w:t>
      </w:r>
      <w:r w:rsidR="00401BA4" w:rsidRPr="002C3191">
        <w:rPr>
          <w:bCs/>
        </w:rPr>
        <w:t>CHC</w:t>
      </w:r>
      <w:r w:rsidR="00412F5F" w:rsidRPr="002C3191">
        <w:rPr>
          <w:bCs/>
        </w:rPr>
        <w:t xml:space="preserve"> genotypes 4</w:t>
      </w:r>
      <w:r w:rsidR="00BB0646" w:rsidRPr="002C3191">
        <w:rPr>
          <w:bCs/>
        </w:rPr>
        <w:t xml:space="preserve"> and 6, and </w:t>
      </w:r>
      <w:r w:rsidR="00CD654D" w:rsidRPr="002C3191">
        <w:rPr>
          <w:bCs/>
        </w:rPr>
        <w:t xml:space="preserve">that </w:t>
      </w:r>
      <w:r w:rsidR="00BB0646" w:rsidRPr="002C3191">
        <w:rPr>
          <w:bCs/>
        </w:rPr>
        <w:t>recommending GRZ/EBR for these genotypes would</w:t>
      </w:r>
      <w:r w:rsidR="00D62C96" w:rsidRPr="002C3191">
        <w:rPr>
          <w:bCs/>
        </w:rPr>
        <w:t xml:space="preserve"> allow</w:t>
      </w:r>
      <w:r w:rsidR="00BB0646" w:rsidRPr="002C3191">
        <w:rPr>
          <w:bCs/>
        </w:rPr>
        <w:t xml:space="preserve"> this small patient group access</w:t>
      </w:r>
      <w:r w:rsidR="00412F5F" w:rsidRPr="002C3191">
        <w:rPr>
          <w:bCs/>
        </w:rPr>
        <w:t xml:space="preserve"> to</w:t>
      </w:r>
      <w:r w:rsidR="00BB0646" w:rsidRPr="002C3191">
        <w:rPr>
          <w:bCs/>
        </w:rPr>
        <w:t xml:space="preserve"> PBS-subsidised IFN-free therapy. </w:t>
      </w:r>
    </w:p>
    <w:p w:rsidR="00D9008B" w:rsidRPr="002C3191" w:rsidRDefault="00D9008B" w:rsidP="00D9008B">
      <w:pPr>
        <w:rPr>
          <w:bCs/>
        </w:rPr>
      </w:pPr>
    </w:p>
    <w:p w:rsidR="00996701" w:rsidRPr="002C3191" w:rsidRDefault="0052482A" w:rsidP="00D9008B">
      <w:pPr>
        <w:numPr>
          <w:ilvl w:val="1"/>
          <w:numId w:val="1"/>
        </w:numPr>
        <w:rPr>
          <w:bCs/>
        </w:rPr>
      </w:pPr>
      <w:r w:rsidRPr="002C3191">
        <w:rPr>
          <w:bCs/>
        </w:rPr>
        <w:t>T</w:t>
      </w:r>
      <w:r w:rsidR="00432732" w:rsidRPr="002C3191">
        <w:rPr>
          <w:bCs/>
        </w:rPr>
        <w:t>he PBAC noted that no head-to-head trials with the nominated comparators were presented in the submission.</w:t>
      </w:r>
      <w:r w:rsidR="009D028A" w:rsidRPr="002C3191">
        <w:rPr>
          <w:bCs/>
        </w:rPr>
        <w:t xml:space="preserve"> The Committee reaffirmed its opinion that there was no basis on which to recommend one particular </w:t>
      </w:r>
      <w:r w:rsidR="008C4077" w:rsidRPr="002C3191">
        <w:rPr>
          <w:bCs/>
        </w:rPr>
        <w:t xml:space="preserve">CHC </w:t>
      </w:r>
      <w:r w:rsidR="009D028A" w:rsidRPr="002C3191">
        <w:rPr>
          <w:bCs/>
        </w:rPr>
        <w:t>treatment over another.</w:t>
      </w:r>
    </w:p>
    <w:p w:rsidR="00D9008B" w:rsidRPr="002C3191" w:rsidRDefault="00D9008B" w:rsidP="00D9008B">
      <w:pPr>
        <w:rPr>
          <w:bCs/>
        </w:rPr>
      </w:pPr>
    </w:p>
    <w:p w:rsidR="00D9008B" w:rsidRPr="002C3191" w:rsidRDefault="00432732" w:rsidP="00D9008B">
      <w:pPr>
        <w:numPr>
          <w:ilvl w:val="1"/>
          <w:numId w:val="1"/>
        </w:numPr>
        <w:rPr>
          <w:bCs/>
        </w:rPr>
      </w:pPr>
      <w:r w:rsidRPr="002C3191">
        <w:rPr>
          <w:bCs/>
        </w:rPr>
        <w:t xml:space="preserve">The PBAC also recommended that GRZ/EBR enter the risk sharing arrangement currently in place for other drugs used for the treatment of </w:t>
      </w:r>
      <w:r w:rsidR="00036700">
        <w:rPr>
          <w:bCs/>
        </w:rPr>
        <w:t>CHC</w:t>
      </w:r>
      <w:r w:rsidRPr="002C3191">
        <w:rPr>
          <w:bCs/>
        </w:rPr>
        <w:t>.</w:t>
      </w:r>
    </w:p>
    <w:p w:rsidR="00D9008B" w:rsidRPr="002C3191" w:rsidRDefault="00D9008B" w:rsidP="00D9008B">
      <w:pPr>
        <w:rPr>
          <w:bCs/>
        </w:rPr>
      </w:pPr>
    </w:p>
    <w:p w:rsidR="00D9008B" w:rsidRPr="002C3191" w:rsidRDefault="00FA15E8" w:rsidP="00D9008B">
      <w:pPr>
        <w:numPr>
          <w:ilvl w:val="1"/>
          <w:numId w:val="1"/>
        </w:numPr>
        <w:rPr>
          <w:bCs/>
        </w:rPr>
      </w:pPr>
      <w:r w:rsidRPr="002C3191">
        <w:rPr>
          <w:bCs/>
        </w:rPr>
        <w:t xml:space="preserve">The PBAC considered that </w:t>
      </w:r>
      <w:r w:rsidR="000F1092" w:rsidRPr="002C3191">
        <w:rPr>
          <w:bCs/>
        </w:rPr>
        <w:t>GRZ/EBR</w:t>
      </w:r>
      <w:r w:rsidRPr="002C3191">
        <w:rPr>
          <w:bCs/>
        </w:rPr>
        <w:t xml:space="preserve"> would only substitute </w:t>
      </w:r>
      <w:r w:rsidR="003F1C5E" w:rsidRPr="002C3191">
        <w:rPr>
          <w:bCs/>
        </w:rPr>
        <w:t xml:space="preserve">for </w:t>
      </w:r>
      <w:r w:rsidRPr="002C3191">
        <w:rPr>
          <w:bCs/>
        </w:rPr>
        <w:t xml:space="preserve">other DAA containing treatment regimens for </w:t>
      </w:r>
      <w:r w:rsidR="00401BA4" w:rsidRPr="002C3191">
        <w:rPr>
          <w:bCs/>
        </w:rPr>
        <w:t>CHC</w:t>
      </w:r>
      <w:r w:rsidRPr="002C3191">
        <w:rPr>
          <w:bCs/>
        </w:rPr>
        <w:t xml:space="preserve"> infection and would not grow the total market.</w:t>
      </w:r>
      <w:r w:rsidR="00503552" w:rsidRPr="002C3191">
        <w:rPr>
          <w:bCs/>
        </w:rPr>
        <w:t xml:space="preserve"> The PBAC considered the utilisation estimates presented in the submission were reasonable and agreed that the listing of GRZ/EBR would be cost neutral.</w:t>
      </w:r>
      <w:r w:rsidRPr="002C3191">
        <w:rPr>
          <w:bCs/>
        </w:rPr>
        <w:t xml:space="preserve"> </w:t>
      </w:r>
    </w:p>
    <w:p w:rsidR="00630606" w:rsidRPr="002C3191" w:rsidRDefault="00630606" w:rsidP="00630606">
      <w:pPr>
        <w:pStyle w:val="ListParagraph"/>
        <w:rPr>
          <w:bCs/>
        </w:rPr>
      </w:pPr>
    </w:p>
    <w:p w:rsidR="00630606" w:rsidRPr="002C3191" w:rsidRDefault="00630606" w:rsidP="00D9008B">
      <w:pPr>
        <w:numPr>
          <w:ilvl w:val="1"/>
          <w:numId w:val="1"/>
        </w:numPr>
        <w:rPr>
          <w:bCs/>
        </w:rPr>
      </w:pPr>
      <w:r w:rsidRPr="002C3191">
        <w:rPr>
          <w:bCs/>
        </w:rPr>
        <w:t xml:space="preserve">The PBAC noted the correspondence received from individuals, health professionals and </w:t>
      </w:r>
      <w:r w:rsidR="003F1C5E" w:rsidRPr="002C3191">
        <w:rPr>
          <w:bCs/>
        </w:rPr>
        <w:t>organisations</w:t>
      </w:r>
      <w:r w:rsidRPr="002C3191">
        <w:rPr>
          <w:bCs/>
        </w:rPr>
        <w:t xml:space="preserve">, all supportive of the listing </w:t>
      </w:r>
      <w:r w:rsidR="007C43BE" w:rsidRPr="002C3191">
        <w:rPr>
          <w:bCs/>
        </w:rPr>
        <w:t xml:space="preserve">of GRZ/EBR. The PBAC </w:t>
      </w:r>
      <w:r w:rsidR="00CD654D" w:rsidRPr="002C3191">
        <w:rPr>
          <w:bCs/>
        </w:rPr>
        <w:t xml:space="preserve">noted </w:t>
      </w:r>
      <w:r w:rsidR="006422B5" w:rsidRPr="002C3191">
        <w:rPr>
          <w:bCs/>
        </w:rPr>
        <w:t xml:space="preserve">that </w:t>
      </w:r>
      <w:r w:rsidR="007C43BE" w:rsidRPr="002C3191">
        <w:rPr>
          <w:bCs/>
        </w:rPr>
        <w:t>the listing of</w:t>
      </w:r>
      <w:r w:rsidRPr="002C3191">
        <w:rPr>
          <w:bCs/>
        </w:rPr>
        <w:t xml:space="preserve"> GRZ/EBR </w:t>
      </w:r>
      <w:r w:rsidR="007C43BE" w:rsidRPr="002C3191">
        <w:rPr>
          <w:bCs/>
        </w:rPr>
        <w:t>would</w:t>
      </w:r>
      <w:r w:rsidRPr="002C3191">
        <w:rPr>
          <w:bCs/>
        </w:rPr>
        <w:t xml:space="preserve"> provide patients with PBS-</w:t>
      </w:r>
      <w:r w:rsidR="007C43BE" w:rsidRPr="002C3191">
        <w:rPr>
          <w:bCs/>
        </w:rPr>
        <w:t>subsidised access to interferon</w:t>
      </w:r>
      <w:r w:rsidR="007C43BE" w:rsidRPr="002C3191">
        <w:rPr>
          <w:bCs/>
        </w:rPr>
        <w:noBreakHyphen/>
      </w:r>
      <w:r w:rsidRPr="002C3191">
        <w:rPr>
          <w:bCs/>
        </w:rPr>
        <w:t xml:space="preserve">free treatments for some </w:t>
      </w:r>
      <w:r w:rsidR="00401BA4" w:rsidRPr="002C3191">
        <w:rPr>
          <w:bCs/>
        </w:rPr>
        <w:t>CHC</w:t>
      </w:r>
      <w:r w:rsidRPr="002C3191">
        <w:rPr>
          <w:bCs/>
        </w:rPr>
        <w:t xml:space="preserve"> genotypes for the first time.</w:t>
      </w:r>
    </w:p>
    <w:p w:rsidR="00D9008B" w:rsidRPr="002C3191" w:rsidRDefault="00D9008B" w:rsidP="00D9008B">
      <w:pPr>
        <w:rPr>
          <w:bCs/>
        </w:rPr>
      </w:pPr>
    </w:p>
    <w:p w:rsidR="00D9008B" w:rsidRPr="002C3191" w:rsidRDefault="00D9008B" w:rsidP="00D9008B">
      <w:pPr>
        <w:numPr>
          <w:ilvl w:val="1"/>
          <w:numId w:val="1"/>
        </w:numPr>
        <w:rPr>
          <w:bCs/>
        </w:rPr>
      </w:pPr>
      <w:r w:rsidRPr="002C3191">
        <w:rPr>
          <w:bCs/>
        </w:rPr>
        <w:t xml:space="preserve">The PBAC advised that </w:t>
      </w:r>
      <w:r w:rsidR="008C096D" w:rsidRPr="002C3191">
        <w:rPr>
          <w:bCs/>
        </w:rPr>
        <w:t>GRZ/EBR</w:t>
      </w:r>
      <w:r w:rsidR="00A53583" w:rsidRPr="002C3191">
        <w:rPr>
          <w:bCs/>
        </w:rPr>
        <w:t xml:space="preserve">, similar to other DAAs for </w:t>
      </w:r>
      <w:r w:rsidR="00401BA4" w:rsidRPr="002C3191">
        <w:rPr>
          <w:bCs/>
        </w:rPr>
        <w:t>CHC</w:t>
      </w:r>
      <w:r w:rsidR="00A53583" w:rsidRPr="002C3191">
        <w:rPr>
          <w:bCs/>
        </w:rPr>
        <w:t xml:space="preserve">, </w:t>
      </w:r>
      <w:proofErr w:type="gramStart"/>
      <w:r w:rsidR="006422B5" w:rsidRPr="002C3191">
        <w:rPr>
          <w:bCs/>
        </w:rPr>
        <w:t>are</w:t>
      </w:r>
      <w:proofErr w:type="gramEnd"/>
      <w:r w:rsidR="006422B5" w:rsidRPr="002C3191">
        <w:rPr>
          <w:bCs/>
        </w:rPr>
        <w:t xml:space="preserve"> </w:t>
      </w:r>
      <w:r w:rsidRPr="002C3191">
        <w:rPr>
          <w:bCs/>
        </w:rPr>
        <w:t>not suitable for prescribing by nurse practitioners</w:t>
      </w:r>
      <w:r w:rsidR="00CD654D" w:rsidRPr="002C3191">
        <w:rPr>
          <w:bCs/>
        </w:rPr>
        <w:t xml:space="preserve"> at this time</w:t>
      </w:r>
      <w:r w:rsidRPr="002C3191">
        <w:rPr>
          <w:bCs/>
        </w:rPr>
        <w:t>.</w:t>
      </w:r>
    </w:p>
    <w:p w:rsidR="00D9008B" w:rsidRPr="002C3191" w:rsidRDefault="00D9008B" w:rsidP="00D9008B">
      <w:pPr>
        <w:rPr>
          <w:bCs/>
        </w:rPr>
      </w:pPr>
    </w:p>
    <w:p w:rsidR="00D9008B" w:rsidRPr="002C3191" w:rsidRDefault="00D9008B" w:rsidP="00D9008B">
      <w:pPr>
        <w:numPr>
          <w:ilvl w:val="1"/>
          <w:numId w:val="1"/>
        </w:numPr>
        <w:rPr>
          <w:bCs/>
        </w:rPr>
      </w:pPr>
      <w:r w:rsidRPr="002C3191">
        <w:rPr>
          <w:bCs/>
        </w:rPr>
        <w:t>The PBAC recommended th</w:t>
      </w:r>
      <w:r w:rsidR="00A53583" w:rsidRPr="002C3191">
        <w:rPr>
          <w:bCs/>
        </w:rPr>
        <w:t xml:space="preserve">at the Early Supply Rule should not apply as it does not apply to other DAA listings for </w:t>
      </w:r>
      <w:r w:rsidR="00F17F75" w:rsidRPr="002C3191">
        <w:rPr>
          <w:bCs/>
        </w:rPr>
        <w:t>CHC</w:t>
      </w:r>
      <w:r w:rsidR="00A53583" w:rsidRPr="002C3191">
        <w:rPr>
          <w:bCs/>
        </w:rPr>
        <w:t>.</w:t>
      </w:r>
    </w:p>
    <w:p w:rsidR="00D9008B" w:rsidRPr="002C3191" w:rsidRDefault="00D9008B" w:rsidP="00D9008B">
      <w:pPr>
        <w:rPr>
          <w:bCs/>
        </w:rPr>
      </w:pPr>
    </w:p>
    <w:p w:rsidR="00D9008B" w:rsidRPr="002C3191" w:rsidRDefault="00D9008B" w:rsidP="00D9008B">
      <w:pPr>
        <w:numPr>
          <w:ilvl w:val="1"/>
          <w:numId w:val="1"/>
        </w:numPr>
        <w:rPr>
          <w:bCs/>
        </w:rPr>
      </w:pPr>
      <w:r w:rsidRPr="002C3191">
        <w:rPr>
          <w:bCs/>
        </w:rPr>
        <w:t>The PBA</w:t>
      </w:r>
      <w:r w:rsidR="00A53583" w:rsidRPr="002C3191">
        <w:rPr>
          <w:bCs/>
        </w:rPr>
        <w:t xml:space="preserve">C noted that this submission </w:t>
      </w:r>
      <w:r w:rsidR="006422B5" w:rsidRPr="002C3191">
        <w:rPr>
          <w:bCs/>
        </w:rPr>
        <w:t xml:space="preserve">was </w:t>
      </w:r>
      <w:r w:rsidRPr="002C3191">
        <w:rPr>
          <w:bCs/>
        </w:rPr>
        <w:t>not eligible for an Independent Review</w:t>
      </w:r>
      <w:r w:rsidR="00A53583" w:rsidRPr="002C3191">
        <w:rPr>
          <w:bCs/>
        </w:rPr>
        <w:t xml:space="preserve"> because it received a positive recommendation</w:t>
      </w:r>
      <w:r w:rsidRPr="002C3191">
        <w:rPr>
          <w:bCs/>
        </w:rPr>
        <w:t xml:space="preserve">. </w:t>
      </w:r>
    </w:p>
    <w:p w:rsidR="00CD654D" w:rsidRPr="002C3191" w:rsidRDefault="00CD654D" w:rsidP="008C096D">
      <w:pPr>
        <w:pStyle w:val="ListParagraph"/>
        <w:rPr>
          <w:bCs/>
        </w:rPr>
      </w:pPr>
    </w:p>
    <w:p w:rsidR="00D9008B" w:rsidRPr="002C3191" w:rsidRDefault="00CD654D" w:rsidP="00D9008B">
      <w:pPr>
        <w:numPr>
          <w:ilvl w:val="1"/>
          <w:numId w:val="1"/>
        </w:numPr>
        <w:rPr>
          <w:bCs/>
        </w:rPr>
      </w:pPr>
      <w:r w:rsidRPr="002C3191">
        <w:rPr>
          <w:bCs/>
        </w:rPr>
        <w:t>The PBAC advised</w:t>
      </w:r>
      <w:r w:rsidR="00401BA4" w:rsidRPr="002C3191">
        <w:rPr>
          <w:bCs/>
        </w:rPr>
        <w:t>,</w:t>
      </w:r>
      <w:r w:rsidR="00F17F75" w:rsidRPr="00036700">
        <w:t xml:space="preserve"> </w:t>
      </w:r>
      <w:r w:rsidR="00F17F75" w:rsidRPr="002C3191">
        <w:rPr>
          <w:bCs/>
        </w:rPr>
        <w:t xml:space="preserve">under Section 101(3BA) of the </w:t>
      </w:r>
      <w:r w:rsidR="00F17F75" w:rsidRPr="002C3191">
        <w:rPr>
          <w:bCs/>
          <w:i/>
        </w:rPr>
        <w:t>National Health Act 1953</w:t>
      </w:r>
      <w:r w:rsidR="00F17F75" w:rsidRPr="002C3191">
        <w:rPr>
          <w:bCs/>
        </w:rPr>
        <w:t xml:space="preserve">, </w:t>
      </w:r>
      <w:r w:rsidRPr="002C3191">
        <w:rPr>
          <w:bCs/>
        </w:rPr>
        <w:t xml:space="preserve"> that </w:t>
      </w:r>
      <w:r w:rsidR="008C096D" w:rsidRPr="002C3191">
        <w:rPr>
          <w:bCs/>
        </w:rPr>
        <w:t>grazoprevir</w:t>
      </w:r>
      <w:r w:rsidRPr="002C3191">
        <w:rPr>
          <w:bCs/>
        </w:rPr>
        <w:t xml:space="preserve"> with elba</w:t>
      </w:r>
      <w:r w:rsidR="00401BA4" w:rsidRPr="002C3191">
        <w:rPr>
          <w:bCs/>
        </w:rPr>
        <w:t>s</w:t>
      </w:r>
      <w:r w:rsidRPr="002C3191">
        <w:rPr>
          <w:bCs/>
        </w:rPr>
        <w:t>vir should be treated as interchangeable on an individual patient basis</w:t>
      </w:r>
      <w:r w:rsidR="00EE7524" w:rsidRPr="002C3191">
        <w:rPr>
          <w:bCs/>
        </w:rPr>
        <w:t xml:space="preserve"> with ledi</w:t>
      </w:r>
      <w:r w:rsidRPr="002C3191">
        <w:rPr>
          <w:bCs/>
        </w:rPr>
        <w:t>pa</w:t>
      </w:r>
      <w:r w:rsidR="00EE7524" w:rsidRPr="002C3191">
        <w:rPr>
          <w:bCs/>
        </w:rPr>
        <w:t>s</w:t>
      </w:r>
      <w:r w:rsidRPr="002C3191">
        <w:rPr>
          <w:bCs/>
        </w:rPr>
        <w:t xml:space="preserve">vir with sofosbuvir and </w:t>
      </w:r>
      <w:r w:rsidR="008C096D" w:rsidRPr="002C3191">
        <w:rPr>
          <w:bCs/>
        </w:rPr>
        <w:t>paritaprevir with ritonavir</w:t>
      </w:r>
      <w:r w:rsidR="00EE7524" w:rsidRPr="002C3191">
        <w:rPr>
          <w:bCs/>
        </w:rPr>
        <w:t xml:space="preserve"> with ombitasvir and dasabuvir </w:t>
      </w:r>
      <w:r w:rsidRPr="002C3191">
        <w:rPr>
          <w:bCs/>
        </w:rPr>
        <w:t>+/- RBV when used in the treatment of GT1 CHC.</w:t>
      </w:r>
    </w:p>
    <w:p w:rsidR="000F1092" w:rsidRDefault="000F1092" w:rsidP="00D9008B">
      <w:pPr>
        <w:rPr>
          <w:b/>
          <w:bCs/>
        </w:rPr>
      </w:pPr>
    </w:p>
    <w:p w:rsidR="00F11FE4" w:rsidRDefault="00F11FE4" w:rsidP="00D9008B">
      <w:pPr>
        <w:rPr>
          <w:b/>
          <w:bCs/>
        </w:rPr>
      </w:pPr>
    </w:p>
    <w:p w:rsidR="00D9008B" w:rsidRPr="002C3191" w:rsidRDefault="00D9008B" w:rsidP="00D9008B">
      <w:pPr>
        <w:rPr>
          <w:b/>
          <w:bCs/>
        </w:rPr>
      </w:pPr>
      <w:r w:rsidRPr="002C3191">
        <w:rPr>
          <w:b/>
          <w:bCs/>
        </w:rPr>
        <w:t>Outcome:</w:t>
      </w:r>
    </w:p>
    <w:p w:rsidR="005C3A89" w:rsidRPr="002C3191" w:rsidRDefault="00D9008B" w:rsidP="00D9008B">
      <w:pPr>
        <w:rPr>
          <w:bCs/>
        </w:rPr>
      </w:pPr>
      <w:r w:rsidRPr="002C3191">
        <w:rPr>
          <w:bCs/>
        </w:rPr>
        <w:t>Recommended</w:t>
      </w:r>
      <w:r w:rsidR="001740C4" w:rsidRPr="002C3191">
        <w:rPr>
          <w:bCs/>
        </w:rPr>
        <w:t>: genotype</w:t>
      </w:r>
      <w:r w:rsidR="00D62C96" w:rsidRPr="002C3191">
        <w:rPr>
          <w:bCs/>
        </w:rPr>
        <w:t>s 1, 4 and 6</w:t>
      </w:r>
    </w:p>
    <w:p w:rsidR="005C3A89" w:rsidRPr="002C3191" w:rsidRDefault="005C3A89" w:rsidP="00D9008B">
      <w:pPr>
        <w:rPr>
          <w:bCs/>
        </w:rPr>
      </w:pPr>
    </w:p>
    <w:p w:rsidR="00D9008B" w:rsidRPr="002C3191" w:rsidRDefault="00D9008B" w:rsidP="00D9008B">
      <w:pPr>
        <w:rPr>
          <w:bCs/>
        </w:rPr>
      </w:pPr>
      <w:r w:rsidRPr="002C3191">
        <w:rPr>
          <w:bCs/>
        </w:rPr>
        <w:t>Rejected</w:t>
      </w:r>
      <w:r w:rsidR="00A53583" w:rsidRPr="002C3191">
        <w:rPr>
          <w:bCs/>
        </w:rPr>
        <w:t>: treatment-naïve genotype 3</w:t>
      </w:r>
    </w:p>
    <w:p w:rsidR="00D9008B" w:rsidRPr="002C3191" w:rsidRDefault="00D9008B" w:rsidP="00D9008B">
      <w:pPr>
        <w:rPr>
          <w:bCs/>
        </w:rPr>
      </w:pPr>
    </w:p>
    <w:p w:rsidR="006C2E61" w:rsidRPr="00036700" w:rsidRDefault="006C2E61" w:rsidP="00D9008B">
      <w:pPr>
        <w:rPr>
          <w:bCs/>
        </w:rPr>
        <w:sectPr w:rsidR="006C2E61" w:rsidRPr="00036700" w:rsidSect="00C54AD4">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pgMar w:top="1440" w:right="1440" w:bottom="1440" w:left="1440" w:header="1440" w:footer="1440" w:gutter="0"/>
          <w:pgNumType w:start="1"/>
          <w:cols w:space="708"/>
          <w:docGrid w:linePitch="360"/>
        </w:sectPr>
      </w:pPr>
    </w:p>
    <w:p w:rsidR="00F47912" w:rsidRPr="00036700" w:rsidRDefault="00F47912" w:rsidP="00D9008B">
      <w:pPr>
        <w:rPr>
          <w:bCs/>
        </w:rPr>
      </w:pPr>
    </w:p>
    <w:p w:rsidR="00D9008B" w:rsidRPr="009F1E19" w:rsidRDefault="00D9008B" w:rsidP="004500A1">
      <w:pPr>
        <w:pStyle w:val="PBACHeading1"/>
        <w:rPr>
          <w:sz w:val="22"/>
        </w:rPr>
      </w:pPr>
      <w:r w:rsidRPr="009F1E19">
        <w:rPr>
          <w:sz w:val="22"/>
        </w:rPr>
        <w:lastRenderedPageBreak/>
        <w:t>Recommended listing</w:t>
      </w:r>
    </w:p>
    <w:p w:rsidR="00D9008B" w:rsidRPr="002C3191" w:rsidRDefault="00D9008B" w:rsidP="00D9008B">
      <w:pPr>
        <w:rPr>
          <w:b/>
          <w:bCs/>
          <w:i/>
        </w:rPr>
      </w:pPr>
    </w:p>
    <w:p w:rsidR="00D9008B" w:rsidRPr="00036700" w:rsidRDefault="00D9008B" w:rsidP="00D9008B">
      <w:pPr>
        <w:numPr>
          <w:ilvl w:val="1"/>
          <w:numId w:val="1"/>
        </w:numPr>
        <w:rPr>
          <w:b/>
          <w:bCs/>
        </w:rPr>
      </w:pPr>
      <w:r w:rsidRPr="00036700">
        <w:rPr>
          <w:bCs/>
        </w:rPr>
        <w:t>Add new item:</w:t>
      </w:r>
    </w:p>
    <w:p w:rsidR="00D9008B" w:rsidRPr="00036700" w:rsidRDefault="00D9008B" w:rsidP="00D9008B">
      <w:pPr>
        <w:rPr>
          <w:b/>
          <w:bCs/>
          <w:highlight w:val="yellow"/>
        </w:rPr>
      </w:pPr>
    </w:p>
    <w:tbl>
      <w:tblPr>
        <w:tblW w:w="4660" w:type="pct"/>
        <w:tblInd w:w="737" w:type="dxa"/>
        <w:tblCellMar>
          <w:left w:w="28" w:type="dxa"/>
          <w:right w:w="28" w:type="dxa"/>
        </w:tblCellMar>
        <w:tblLook w:val="0000" w:firstRow="0" w:lastRow="0" w:firstColumn="0" w:lastColumn="0" w:noHBand="0" w:noVBand="0"/>
      </w:tblPr>
      <w:tblGrid>
        <w:gridCol w:w="1700"/>
        <w:gridCol w:w="990"/>
        <w:gridCol w:w="603"/>
        <w:gridCol w:w="906"/>
        <w:gridCol w:w="1612"/>
        <w:gridCol w:w="2653"/>
      </w:tblGrid>
      <w:tr w:rsidR="004500A1" w:rsidRPr="00036700" w:rsidTr="004500A1">
        <w:trPr>
          <w:cantSplit/>
          <w:trHeight w:val="471"/>
        </w:trPr>
        <w:tc>
          <w:tcPr>
            <w:tcW w:w="1590" w:type="pct"/>
            <w:gridSpan w:val="2"/>
            <w:tcBorders>
              <w:bottom w:val="single" w:sz="4" w:space="0" w:color="auto"/>
            </w:tcBorders>
          </w:tcPr>
          <w:p w:rsidR="004500A1" w:rsidRPr="00036700" w:rsidRDefault="004500A1" w:rsidP="0021326F">
            <w:pPr>
              <w:keepNext/>
              <w:widowControl/>
              <w:rPr>
                <w:sz w:val="20"/>
              </w:rPr>
            </w:pPr>
            <w:r w:rsidRPr="00036700">
              <w:rPr>
                <w:sz w:val="20"/>
              </w:rPr>
              <w:t>Name, Restriction,</w:t>
            </w:r>
          </w:p>
          <w:p w:rsidR="004500A1" w:rsidRPr="00036700" w:rsidRDefault="004500A1" w:rsidP="0021326F">
            <w:pPr>
              <w:keepNext/>
              <w:widowControl/>
              <w:rPr>
                <w:sz w:val="20"/>
              </w:rPr>
            </w:pPr>
            <w:r w:rsidRPr="00036700">
              <w:rPr>
                <w:sz w:val="20"/>
              </w:rPr>
              <w:t>Manner of administration and form</w:t>
            </w:r>
          </w:p>
        </w:tc>
        <w:tc>
          <w:tcPr>
            <w:tcW w:w="356" w:type="pct"/>
            <w:tcBorders>
              <w:bottom w:val="single" w:sz="4" w:space="0" w:color="auto"/>
            </w:tcBorders>
          </w:tcPr>
          <w:p w:rsidR="004500A1" w:rsidRPr="00036700" w:rsidRDefault="004500A1" w:rsidP="0021326F">
            <w:pPr>
              <w:keepNext/>
              <w:widowControl/>
              <w:jc w:val="center"/>
              <w:rPr>
                <w:sz w:val="20"/>
              </w:rPr>
            </w:pPr>
            <w:r w:rsidRPr="00036700">
              <w:rPr>
                <w:sz w:val="20"/>
              </w:rPr>
              <w:t>Max.</w:t>
            </w:r>
          </w:p>
          <w:p w:rsidR="004500A1" w:rsidRPr="00036700" w:rsidRDefault="004500A1" w:rsidP="0021326F">
            <w:pPr>
              <w:keepNext/>
              <w:widowControl/>
              <w:jc w:val="center"/>
              <w:rPr>
                <w:sz w:val="20"/>
              </w:rPr>
            </w:pPr>
            <w:r w:rsidRPr="00036700">
              <w:rPr>
                <w:sz w:val="20"/>
              </w:rPr>
              <w:t>Qty</w:t>
            </w:r>
          </w:p>
        </w:tc>
        <w:tc>
          <w:tcPr>
            <w:tcW w:w="535" w:type="pct"/>
            <w:tcBorders>
              <w:bottom w:val="single" w:sz="4" w:space="0" w:color="auto"/>
            </w:tcBorders>
          </w:tcPr>
          <w:p w:rsidR="004500A1" w:rsidRPr="00036700" w:rsidRDefault="004500A1" w:rsidP="0021326F">
            <w:pPr>
              <w:keepNext/>
              <w:widowControl/>
              <w:jc w:val="center"/>
              <w:rPr>
                <w:sz w:val="20"/>
              </w:rPr>
            </w:pPr>
            <w:r w:rsidRPr="00036700">
              <w:rPr>
                <w:sz w:val="20"/>
              </w:rPr>
              <w:t>№.of</w:t>
            </w:r>
          </w:p>
          <w:p w:rsidR="004500A1" w:rsidRPr="00036700" w:rsidRDefault="004500A1" w:rsidP="0021326F">
            <w:pPr>
              <w:keepNext/>
              <w:widowControl/>
              <w:jc w:val="center"/>
              <w:rPr>
                <w:sz w:val="20"/>
              </w:rPr>
            </w:pPr>
            <w:r w:rsidRPr="00036700">
              <w:rPr>
                <w:sz w:val="20"/>
              </w:rPr>
              <w:t>Rpts</w:t>
            </w:r>
          </w:p>
        </w:tc>
        <w:tc>
          <w:tcPr>
            <w:tcW w:w="2519" w:type="pct"/>
            <w:gridSpan w:val="2"/>
            <w:tcBorders>
              <w:bottom w:val="single" w:sz="4" w:space="0" w:color="auto"/>
            </w:tcBorders>
          </w:tcPr>
          <w:p w:rsidR="004500A1" w:rsidRPr="002C3191" w:rsidRDefault="004500A1" w:rsidP="0021326F">
            <w:pPr>
              <w:keepNext/>
              <w:widowControl/>
              <w:jc w:val="center"/>
              <w:rPr>
                <w:sz w:val="20"/>
              </w:rPr>
            </w:pPr>
            <w:r w:rsidRPr="00036700">
              <w:rPr>
                <w:sz w:val="20"/>
              </w:rPr>
              <w:t>Proprietary Name and Manufacturer</w:t>
            </w:r>
          </w:p>
        </w:tc>
      </w:tr>
      <w:tr w:rsidR="004500A1" w:rsidRPr="00036700" w:rsidTr="004500A1">
        <w:trPr>
          <w:cantSplit/>
          <w:trHeight w:val="577"/>
        </w:trPr>
        <w:tc>
          <w:tcPr>
            <w:tcW w:w="1590" w:type="pct"/>
            <w:gridSpan w:val="2"/>
          </w:tcPr>
          <w:p w:rsidR="004500A1" w:rsidRPr="002C3191" w:rsidRDefault="004500A1" w:rsidP="0021326F">
            <w:pPr>
              <w:keepNext/>
              <w:widowControl/>
              <w:rPr>
                <w:sz w:val="20"/>
              </w:rPr>
            </w:pPr>
            <w:r w:rsidRPr="002C3191">
              <w:rPr>
                <w:smallCaps/>
                <w:sz w:val="20"/>
              </w:rPr>
              <w:t>Grazoprevir/elbasvir</w:t>
            </w:r>
          </w:p>
          <w:p w:rsidR="004500A1" w:rsidRPr="002C3191" w:rsidRDefault="004500A1" w:rsidP="0021326F">
            <w:pPr>
              <w:keepNext/>
              <w:widowControl/>
              <w:rPr>
                <w:sz w:val="20"/>
              </w:rPr>
            </w:pPr>
            <w:r w:rsidRPr="002C3191">
              <w:rPr>
                <w:sz w:val="20"/>
              </w:rPr>
              <w:t>Tablet 100 mg/50 mg</w:t>
            </w:r>
          </w:p>
        </w:tc>
        <w:tc>
          <w:tcPr>
            <w:tcW w:w="356" w:type="pct"/>
          </w:tcPr>
          <w:p w:rsidR="004500A1" w:rsidRPr="00036700" w:rsidRDefault="004500A1" w:rsidP="0021326F">
            <w:pPr>
              <w:keepNext/>
              <w:widowControl/>
              <w:jc w:val="center"/>
              <w:rPr>
                <w:sz w:val="20"/>
              </w:rPr>
            </w:pPr>
            <w:r w:rsidRPr="00036700">
              <w:rPr>
                <w:sz w:val="20"/>
              </w:rPr>
              <w:t>28</w:t>
            </w:r>
          </w:p>
        </w:tc>
        <w:tc>
          <w:tcPr>
            <w:tcW w:w="535" w:type="pct"/>
          </w:tcPr>
          <w:p w:rsidR="004500A1" w:rsidRPr="00036700" w:rsidRDefault="004500A1" w:rsidP="0021326F">
            <w:pPr>
              <w:keepNext/>
              <w:widowControl/>
              <w:jc w:val="center"/>
              <w:rPr>
                <w:sz w:val="20"/>
              </w:rPr>
            </w:pPr>
            <w:r w:rsidRPr="00036700">
              <w:rPr>
                <w:sz w:val="20"/>
              </w:rPr>
              <w:t>2</w:t>
            </w:r>
          </w:p>
        </w:tc>
        <w:tc>
          <w:tcPr>
            <w:tcW w:w="952" w:type="pct"/>
          </w:tcPr>
          <w:p w:rsidR="004500A1" w:rsidRPr="00036700" w:rsidRDefault="004500A1" w:rsidP="0021326F">
            <w:pPr>
              <w:keepNext/>
              <w:widowControl/>
              <w:jc w:val="center"/>
              <w:rPr>
                <w:sz w:val="20"/>
              </w:rPr>
            </w:pPr>
            <w:r w:rsidRPr="00036700">
              <w:rPr>
                <w:sz w:val="20"/>
              </w:rPr>
              <w:t>Zepatier</w:t>
            </w:r>
            <w:r w:rsidRPr="00036700">
              <w:rPr>
                <w:sz w:val="20"/>
                <w:vertAlign w:val="superscript"/>
              </w:rPr>
              <w:t>®</w:t>
            </w:r>
          </w:p>
        </w:tc>
        <w:tc>
          <w:tcPr>
            <w:tcW w:w="1567" w:type="pct"/>
          </w:tcPr>
          <w:p w:rsidR="004500A1" w:rsidRPr="00036700" w:rsidRDefault="004500A1" w:rsidP="0021326F">
            <w:pPr>
              <w:keepNext/>
              <w:widowControl/>
              <w:jc w:val="center"/>
              <w:rPr>
                <w:sz w:val="20"/>
              </w:rPr>
            </w:pPr>
            <w:r w:rsidRPr="00036700">
              <w:rPr>
                <w:sz w:val="20"/>
              </w:rPr>
              <w:t>Merck Sharp &amp; Dohme (Australia) Pty Ltd</w:t>
            </w:r>
          </w:p>
        </w:tc>
      </w:tr>
      <w:tr w:rsidR="004500A1" w:rsidRPr="00036700" w:rsidTr="0021326F">
        <w:trPr>
          <w:cantSplit/>
          <w:trHeight w:val="360"/>
        </w:trPr>
        <w:tc>
          <w:tcPr>
            <w:tcW w:w="1005" w:type="pct"/>
          </w:tcPr>
          <w:p w:rsidR="004500A1" w:rsidRPr="00036700" w:rsidRDefault="004500A1" w:rsidP="0021326F">
            <w:pPr>
              <w:widowControl/>
              <w:rPr>
                <w:sz w:val="20"/>
              </w:rPr>
            </w:pPr>
            <w:r w:rsidRPr="00036700">
              <w:rPr>
                <w:rFonts w:ascii="Arial Narrow" w:hAnsi="Arial Narrow"/>
                <w:b/>
                <w:sz w:val="20"/>
              </w:rPr>
              <w:t>Category / Program</w:t>
            </w:r>
          </w:p>
        </w:tc>
        <w:tc>
          <w:tcPr>
            <w:tcW w:w="3995" w:type="pct"/>
            <w:gridSpan w:val="5"/>
          </w:tcPr>
          <w:p w:rsidR="004500A1" w:rsidRPr="00036700" w:rsidRDefault="004500A1" w:rsidP="0021326F">
            <w:pPr>
              <w:widowControl/>
              <w:rPr>
                <w:sz w:val="20"/>
              </w:rPr>
            </w:pPr>
            <w:r w:rsidRPr="00036700">
              <w:rPr>
                <w:rFonts w:ascii="Arial Narrow" w:hAnsi="Arial Narrow"/>
                <w:sz w:val="20"/>
              </w:rPr>
              <w:t>GENERAL – General Schedule (Code GE)</w:t>
            </w:r>
          </w:p>
        </w:tc>
      </w:tr>
      <w:tr w:rsidR="004500A1" w:rsidRPr="00036700" w:rsidTr="0021326F">
        <w:trPr>
          <w:cantSplit/>
          <w:trHeight w:val="360"/>
        </w:trPr>
        <w:tc>
          <w:tcPr>
            <w:tcW w:w="1005" w:type="pct"/>
          </w:tcPr>
          <w:p w:rsidR="004500A1" w:rsidRPr="00036700" w:rsidRDefault="004500A1" w:rsidP="0021326F">
            <w:pPr>
              <w:widowControl/>
              <w:rPr>
                <w:sz w:val="20"/>
              </w:rPr>
            </w:pPr>
            <w:r w:rsidRPr="00036700">
              <w:rPr>
                <w:rFonts w:ascii="Arial Narrow" w:hAnsi="Arial Narrow"/>
                <w:b/>
                <w:sz w:val="20"/>
              </w:rPr>
              <w:t>Prescriber type:</w:t>
            </w:r>
          </w:p>
        </w:tc>
        <w:tc>
          <w:tcPr>
            <w:tcW w:w="3995" w:type="pct"/>
            <w:gridSpan w:val="5"/>
          </w:tcPr>
          <w:p w:rsidR="004500A1" w:rsidRPr="00036700" w:rsidRDefault="004500A1" w:rsidP="0021326F">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4500A1" w:rsidRPr="00036700" w:rsidRDefault="004500A1" w:rsidP="0021326F">
            <w:pPr>
              <w:widowControl/>
              <w:rPr>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4500A1" w:rsidRPr="00036700" w:rsidTr="0021326F">
        <w:trPr>
          <w:cantSplit/>
          <w:trHeight w:val="360"/>
        </w:trPr>
        <w:tc>
          <w:tcPr>
            <w:tcW w:w="5000" w:type="pct"/>
            <w:gridSpan w:val="6"/>
          </w:tcPr>
          <w:p w:rsidR="004500A1" w:rsidRPr="00036700" w:rsidRDefault="004500A1" w:rsidP="0021326F">
            <w:pPr>
              <w:widowControl/>
              <w:rPr>
                <w:sz w:val="20"/>
              </w:rPr>
            </w:pPr>
            <w:r w:rsidRPr="00036700">
              <w:rPr>
                <w:sz w:val="20"/>
              </w:rPr>
              <w:t>Chronic hepatitis C infection</w:t>
            </w:r>
          </w:p>
        </w:tc>
      </w:tr>
    </w:tbl>
    <w:p w:rsidR="00D9008B" w:rsidRPr="00036700" w:rsidRDefault="00D9008B" w:rsidP="00D9008B"/>
    <w:tbl>
      <w:tblPr>
        <w:tblW w:w="4661" w:type="pct"/>
        <w:tblInd w:w="737" w:type="dxa"/>
        <w:tblCellMar>
          <w:left w:w="28" w:type="dxa"/>
          <w:right w:w="28" w:type="dxa"/>
        </w:tblCellMar>
        <w:tblLook w:val="0000" w:firstRow="0" w:lastRow="0" w:firstColumn="0" w:lastColumn="0" w:noHBand="0" w:noVBand="0"/>
      </w:tblPr>
      <w:tblGrid>
        <w:gridCol w:w="1701"/>
        <w:gridCol w:w="991"/>
        <w:gridCol w:w="604"/>
        <w:gridCol w:w="908"/>
        <w:gridCol w:w="1609"/>
        <w:gridCol w:w="2653"/>
      </w:tblGrid>
      <w:tr w:rsidR="004500A1" w:rsidRPr="00036700" w:rsidTr="004500A1">
        <w:trPr>
          <w:cantSplit/>
          <w:trHeight w:val="471"/>
        </w:trPr>
        <w:tc>
          <w:tcPr>
            <w:tcW w:w="1590" w:type="pct"/>
            <w:gridSpan w:val="2"/>
            <w:tcBorders>
              <w:bottom w:val="single" w:sz="4" w:space="0" w:color="auto"/>
            </w:tcBorders>
          </w:tcPr>
          <w:p w:rsidR="004500A1" w:rsidRPr="00036700" w:rsidRDefault="004500A1" w:rsidP="0021326F">
            <w:pPr>
              <w:keepNext/>
              <w:widowControl/>
              <w:rPr>
                <w:sz w:val="20"/>
              </w:rPr>
            </w:pPr>
            <w:r w:rsidRPr="00036700">
              <w:rPr>
                <w:sz w:val="20"/>
              </w:rPr>
              <w:t>Name, Restriction,</w:t>
            </w:r>
          </w:p>
          <w:p w:rsidR="004500A1" w:rsidRPr="00036700" w:rsidRDefault="004500A1" w:rsidP="0021326F">
            <w:pPr>
              <w:keepNext/>
              <w:widowControl/>
              <w:rPr>
                <w:sz w:val="20"/>
              </w:rPr>
            </w:pPr>
            <w:r w:rsidRPr="00036700">
              <w:rPr>
                <w:sz w:val="20"/>
              </w:rPr>
              <w:t>Manner of administration and form</w:t>
            </w:r>
          </w:p>
        </w:tc>
        <w:tc>
          <w:tcPr>
            <w:tcW w:w="357" w:type="pct"/>
            <w:tcBorders>
              <w:bottom w:val="single" w:sz="4" w:space="0" w:color="auto"/>
            </w:tcBorders>
          </w:tcPr>
          <w:p w:rsidR="004500A1" w:rsidRPr="00036700" w:rsidRDefault="004500A1" w:rsidP="0021326F">
            <w:pPr>
              <w:keepNext/>
              <w:widowControl/>
              <w:jc w:val="center"/>
              <w:rPr>
                <w:sz w:val="20"/>
              </w:rPr>
            </w:pPr>
            <w:r w:rsidRPr="00036700">
              <w:rPr>
                <w:sz w:val="20"/>
              </w:rPr>
              <w:t>Max.</w:t>
            </w:r>
          </w:p>
          <w:p w:rsidR="004500A1" w:rsidRPr="00036700" w:rsidRDefault="004500A1" w:rsidP="0021326F">
            <w:pPr>
              <w:keepNext/>
              <w:widowControl/>
              <w:jc w:val="center"/>
              <w:rPr>
                <w:sz w:val="20"/>
              </w:rPr>
            </w:pPr>
            <w:r w:rsidRPr="00036700">
              <w:rPr>
                <w:sz w:val="20"/>
              </w:rPr>
              <w:t>Qty</w:t>
            </w:r>
          </w:p>
        </w:tc>
        <w:tc>
          <w:tcPr>
            <w:tcW w:w="536" w:type="pct"/>
            <w:tcBorders>
              <w:bottom w:val="single" w:sz="4" w:space="0" w:color="auto"/>
            </w:tcBorders>
          </w:tcPr>
          <w:p w:rsidR="004500A1" w:rsidRPr="00036700" w:rsidRDefault="004500A1" w:rsidP="0021326F">
            <w:pPr>
              <w:keepNext/>
              <w:widowControl/>
              <w:jc w:val="center"/>
              <w:rPr>
                <w:sz w:val="20"/>
              </w:rPr>
            </w:pPr>
            <w:r w:rsidRPr="00036700">
              <w:rPr>
                <w:sz w:val="20"/>
              </w:rPr>
              <w:t>№.of</w:t>
            </w:r>
          </w:p>
          <w:p w:rsidR="004500A1" w:rsidRPr="00036700" w:rsidRDefault="004500A1" w:rsidP="0021326F">
            <w:pPr>
              <w:keepNext/>
              <w:widowControl/>
              <w:jc w:val="center"/>
              <w:rPr>
                <w:sz w:val="20"/>
              </w:rPr>
            </w:pPr>
            <w:r w:rsidRPr="00036700">
              <w:rPr>
                <w:sz w:val="20"/>
              </w:rPr>
              <w:t>Rpts</w:t>
            </w:r>
          </w:p>
        </w:tc>
        <w:tc>
          <w:tcPr>
            <w:tcW w:w="2517" w:type="pct"/>
            <w:gridSpan w:val="2"/>
            <w:tcBorders>
              <w:bottom w:val="single" w:sz="4" w:space="0" w:color="auto"/>
            </w:tcBorders>
          </w:tcPr>
          <w:p w:rsidR="004500A1" w:rsidRPr="002C3191" w:rsidRDefault="004500A1" w:rsidP="0021326F">
            <w:pPr>
              <w:keepNext/>
              <w:widowControl/>
              <w:jc w:val="center"/>
              <w:rPr>
                <w:sz w:val="20"/>
              </w:rPr>
            </w:pPr>
            <w:r w:rsidRPr="00036700">
              <w:rPr>
                <w:sz w:val="20"/>
              </w:rPr>
              <w:t>Proprietary Name and Manufacturer</w:t>
            </w:r>
          </w:p>
        </w:tc>
      </w:tr>
      <w:tr w:rsidR="004500A1" w:rsidRPr="00036700" w:rsidTr="004500A1">
        <w:trPr>
          <w:cantSplit/>
          <w:trHeight w:val="577"/>
        </w:trPr>
        <w:tc>
          <w:tcPr>
            <w:tcW w:w="1590" w:type="pct"/>
            <w:gridSpan w:val="2"/>
          </w:tcPr>
          <w:p w:rsidR="004500A1" w:rsidRPr="002C3191" w:rsidRDefault="004500A1" w:rsidP="0021326F">
            <w:pPr>
              <w:keepNext/>
              <w:widowControl/>
              <w:jc w:val="left"/>
              <w:rPr>
                <w:sz w:val="20"/>
              </w:rPr>
            </w:pPr>
            <w:r w:rsidRPr="002C3191">
              <w:rPr>
                <w:smallCaps/>
                <w:sz w:val="20"/>
              </w:rPr>
              <w:t>Grazoprevir/elbasvir</w:t>
            </w:r>
          </w:p>
          <w:p w:rsidR="004500A1" w:rsidRPr="002C3191" w:rsidRDefault="004500A1" w:rsidP="0021326F">
            <w:pPr>
              <w:keepNext/>
              <w:widowControl/>
              <w:jc w:val="left"/>
              <w:rPr>
                <w:sz w:val="20"/>
              </w:rPr>
            </w:pPr>
            <w:r w:rsidRPr="002C3191">
              <w:rPr>
                <w:sz w:val="20"/>
              </w:rPr>
              <w:t>Tablet 100 mg/50 mg</w:t>
            </w:r>
          </w:p>
        </w:tc>
        <w:tc>
          <w:tcPr>
            <w:tcW w:w="357" w:type="pct"/>
          </w:tcPr>
          <w:p w:rsidR="004500A1" w:rsidRPr="00036700" w:rsidRDefault="004500A1" w:rsidP="0021326F">
            <w:pPr>
              <w:keepNext/>
              <w:widowControl/>
              <w:jc w:val="center"/>
              <w:rPr>
                <w:sz w:val="20"/>
              </w:rPr>
            </w:pPr>
            <w:r w:rsidRPr="00036700">
              <w:rPr>
                <w:sz w:val="20"/>
              </w:rPr>
              <w:t>28</w:t>
            </w:r>
          </w:p>
        </w:tc>
        <w:tc>
          <w:tcPr>
            <w:tcW w:w="536" w:type="pct"/>
          </w:tcPr>
          <w:p w:rsidR="004500A1" w:rsidRPr="00036700" w:rsidRDefault="004500A1" w:rsidP="0021326F">
            <w:pPr>
              <w:keepNext/>
              <w:widowControl/>
              <w:jc w:val="center"/>
              <w:rPr>
                <w:sz w:val="20"/>
              </w:rPr>
            </w:pPr>
            <w:r w:rsidRPr="00036700">
              <w:rPr>
                <w:sz w:val="20"/>
              </w:rPr>
              <w:t>3</w:t>
            </w:r>
          </w:p>
        </w:tc>
        <w:tc>
          <w:tcPr>
            <w:tcW w:w="950" w:type="pct"/>
          </w:tcPr>
          <w:p w:rsidR="004500A1" w:rsidRPr="00036700" w:rsidRDefault="004500A1" w:rsidP="0021326F">
            <w:pPr>
              <w:keepNext/>
              <w:widowControl/>
              <w:jc w:val="center"/>
              <w:rPr>
                <w:sz w:val="20"/>
              </w:rPr>
            </w:pPr>
            <w:r w:rsidRPr="00036700">
              <w:rPr>
                <w:sz w:val="20"/>
              </w:rPr>
              <w:t>Zepatier</w:t>
            </w:r>
            <w:r w:rsidRPr="00036700">
              <w:rPr>
                <w:sz w:val="20"/>
                <w:vertAlign w:val="superscript"/>
              </w:rPr>
              <w:t>®</w:t>
            </w:r>
          </w:p>
        </w:tc>
        <w:tc>
          <w:tcPr>
            <w:tcW w:w="1567" w:type="pct"/>
          </w:tcPr>
          <w:p w:rsidR="004500A1" w:rsidRPr="00036700" w:rsidRDefault="004500A1" w:rsidP="0021326F">
            <w:pPr>
              <w:keepNext/>
              <w:widowControl/>
              <w:jc w:val="center"/>
              <w:rPr>
                <w:sz w:val="20"/>
              </w:rPr>
            </w:pPr>
            <w:r w:rsidRPr="00036700">
              <w:rPr>
                <w:sz w:val="20"/>
              </w:rPr>
              <w:t>Merck Sharp &amp; Dohme (Australia) Pty Ltd</w:t>
            </w:r>
          </w:p>
        </w:tc>
      </w:tr>
      <w:tr w:rsidR="004500A1" w:rsidRPr="00036700" w:rsidTr="0021326F">
        <w:trPr>
          <w:cantSplit/>
          <w:trHeight w:val="360"/>
        </w:trPr>
        <w:tc>
          <w:tcPr>
            <w:tcW w:w="1005" w:type="pct"/>
          </w:tcPr>
          <w:p w:rsidR="004500A1" w:rsidRPr="00036700" w:rsidRDefault="004500A1" w:rsidP="0021326F">
            <w:pPr>
              <w:widowControl/>
              <w:tabs>
                <w:tab w:val="left" w:pos="6060"/>
              </w:tabs>
              <w:rPr>
                <w:strike/>
                <w:sz w:val="20"/>
              </w:rPr>
            </w:pPr>
            <w:r w:rsidRPr="00036700">
              <w:rPr>
                <w:rFonts w:ascii="Arial Narrow" w:hAnsi="Arial Narrow"/>
                <w:b/>
                <w:sz w:val="20"/>
              </w:rPr>
              <w:t>Category / Program</w:t>
            </w:r>
          </w:p>
        </w:tc>
        <w:tc>
          <w:tcPr>
            <w:tcW w:w="3995" w:type="pct"/>
            <w:gridSpan w:val="5"/>
          </w:tcPr>
          <w:p w:rsidR="004500A1" w:rsidRPr="00036700" w:rsidRDefault="004500A1" w:rsidP="0021326F">
            <w:pPr>
              <w:widowControl/>
              <w:tabs>
                <w:tab w:val="left" w:pos="6060"/>
              </w:tabs>
              <w:rPr>
                <w:strike/>
                <w:sz w:val="20"/>
              </w:rPr>
            </w:pPr>
            <w:r w:rsidRPr="00036700">
              <w:rPr>
                <w:rFonts w:ascii="Arial Narrow" w:hAnsi="Arial Narrow"/>
                <w:sz w:val="20"/>
              </w:rPr>
              <w:t>GENERAL – General Schedule (Code GE)</w:t>
            </w:r>
          </w:p>
        </w:tc>
      </w:tr>
      <w:tr w:rsidR="004500A1" w:rsidRPr="00036700" w:rsidTr="0021326F">
        <w:trPr>
          <w:cantSplit/>
          <w:trHeight w:val="360"/>
        </w:trPr>
        <w:tc>
          <w:tcPr>
            <w:tcW w:w="1005" w:type="pct"/>
          </w:tcPr>
          <w:p w:rsidR="004500A1" w:rsidRPr="00036700" w:rsidRDefault="004500A1" w:rsidP="0021326F">
            <w:pPr>
              <w:widowControl/>
              <w:tabs>
                <w:tab w:val="left" w:pos="6060"/>
              </w:tabs>
              <w:rPr>
                <w:strike/>
                <w:sz w:val="20"/>
              </w:rPr>
            </w:pPr>
            <w:r w:rsidRPr="00036700">
              <w:rPr>
                <w:rFonts w:ascii="Arial Narrow" w:hAnsi="Arial Narrow"/>
                <w:b/>
                <w:sz w:val="20"/>
              </w:rPr>
              <w:t>Prescriber type:</w:t>
            </w:r>
          </w:p>
        </w:tc>
        <w:tc>
          <w:tcPr>
            <w:tcW w:w="3995" w:type="pct"/>
            <w:gridSpan w:val="5"/>
          </w:tcPr>
          <w:p w:rsidR="004500A1" w:rsidRPr="00036700" w:rsidRDefault="004500A1" w:rsidP="0021326F">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4500A1" w:rsidRPr="00036700" w:rsidRDefault="004500A1" w:rsidP="0021326F">
            <w:pPr>
              <w:widowControl/>
              <w:tabs>
                <w:tab w:val="left" w:pos="6060"/>
              </w:tabs>
              <w:rPr>
                <w:strike/>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4500A1" w:rsidRPr="00036700" w:rsidTr="0021326F">
        <w:trPr>
          <w:cantSplit/>
          <w:trHeight w:val="360"/>
        </w:trPr>
        <w:tc>
          <w:tcPr>
            <w:tcW w:w="5000" w:type="pct"/>
            <w:gridSpan w:val="6"/>
          </w:tcPr>
          <w:p w:rsidR="004500A1" w:rsidRPr="00036700" w:rsidRDefault="004500A1" w:rsidP="0021326F">
            <w:pPr>
              <w:widowControl/>
              <w:tabs>
                <w:tab w:val="left" w:pos="6060"/>
              </w:tabs>
              <w:rPr>
                <w:sz w:val="20"/>
              </w:rPr>
            </w:pPr>
            <w:r w:rsidRPr="00036700">
              <w:rPr>
                <w:sz w:val="20"/>
              </w:rPr>
              <w:t>Chronic hepatitis C infection</w:t>
            </w:r>
          </w:p>
        </w:tc>
      </w:tr>
    </w:tbl>
    <w:p w:rsidR="00F47912" w:rsidRPr="00036700" w:rsidRDefault="00F47912" w:rsidP="004500A1">
      <w:pPr>
        <w:widowControl/>
      </w:pPr>
    </w:p>
    <w:p w:rsidR="00F47912" w:rsidRPr="00036700" w:rsidRDefault="00F47912">
      <w:pPr>
        <w:widowControl/>
        <w:jc w:val="left"/>
      </w:pPr>
      <w:r w:rsidRPr="00036700">
        <w:br w:type="page"/>
      </w:r>
    </w:p>
    <w:p w:rsidR="004500A1" w:rsidRPr="00036700" w:rsidRDefault="004500A1" w:rsidP="004500A1">
      <w:pPr>
        <w:widowControl/>
      </w:pPr>
    </w:p>
    <w:tbl>
      <w:tblPr>
        <w:tblW w:w="4660" w:type="pct"/>
        <w:tblInd w:w="737" w:type="dxa"/>
        <w:tblCellMar>
          <w:left w:w="28" w:type="dxa"/>
          <w:right w:w="28" w:type="dxa"/>
        </w:tblCellMar>
        <w:tblLook w:val="0000" w:firstRow="0" w:lastRow="0" w:firstColumn="0" w:lastColumn="0" w:noHBand="0" w:noVBand="0"/>
      </w:tblPr>
      <w:tblGrid>
        <w:gridCol w:w="1700"/>
        <w:gridCol w:w="990"/>
        <w:gridCol w:w="603"/>
        <w:gridCol w:w="906"/>
        <w:gridCol w:w="1612"/>
        <w:gridCol w:w="2653"/>
      </w:tblGrid>
      <w:tr w:rsidR="004500A1" w:rsidRPr="00036700" w:rsidTr="004500A1">
        <w:trPr>
          <w:cantSplit/>
          <w:trHeight w:val="471"/>
        </w:trPr>
        <w:tc>
          <w:tcPr>
            <w:tcW w:w="1590" w:type="pct"/>
            <w:gridSpan w:val="2"/>
            <w:tcBorders>
              <w:bottom w:val="single" w:sz="4" w:space="0" w:color="auto"/>
            </w:tcBorders>
          </w:tcPr>
          <w:p w:rsidR="004500A1" w:rsidRPr="00036700" w:rsidRDefault="004500A1" w:rsidP="0021326F">
            <w:pPr>
              <w:keepNext/>
              <w:widowControl/>
              <w:rPr>
                <w:sz w:val="20"/>
              </w:rPr>
            </w:pPr>
            <w:r w:rsidRPr="00036700">
              <w:rPr>
                <w:sz w:val="20"/>
              </w:rPr>
              <w:t>Name, Restriction,</w:t>
            </w:r>
          </w:p>
          <w:p w:rsidR="004500A1" w:rsidRPr="00036700" w:rsidRDefault="004500A1" w:rsidP="0021326F">
            <w:pPr>
              <w:keepNext/>
              <w:widowControl/>
              <w:rPr>
                <w:sz w:val="20"/>
              </w:rPr>
            </w:pPr>
            <w:r w:rsidRPr="00036700">
              <w:rPr>
                <w:sz w:val="20"/>
              </w:rPr>
              <w:t>Manner of administration and form</w:t>
            </w:r>
          </w:p>
        </w:tc>
        <w:tc>
          <w:tcPr>
            <w:tcW w:w="356" w:type="pct"/>
            <w:tcBorders>
              <w:bottom w:val="single" w:sz="4" w:space="0" w:color="auto"/>
            </w:tcBorders>
          </w:tcPr>
          <w:p w:rsidR="004500A1" w:rsidRPr="00036700" w:rsidRDefault="004500A1" w:rsidP="0021326F">
            <w:pPr>
              <w:keepNext/>
              <w:widowControl/>
              <w:jc w:val="center"/>
              <w:rPr>
                <w:sz w:val="20"/>
              </w:rPr>
            </w:pPr>
            <w:r w:rsidRPr="00036700">
              <w:rPr>
                <w:sz w:val="20"/>
              </w:rPr>
              <w:t>Max.</w:t>
            </w:r>
          </w:p>
          <w:p w:rsidR="004500A1" w:rsidRPr="00036700" w:rsidRDefault="004500A1" w:rsidP="0021326F">
            <w:pPr>
              <w:keepNext/>
              <w:widowControl/>
              <w:jc w:val="center"/>
              <w:rPr>
                <w:sz w:val="20"/>
              </w:rPr>
            </w:pPr>
            <w:r w:rsidRPr="00036700">
              <w:rPr>
                <w:sz w:val="20"/>
              </w:rPr>
              <w:t>Qty</w:t>
            </w:r>
          </w:p>
        </w:tc>
        <w:tc>
          <w:tcPr>
            <w:tcW w:w="535" w:type="pct"/>
            <w:tcBorders>
              <w:bottom w:val="single" w:sz="4" w:space="0" w:color="auto"/>
            </w:tcBorders>
          </w:tcPr>
          <w:p w:rsidR="004500A1" w:rsidRPr="00036700" w:rsidRDefault="004500A1" w:rsidP="0021326F">
            <w:pPr>
              <w:keepNext/>
              <w:widowControl/>
              <w:jc w:val="center"/>
              <w:rPr>
                <w:sz w:val="20"/>
              </w:rPr>
            </w:pPr>
            <w:r w:rsidRPr="00036700">
              <w:rPr>
                <w:sz w:val="20"/>
              </w:rPr>
              <w:t>№.of</w:t>
            </w:r>
          </w:p>
          <w:p w:rsidR="004500A1" w:rsidRPr="00036700" w:rsidRDefault="004500A1" w:rsidP="0021326F">
            <w:pPr>
              <w:keepNext/>
              <w:widowControl/>
              <w:jc w:val="center"/>
              <w:rPr>
                <w:sz w:val="20"/>
              </w:rPr>
            </w:pPr>
            <w:r w:rsidRPr="00036700">
              <w:rPr>
                <w:sz w:val="20"/>
              </w:rPr>
              <w:t>Rpts</w:t>
            </w:r>
          </w:p>
        </w:tc>
        <w:tc>
          <w:tcPr>
            <w:tcW w:w="2519" w:type="pct"/>
            <w:gridSpan w:val="2"/>
            <w:tcBorders>
              <w:bottom w:val="single" w:sz="4" w:space="0" w:color="auto"/>
            </w:tcBorders>
          </w:tcPr>
          <w:p w:rsidR="004500A1" w:rsidRPr="002C3191" w:rsidRDefault="004500A1" w:rsidP="0021326F">
            <w:pPr>
              <w:keepNext/>
              <w:widowControl/>
              <w:jc w:val="center"/>
              <w:rPr>
                <w:sz w:val="20"/>
              </w:rPr>
            </w:pPr>
            <w:r w:rsidRPr="00036700">
              <w:rPr>
                <w:sz w:val="20"/>
              </w:rPr>
              <w:t>Proprietary Name and Manufacturer</w:t>
            </w:r>
          </w:p>
        </w:tc>
      </w:tr>
      <w:tr w:rsidR="004500A1" w:rsidRPr="00036700" w:rsidTr="004500A1">
        <w:trPr>
          <w:cantSplit/>
          <w:trHeight w:val="577"/>
        </w:trPr>
        <w:tc>
          <w:tcPr>
            <w:tcW w:w="1590" w:type="pct"/>
            <w:gridSpan w:val="2"/>
          </w:tcPr>
          <w:p w:rsidR="004500A1" w:rsidRPr="002C3191" w:rsidRDefault="004500A1" w:rsidP="0021326F">
            <w:pPr>
              <w:keepNext/>
              <w:widowControl/>
              <w:rPr>
                <w:sz w:val="20"/>
              </w:rPr>
            </w:pPr>
            <w:r w:rsidRPr="002C3191">
              <w:rPr>
                <w:smallCaps/>
                <w:sz w:val="20"/>
              </w:rPr>
              <w:t>Grazoprevir/elbasvir</w:t>
            </w:r>
          </w:p>
          <w:p w:rsidR="004500A1" w:rsidRPr="002C3191" w:rsidRDefault="004500A1" w:rsidP="0021326F">
            <w:pPr>
              <w:keepNext/>
              <w:widowControl/>
              <w:rPr>
                <w:sz w:val="20"/>
              </w:rPr>
            </w:pPr>
            <w:r w:rsidRPr="002C3191">
              <w:rPr>
                <w:sz w:val="20"/>
              </w:rPr>
              <w:t>Tablet 100 mg/50 mg</w:t>
            </w:r>
          </w:p>
        </w:tc>
        <w:tc>
          <w:tcPr>
            <w:tcW w:w="356" w:type="pct"/>
          </w:tcPr>
          <w:p w:rsidR="004500A1" w:rsidRPr="00036700" w:rsidRDefault="004500A1" w:rsidP="0021326F">
            <w:pPr>
              <w:keepNext/>
              <w:widowControl/>
              <w:jc w:val="center"/>
              <w:rPr>
                <w:sz w:val="20"/>
              </w:rPr>
            </w:pPr>
            <w:r w:rsidRPr="00036700">
              <w:rPr>
                <w:sz w:val="20"/>
              </w:rPr>
              <w:t>28</w:t>
            </w:r>
          </w:p>
        </w:tc>
        <w:tc>
          <w:tcPr>
            <w:tcW w:w="535" w:type="pct"/>
          </w:tcPr>
          <w:p w:rsidR="004500A1" w:rsidRPr="00036700" w:rsidRDefault="004500A1" w:rsidP="0021326F">
            <w:pPr>
              <w:keepNext/>
              <w:widowControl/>
              <w:jc w:val="center"/>
              <w:rPr>
                <w:sz w:val="20"/>
              </w:rPr>
            </w:pPr>
            <w:r w:rsidRPr="00036700">
              <w:rPr>
                <w:sz w:val="20"/>
              </w:rPr>
              <w:t>2</w:t>
            </w:r>
          </w:p>
        </w:tc>
        <w:tc>
          <w:tcPr>
            <w:tcW w:w="952" w:type="pct"/>
          </w:tcPr>
          <w:p w:rsidR="004500A1" w:rsidRPr="00036700" w:rsidRDefault="004500A1" w:rsidP="0021326F">
            <w:pPr>
              <w:keepNext/>
              <w:widowControl/>
              <w:jc w:val="center"/>
              <w:rPr>
                <w:sz w:val="20"/>
              </w:rPr>
            </w:pPr>
            <w:r w:rsidRPr="00036700">
              <w:rPr>
                <w:sz w:val="20"/>
              </w:rPr>
              <w:t>Zepatier</w:t>
            </w:r>
            <w:r w:rsidRPr="00036700">
              <w:rPr>
                <w:sz w:val="20"/>
                <w:vertAlign w:val="superscript"/>
              </w:rPr>
              <w:t>®</w:t>
            </w:r>
          </w:p>
        </w:tc>
        <w:tc>
          <w:tcPr>
            <w:tcW w:w="1567" w:type="pct"/>
          </w:tcPr>
          <w:p w:rsidR="004500A1" w:rsidRPr="00036700" w:rsidRDefault="004500A1" w:rsidP="0021326F">
            <w:pPr>
              <w:keepNext/>
              <w:widowControl/>
              <w:jc w:val="center"/>
              <w:rPr>
                <w:sz w:val="20"/>
              </w:rPr>
            </w:pPr>
            <w:r w:rsidRPr="00036700">
              <w:rPr>
                <w:sz w:val="20"/>
              </w:rPr>
              <w:t>Merck Sharp &amp; Dohme (Australia) Pty Ltd</w:t>
            </w:r>
          </w:p>
        </w:tc>
      </w:tr>
      <w:tr w:rsidR="004500A1" w:rsidRPr="00036700" w:rsidTr="0021326F">
        <w:trPr>
          <w:cantSplit/>
          <w:trHeight w:val="360"/>
        </w:trPr>
        <w:tc>
          <w:tcPr>
            <w:tcW w:w="1005" w:type="pct"/>
          </w:tcPr>
          <w:p w:rsidR="004500A1" w:rsidRPr="00036700" w:rsidRDefault="004500A1" w:rsidP="0021326F">
            <w:pPr>
              <w:widowControl/>
              <w:rPr>
                <w:sz w:val="20"/>
              </w:rPr>
            </w:pPr>
            <w:r w:rsidRPr="00036700">
              <w:rPr>
                <w:rFonts w:ascii="Arial Narrow" w:hAnsi="Arial Narrow"/>
                <w:b/>
                <w:sz w:val="20"/>
              </w:rPr>
              <w:t>Category / Program</w:t>
            </w:r>
          </w:p>
        </w:tc>
        <w:tc>
          <w:tcPr>
            <w:tcW w:w="3995" w:type="pct"/>
            <w:gridSpan w:val="5"/>
          </w:tcPr>
          <w:p w:rsidR="004500A1" w:rsidRPr="00036700" w:rsidRDefault="004500A1" w:rsidP="0021326F">
            <w:pPr>
              <w:widowControl/>
              <w:rPr>
                <w:sz w:val="20"/>
              </w:rPr>
            </w:pPr>
            <w:r w:rsidRPr="00036700">
              <w:rPr>
                <w:rFonts w:ascii="Arial Narrow" w:hAnsi="Arial Narrow"/>
                <w:sz w:val="20"/>
              </w:rPr>
              <w:t>Section 100 – Highly Specialised Drugs Program</w:t>
            </w:r>
          </w:p>
        </w:tc>
      </w:tr>
      <w:tr w:rsidR="004500A1" w:rsidRPr="00036700" w:rsidTr="0021326F">
        <w:trPr>
          <w:cantSplit/>
          <w:trHeight w:val="360"/>
        </w:trPr>
        <w:tc>
          <w:tcPr>
            <w:tcW w:w="1005" w:type="pct"/>
          </w:tcPr>
          <w:p w:rsidR="004500A1" w:rsidRPr="00036700" w:rsidRDefault="004500A1" w:rsidP="0021326F">
            <w:pPr>
              <w:widowControl/>
              <w:rPr>
                <w:sz w:val="20"/>
              </w:rPr>
            </w:pPr>
            <w:r w:rsidRPr="00036700">
              <w:rPr>
                <w:rFonts w:ascii="Arial Narrow" w:hAnsi="Arial Narrow"/>
                <w:b/>
                <w:sz w:val="20"/>
              </w:rPr>
              <w:t>Prescriber type:</w:t>
            </w:r>
          </w:p>
        </w:tc>
        <w:tc>
          <w:tcPr>
            <w:tcW w:w="3995" w:type="pct"/>
            <w:gridSpan w:val="5"/>
          </w:tcPr>
          <w:p w:rsidR="004500A1" w:rsidRPr="00036700" w:rsidRDefault="004500A1" w:rsidP="0021326F">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4500A1" w:rsidRPr="00036700" w:rsidRDefault="004500A1" w:rsidP="0021326F">
            <w:pPr>
              <w:widowControl/>
              <w:rPr>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4500A1" w:rsidRPr="00036700" w:rsidTr="0021326F">
        <w:trPr>
          <w:cantSplit/>
          <w:trHeight w:val="360"/>
        </w:trPr>
        <w:tc>
          <w:tcPr>
            <w:tcW w:w="5000" w:type="pct"/>
            <w:gridSpan w:val="6"/>
          </w:tcPr>
          <w:p w:rsidR="004500A1" w:rsidRPr="00036700" w:rsidRDefault="004500A1" w:rsidP="0021326F">
            <w:pPr>
              <w:widowControl/>
              <w:rPr>
                <w:sz w:val="20"/>
              </w:rPr>
            </w:pPr>
            <w:r w:rsidRPr="00036700">
              <w:rPr>
                <w:sz w:val="20"/>
              </w:rPr>
              <w:t>Chronic hepatitis C infection</w:t>
            </w:r>
          </w:p>
          <w:p w:rsidR="004500A1" w:rsidRPr="00036700" w:rsidRDefault="004500A1" w:rsidP="0021326F">
            <w:pPr>
              <w:widowControl/>
              <w:rPr>
                <w:sz w:val="20"/>
              </w:rPr>
            </w:pPr>
          </w:p>
        </w:tc>
      </w:tr>
    </w:tbl>
    <w:p w:rsidR="004500A1" w:rsidRPr="00036700" w:rsidRDefault="004500A1" w:rsidP="004500A1">
      <w:pPr>
        <w:widowControl/>
      </w:pPr>
    </w:p>
    <w:tbl>
      <w:tblPr>
        <w:tblW w:w="4661" w:type="pct"/>
        <w:tblInd w:w="737" w:type="dxa"/>
        <w:tblCellMar>
          <w:left w:w="28" w:type="dxa"/>
          <w:right w:w="28" w:type="dxa"/>
        </w:tblCellMar>
        <w:tblLook w:val="0000" w:firstRow="0" w:lastRow="0" w:firstColumn="0" w:lastColumn="0" w:noHBand="0" w:noVBand="0"/>
      </w:tblPr>
      <w:tblGrid>
        <w:gridCol w:w="1701"/>
        <w:gridCol w:w="991"/>
        <w:gridCol w:w="604"/>
        <w:gridCol w:w="908"/>
        <w:gridCol w:w="1607"/>
        <w:gridCol w:w="2655"/>
      </w:tblGrid>
      <w:tr w:rsidR="004500A1" w:rsidRPr="00036700" w:rsidTr="004500A1">
        <w:trPr>
          <w:cantSplit/>
          <w:trHeight w:val="471"/>
        </w:trPr>
        <w:tc>
          <w:tcPr>
            <w:tcW w:w="1590" w:type="pct"/>
            <w:gridSpan w:val="2"/>
            <w:tcBorders>
              <w:bottom w:val="single" w:sz="4" w:space="0" w:color="auto"/>
            </w:tcBorders>
          </w:tcPr>
          <w:p w:rsidR="004500A1" w:rsidRPr="00036700" w:rsidRDefault="004500A1" w:rsidP="0021326F">
            <w:pPr>
              <w:keepNext/>
              <w:widowControl/>
              <w:rPr>
                <w:sz w:val="20"/>
              </w:rPr>
            </w:pPr>
            <w:r w:rsidRPr="00036700">
              <w:rPr>
                <w:sz w:val="20"/>
              </w:rPr>
              <w:t>Name, Restriction,</w:t>
            </w:r>
          </w:p>
          <w:p w:rsidR="004500A1" w:rsidRPr="00036700" w:rsidRDefault="004500A1" w:rsidP="0021326F">
            <w:pPr>
              <w:keepNext/>
              <w:widowControl/>
              <w:rPr>
                <w:sz w:val="20"/>
              </w:rPr>
            </w:pPr>
            <w:r w:rsidRPr="00036700">
              <w:rPr>
                <w:sz w:val="20"/>
              </w:rPr>
              <w:t>Manner of administration and form</w:t>
            </w:r>
          </w:p>
        </w:tc>
        <w:tc>
          <w:tcPr>
            <w:tcW w:w="357" w:type="pct"/>
            <w:tcBorders>
              <w:bottom w:val="single" w:sz="4" w:space="0" w:color="auto"/>
            </w:tcBorders>
          </w:tcPr>
          <w:p w:rsidR="004500A1" w:rsidRPr="00036700" w:rsidRDefault="004500A1" w:rsidP="0021326F">
            <w:pPr>
              <w:keepNext/>
              <w:widowControl/>
              <w:jc w:val="center"/>
              <w:rPr>
                <w:sz w:val="20"/>
              </w:rPr>
            </w:pPr>
            <w:r w:rsidRPr="00036700">
              <w:rPr>
                <w:sz w:val="20"/>
              </w:rPr>
              <w:t>Max.</w:t>
            </w:r>
          </w:p>
          <w:p w:rsidR="004500A1" w:rsidRPr="00036700" w:rsidRDefault="004500A1" w:rsidP="0021326F">
            <w:pPr>
              <w:keepNext/>
              <w:widowControl/>
              <w:jc w:val="center"/>
              <w:rPr>
                <w:sz w:val="20"/>
              </w:rPr>
            </w:pPr>
            <w:r w:rsidRPr="00036700">
              <w:rPr>
                <w:sz w:val="20"/>
              </w:rPr>
              <w:t>Qty</w:t>
            </w:r>
          </w:p>
        </w:tc>
        <w:tc>
          <w:tcPr>
            <w:tcW w:w="536" w:type="pct"/>
            <w:tcBorders>
              <w:bottom w:val="single" w:sz="4" w:space="0" w:color="auto"/>
            </w:tcBorders>
          </w:tcPr>
          <w:p w:rsidR="004500A1" w:rsidRPr="00036700" w:rsidRDefault="004500A1" w:rsidP="0021326F">
            <w:pPr>
              <w:keepNext/>
              <w:widowControl/>
              <w:jc w:val="center"/>
              <w:rPr>
                <w:sz w:val="20"/>
              </w:rPr>
            </w:pPr>
            <w:r w:rsidRPr="00036700">
              <w:rPr>
                <w:sz w:val="20"/>
              </w:rPr>
              <w:t>№.of</w:t>
            </w:r>
          </w:p>
          <w:p w:rsidR="004500A1" w:rsidRPr="00036700" w:rsidRDefault="004500A1" w:rsidP="0021326F">
            <w:pPr>
              <w:keepNext/>
              <w:widowControl/>
              <w:jc w:val="center"/>
              <w:rPr>
                <w:sz w:val="20"/>
              </w:rPr>
            </w:pPr>
            <w:r w:rsidRPr="00036700">
              <w:rPr>
                <w:sz w:val="20"/>
              </w:rPr>
              <w:t>Rpts</w:t>
            </w:r>
          </w:p>
        </w:tc>
        <w:tc>
          <w:tcPr>
            <w:tcW w:w="2517" w:type="pct"/>
            <w:gridSpan w:val="2"/>
            <w:tcBorders>
              <w:bottom w:val="single" w:sz="4" w:space="0" w:color="auto"/>
            </w:tcBorders>
          </w:tcPr>
          <w:p w:rsidR="004500A1" w:rsidRPr="002C3191" w:rsidRDefault="004500A1" w:rsidP="0021326F">
            <w:pPr>
              <w:keepNext/>
              <w:widowControl/>
              <w:jc w:val="center"/>
              <w:rPr>
                <w:sz w:val="20"/>
              </w:rPr>
            </w:pPr>
            <w:r w:rsidRPr="00036700">
              <w:rPr>
                <w:sz w:val="20"/>
              </w:rPr>
              <w:t>Proprietary Name and Manufacturer</w:t>
            </w:r>
          </w:p>
        </w:tc>
      </w:tr>
      <w:tr w:rsidR="004500A1" w:rsidRPr="00036700" w:rsidTr="004500A1">
        <w:trPr>
          <w:cantSplit/>
          <w:trHeight w:val="577"/>
        </w:trPr>
        <w:tc>
          <w:tcPr>
            <w:tcW w:w="1590" w:type="pct"/>
            <w:gridSpan w:val="2"/>
          </w:tcPr>
          <w:p w:rsidR="004500A1" w:rsidRPr="002C3191" w:rsidRDefault="004500A1" w:rsidP="0021326F">
            <w:pPr>
              <w:keepNext/>
              <w:widowControl/>
              <w:jc w:val="left"/>
              <w:rPr>
                <w:sz w:val="20"/>
              </w:rPr>
            </w:pPr>
            <w:r w:rsidRPr="002C3191">
              <w:rPr>
                <w:smallCaps/>
                <w:sz w:val="20"/>
              </w:rPr>
              <w:t>Grazoprevir/elbasvir</w:t>
            </w:r>
          </w:p>
          <w:p w:rsidR="004500A1" w:rsidRPr="002C3191" w:rsidRDefault="004500A1" w:rsidP="0021326F">
            <w:pPr>
              <w:keepNext/>
              <w:widowControl/>
              <w:jc w:val="left"/>
              <w:rPr>
                <w:sz w:val="20"/>
              </w:rPr>
            </w:pPr>
            <w:r w:rsidRPr="002C3191">
              <w:rPr>
                <w:sz w:val="20"/>
              </w:rPr>
              <w:t>Tablet 100 mg/50 mg</w:t>
            </w:r>
          </w:p>
        </w:tc>
        <w:tc>
          <w:tcPr>
            <w:tcW w:w="357" w:type="pct"/>
          </w:tcPr>
          <w:p w:rsidR="004500A1" w:rsidRPr="00036700" w:rsidRDefault="004500A1" w:rsidP="0021326F">
            <w:pPr>
              <w:keepNext/>
              <w:widowControl/>
              <w:jc w:val="center"/>
              <w:rPr>
                <w:sz w:val="20"/>
              </w:rPr>
            </w:pPr>
            <w:r w:rsidRPr="00036700">
              <w:rPr>
                <w:sz w:val="20"/>
              </w:rPr>
              <w:t>28</w:t>
            </w:r>
          </w:p>
        </w:tc>
        <w:tc>
          <w:tcPr>
            <w:tcW w:w="536" w:type="pct"/>
          </w:tcPr>
          <w:p w:rsidR="004500A1" w:rsidRPr="00036700" w:rsidRDefault="004500A1" w:rsidP="0021326F">
            <w:pPr>
              <w:keepNext/>
              <w:widowControl/>
              <w:jc w:val="center"/>
              <w:rPr>
                <w:sz w:val="20"/>
              </w:rPr>
            </w:pPr>
            <w:r w:rsidRPr="00036700">
              <w:rPr>
                <w:sz w:val="20"/>
              </w:rPr>
              <w:t>3</w:t>
            </w:r>
          </w:p>
        </w:tc>
        <w:tc>
          <w:tcPr>
            <w:tcW w:w="949" w:type="pct"/>
          </w:tcPr>
          <w:p w:rsidR="004500A1" w:rsidRPr="00036700" w:rsidRDefault="004500A1" w:rsidP="0021326F">
            <w:pPr>
              <w:keepNext/>
              <w:widowControl/>
              <w:jc w:val="center"/>
              <w:rPr>
                <w:sz w:val="20"/>
              </w:rPr>
            </w:pPr>
            <w:r w:rsidRPr="00036700">
              <w:rPr>
                <w:sz w:val="20"/>
              </w:rPr>
              <w:t>Zepatier</w:t>
            </w:r>
            <w:r w:rsidRPr="00036700">
              <w:rPr>
                <w:sz w:val="20"/>
                <w:vertAlign w:val="superscript"/>
              </w:rPr>
              <w:t>®</w:t>
            </w:r>
          </w:p>
        </w:tc>
        <w:tc>
          <w:tcPr>
            <w:tcW w:w="1567" w:type="pct"/>
          </w:tcPr>
          <w:p w:rsidR="004500A1" w:rsidRPr="00036700" w:rsidRDefault="004500A1" w:rsidP="0021326F">
            <w:pPr>
              <w:keepNext/>
              <w:widowControl/>
              <w:jc w:val="center"/>
              <w:rPr>
                <w:sz w:val="20"/>
              </w:rPr>
            </w:pPr>
            <w:r w:rsidRPr="00036700">
              <w:rPr>
                <w:sz w:val="20"/>
              </w:rPr>
              <w:t>Merck Sharp &amp; Dohme (Australia) Pty Ltd</w:t>
            </w:r>
          </w:p>
        </w:tc>
      </w:tr>
      <w:tr w:rsidR="004500A1" w:rsidRPr="00036700" w:rsidTr="0021326F">
        <w:trPr>
          <w:cantSplit/>
          <w:trHeight w:val="360"/>
        </w:trPr>
        <w:tc>
          <w:tcPr>
            <w:tcW w:w="1005" w:type="pct"/>
          </w:tcPr>
          <w:p w:rsidR="004500A1" w:rsidRPr="00036700" w:rsidRDefault="004500A1" w:rsidP="0021326F">
            <w:pPr>
              <w:widowControl/>
              <w:tabs>
                <w:tab w:val="left" w:pos="6060"/>
              </w:tabs>
              <w:rPr>
                <w:strike/>
                <w:sz w:val="20"/>
              </w:rPr>
            </w:pPr>
            <w:r w:rsidRPr="00036700">
              <w:rPr>
                <w:rFonts w:ascii="Arial Narrow" w:hAnsi="Arial Narrow"/>
                <w:b/>
                <w:sz w:val="20"/>
              </w:rPr>
              <w:t>Category / Program</w:t>
            </w:r>
          </w:p>
        </w:tc>
        <w:tc>
          <w:tcPr>
            <w:tcW w:w="3995" w:type="pct"/>
            <w:gridSpan w:val="5"/>
          </w:tcPr>
          <w:p w:rsidR="004500A1" w:rsidRPr="00036700" w:rsidRDefault="004500A1" w:rsidP="0021326F">
            <w:pPr>
              <w:widowControl/>
              <w:tabs>
                <w:tab w:val="left" w:pos="6060"/>
              </w:tabs>
              <w:rPr>
                <w:strike/>
                <w:sz w:val="20"/>
              </w:rPr>
            </w:pPr>
            <w:r w:rsidRPr="00036700">
              <w:rPr>
                <w:rFonts w:ascii="Arial Narrow" w:hAnsi="Arial Narrow"/>
                <w:sz w:val="20"/>
              </w:rPr>
              <w:t>Section 100 – Highly Specialised Drugs Program</w:t>
            </w:r>
          </w:p>
        </w:tc>
      </w:tr>
      <w:tr w:rsidR="004500A1" w:rsidRPr="00036700" w:rsidTr="0021326F">
        <w:trPr>
          <w:cantSplit/>
          <w:trHeight w:val="360"/>
        </w:trPr>
        <w:tc>
          <w:tcPr>
            <w:tcW w:w="1005" w:type="pct"/>
          </w:tcPr>
          <w:p w:rsidR="004500A1" w:rsidRPr="00036700" w:rsidRDefault="004500A1" w:rsidP="0021326F">
            <w:pPr>
              <w:widowControl/>
              <w:tabs>
                <w:tab w:val="left" w:pos="6060"/>
              </w:tabs>
              <w:rPr>
                <w:strike/>
                <w:sz w:val="20"/>
              </w:rPr>
            </w:pPr>
            <w:r w:rsidRPr="00036700">
              <w:rPr>
                <w:rFonts w:ascii="Arial Narrow" w:hAnsi="Arial Narrow"/>
                <w:b/>
                <w:sz w:val="20"/>
              </w:rPr>
              <w:t>Prescriber type:</w:t>
            </w:r>
          </w:p>
        </w:tc>
        <w:tc>
          <w:tcPr>
            <w:tcW w:w="3995" w:type="pct"/>
            <w:gridSpan w:val="5"/>
          </w:tcPr>
          <w:p w:rsidR="004500A1" w:rsidRPr="00036700" w:rsidRDefault="004500A1" w:rsidP="0021326F">
            <w:pPr>
              <w:keepNext/>
              <w:keepLines/>
              <w:widowControl/>
              <w:spacing w:before="20" w:after="20"/>
              <w:rPr>
                <w:rFonts w:ascii="Arial Narrow" w:hAnsi="Arial Narrow"/>
                <w:sz w:val="20"/>
              </w:rPr>
            </w:pPr>
            <w:r w:rsidRPr="002C3191">
              <w:rPr>
                <w:rFonts w:ascii="Arial Narrow" w:hAnsi="Arial Narrow"/>
                <w:sz w:val="20"/>
              </w:rPr>
              <w:fldChar w:fldCharType="begin">
                <w:ffData>
                  <w:name w:val="Check1"/>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Dental  </w:t>
            </w:r>
            <w:r w:rsidRPr="002C3191">
              <w:rPr>
                <w:rFonts w:ascii="Arial Narrow" w:hAnsi="Arial Narrow"/>
                <w:sz w:val="20"/>
              </w:rPr>
              <w:fldChar w:fldCharType="begin">
                <w:ffData>
                  <w:name w:val=""/>
                  <w:enabled/>
                  <w:calcOnExit w:val="0"/>
                  <w:checkBox>
                    <w:sizeAuto/>
                    <w:default w:val="1"/>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Medical Practitioners  </w:t>
            </w:r>
            <w:r w:rsidRPr="002C3191">
              <w:rPr>
                <w:rFonts w:ascii="Arial Narrow" w:hAnsi="Arial Narrow"/>
                <w:sz w:val="20"/>
              </w:rPr>
              <w:fldChar w:fldCharType="begin">
                <w:ffData>
                  <w:name w:val="Check3"/>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 xml:space="preserve">Nurse practitioners  </w:t>
            </w:r>
            <w:r w:rsidRPr="002C3191">
              <w:rPr>
                <w:rFonts w:ascii="Arial Narrow" w:hAnsi="Arial Narrow"/>
                <w:sz w:val="20"/>
              </w:rPr>
              <w:fldChar w:fldCharType="begin">
                <w:ffData>
                  <w:name w:val=""/>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Optometrists</w:t>
            </w:r>
          </w:p>
          <w:p w:rsidR="004500A1" w:rsidRPr="00036700" w:rsidRDefault="004500A1" w:rsidP="0021326F">
            <w:pPr>
              <w:widowControl/>
              <w:tabs>
                <w:tab w:val="left" w:pos="6060"/>
              </w:tabs>
              <w:rPr>
                <w:strike/>
                <w:sz w:val="20"/>
              </w:rPr>
            </w:pPr>
            <w:r w:rsidRPr="002C3191">
              <w:rPr>
                <w:rFonts w:ascii="Arial Narrow" w:hAnsi="Arial Narrow"/>
                <w:sz w:val="20"/>
              </w:rPr>
              <w:fldChar w:fldCharType="begin">
                <w:ffData>
                  <w:name w:val="Check5"/>
                  <w:enabled/>
                  <w:calcOnExit w:val="0"/>
                  <w:checkBox>
                    <w:sizeAuto/>
                    <w:default w:val="0"/>
                  </w:checkBox>
                </w:ffData>
              </w:fldChar>
            </w:r>
            <w:r w:rsidRPr="00036700">
              <w:rPr>
                <w:rFonts w:ascii="Arial Narrow" w:hAnsi="Arial Narrow"/>
                <w:sz w:val="20"/>
              </w:rPr>
              <w:instrText xml:space="preserve"> FORMCHECKBOX </w:instrText>
            </w:r>
            <w:r w:rsidR="00F67F3C">
              <w:rPr>
                <w:rFonts w:ascii="Arial Narrow" w:hAnsi="Arial Narrow"/>
                <w:sz w:val="20"/>
              </w:rPr>
            </w:r>
            <w:r w:rsidR="00F67F3C">
              <w:rPr>
                <w:rFonts w:ascii="Arial Narrow" w:hAnsi="Arial Narrow"/>
                <w:sz w:val="20"/>
              </w:rPr>
              <w:fldChar w:fldCharType="separate"/>
            </w:r>
            <w:r w:rsidRPr="002C3191">
              <w:rPr>
                <w:rFonts w:ascii="Arial Narrow" w:hAnsi="Arial Narrow"/>
                <w:sz w:val="20"/>
              </w:rPr>
              <w:fldChar w:fldCharType="end"/>
            </w:r>
            <w:r w:rsidRPr="00036700">
              <w:rPr>
                <w:rFonts w:ascii="Arial Narrow" w:hAnsi="Arial Narrow"/>
                <w:sz w:val="20"/>
              </w:rPr>
              <w:t>Midwives</w:t>
            </w:r>
          </w:p>
        </w:tc>
      </w:tr>
      <w:tr w:rsidR="004500A1" w:rsidRPr="00036700" w:rsidTr="0021326F">
        <w:trPr>
          <w:cantSplit/>
          <w:trHeight w:val="360"/>
        </w:trPr>
        <w:tc>
          <w:tcPr>
            <w:tcW w:w="5000" w:type="pct"/>
            <w:gridSpan w:val="6"/>
          </w:tcPr>
          <w:p w:rsidR="004500A1" w:rsidRPr="00036700" w:rsidRDefault="004500A1" w:rsidP="0021326F">
            <w:pPr>
              <w:widowControl/>
              <w:tabs>
                <w:tab w:val="left" w:pos="6060"/>
              </w:tabs>
              <w:rPr>
                <w:sz w:val="20"/>
              </w:rPr>
            </w:pPr>
            <w:r w:rsidRPr="00036700">
              <w:rPr>
                <w:sz w:val="20"/>
              </w:rPr>
              <w:t>Chronic hepatitis C infection</w:t>
            </w:r>
          </w:p>
        </w:tc>
      </w:tr>
    </w:tbl>
    <w:p w:rsidR="004500A1" w:rsidRPr="00036700" w:rsidRDefault="004500A1" w:rsidP="00D9008B"/>
    <w:p w:rsidR="006C2E61" w:rsidRPr="00036700" w:rsidRDefault="006C2E61" w:rsidP="006C2E61">
      <w:pPr>
        <w:widowControl/>
        <w:ind w:left="709"/>
        <w:rPr>
          <w:b/>
          <w:sz w:val="20"/>
        </w:rPr>
      </w:pPr>
      <w:r w:rsidRPr="00036700">
        <w:rPr>
          <w:b/>
          <w:sz w:val="20"/>
        </w:rPr>
        <w:t>Proposed listing 1:</w:t>
      </w:r>
    </w:p>
    <w:tbl>
      <w:tblPr>
        <w:tblStyle w:val="TableGrid"/>
        <w:tblW w:w="4645" w:type="pct"/>
        <w:tblInd w:w="737" w:type="dxa"/>
        <w:tblLook w:val="04A0" w:firstRow="1" w:lastRow="0" w:firstColumn="1" w:lastColumn="0" w:noHBand="0" w:noVBand="1"/>
        <w:tblCaption w:val="Proposed listing 1:"/>
      </w:tblPr>
      <w:tblGrid>
        <w:gridCol w:w="1779"/>
        <w:gridCol w:w="6807"/>
      </w:tblGrid>
      <w:tr w:rsidR="006C2E61" w:rsidRPr="00036700" w:rsidTr="00D100AE">
        <w:trPr>
          <w:tblHeader/>
        </w:trPr>
        <w:tc>
          <w:tcPr>
            <w:tcW w:w="1036"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Restriction</w:t>
            </w:r>
          </w:p>
        </w:tc>
        <w:tc>
          <w:tcPr>
            <w:tcW w:w="3964"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Authority Required</w:t>
            </w:r>
          </w:p>
        </w:tc>
      </w:tr>
      <w:tr w:rsidR="006C2E61" w:rsidRPr="009F1E19" w:rsidTr="0021326F">
        <w:tc>
          <w:tcPr>
            <w:tcW w:w="1036"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Clinical criteria</w:t>
            </w:r>
          </w:p>
        </w:tc>
        <w:tc>
          <w:tcPr>
            <w:tcW w:w="3964" w:type="pct"/>
          </w:tcPr>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Patient must meet the criteria set out in the General Statement for Drugs for the Treatment of Hepatitis C,</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Patient must be taking this drug as part of a regimen set out in the matrix in the General Statement for Drugs for the Treatment of Hepatitis C, based on the hepatitis C virus genotype, patient history and cirrhotic status,</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The treatment must be limited to a maximum duration of 12 weeks.</w:t>
            </w:r>
          </w:p>
        </w:tc>
      </w:tr>
      <w:tr w:rsidR="006C2E61" w:rsidRPr="00036700" w:rsidTr="0021326F">
        <w:tc>
          <w:tcPr>
            <w:tcW w:w="1036"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Prescriber instruction</w:t>
            </w:r>
          </w:p>
        </w:tc>
        <w:tc>
          <w:tcPr>
            <w:tcW w:w="3964"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quantity or number of units may be authorised.</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number of repeats may be authorised.</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The treatment must be limited to a maximum duration of 12 weeks.</w:t>
            </w:r>
          </w:p>
        </w:tc>
      </w:tr>
    </w:tbl>
    <w:p w:rsidR="006C2E61" w:rsidRPr="00036700" w:rsidRDefault="006C2E61" w:rsidP="006C2E61">
      <w:pPr>
        <w:widowControl/>
        <w:ind w:left="709"/>
        <w:rPr>
          <w:b/>
          <w:sz w:val="20"/>
        </w:rPr>
      </w:pPr>
    </w:p>
    <w:p w:rsidR="006C2E61" w:rsidRPr="00036700" w:rsidRDefault="006C2E61" w:rsidP="006C2E61">
      <w:pPr>
        <w:keepNext/>
        <w:widowControl/>
        <w:ind w:left="709"/>
        <w:rPr>
          <w:b/>
          <w:sz w:val="20"/>
        </w:rPr>
      </w:pPr>
      <w:r w:rsidRPr="00036700">
        <w:rPr>
          <w:b/>
          <w:sz w:val="20"/>
        </w:rPr>
        <w:lastRenderedPageBreak/>
        <w:t>Proposed listing 2</w:t>
      </w:r>
    </w:p>
    <w:tbl>
      <w:tblPr>
        <w:tblStyle w:val="TableGrid"/>
        <w:tblW w:w="4645" w:type="pct"/>
        <w:tblInd w:w="737" w:type="dxa"/>
        <w:tblLook w:val="04A0" w:firstRow="1" w:lastRow="0" w:firstColumn="1" w:lastColumn="0" w:noHBand="0" w:noVBand="1"/>
        <w:tblCaption w:val="Proposed listing 2"/>
      </w:tblPr>
      <w:tblGrid>
        <w:gridCol w:w="1779"/>
        <w:gridCol w:w="6807"/>
      </w:tblGrid>
      <w:tr w:rsidR="006C2E61" w:rsidRPr="00036700" w:rsidTr="00D100AE">
        <w:trPr>
          <w:tblHeader/>
        </w:trPr>
        <w:tc>
          <w:tcPr>
            <w:tcW w:w="1036" w:type="pct"/>
          </w:tcPr>
          <w:p w:rsidR="006C2E61" w:rsidRPr="00036700" w:rsidRDefault="006C2E61" w:rsidP="0021326F">
            <w:pPr>
              <w:keepNext/>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Restriction</w:t>
            </w:r>
          </w:p>
        </w:tc>
        <w:tc>
          <w:tcPr>
            <w:tcW w:w="3964" w:type="pct"/>
          </w:tcPr>
          <w:p w:rsidR="006C2E61" w:rsidRPr="00036700" w:rsidRDefault="006C2E61" w:rsidP="0021326F">
            <w:pPr>
              <w:keepNext/>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Authority Required</w:t>
            </w:r>
          </w:p>
        </w:tc>
      </w:tr>
      <w:tr w:rsidR="006C2E61" w:rsidRPr="00036700" w:rsidTr="0021326F">
        <w:tc>
          <w:tcPr>
            <w:tcW w:w="1036" w:type="pct"/>
          </w:tcPr>
          <w:p w:rsidR="006C2E61" w:rsidRPr="00036700" w:rsidRDefault="006C2E61" w:rsidP="0021326F">
            <w:pPr>
              <w:keepNext/>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Clinical criteria</w:t>
            </w:r>
          </w:p>
        </w:tc>
        <w:tc>
          <w:tcPr>
            <w:tcW w:w="3964" w:type="pct"/>
          </w:tcPr>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Patient must meet the criteria set out in the General Statement for Drugs for the Treatment of Hepatitis C,</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Patient must be taking this drug as part of a regimen set out in the matrix in the General Statement for Drugs for the Treatment of Hepatitis C, based on the hepatitis C virus genotype, patient history and cirrhotic status,</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AND</w:t>
            </w:r>
          </w:p>
          <w:p w:rsidR="006C2E61" w:rsidRPr="00036700" w:rsidRDefault="006C2E61" w:rsidP="0021326F">
            <w:pPr>
              <w:pStyle w:val="TableText1"/>
              <w:keepNext/>
              <w:keepLines/>
              <w:spacing w:before="0" w:after="0"/>
              <w:rPr>
                <w:rFonts w:ascii="Arial Narrow" w:hAnsi="Arial Narrow"/>
                <w:sz w:val="20"/>
                <w:szCs w:val="20"/>
              </w:rPr>
            </w:pPr>
          </w:p>
          <w:p w:rsidR="006C2E61" w:rsidRPr="00036700" w:rsidRDefault="006C2E61" w:rsidP="0021326F">
            <w:pPr>
              <w:pStyle w:val="TableText1"/>
              <w:keepNext/>
              <w:keepLines/>
              <w:spacing w:before="0" w:after="0"/>
              <w:rPr>
                <w:rFonts w:ascii="Arial Narrow" w:hAnsi="Arial Narrow"/>
                <w:sz w:val="20"/>
                <w:szCs w:val="20"/>
              </w:rPr>
            </w:pPr>
            <w:r w:rsidRPr="00036700">
              <w:rPr>
                <w:rFonts w:ascii="Arial Narrow" w:hAnsi="Arial Narrow"/>
                <w:sz w:val="20"/>
                <w:szCs w:val="20"/>
              </w:rPr>
              <w:t>The treatment must be limited to a maximum duration of 16 weeks.</w:t>
            </w:r>
          </w:p>
        </w:tc>
      </w:tr>
      <w:tr w:rsidR="006C2E61" w:rsidRPr="00036700" w:rsidTr="0021326F">
        <w:tc>
          <w:tcPr>
            <w:tcW w:w="1036"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Prescriber instruction</w:t>
            </w:r>
          </w:p>
        </w:tc>
        <w:tc>
          <w:tcPr>
            <w:tcW w:w="3964" w:type="pct"/>
          </w:tcPr>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quantity or number of units may be authorised.</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 increase in the maximum number of repeats may be authorised.</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Note:</w:t>
            </w:r>
          </w:p>
          <w:p w:rsidR="006C2E61" w:rsidRPr="00036700" w:rsidRDefault="006C2E61" w:rsidP="0021326F">
            <w:pPr>
              <w:widowControl/>
              <w:jc w:val="left"/>
              <w:rPr>
                <w:rFonts w:ascii="Arial Narrow" w:eastAsiaTheme="majorEastAsia" w:hAnsi="Arial Narrow" w:cstheme="majorBidi"/>
                <w:snapToGrid/>
                <w:sz w:val="20"/>
                <w:szCs w:val="22"/>
                <w:lang w:bidi="en-US"/>
              </w:rPr>
            </w:pPr>
          </w:p>
          <w:p w:rsidR="006C2E61" w:rsidRPr="00036700" w:rsidRDefault="006C2E61" w:rsidP="0021326F">
            <w:pPr>
              <w:widowControl/>
              <w:jc w:val="left"/>
              <w:rPr>
                <w:rFonts w:ascii="Arial Narrow" w:eastAsiaTheme="majorEastAsia" w:hAnsi="Arial Narrow" w:cstheme="majorBidi"/>
                <w:snapToGrid/>
                <w:sz w:val="20"/>
                <w:szCs w:val="22"/>
                <w:lang w:bidi="en-US"/>
              </w:rPr>
            </w:pPr>
            <w:r w:rsidRPr="00036700">
              <w:rPr>
                <w:rFonts w:ascii="Arial Narrow" w:eastAsiaTheme="majorEastAsia" w:hAnsi="Arial Narrow" w:cstheme="majorBidi"/>
                <w:snapToGrid/>
                <w:sz w:val="20"/>
                <w:szCs w:val="22"/>
                <w:lang w:bidi="en-US"/>
              </w:rPr>
              <w:t>The treatment must be limited to a maximum duration of 16 weeks.</w:t>
            </w:r>
          </w:p>
        </w:tc>
      </w:tr>
    </w:tbl>
    <w:p w:rsidR="004500A1" w:rsidRPr="00036700" w:rsidRDefault="004500A1" w:rsidP="00D9008B"/>
    <w:p w:rsidR="004500A1" w:rsidRPr="005E5DEF" w:rsidRDefault="006C2E61" w:rsidP="00D9008B">
      <w:r w:rsidRPr="005E5DEF">
        <w:t>Additions to the General statement for drugs used for the treatment of hepatitis C</w:t>
      </w:r>
      <w:r w:rsidR="00685B04" w:rsidRPr="005E5DEF">
        <w:t xml:space="preserve"> to be finalised based on the final TGA approved regimens.</w:t>
      </w:r>
    </w:p>
    <w:p w:rsidR="006C2E61" w:rsidRPr="00036700" w:rsidRDefault="006C2E61" w:rsidP="00D9008B"/>
    <w:p w:rsidR="00684885" w:rsidRPr="009F1E19" w:rsidRDefault="00684885" w:rsidP="00684885">
      <w:pPr>
        <w:pStyle w:val="PBACHeading1"/>
        <w:rPr>
          <w:sz w:val="22"/>
        </w:rPr>
      </w:pPr>
      <w:r w:rsidRPr="009F1E19">
        <w:rPr>
          <w:sz w:val="22"/>
        </w:rPr>
        <w:t>Context for Decision</w:t>
      </w:r>
    </w:p>
    <w:p w:rsidR="00684885" w:rsidRDefault="00684885" w:rsidP="00684885">
      <w:pPr>
        <w:ind w:left="426"/>
      </w:pPr>
    </w:p>
    <w:p w:rsidR="00684885" w:rsidRDefault="00684885" w:rsidP="00684885">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84885" w:rsidRDefault="00684885" w:rsidP="00684885">
      <w:pPr>
        <w:ind w:left="426"/>
      </w:pPr>
    </w:p>
    <w:p w:rsidR="00684885" w:rsidRPr="009F1E19" w:rsidRDefault="00684885" w:rsidP="00684885">
      <w:pPr>
        <w:pStyle w:val="PBACHeading1"/>
        <w:rPr>
          <w:sz w:val="22"/>
        </w:rPr>
      </w:pPr>
      <w:r w:rsidRPr="009F1E19">
        <w:rPr>
          <w:sz w:val="22"/>
        </w:rPr>
        <w:t>Sponsor’s Comment</w:t>
      </w:r>
    </w:p>
    <w:p w:rsidR="009F1E19" w:rsidRDefault="009F1E19" w:rsidP="009F1E19">
      <w:pPr>
        <w:spacing w:after="120"/>
        <w:rPr>
          <w:bCs/>
          <w:lang w:val="en-GB"/>
        </w:rPr>
      </w:pPr>
    </w:p>
    <w:p w:rsidR="00684885" w:rsidRDefault="00684885" w:rsidP="009F1E19">
      <w:pPr>
        <w:spacing w:after="120"/>
        <w:ind w:firstLine="720"/>
        <w:rPr>
          <w:bCs/>
        </w:rPr>
      </w:pPr>
      <w:r w:rsidRPr="003035CC">
        <w:rPr>
          <w:bCs/>
        </w:rPr>
        <w:t>The sponsor had no comment.</w:t>
      </w:r>
    </w:p>
    <w:p w:rsidR="006C2E61" w:rsidRPr="00036700" w:rsidRDefault="006C2E61" w:rsidP="00D9008B"/>
    <w:sectPr w:rsidR="006C2E61" w:rsidRPr="00036700" w:rsidSect="008F14C6">
      <w:footnotePr>
        <w:numFmt w:val="lowerLetter"/>
        <w:numRestart w:val="eachSect"/>
      </w:footnotePr>
      <w:type w:val="continuous"/>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63" w:rsidRDefault="00270A63" w:rsidP="00124A51">
      <w:r>
        <w:separator/>
      </w:r>
    </w:p>
  </w:endnote>
  <w:endnote w:type="continuationSeparator" w:id="0">
    <w:p w:rsidR="00270A63" w:rsidRDefault="00270A6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4B" w:rsidRDefault="00E06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5863"/>
      <w:docPartObj>
        <w:docPartGallery w:val="Page Numbers (Bottom of Page)"/>
        <w:docPartUnique/>
      </w:docPartObj>
    </w:sdtPr>
    <w:sdtEndPr>
      <w:rPr>
        <w:noProof/>
      </w:rPr>
    </w:sdtEndPr>
    <w:sdtContent>
      <w:p w:rsidR="00D100AE" w:rsidRDefault="00D100AE">
        <w:pPr>
          <w:pStyle w:val="Footer"/>
          <w:jc w:val="center"/>
        </w:pPr>
        <w:r>
          <w:fldChar w:fldCharType="begin"/>
        </w:r>
        <w:r>
          <w:instrText xml:space="preserve"> PAGE   \* MERGEFORMAT </w:instrText>
        </w:r>
        <w:r>
          <w:fldChar w:fldCharType="separate"/>
        </w:r>
        <w:r w:rsidR="00F67F3C">
          <w:rPr>
            <w:noProof/>
          </w:rPr>
          <w:t>1</w:t>
        </w:r>
        <w:r>
          <w:rPr>
            <w:noProof/>
          </w:rPr>
          <w:fldChar w:fldCharType="end"/>
        </w:r>
      </w:p>
    </w:sdtContent>
  </w:sdt>
  <w:p w:rsidR="00D100AE" w:rsidRPr="002F4B19" w:rsidRDefault="00D100AE" w:rsidP="00015886">
    <w:pPr>
      <w:ind w:right="360"/>
      <w:jc w:val="center"/>
      <w:rPr>
        <w:b/>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4B" w:rsidRDefault="00E06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63" w:rsidRDefault="00270A63" w:rsidP="00124A51">
      <w:r>
        <w:separator/>
      </w:r>
    </w:p>
  </w:footnote>
  <w:footnote w:type="continuationSeparator" w:id="0">
    <w:p w:rsidR="00270A63" w:rsidRDefault="00270A63" w:rsidP="00124A51">
      <w:r>
        <w:continuationSeparator/>
      </w:r>
    </w:p>
  </w:footnote>
  <w:footnote w:id="1">
    <w:p w:rsidR="00D100AE" w:rsidRPr="005E5DEF" w:rsidRDefault="00D100AE">
      <w:pPr>
        <w:pStyle w:val="FootnoteText"/>
        <w:rPr>
          <w:i/>
          <w:sz w:val="18"/>
        </w:rPr>
      </w:pPr>
      <w:r w:rsidRPr="005E5DEF">
        <w:rPr>
          <w:rStyle w:val="FootnoteReference"/>
          <w:i/>
          <w:sz w:val="18"/>
        </w:rPr>
        <w:footnoteRef/>
      </w:r>
      <w:r w:rsidRPr="005E5DEF">
        <w:rPr>
          <w:i/>
          <w:sz w:val="18"/>
        </w:rPr>
        <w:t xml:space="preserve"> [GRAZOPREVIR + ELBASVIR] for treatment experienced non-cirrhotic patients, treatment for 12 weeks in patients with genotype 1b CHC.</w:t>
      </w:r>
    </w:p>
  </w:footnote>
  <w:footnote w:id="2">
    <w:p w:rsidR="00D100AE" w:rsidRPr="005E5DEF" w:rsidRDefault="00D100AE">
      <w:pPr>
        <w:pStyle w:val="FootnoteText"/>
        <w:rPr>
          <w:i/>
          <w:sz w:val="18"/>
        </w:rPr>
      </w:pPr>
      <w:r w:rsidRPr="005E5DEF">
        <w:rPr>
          <w:rStyle w:val="FootnoteReference"/>
          <w:i/>
          <w:sz w:val="18"/>
        </w:rPr>
        <w:footnoteRef/>
      </w:r>
      <w:r w:rsidRPr="005E5DEF">
        <w:rPr>
          <w:i/>
          <w:sz w:val="18"/>
        </w:rPr>
        <w:t xml:space="preserve"> [GRAZOPREVIR + ELBASVIR] for treatment experienced non-cirrhotic patients, treatment for 16 weeks in patients with genotype 1 CHC.</w:t>
      </w:r>
    </w:p>
  </w:footnote>
  <w:footnote w:id="3">
    <w:p w:rsidR="00D100AE" w:rsidRDefault="00D100AE">
      <w:pPr>
        <w:pStyle w:val="FootnoteText"/>
      </w:pPr>
      <w:r w:rsidRPr="005E5DEF">
        <w:rPr>
          <w:rStyle w:val="FootnoteReference"/>
          <w:i/>
          <w:sz w:val="18"/>
        </w:rPr>
        <w:footnoteRef/>
      </w:r>
      <w:r w:rsidRPr="005E5DEF">
        <w:rPr>
          <w:i/>
          <w:sz w:val="18"/>
        </w:rPr>
        <w:t xml:space="preserve"> [GRAZOPREVIR + ELBASVIR (&amp;) RBV] for treatment experienced non-cirrhotic patients, treatment for 16 weeks in patients with genotype 1a CHC.</w:t>
      </w:r>
    </w:p>
  </w:footnote>
  <w:footnote w:id="4">
    <w:p w:rsidR="00D100AE" w:rsidRPr="005E5DEF" w:rsidRDefault="00D100AE" w:rsidP="00FC0C19">
      <w:pPr>
        <w:pStyle w:val="FootnoteText"/>
        <w:rPr>
          <w:i/>
          <w:sz w:val="18"/>
        </w:rPr>
      </w:pPr>
      <w:r w:rsidRPr="005E5DEF">
        <w:rPr>
          <w:rStyle w:val="FootnoteReference"/>
          <w:i/>
          <w:sz w:val="18"/>
        </w:rPr>
        <w:footnoteRef/>
      </w:r>
      <w:r w:rsidRPr="005E5DEF">
        <w:rPr>
          <w:i/>
          <w:sz w:val="18"/>
        </w:rPr>
        <w:t xml:space="preserve"> [GRAZOPREVIR + ELBASVIR] for treatment experienced cirrhotic patients, treatment for 12 weeks in patients with genotype 1b CHC.</w:t>
      </w:r>
    </w:p>
  </w:footnote>
  <w:footnote w:id="5">
    <w:p w:rsidR="00D100AE" w:rsidRPr="005E5DEF" w:rsidRDefault="00D100AE" w:rsidP="00FC0C19">
      <w:pPr>
        <w:pStyle w:val="FootnoteText"/>
        <w:rPr>
          <w:i/>
          <w:sz w:val="18"/>
        </w:rPr>
      </w:pPr>
      <w:r w:rsidRPr="005E5DEF">
        <w:rPr>
          <w:rStyle w:val="FootnoteReference"/>
          <w:i/>
          <w:sz w:val="18"/>
        </w:rPr>
        <w:footnoteRef/>
      </w:r>
      <w:r w:rsidRPr="005E5DEF">
        <w:rPr>
          <w:i/>
          <w:sz w:val="18"/>
        </w:rPr>
        <w:t xml:space="preserve"> [GRAZOPREVIR + ELBASVIR] for treatment experienced cirrhotic patients, treatment for 16 weeks in patients with genotype 1 CHC.</w:t>
      </w:r>
    </w:p>
  </w:footnote>
  <w:footnote w:id="6">
    <w:p w:rsidR="00D100AE" w:rsidRDefault="00D100AE" w:rsidP="00FC0C19">
      <w:pPr>
        <w:pStyle w:val="FootnoteText"/>
      </w:pPr>
      <w:r w:rsidRPr="005E5DEF">
        <w:rPr>
          <w:rStyle w:val="FootnoteReference"/>
          <w:i/>
          <w:sz w:val="18"/>
        </w:rPr>
        <w:footnoteRef/>
      </w:r>
      <w:r w:rsidRPr="005E5DEF">
        <w:rPr>
          <w:i/>
          <w:sz w:val="18"/>
        </w:rPr>
        <w:t xml:space="preserve"> [GRAZOPREVIR + ELBASVIR (&amp;) RBV] for treatment experienced cirrhotic patients, treatment for 16 weeks in patients with genotype 1a CHC.</w:t>
      </w:r>
    </w:p>
  </w:footnote>
  <w:footnote w:id="7">
    <w:p w:rsidR="00D100AE" w:rsidRPr="00775939" w:rsidRDefault="00D100AE">
      <w:pPr>
        <w:pStyle w:val="FootnoteText"/>
        <w:rPr>
          <w:sz w:val="18"/>
          <w:szCs w:val="18"/>
        </w:rPr>
      </w:pPr>
      <w:r w:rsidRPr="00775939">
        <w:rPr>
          <w:rStyle w:val="FootnoteReference"/>
          <w:sz w:val="18"/>
          <w:szCs w:val="18"/>
        </w:rPr>
        <w:footnoteRef/>
      </w:r>
      <w:r w:rsidRPr="00775939">
        <w:rPr>
          <w:sz w:val="18"/>
          <w:szCs w:val="18"/>
        </w:rPr>
        <w:t xml:space="preserve"> </w:t>
      </w:r>
      <w:r>
        <w:rPr>
          <w:sz w:val="18"/>
          <w:szCs w:val="18"/>
        </w:rPr>
        <w:t>I</w:t>
      </w:r>
      <w:r w:rsidRPr="00775939">
        <w:rPr>
          <w:sz w:val="18"/>
          <w:szCs w:val="18"/>
        </w:rPr>
        <w:t xml:space="preserve">n </w:t>
      </w:r>
      <w:r>
        <w:rPr>
          <w:sz w:val="18"/>
          <w:szCs w:val="18"/>
        </w:rPr>
        <w:t>GRZ/EBR studies</w:t>
      </w:r>
      <w:r w:rsidRPr="00775939">
        <w:rPr>
          <w:sz w:val="18"/>
          <w:szCs w:val="18"/>
        </w:rPr>
        <w:t>, the dose of RBV was weight-based: 800mg/day for patients weighing &lt;66kg; 1,000mg/day for 66-80kg; 1,200mg/day for 81-105kg and 1,400mg/day for &gt;105kg.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4B" w:rsidRDefault="00E06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0AE" w:rsidRPr="00DF217D" w:rsidRDefault="00D100AE" w:rsidP="00762D6D">
    <w:pPr>
      <w:pStyle w:val="Header"/>
      <w:ind w:left="360"/>
      <w:jc w:val="center"/>
      <w:rPr>
        <w:i/>
        <w:color w:val="808080"/>
      </w:rPr>
    </w:pPr>
    <w:r w:rsidRPr="00AB38C4">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D100AE" w:rsidRPr="008C7ECB" w:rsidRDefault="00D10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4B" w:rsidRDefault="00E06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E87719"/>
    <w:multiLevelType w:val="hybridMultilevel"/>
    <w:tmpl w:val="8AB6C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FA827DD"/>
    <w:multiLevelType w:val="hybridMultilevel"/>
    <w:tmpl w:val="EFAC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0C611C"/>
    <w:multiLevelType w:val="hybridMultilevel"/>
    <w:tmpl w:val="53A66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C2E17E5"/>
    <w:multiLevelType w:val="hybridMultilevel"/>
    <w:tmpl w:val="F0941C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DA1486C"/>
    <w:multiLevelType w:val="hybridMultilevel"/>
    <w:tmpl w:val="5642AF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327DB7"/>
    <w:multiLevelType w:val="hybridMultilevel"/>
    <w:tmpl w:val="B5D653A2"/>
    <w:lvl w:ilvl="0" w:tplc="6238855A">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5B2734"/>
    <w:multiLevelType w:val="hybridMultilevel"/>
    <w:tmpl w:val="4F4A2BE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9D8571B"/>
    <w:multiLevelType w:val="multilevel"/>
    <w:tmpl w:val="CCC4F4AC"/>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D591862"/>
    <w:multiLevelType w:val="hybridMultilevel"/>
    <w:tmpl w:val="384659D0"/>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D7E2A86"/>
    <w:multiLevelType w:val="hybridMultilevel"/>
    <w:tmpl w:val="32D44F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322A4F"/>
    <w:multiLevelType w:val="hybridMultilevel"/>
    <w:tmpl w:val="A5F2A4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1FC5045"/>
    <w:multiLevelType w:val="hybridMultilevel"/>
    <w:tmpl w:val="4AF2A3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nsid w:val="76D05D9D"/>
    <w:multiLevelType w:val="hybridMultilevel"/>
    <w:tmpl w:val="AAA286DE"/>
    <w:lvl w:ilvl="0" w:tplc="F44474A0">
      <w:start w:val="6"/>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CCB850F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7"/>
  </w:num>
  <w:num w:numId="4">
    <w:abstractNumId w:val="15"/>
  </w:num>
  <w:num w:numId="5">
    <w:abstractNumId w:val="6"/>
  </w:num>
  <w:num w:numId="6">
    <w:abstractNumId w:val="5"/>
  </w:num>
  <w:num w:numId="7">
    <w:abstractNumId w:val="1"/>
  </w:num>
  <w:num w:numId="8">
    <w:abstractNumId w:val="10"/>
  </w:num>
  <w:num w:numId="9">
    <w:abstractNumId w:val="12"/>
  </w:num>
  <w:num w:numId="10">
    <w:abstractNumId w:val="11"/>
  </w:num>
  <w:num w:numId="11">
    <w:abstractNumId w:val="9"/>
  </w:num>
  <w:num w:numId="12">
    <w:abstractNumId w:val="13"/>
  </w:num>
  <w:num w:numId="13">
    <w:abstractNumId w:val="2"/>
  </w:num>
  <w:num w:numId="14">
    <w:abstractNumId w:val="0"/>
  </w:num>
  <w:num w:numId="15">
    <w:abstractNumId w:val="4"/>
  </w:num>
  <w:num w:numId="16">
    <w:abstractNumId w:val="3"/>
  </w:num>
  <w:num w:numId="17">
    <w:abstractNumId w:val="14"/>
  </w:num>
  <w:num w:numId="18">
    <w:abstractNumId w:val="16"/>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5wetza6rzevieptx65x5tc520taxdsf9x9&quot;&gt;Zapatier&lt;record-ids&gt;&lt;item&gt;6&lt;/item&gt;&lt;item&gt;7&lt;/item&gt;&lt;item&gt;9&lt;/item&gt;&lt;item&gt;10&lt;/item&gt;&lt;item&gt;12&lt;/item&gt;&lt;item&gt;13&lt;/item&gt;&lt;item&gt;14&lt;/item&gt;&lt;item&gt;16&lt;/item&gt;&lt;item&gt;17&lt;/item&gt;&lt;item&gt;18&lt;/item&gt;&lt;item&gt;20&lt;/item&gt;&lt;item&gt;21&lt;/item&gt;&lt;item&gt;22&lt;/item&gt;&lt;/record-ids&gt;&lt;/item&gt;&lt;/Libraries&gt;"/>
  </w:docVars>
  <w:rsids>
    <w:rsidRoot w:val="00E65E79"/>
    <w:rsid w:val="00000790"/>
    <w:rsid w:val="00000B1E"/>
    <w:rsid w:val="0000110B"/>
    <w:rsid w:val="00001870"/>
    <w:rsid w:val="00002322"/>
    <w:rsid w:val="00003499"/>
    <w:rsid w:val="00003B9D"/>
    <w:rsid w:val="00004938"/>
    <w:rsid w:val="000078F7"/>
    <w:rsid w:val="00007B05"/>
    <w:rsid w:val="00010E46"/>
    <w:rsid w:val="00011045"/>
    <w:rsid w:val="00011F74"/>
    <w:rsid w:val="00013247"/>
    <w:rsid w:val="00013300"/>
    <w:rsid w:val="000139ED"/>
    <w:rsid w:val="00013AF8"/>
    <w:rsid w:val="00013F7F"/>
    <w:rsid w:val="00014194"/>
    <w:rsid w:val="00015886"/>
    <w:rsid w:val="00015B7E"/>
    <w:rsid w:val="000162EF"/>
    <w:rsid w:val="00021756"/>
    <w:rsid w:val="0002225F"/>
    <w:rsid w:val="00022BE0"/>
    <w:rsid w:val="00022D71"/>
    <w:rsid w:val="00023763"/>
    <w:rsid w:val="00023A62"/>
    <w:rsid w:val="00024B6F"/>
    <w:rsid w:val="0002554C"/>
    <w:rsid w:val="00025944"/>
    <w:rsid w:val="00025CE9"/>
    <w:rsid w:val="0003014D"/>
    <w:rsid w:val="00031315"/>
    <w:rsid w:val="00034122"/>
    <w:rsid w:val="000342D7"/>
    <w:rsid w:val="00034FFF"/>
    <w:rsid w:val="00036700"/>
    <w:rsid w:val="00037392"/>
    <w:rsid w:val="00040895"/>
    <w:rsid w:val="00040FD6"/>
    <w:rsid w:val="00042583"/>
    <w:rsid w:val="00043465"/>
    <w:rsid w:val="00043C37"/>
    <w:rsid w:val="00044E40"/>
    <w:rsid w:val="0004525D"/>
    <w:rsid w:val="00045931"/>
    <w:rsid w:val="00047804"/>
    <w:rsid w:val="00047DB7"/>
    <w:rsid w:val="00050B2B"/>
    <w:rsid w:val="000546D7"/>
    <w:rsid w:val="0006675F"/>
    <w:rsid w:val="000672CB"/>
    <w:rsid w:val="00070707"/>
    <w:rsid w:val="00071248"/>
    <w:rsid w:val="000720B9"/>
    <w:rsid w:val="00072771"/>
    <w:rsid w:val="00072776"/>
    <w:rsid w:val="00072C4C"/>
    <w:rsid w:val="00074496"/>
    <w:rsid w:val="000750DE"/>
    <w:rsid w:val="00080CFD"/>
    <w:rsid w:val="000812CA"/>
    <w:rsid w:val="00082595"/>
    <w:rsid w:val="00083BEE"/>
    <w:rsid w:val="00084473"/>
    <w:rsid w:val="000846E3"/>
    <w:rsid w:val="00085B99"/>
    <w:rsid w:val="00090C7E"/>
    <w:rsid w:val="00095F95"/>
    <w:rsid w:val="000962C7"/>
    <w:rsid w:val="00096E2C"/>
    <w:rsid w:val="000976AA"/>
    <w:rsid w:val="000A0B21"/>
    <w:rsid w:val="000A56C2"/>
    <w:rsid w:val="000A65A4"/>
    <w:rsid w:val="000B09FB"/>
    <w:rsid w:val="000B2397"/>
    <w:rsid w:val="000B2C66"/>
    <w:rsid w:val="000B4BDA"/>
    <w:rsid w:val="000B63F3"/>
    <w:rsid w:val="000B6687"/>
    <w:rsid w:val="000C0056"/>
    <w:rsid w:val="000C236A"/>
    <w:rsid w:val="000C6C7E"/>
    <w:rsid w:val="000D05BB"/>
    <w:rsid w:val="000D1802"/>
    <w:rsid w:val="000D1BFC"/>
    <w:rsid w:val="000D546F"/>
    <w:rsid w:val="000D5B7F"/>
    <w:rsid w:val="000D6862"/>
    <w:rsid w:val="000D6F6F"/>
    <w:rsid w:val="000D77CA"/>
    <w:rsid w:val="000E000A"/>
    <w:rsid w:val="000E1C4E"/>
    <w:rsid w:val="000E35E0"/>
    <w:rsid w:val="000E378E"/>
    <w:rsid w:val="000E3ECD"/>
    <w:rsid w:val="000E4EC6"/>
    <w:rsid w:val="000E616E"/>
    <w:rsid w:val="000E7968"/>
    <w:rsid w:val="000F1092"/>
    <w:rsid w:val="000F1A1D"/>
    <w:rsid w:val="000F285C"/>
    <w:rsid w:val="000F29AC"/>
    <w:rsid w:val="000F4BB8"/>
    <w:rsid w:val="000F527B"/>
    <w:rsid w:val="000F5E73"/>
    <w:rsid w:val="000F5F66"/>
    <w:rsid w:val="000F70E0"/>
    <w:rsid w:val="000F7127"/>
    <w:rsid w:val="000F785B"/>
    <w:rsid w:val="000F7A85"/>
    <w:rsid w:val="000F7AE0"/>
    <w:rsid w:val="00100F8A"/>
    <w:rsid w:val="00102392"/>
    <w:rsid w:val="0011032E"/>
    <w:rsid w:val="00111FF9"/>
    <w:rsid w:val="001131CF"/>
    <w:rsid w:val="0011348B"/>
    <w:rsid w:val="00114ADE"/>
    <w:rsid w:val="0011606A"/>
    <w:rsid w:val="00116DD6"/>
    <w:rsid w:val="00117181"/>
    <w:rsid w:val="00117269"/>
    <w:rsid w:val="001178C8"/>
    <w:rsid w:val="00120EC3"/>
    <w:rsid w:val="00121799"/>
    <w:rsid w:val="001222FC"/>
    <w:rsid w:val="00124A51"/>
    <w:rsid w:val="00124EE2"/>
    <w:rsid w:val="0012597D"/>
    <w:rsid w:val="00125EFF"/>
    <w:rsid w:val="00126621"/>
    <w:rsid w:val="001301E9"/>
    <w:rsid w:val="0013287F"/>
    <w:rsid w:val="001330D1"/>
    <w:rsid w:val="001335FF"/>
    <w:rsid w:val="00134BDE"/>
    <w:rsid w:val="00135B47"/>
    <w:rsid w:val="00135BE4"/>
    <w:rsid w:val="001373C2"/>
    <w:rsid w:val="00137645"/>
    <w:rsid w:val="0014015A"/>
    <w:rsid w:val="00140E99"/>
    <w:rsid w:val="00141A59"/>
    <w:rsid w:val="0014495A"/>
    <w:rsid w:val="00144C93"/>
    <w:rsid w:val="00144EF1"/>
    <w:rsid w:val="00145304"/>
    <w:rsid w:val="0014532F"/>
    <w:rsid w:val="00145540"/>
    <w:rsid w:val="001456B0"/>
    <w:rsid w:val="00145CC6"/>
    <w:rsid w:val="00145EA8"/>
    <w:rsid w:val="00146214"/>
    <w:rsid w:val="00147B2C"/>
    <w:rsid w:val="00150D64"/>
    <w:rsid w:val="00150F6A"/>
    <w:rsid w:val="001511CE"/>
    <w:rsid w:val="0015189E"/>
    <w:rsid w:val="00151C20"/>
    <w:rsid w:val="00152C7D"/>
    <w:rsid w:val="001537F9"/>
    <w:rsid w:val="00153A10"/>
    <w:rsid w:val="001551E1"/>
    <w:rsid w:val="00157130"/>
    <w:rsid w:val="001617F3"/>
    <w:rsid w:val="00162092"/>
    <w:rsid w:val="00162913"/>
    <w:rsid w:val="00163EFF"/>
    <w:rsid w:val="0016562A"/>
    <w:rsid w:val="001661B4"/>
    <w:rsid w:val="001661FB"/>
    <w:rsid w:val="00171E90"/>
    <w:rsid w:val="00172638"/>
    <w:rsid w:val="001732DF"/>
    <w:rsid w:val="001733EB"/>
    <w:rsid w:val="001740C4"/>
    <w:rsid w:val="001753A6"/>
    <w:rsid w:val="00175415"/>
    <w:rsid w:val="00180170"/>
    <w:rsid w:val="001842B0"/>
    <w:rsid w:val="0018752F"/>
    <w:rsid w:val="00187ABE"/>
    <w:rsid w:val="00191C73"/>
    <w:rsid w:val="001920C3"/>
    <w:rsid w:val="00192360"/>
    <w:rsid w:val="00194F95"/>
    <w:rsid w:val="00195222"/>
    <w:rsid w:val="00195A6D"/>
    <w:rsid w:val="001961AA"/>
    <w:rsid w:val="001975D8"/>
    <w:rsid w:val="00197744"/>
    <w:rsid w:val="001A02A9"/>
    <w:rsid w:val="001A508A"/>
    <w:rsid w:val="001A6663"/>
    <w:rsid w:val="001A669B"/>
    <w:rsid w:val="001A7598"/>
    <w:rsid w:val="001B03A7"/>
    <w:rsid w:val="001B3443"/>
    <w:rsid w:val="001B3F51"/>
    <w:rsid w:val="001B684F"/>
    <w:rsid w:val="001B6A1D"/>
    <w:rsid w:val="001B6B23"/>
    <w:rsid w:val="001C008E"/>
    <w:rsid w:val="001C1EF7"/>
    <w:rsid w:val="001C2050"/>
    <w:rsid w:val="001C445F"/>
    <w:rsid w:val="001C4D71"/>
    <w:rsid w:val="001C605E"/>
    <w:rsid w:val="001C61F4"/>
    <w:rsid w:val="001C6E66"/>
    <w:rsid w:val="001C7110"/>
    <w:rsid w:val="001D62CE"/>
    <w:rsid w:val="001D6702"/>
    <w:rsid w:val="001D67EB"/>
    <w:rsid w:val="001D6FDD"/>
    <w:rsid w:val="001E238E"/>
    <w:rsid w:val="001E2B1E"/>
    <w:rsid w:val="001E33A1"/>
    <w:rsid w:val="001E33A2"/>
    <w:rsid w:val="001E3E82"/>
    <w:rsid w:val="001E4FCE"/>
    <w:rsid w:val="001E52EB"/>
    <w:rsid w:val="001E6395"/>
    <w:rsid w:val="001E6DB6"/>
    <w:rsid w:val="001E740C"/>
    <w:rsid w:val="001E7476"/>
    <w:rsid w:val="001E7BAD"/>
    <w:rsid w:val="001F0AEA"/>
    <w:rsid w:val="001F0BA6"/>
    <w:rsid w:val="001F1235"/>
    <w:rsid w:val="001F1CB3"/>
    <w:rsid w:val="001F39BA"/>
    <w:rsid w:val="001F45B7"/>
    <w:rsid w:val="001F6067"/>
    <w:rsid w:val="001F7361"/>
    <w:rsid w:val="001F7FD0"/>
    <w:rsid w:val="0020064D"/>
    <w:rsid w:val="002009DA"/>
    <w:rsid w:val="00200E5C"/>
    <w:rsid w:val="00201A2D"/>
    <w:rsid w:val="00202543"/>
    <w:rsid w:val="0020385F"/>
    <w:rsid w:val="00203C60"/>
    <w:rsid w:val="00204E42"/>
    <w:rsid w:val="00207021"/>
    <w:rsid w:val="0020777E"/>
    <w:rsid w:val="00207D00"/>
    <w:rsid w:val="002105C1"/>
    <w:rsid w:val="0021326F"/>
    <w:rsid w:val="00213667"/>
    <w:rsid w:val="00216226"/>
    <w:rsid w:val="002167D2"/>
    <w:rsid w:val="00221C7E"/>
    <w:rsid w:val="00222805"/>
    <w:rsid w:val="00222885"/>
    <w:rsid w:val="002229B6"/>
    <w:rsid w:val="00223B49"/>
    <w:rsid w:val="00224DD4"/>
    <w:rsid w:val="0022513F"/>
    <w:rsid w:val="002257BB"/>
    <w:rsid w:val="00225FD7"/>
    <w:rsid w:val="002262BA"/>
    <w:rsid w:val="00226E7D"/>
    <w:rsid w:val="002309CC"/>
    <w:rsid w:val="00233A79"/>
    <w:rsid w:val="00233A9D"/>
    <w:rsid w:val="00235F5B"/>
    <w:rsid w:val="00237AE7"/>
    <w:rsid w:val="00241EB5"/>
    <w:rsid w:val="002433C9"/>
    <w:rsid w:val="00245D89"/>
    <w:rsid w:val="00245E8A"/>
    <w:rsid w:val="00246A51"/>
    <w:rsid w:val="002523FD"/>
    <w:rsid w:val="002524DF"/>
    <w:rsid w:val="00253028"/>
    <w:rsid w:val="0025302A"/>
    <w:rsid w:val="002534C6"/>
    <w:rsid w:val="00254DCF"/>
    <w:rsid w:val="0025534B"/>
    <w:rsid w:val="0025570A"/>
    <w:rsid w:val="00255BB7"/>
    <w:rsid w:val="002565F3"/>
    <w:rsid w:val="002577C0"/>
    <w:rsid w:val="00260DD3"/>
    <w:rsid w:val="002622F7"/>
    <w:rsid w:val="00262A87"/>
    <w:rsid w:val="00262DA4"/>
    <w:rsid w:val="00264903"/>
    <w:rsid w:val="0026548A"/>
    <w:rsid w:val="00265AC1"/>
    <w:rsid w:val="00265E56"/>
    <w:rsid w:val="002666DF"/>
    <w:rsid w:val="00270072"/>
    <w:rsid w:val="0027048B"/>
    <w:rsid w:val="00270A63"/>
    <w:rsid w:val="00272E60"/>
    <w:rsid w:val="00272F60"/>
    <w:rsid w:val="00273FFF"/>
    <w:rsid w:val="00274522"/>
    <w:rsid w:val="00274D0E"/>
    <w:rsid w:val="0027501A"/>
    <w:rsid w:val="00275ACE"/>
    <w:rsid w:val="00275C5A"/>
    <w:rsid w:val="00277560"/>
    <w:rsid w:val="00277A70"/>
    <w:rsid w:val="00281014"/>
    <w:rsid w:val="00281270"/>
    <w:rsid w:val="002812D7"/>
    <w:rsid w:val="00282F39"/>
    <w:rsid w:val="00285675"/>
    <w:rsid w:val="00285F2F"/>
    <w:rsid w:val="002908A7"/>
    <w:rsid w:val="00290BE7"/>
    <w:rsid w:val="00291613"/>
    <w:rsid w:val="00292880"/>
    <w:rsid w:val="002934E6"/>
    <w:rsid w:val="002948AC"/>
    <w:rsid w:val="00295690"/>
    <w:rsid w:val="00295EF1"/>
    <w:rsid w:val="002960A2"/>
    <w:rsid w:val="00297EE1"/>
    <w:rsid w:val="002A0C77"/>
    <w:rsid w:val="002A0E67"/>
    <w:rsid w:val="002A14AB"/>
    <w:rsid w:val="002A2A87"/>
    <w:rsid w:val="002A68DC"/>
    <w:rsid w:val="002B058E"/>
    <w:rsid w:val="002B1C1F"/>
    <w:rsid w:val="002B432F"/>
    <w:rsid w:val="002B448F"/>
    <w:rsid w:val="002B581F"/>
    <w:rsid w:val="002B6CCE"/>
    <w:rsid w:val="002C2775"/>
    <w:rsid w:val="002C27C1"/>
    <w:rsid w:val="002C2B57"/>
    <w:rsid w:val="002C3191"/>
    <w:rsid w:val="002C366A"/>
    <w:rsid w:val="002C6F79"/>
    <w:rsid w:val="002C7061"/>
    <w:rsid w:val="002D3605"/>
    <w:rsid w:val="002D385B"/>
    <w:rsid w:val="002D3C74"/>
    <w:rsid w:val="002D4E84"/>
    <w:rsid w:val="002D5C2C"/>
    <w:rsid w:val="002E0053"/>
    <w:rsid w:val="002E00FE"/>
    <w:rsid w:val="002E04FF"/>
    <w:rsid w:val="002E06A0"/>
    <w:rsid w:val="002E1A7F"/>
    <w:rsid w:val="002E23B8"/>
    <w:rsid w:val="002E34B2"/>
    <w:rsid w:val="002E4470"/>
    <w:rsid w:val="002E4DF0"/>
    <w:rsid w:val="002E5FD1"/>
    <w:rsid w:val="002E6EBF"/>
    <w:rsid w:val="002E7781"/>
    <w:rsid w:val="002E7BAA"/>
    <w:rsid w:val="002F0B03"/>
    <w:rsid w:val="002F1252"/>
    <w:rsid w:val="002F420B"/>
    <w:rsid w:val="002F4B19"/>
    <w:rsid w:val="002F4D11"/>
    <w:rsid w:val="002F512E"/>
    <w:rsid w:val="002F77A7"/>
    <w:rsid w:val="002F7A76"/>
    <w:rsid w:val="003000E9"/>
    <w:rsid w:val="00301017"/>
    <w:rsid w:val="00301844"/>
    <w:rsid w:val="00302308"/>
    <w:rsid w:val="00302572"/>
    <w:rsid w:val="0030268A"/>
    <w:rsid w:val="0030348D"/>
    <w:rsid w:val="00305593"/>
    <w:rsid w:val="0030661C"/>
    <w:rsid w:val="0030786C"/>
    <w:rsid w:val="0031031A"/>
    <w:rsid w:val="00310427"/>
    <w:rsid w:val="00310981"/>
    <w:rsid w:val="00311883"/>
    <w:rsid w:val="00314B7A"/>
    <w:rsid w:val="00314CDF"/>
    <w:rsid w:val="00315498"/>
    <w:rsid w:val="00316459"/>
    <w:rsid w:val="00316CED"/>
    <w:rsid w:val="00320959"/>
    <w:rsid w:val="003229CF"/>
    <w:rsid w:val="0032482A"/>
    <w:rsid w:val="00324BC9"/>
    <w:rsid w:val="00327509"/>
    <w:rsid w:val="00333C69"/>
    <w:rsid w:val="003358F4"/>
    <w:rsid w:val="00335EDA"/>
    <w:rsid w:val="003366C9"/>
    <w:rsid w:val="00336730"/>
    <w:rsid w:val="00336A8C"/>
    <w:rsid w:val="003371B0"/>
    <w:rsid w:val="00340B06"/>
    <w:rsid w:val="003437FA"/>
    <w:rsid w:val="003453BA"/>
    <w:rsid w:val="0034580D"/>
    <w:rsid w:val="00346A15"/>
    <w:rsid w:val="00346E36"/>
    <w:rsid w:val="003470E5"/>
    <w:rsid w:val="003478B1"/>
    <w:rsid w:val="00347E4F"/>
    <w:rsid w:val="00350E3B"/>
    <w:rsid w:val="00354393"/>
    <w:rsid w:val="0035620E"/>
    <w:rsid w:val="00362240"/>
    <w:rsid w:val="003631DF"/>
    <w:rsid w:val="00363F8F"/>
    <w:rsid w:val="003658FE"/>
    <w:rsid w:val="00366C11"/>
    <w:rsid w:val="0036719E"/>
    <w:rsid w:val="00371E4F"/>
    <w:rsid w:val="00372EAA"/>
    <w:rsid w:val="0037328A"/>
    <w:rsid w:val="00373454"/>
    <w:rsid w:val="00374E13"/>
    <w:rsid w:val="0037531E"/>
    <w:rsid w:val="00375C4B"/>
    <w:rsid w:val="00375F5D"/>
    <w:rsid w:val="00376EDC"/>
    <w:rsid w:val="003807BC"/>
    <w:rsid w:val="00380B96"/>
    <w:rsid w:val="003817C6"/>
    <w:rsid w:val="003827F2"/>
    <w:rsid w:val="0038365C"/>
    <w:rsid w:val="00383A05"/>
    <w:rsid w:val="00383E3D"/>
    <w:rsid w:val="00384BF4"/>
    <w:rsid w:val="003850D7"/>
    <w:rsid w:val="00385F10"/>
    <w:rsid w:val="00387788"/>
    <w:rsid w:val="00387C43"/>
    <w:rsid w:val="00390919"/>
    <w:rsid w:val="00396FD0"/>
    <w:rsid w:val="00397170"/>
    <w:rsid w:val="00397A58"/>
    <w:rsid w:val="00397C14"/>
    <w:rsid w:val="003A04BB"/>
    <w:rsid w:val="003A1A7A"/>
    <w:rsid w:val="003A4252"/>
    <w:rsid w:val="003A4B32"/>
    <w:rsid w:val="003A7191"/>
    <w:rsid w:val="003B2650"/>
    <w:rsid w:val="003B294E"/>
    <w:rsid w:val="003C1045"/>
    <w:rsid w:val="003C11E8"/>
    <w:rsid w:val="003C24FB"/>
    <w:rsid w:val="003C2C25"/>
    <w:rsid w:val="003C39F2"/>
    <w:rsid w:val="003C3DB3"/>
    <w:rsid w:val="003C4FFD"/>
    <w:rsid w:val="003C51E9"/>
    <w:rsid w:val="003C59BC"/>
    <w:rsid w:val="003C7623"/>
    <w:rsid w:val="003D0031"/>
    <w:rsid w:val="003D1828"/>
    <w:rsid w:val="003D2422"/>
    <w:rsid w:val="003D36C9"/>
    <w:rsid w:val="003D3C4F"/>
    <w:rsid w:val="003D6021"/>
    <w:rsid w:val="003D6366"/>
    <w:rsid w:val="003E0573"/>
    <w:rsid w:val="003E13BB"/>
    <w:rsid w:val="003E3209"/>
    <w:rsid w:val="003E3690"/>
    <w:rsid w:val="003E40BC"/>
    <w:rsid w:val="003E5751"/>
    <w:rsid w:val="003E6D2C"/>
    <w:rsid w:val="003E7B35"/>
    <w:rsid w:val="003F1C5E"/>
    <w:rsid w:val="003F204D"/>
    <w:rsid w:val="003F3563"/>
    <w:rsid w:val="003F4156"/>
    <w:rsid w:val="003F476F"/>
    <w:rsid w:val="003F4E8D"/>
    <w:rsid w:val="003F5733"/>
    <w:rsid w:val="003F74BE"/>
    <w:rsid w:val="00400EAE"/>
    <w:rsid w:val="00401BA4"/>
    <w:rsid w:val="00401F56"/>
    <w:rsid w:val="004033B5"/>
    <w:rsid w:val="004064BB"/>
    <w:rsid w:val="00410708"/>
    <w:rsid w:val="0041072F"/>
    <w:rsid w:val="00410866"/>
    <w:rsid w:val="00410EC7"/>
    <w:rsid w:val="00412F5F"/>
    <w:rsid w:val="00414476"/>
    <w:rsid w:val="00414530"/>
    <w:rsid w:val="0041463B"/>
    <w:rsid w:val="0041488D"/>
    <w:rsid w:val="00415B91"/>
    <w:rsid w:val="0041620B"/>
    <w:rsid w:val="00416609"/>
    <w:rsid w:val="00420530"/>
    <w:rsid w:val="00420B9F"/>
    <w:rsid w:val="004225CA"/>
    <w:rsid w:val="004226D7"/>
    <w:rsid w:val="00422D91"/>
    <w:rsid w:val="004233CA"/>
    <w:rsid w:val="0042422D"/>
    <w:rsid w:val="00424AB3"/>
    <w:rsid w:val="00425E55"/>
    <w:rsid w:val="00426671"/>
    <w:rsid w:val="00427ABD"/>
    <w:rsid w:val="00427C75"/>
    <w:rsid w:val="00427ECF"/>
    <w:rsid w:val="00430CD8"/>
    <w:rsid w:val="004319F8"/>
    <w:rsid w:val="00432732"/>
    <w:rsid w:val="00433044"/>
    <w:rsid w:val="00434A08"/>
    <w:rsid w:val="0044000F"/>
    <w:rsid w:val="004419D5"/>
    <w:rsid w:val="00443B2D"/>
    <w:rsid w:val="004441E1"/>
    <w:rsid w:val="004443A7"/>
    <w:rsid w:val="004464EB"/>
    <w:rsid w:val="00446C70"/>
    <w:rsid w:val="004500A1"/>
    <w:rsid w:val="004519C0"/>
    <w:rsid w:val="0045362F"/>
    <w:rsid w:val="00454A63"/>
    <w:rsid w:val="00455D20"/>
    <w:rsid w:val="00455D45"/>
    <w:rsid w:val="00456457"/>
    <w:rsid w:val="004564BE"/>
    <w:rsid w:val="004570C0"/>
    <w:rsid w:val="004603F7"/>
    <w:rsid w:val="00461431"/>
    <w:rsid w:val="0046441C"/>
    <w:rsid w:val="00464595"/>
    <w:rsid w:val="004655AE"/>
    <w:rsid w:val="00466230"/>
    <w:rsid w:val="00467069"/>
    <w:rsid w:val="00474BF9"/>
    <w:rsid w:val="00475156"/>
    <w:rsid w:val="00476503"/>
    <w:rsid w:val="00476B85"/>
    <w:rsid w:val="00476D02"/>
    <w:rsid w:val="004777B1"/>
    <w:rsid w:val="00477D3C"/>
    <w:rsid w:val="00481CA2"/>
    <w:rsid w:val="00482999"/>
    <w:rsid w:val="00483808"/>
    <w:rsid w:val="00484A67"/>
    <w:rsid w:val="0048509C"/>
    <w:rsid w:val="004867E2"/>
    <w:rsid w:val="00486DBA"/>
    <w:rsid w:val="0049097B"/>
    <w:rsid w:val="00491872"/>
    <w:rsid w:val="00491B3A"/>
    <w:rsid w:val="00492CFD"/>
    <w:rsid w:val="00493775"/>
    <w:rsid w:val="0049469C"/>
    <w:rsid w:val="0049490B"/>
    <w:rsid w:val="004962D2"/>
    <w:rsid w:val="00496417"/>
    <w:rsid w:val="00496757"/>
    <w:rsid w:val="00496804"/>
    <w:rsid w:val="00496849"/>
    <w:rsid w:val="00496F12"/>
    <w:rsid w:val="004A0DA1"/>
    <w:rsid w:val="004A1658"/>
    <w:rsid w:val="004A2666"/>
    <w:rsid w:val="004A3336"/>
    <w:rsid w:val="004A35B5"/>
    <w:rsid w:val="004A531B"/>
    <w:rsid w:val="004A6597"/>
    <w:rsid w:val="004A6673"/>
    <w:rsid w:val="004A7AB6"/>
    <w:rsid w:val="004B1AFF"/>
    <w:rsid w:val="004B1CB4"/>
    <w:rsid w:val="004B2DC2"/>
    <w:rsid w:val="004B2F18"/>
    <w:rsid w:val="004B3D46"/>
    <w:rsid w:val="004B3DDB"/>
    <w:rsid w:val="004B44FD"/>
    <w:rsid w:val="004B4764"/>
    <w:rsid w:val="004B4A72"/>
    <w:rsid w:val="004B5CFC"/>
    <w:rsid w:val="004B695D"/>
    <w:rsid w:val="004B6AF7"/>
    <w:rsid w:val="004B6F83"/>
    <w:rsid w:val="004B75B1"/>
    <w:rsid w:val="004C0FB8"/>
    <w:rsid w:val="004C26AC"/>
    <w:rsid w:val="004C2D66"/>
    <w:rsid w:val="004C4276"/>
    <w:rsid w:val="004C4AED"/>
    <w:rsid w:val="004C558F"/>
    <w:rsid w:val="004C78A9"/>
    <w:rsid w:val="004D09CC"/>
    <w:rsid w:val="004D56D9"/>
    <w:rsid w:val="004D58A3"/>
    <w:rsid w:val="004E08D0"/>
    <w:rsid w:val="004E0D41"/>
    <w:rsid w:val="004E0EB8"/>
    <w:rsid w:val="004E1F98"/>
    <w:rsid w:val="004E2ADC"/>
    <w:rsid w:val="004E2EE4"/>
    <w:rsid w:val="004E3B9E"/>
    <w:rsid w:val="004E3D53"/>
    <w:rsid w:val="004E43B2"/>
    <w:rsid w:val="004F1D02"/>
    <w:rsid w:val="004F2679"/>
    <w:rsid w:val="004F330E"/>
    <w:rsid w:val="004F3473"/>
    <w:rsid w:val="004F3484"/>
    <w:rsid w:val="004F50A8"/>
    <w:rsid w:val="004F530E"/>
    <w:rsid w:val="004F7865"/>
    <w:rsid w:val="0050263D"/>
    <w:rsid w:val="00503552"/>
    <w:rsid w:val="00506928"/>
    <w:rsid w:val="00507902"/>
    <w:rsid w:val="005111C3"/>
    <w:rsid w:val="00512D05"/>
    <w:rsid w:val="005146BA"/>
    <w:rsid w:val="005152B5"/>
    <w:rsid w:val="0051692B"/>
    <w:rsid w:val="00516F94"/>
    <w:rsid w:val="00521319"/>
    <w:rsid w:val="00523C28"/>
    <w:rsid w:val="0052482A"/>
    <w:rsid w:val="0052524B"/>
    <w:rsid w:val="005270DF"/>
    <w:rsid w:val="0053005F"/>
    <w:rsid w:val="00530379"/>
    <w:rsid w:val="005315C9"/>
    <w:rsid w:val="0053195E"/>
    <w:rsid w:val="0053481D"/>
    <w:rsid w:val="00534D11"/>
    <w:rsid w:val="00535B63"/>
    <w:rsid w:val="0053662B"/>
    <w:rsid w:val="0053758E"/>
    <w:rsid w:val="00541050"/>
    <w:rsid w:val="00541A7C"/>
    <w:rsid w:val="00542203"/>
    <w:rsid w:val="00542353"/>
    <w:rsid w:val="005426D7"/>
    <w:rsid w:val="005435CD"/>
    <w:rsid w:val="005438CB"/>
    <w:rsid w:val="00545ADF"/>
    <w:rsid w:val="0054660C"/>
    <w:rsid w:val="00546BB7"/>
    <w:rsid w:val="00547AC8"/>
    <w:rsid w:val="00552BD3"/>
    <w:rsid w:val="00552DDC"/>
    <w:rsid w:val="005531D2"/>
    <w:rsid w:val="00555109"/>
    <w:rsid w:val="00555338"/>
    <w:rsid w:val="0055791F"/>
    <w:rsid w:val="005611ED"/>
    <w:rsid w:val="00561562"/>
    <w:rsid w:val="00561E71"/>
    <w:rsid w:val="00561F90"/>
    <w:rsid w:val="005623B3"/>
    <w:rsid w:val="00562DF7"/>
    <w:rsid w:val="005632BA"/>
    <w:rsid w:val="00563CAA"/>
    <w:rsid w:val="00563D32"/>
    <w:rsid w:val="0056493C"/>
    <w:rsid w:val="00564AE4"/>
    <w:rsid w:val="00565D6E"/>
    <w:rsid w:val="0056696F"/>
    <w:rsid w:val="005677EC"/>
    <w:rsid w:val="0056795F"/>
    <w:rsid w:val="005706BE"/>
    <w:rsid w:val="005706F5"/>
    <w:rsid w:val="005708B9"/>
    <w:rsid w:val="005712A3"/>
    <w:rsid w:val="00571855"/>
    <w:rsid w:val="005735F0"/>
    <w:rsid w:val="00574DD7"/>
    <w:rsid w:val="005756D8"/>
    <w:rsid w:val="00575D8D"/>
    <w:rsid w:val="00576972"/>
    <w:rsid w:val="00576BDE"/>
    <w:rsid w:val="00581292"/>
    <w:rsid w:val="005812C4"/>
    <w:rsid w:val="00581B55"/>
    <w:rsid w:val="00581F86"/>
    <w:rsid w:val="00582BC9"/>
    <w:rsid w:val="00582C4C"/>
    <w:rsid w:val="00583699"/>
    <w:rsid w:val="00584413"/>
    <w:rsid w:val="00584F1A"/>
    <w:rsid w:val="00590347"/>
    <w:rsid w:val="00591B19"/>
    <w:rsid w:val="00592B94"/>
    <w:rsid w:val="00594FE4"/>
    <w:rsid w:val="00595276"/>
    <w:rsid w:val="0059594F"/>
    <w:rsid w:val="00596A5F"/>
    <w:rsid w:val="005970C1"/>
    <w:rsid w:val="00597FAA"/>
    <w:rsid w:val="005A0E1F"/>
    <w:rsid w:val="005A4054"/>
    <w:rsid w:val="005A4579"/>
    <w:rsid w:val="005A7ED0"/>
    <w:rsid w:val="005B034C"/>
    <w:rsid w:val="005B1436"/>
    <w:rsid w:val="005B2329"/>
    <w:rsid w:val="005B2D72"/>
    <w:rsid w:val="005B5857"/>
    <w:rsid w:val="005C0A77"/>
    <w:rsid w:val="005C1872"/>
    <w:rsid w:val="005C1B83"/>
    <w:rsid w:val="005C1EA3"/>
    <w:rsid w:val="005C346B"/>
    <w:rsid w:val="005C3A89"/>
    <w:rsid w:val="005C403E"/>
    <w:rsid w:val="005C4D28"/>
    <w:rsid w:val="005C55C1"/>
    <w:rsid w:val="005C56BF"/>
    <w:rsid w:val="005C5DB3"/>
    <w:rsid w:val="005C696A"/>
    <w:rsid w:val="005C7F65"/>
    <w:rsid w:val="005D00D6"/>
    <w:rsid w:val="005D0350"/>
    <w:rsid w:val="005D044D"/>
    <w:rsid w:val="005D18AD"/>
    <w:rsid w:val="005D1E88"/>
    <w:rsid w:val="005D214A"/>
    <w:rsid w:val="005D2230"/>
    <w:rsid w:val="005D2AF5"/>
    <w:rsid w:val="005D5371"/>
    <w:rsid w:val="005D6EF2"/>
    <w:rsid w:val="005E0EBD"/>
    <w:rsid w:val="005E1DB0"/>
    <w:rsid w:val="005E3797"/>
    <w:rsid w:val="005E3C5A"/>
    <w:rsid w:val="005E4BD9"/>
    <w:rsid w:val="005E5805"/>
    <w:rsid w:val="005E5DEF"/>
    <w:rsid w:val="005E630B"/>
    <w:rsid w:val="005E729D"/>
    <w:rsid w:val="005E73C0"/>
    <w:rsid w:val="005F11CC"/>
    <w:rsid w:val="005F17DC"/>
    <w:rsid w:val="005F2706"/>
    <w:rsid w:val="005F4E19"/>
    <w:rsid w:val="005F5210"/>
    <w:rsid w:val="005F56FE"/>
    <w:rsid w:val="005F58CE"/>
    <w:rsid w:val="005F6A8F"/>
    <w:rsid w:val="005F78BC"/>
    <w:rsid w:val="00600395"/>
    <w:rsid w:val="00600DD9"/>
    <w:rsid w:val="00601E45"/>
    <w:rsid w:val="00604254"/>
    <w:rsid w:val="00604555"/>
    <w:rsid w:val="006051C5"/>
    <w:rsid w:val="006061E0"/>
    <w:rsid w:val="006065A3"/>
    <w:rsid w:val="006072A3"/>
    <w:rsid w:val="00607669"/>
    <w:rsid w:val="006107D2"/>
    <w:rsid w:val="00611395"/>
    <w:rsid w:val="00612F97"/>
    <w:rsid w:val="00614251"/>
    <w:rsid w:val="0061472A"/>
    <w:rsid w:val="00615D80"/>
    <w:rsid w:val="00615E79"/>
    <w:rsid w:val="00616802"/>
    <w:rsid w:val="00617E12"/>
    <w:rsid w:val="00620018"/>
    <w:rsid w:val="006206BC"/>
    <w:rsid w:val="006213F4"/>
    <w:rsid w:val="00621477"/>
    <w:rsid w:val="00621DBD"/>
    <w:rsid w:val="00624EAD"/>
    <w:rsid w:val="00625BDB"/>
    <w:rsid w:val="00626289"/>
    <w:rsid w:val="00626D6F"/>
    <w:rsid w:val="0062707B"/>
    <w:rsid w:val="006277EE"/>
    <w:rsid w:val="00630606"/>
    <w:rsid w:val="00631AE5"/>
    <w:rsid w:val="00631D6B"/>
    <w:rsid w:val="00631EB2"/>
    <w:rsid w:val="00632185"/>
    <w:rsid w:val="00632C4C"/>
    <w:rsid w:val="00632CD6"/>
    <w:rsid w:val="0063479F"/>
    <w:rsid w:val="006347A2"/>
    <w:rsid w:val="00636225"/>
    <w:rsid w:val="006364A1"/>
    <w:rsid w:val="00636F71"/>
    <w:rsid w:val="00637BFD"/>
    <w:rsid w:val="00640E72"/>
    <w:rsid w:val="0064148B"/>
    <w:rsid w:val="006422B5"/>
    <w:rsid w:val="00643659"/>
    <w:rsid w:val="0064556B"/>
    <w:rsid w:val="0064647C"/>
    <w:rsid w:val="006471CC"/>
    <w:rsid w:val="006477F8"/>
    <w:rsid w:val="0065079F"/>
    <w:rsid w:val="00652305"/>
    <w:rsid w:val="006523D4"/>
    <w:rsid w:val="006533DC"/>
    <w:rsid w:val="00653585"/>
    <w:rsid w:val="006546E4"/>
    <w:rsid w:val="00654D03"/>
    <w:rsid w:val="00656D29"/>
    <w:rsid w:val="006615A0"/>
    <w:rsid w:val="0066176D"/>
    <w:rsid w:val="00664569"/>
    <w:rsid w:val="00664B58"/>
    <w:rsid w:val="006654BF"/>
    <w:rsid w:val="006674E0"/>
    <w:rsid w:val="00674BAE"/>
    <w:rsid w:val="00674E42"/>
    <w:rsid w:val="006803C9"/>
    <w:rsid w:val="00682112"/>
    <w:rsid w:val="0068321D"/>
    <w:rsid w:val="006841DE"/>
    <w:rsid w:val="00684885"/>
    <w:rsid w:val="0068537C"/>
    <w:rsid w:val="00685B04"/>
    <w:rsid w:val="00686131"/>
    <w:rsid w:val="00686D3D"/>
    <w:rsid w:val="006872BA"/>
    <w:rsid w:val="00687937"/>
    <w:rsid w:val="0069001F"/>
    <w:rsid w:val="00690C40"/>
    <w:rsid w:val="006916A4"/>
    <w:rsid w:val="006917D7"/>
    <w:rsid w:val="006926DC"/>
    <w:rsid w:val="00694EE3"/>
    <w:rsid w:val="00694F44"/>
    <w:rsid w:val="00695BF2"/>
    <w:rsid w:val="0069786E"/>
    <w:rsid w:val="006A0075"/>
    <w:rsid w:val="006A1DC1"/>
    <w:rsid w:val="006A2E63"/>
    <w:rsid w:val="006A2FCC"/>
    <w:rsid w:val="006A4329"/>
    <w:rsid w:val="006A45F6"/>
    <w:rsid w:val="006A740F"/>
    <w:rsid w:val="006B15AA"/>
    <w:rsid w:val="006B2B74"/>
    <w:rsid w:val="006B3048"/>
    <w:rsid w:val="006B45DA"/>
    <w:rsid w:val="006B460A"/>
    <w:rsid w:val="006B5417"/>
    <w:rsid w:val="006B6E52"/>
    <w:rsid w:val="006B701D"/>
    <w:rsid w:val="006C2A8E"/>
    <w:rsid w:val="006C2E61"/>
    <w:rsid w:val="006C46A1"/>
    <w:rsid w:val="006C5299"/>
    <w:rsid w:val="006C7067"/>
    <w:rsid w:val="006C759C"/>
    <w:rsid w:val="006C77FE"/>
    <w:rsid w:val="006D126C"/>
    <w:rsid w:val="006D22D0"/>
    <w:rsid w:val="006D2EF7"/>
    <w:rsid w:val="006D3837"/>
    <w:rsid w:val="006D38FA"/>
    <w:rsid w:val="006D3C7D"/>
    <w:rsid w:val="006D413E"/>
    <w:rsid w:val="006D511B"/>
    <w:rsid w:val="006D5D5F"/>
    <w:rsid w:val="006D6A69"/>
    <w:rsid w:val="006D70E3"/>
    <w:rsid w:val="006E0104"/>
    <w:rsid w:val="006E0FF7"/>
    <w:rsid w:val="006E6418"/>
    <w:rsid w:val="006E677D"/>
    <w:rsid w:val="006E7CC8"/>
    <w:rsid w:val="006F1B4A"/>
    <w:rsid w:val="006F307F"/>
    <w:rsid w:val="006F48AD"/>
    <w:rsid w:val="006F4B6D"/>
    <w:rsid w:val="006F4B9D"/>
    <w:rsid w:val="006F604D"/>
    <w:rsid w:val="006F6185"/>
    <w:rsid w:val="006F63A5"/>
    <w:rsid w:val="006F6409"/>
    <w:rsid w:val="00700F6B"/>
    <w:rsid w:val="0070276E"/>
    <w:rsid w:val="00702F8F"/>
    <w:rsid w:val="00703B16"/>
    <w:rsid w:val="00703E51"/>
    <w:rsid w:val="007043C3"/>
    <w:rsid w:val="00705B52"/>
    <w:rsid w:val="00706F54"/>
    <w:rsid w:val="007076B5"/>
    <w:rsid w:val="007106CB"/>
    <w:rsid w:val="007108AD"/>
    <w:rsid w:val="0071106F"/>
    <w:rsid w:val="00711A36"/>
    <w:rsid w:val="007124A7"/>
    <w:rsid w:val="007124F7"/>
    <w:rsid w:val="007125FD"/>
    <w:rsid w:val="00712ACB"/>
    <w:rsid w:val="007130B0"/>
    <w:rsid w:val="00714199"/>
    <w:rsid w:val="00716C33"/>
    <w:rsid w:val="007172AD"/>
    <w:rsid w:val="00721356"/>
    <w:rsid w:val="0072235A"/>
    <w:rsid w:val="00722A9D"/>
    <w:rsid w:val="00723250"/>
    <w:rsid w:val="0072380F"/>
    <w:rsid w:val="0072416F"/>
    <w:rsid w:val="0072522A"/>
    <w:rsid w:val="00726CE5"/>
    <w:rsid w:val="00727E96"/>
    <w:rsid w:val="00727F0B"/>
    <w:rsid w:val="00730551"/>
    <w:rsid w:val="00732462"/>
    <w:rsid w:val="0073404B"/>
    <w:rsid w:val="00734E3A"/>
    <w:rsid w:val="00735328"/>
    <w:rsid w:val="00736377"/>
    <w:rsid w:val="0073685B"/>
    <w:rsid w:val="00736C95"/>
    <w:rsid w:val="00737043"/>
    <w:rsid w:val="00740598"/>
    <w:rsid w:val="00740FC2"/>
    <w:rsid w:val="00742D8B"/>
    <w:rsid w:val="00743BEB"/>
    <w:rsid w:val="007449B9"/>
    <w:rsid w:val="00745443"/>
    <w:rsid w:val="00745D42"/>
    <w:rsid w:val="00750002"/>
    <w:rsid w:val="00750897"/>
    <w:rsid w:val="00752F9C"/>
    <w:rsid w:val="00753BFD"/>
    <w:rsid w:val="0075475C"/>
    <w:rsid w:val="00755402"/>
    <w:rsid w:val="00755731"/>
    <w:rsid w:val="00756206"/>
    <w:rsid w:val="0075795F"/>
    <w:rsid w:val="00760064"/>
    <w:rsid w:val="00760919"/>
    <w:rsid w:val="00760990"/>
    <w:rsid w:val="007621FB"/>
    <w:rsid w:val="00762749"/>
    <w:rsid w:val="00762D6D"/>
    <w:rsid w:val="007640EF"/>
    <w:rsid w:val="007653C7"/>
    <w:rsid w:val="00766171"/>
    <w:rsid w:val="00766469"/>
    <w:rsid w:val="0076674E"/>
    <w:rsid w:val="00771634"/>
    <w:rsid w:val="007738F3"/>
    <w:rsid w:val="00773B89"/>
    <w:rsid w:val="00774C05"/>
    <w:rsid w:val="00774D9A"/>
    <w:rsid w:val="007755B6"/>
    <w:rsid w:val="00775939"/>
    <w:rsid w:val="007762DF"/>
    <w:rsid w:val="00776373"/>
    <w:rsid w:val="00776D5D"/>
    <w:rsid w:val="00780D64"/>
    <w:rsid w:val="007818F0"/>
    <w:rsid w:val="00781B05"/>
    <w:rsid w:val="00782431"/>
    <w:rsid w:val="007849CE"/>
    <w:rsid w:val="00786920"/>
    <w:rsid w:val="00786A2A"/>
    <w:rsid w:val="0079171B"/>
    <w:rsid w:val="007926A2"/>
    <w:rsid w:val="00793EEE"/>
    <w:rsid w:val="0079423D"/>
    <w:rsid w:val="00795017"/>
    <w:rsid w:val="0079528C"/>
    <w:rsid w:val="007976B6"/>
    <w:rsid w:val="007A0A12"/>
    <w:rsid w:val="007A2F0C"/>
    <w:rsid w:val="007A5377"/>
    <w:rsid w:val="007A6ECA"/>
    <w:rsid w:val="007A7664"/>
    <w:rsid w:val="007B058F"/>
    <w:rsid w:val="007B0CCB"/>
    <w:rsid w:val="007B0D0A"/>
    <w:rsid w:val="007B16F7"/>
    <w:rsid w:val="007B251D"/>
    <w:rsid w:val="007B3E6A"/>
    <w:rsid w:val="007B4EC7"/>
    <w:rsid w:val="007B77D1"/>
    <w:rsid w:val="007C188F"/>
    <w:rsid w:val="007C1B94"/>
    <w:rsid w:val="007C20FF"/>
    <w:rsid w:val="007C2FA4"/>
    <w:rsid w:val="007C337D"/>
    <w:rsid w:val="007C361D"/>
    <w:rsid w:val="007C43BE"/>
    <w:rsid w:val="007C606D"/>
    <w:rsid w:val="007C6355"/>
    <w:rsid w:val="007D0B38"/>
    <w:rsid w:val="007D287E"/>
    <w:rsid w:val="007D3525"/>
    <w:rsid w:val="007D4043"/>
    <w:rsid w:val="007D5FBC"/>
    <w:rsid w:val="007D644F"/>
    <w:rsid w:val="007D7C1B"/>
    <w:rsid w:val="007E162F"/>
    <w:rsid w:val="007E1F08"/>
    <w:rsid w:val="007E372E"/>
    <w:rsid w:val="007E37F9"/>
    <w:rsid w:val="007F1017"/>
    <w:rsid w:val="007F1F94"/>
    <w:rsid w:val="007F2469"/>
    <w:rsid w:val="007F3886"/>
    <w:rsid w:val="007F3AEA"/>
    <w:rsid w:val="007F4057"/>
    <w:rsid w:val="007F4A3F"/>
    <w:rsid w:val="007F57C2"/>
    <w:rsid w:val="007F6968"/>
    <w:rsid w:val="007F6DD7"/>
    <w:rsid w:val="008021F6"/>
    <w:rsid w:val="0080243B"/>
    <w:rsid w:val="00802A71"/>
    <w:rsid w:val="00802BD8"/>
    <w:rsid w:val="00803FEE"/>
    <w:rsid w:val="00805142"/>
    <w:rsid w:val="00806BBD"/>
    <w:rsid w:val="00806C86"/>
    <w:rsid w:val="00806CD5"/>
    <w:rsid w:val="00807757"/>
    <w:rsid w:val="00807A8B"/>
    <w:rsid w:val="008100B5"/>
    <w:rsid w:val="008114C7"/>
    <w:rsid w:val="00812149"/>
    <w:rsid w:val="00812F9C"/>
    <w:rsid w:val="008166EF"/>
    <w:rsid w:val="008167E2"/>
    <w:rsid w:val="00817CF3"/>
    <w:rsid w:val="0082047C"/>
    <w:rsid w:val="00820840"/>
    <w:rsid w:val="008229EA"/>
    <w:rsid w:val="00822A31"/>
    <w:rsid w:val="00822DE7"/>
    <w:rsid w:val="0082560A"/>
    <w:rsid w:val="008264EB"/>
    <w:rsid w:val="0082685C"/>
    <w:rsid w:val="00827CDA"/>
    <w:rsid w:val="00827DA5"/>
    <w:rsid w:val="008309AB"/>
    <w:rsid w:val="00832CB9"/>
    <w:rsid w:val="00833B05"/>
    <w:rsid w:val="00834F5F"/>
    <w:rsid w:val="00836EA8"/>
    <w:rsid w:val="00837BF7"/>
    <w:rsid w:val="008409FA"/>
    <w:rsid w:val="00840C93"/>
    <w:rsid w:val="00840CA2"/>
    <w:rsid w:val="008432EF"/>
    <w:rsid w:val="00844525"/>
    <w:rsid w:val="00844586"/>
    <w:rsid w:val="00844969"/>
    <w:rsid w:val="008453F3"/>
    <w:rsid w:val="00846A81"/>
    <w:rsid w:val="008531B9"/>
    <w:rsid w:val="008552A0"/>
    <w:rsid w:val="00855872"/>
    <w:rsid w:val="00856351"/>
    <w:rsid w:val="008569A8"/>
    <w:rsid w:val="00856E9A"/>
    <w:rsid w:val="008571A7"/>
    <w:rsid w:val="00860253"/>
    <w:rsid w:val="00860A25"/>
    <w:rsid w:val="00862502"/>
    <w:rsid w:val="00862DF2"/>
    <w:rsid w:val="0086338F"/>
    <w:rsid w:val="00864189"/>
    <w:rsid w:val="008645DF"/>
    <w:rsid w:val="008648EF"/>
    <w:rsid w:val="00864AAB"/>
    <w:rsid w:val="00864E41"/>
    <w:rsid w:val="00866CF0"/>
    <w:rsid w:val="008678CE"/>
    <w:rsid w:val="00867DF3"/>
    <w:rsid w:val="00870772"/>
    <w:rsid w:val="00872A48"/>
    <w:rsid w:val="00872E1E"/>
    <w:rsid w:val="00875585"/>
    <w:rsid w:val="00875CE8"/>
    <w:rsid w:val="00876C2E"/>
    <w:rsid w:val="00877F4F"/>
    <w:rsid w:val="00877FDA"/>
    <w:rsid w:val="008815FD"/>
    <w:rsid w:val="0088254F"/>
    <w:rsid w:val="00882874"/>
    <w:rsid w:val="00882E5B"/>
    <w:rsid w:val="00883787"/>
    <w:rsid w:val="00884BBE"/>
    <w:rsid w:val="0089036B"/>
    <w:rsid w:val="008909B8"/>
    <w:rsid w:val="00890B00"/>
    <w:rsid w:val="00890B25"/>
    <w:rsid w:val="00890C18"/>
    <w:rsid w:val="00891A0A"/>
    <w:rsid w:val="0089209B"/>
    <w:rsid w:val="00892D9E"/>
    <w:rsid w:val="00893224"/>
    <w:rsid w:val="0089377B"/>
    <w:rsid w:val="00894489"/>
    <w:rsid w:val="0089612A"/>
    <w:rsid w:val="008962A9"/>
    <w:rsid w:val="008963A5"/>
    <w:rsid w:val="008A0961"/>
    <w:rsid w:val="008A28BC"/>
    <w:rsid w:val="008A3613"/>
    <w:rsid w:val="008A38ED"/>
    <w:rsid w:val="008A3C3E"/>
    <w:rsid w:val="008A4039"/>
    <w:rsid w:val="008A5944"/>
    <w:rsid w:val="008A5CB1"/>
    <w:rsid w:val="008A7259"/>
    <w:rsid w:val="008A79DE"/>
    <w:rsid w:val="008B06EB"/>
    <w:rsid w:val="008B3649"/>
    <w:rsid w:val="008B6190"/>
    <w:rsid w:val="008B6C92"/>
    <w:rsid w:val="008B7138"/>
    <w:rsid w:val="008B7D7E"/>
    <w:rsid w:val="008C096D"/>
    <w:rsid w:val="008C0C9F"/>
    <w:rsid w:val="008C38C3"/>
    <w:rsid w:val="008C38C5"/>
    <w:rsid w:val="008C4077"/>
    <w:rsid w:val="008C473F"/>
    <w:rsid w:val="008C5778"/>
    <w:rsid w:val="008C5C08"/>
    <w:rsid w:val="008C64FF"/>
    <w:rsid w:val="008C6B65"/>
    <w:rsid w:val="008C7ECB"/>
    <w:rsid w:val="008D1907"/>
    <w:rsid w:val="008D3195"/>
    <w:rsid w:val="008D43FC"/>
    <w:rsid w:val="008D59B8"/>
    <w:rsid w:val="008D6F15"/>
    <w:rsid w:val="008D746F"/>
    <w:rsid w:val="008E1B9E"/>
    <w:rsid w:val="008E22F5"/>
    <w:rsid w:val="008E3EE7"/>
    <w:rsid w:val="008E4714"/>
    <w:rsid w:val="008E5499"/>
    <w:rsid w:val="008E7757"/>
    <w:rsid w:val="008F120A"/>
    <w:rsid w:val="008F14BA"/>
    <w:rsid w:val="008F14C6"/>
    <w:rsid w:val="008F28E5"/>
    <w:rsid w:val="008F2C75"/>
    <w:rsid w:val="008F3F39"/>
    <w:rsid w:val="008F48EB"/>
    <w:rsid w:val="008F4F0B"/>
    <w:rsid w:val="008F6555"/>
    <w:rsid w:val="008F7CA3"/>
    <w:rsid w:val="008F7CED"/>
    <w:rsid w:val="00900C8A"/>
    <w:rsid w:val="00900E12"/>
    <w:rsid w:val="009016D8"/>
    <w:rsid w:val="009021A5"/>
    <w:rsid w:val="00902D33"/>
    <w:rsid w:val="009062A5"/>
    <w:rsid w:val="00906F03"/>
    <w:rsid w:val="0090794A"/>
    <w:rsid w:val="00907C28"/>
    <w:rsid w:val="009100B6"/>
    <w:rsid w:val="00910484"/>
    <w:rsid w:val="00911272"/>
    <w:rsid w:val="0091345C"/>
    <w:rsid w:val="009134FE"/>
    <w:rsid w:val="00916EB8"/>
    <w:rsid w:val="0092075C"/>
    <w:rsid w:val="00922673"/>
    <w:rsid w:val="00924A02"/>
    <w:rsid w:val="00926C4B"/>
    <w:rsid w:val="00927F3A"/>
    <w:rsid w:val="00932081"/>
    <w:rsid w:val="00935176"/>
    <w:rsid w:val="00937BAC"/>
    <w:rsid w:val="00940F80"/>
    <w:rsid w:val="00941497"/>
    <w:rsid w:val="00941D91"/>
    <w:rsid w:val="00942B4E"/>
    <w:rsid w:val="009431D5"/>
    <w:rsid w:val="0094377A"/>
    <w:rsid w:val="009451AF"/>
    <w:rsid w:val="009452D0"/>
    <w:rsid w:val="00950824"/>
    <w:rsid w:val="00951728"/>
    <w:rsid w:val="00951F72"/>
    <w:rsid w:val="0095256B"/>
    <w:rsid w:val="00952E2F"/>
    <w:rsid w:val="009563DC"/>
    <w:rsid w:val="0095796D"/>
    <w:rsid w:val="00961324"/>
    <w:rsid w:val="00961481"/>
    <w:rsid w:val="009616B5"/>
    <w:rsid w:val="00962CB9"/>
    <w:rsid w:val="009632A6"/>
    <w:rsid w:val="00964312"/>
    <w:rsid w:val="00965884"/>
    <w:rsid w:val="00965E1D"/>
    <w:rsid w:val="00967263"/>
    <w:rsid w:val="00967729"/>
    <w:rsid w:val="009678DF"/>
    <w:rsid w:val="00971724"/>
    <w:rsid w:val="009725DD"/>
    <w:rsid w:val="00972751"/>
    <w:rsid w:val="00972783"/>
    <w:rsid w:val="0097455F"/>
    <w:rsid w:val="00975062"/>
    <w:rsid w:val="0097581C"/>
    <w:rsid w:val="009766B7"/>
    <w:rsid w:val="00980343"/>
    <w:rsid w:val="00982041"/>
    <w:rsid w:val="00983E57"/>
    <w:rsid w:val="00986BD2"/>
    <w:rsid w:val="00987D15"/>
    <w:rsid w:val="00990EA3"/>
    <w:rsid w:val="00991A81"/>
    <w:rsid w:val="00992719"/>
    <w:rsid w:val="009927E5"/>
    <w:rsid w:val="00995969"/>
    <w:rsid w:val="00996701"/>
    <w:rsid w:val="00996B1A"/>
    <w:rsid w:val="0099758A"/>
    <w:rsid w:val="009A0F61"/>
    <w:rsid w:val="009A154C"/>
    <w:rsid w:val="009A2DD0"/>
    <w:rsid w:val="009A3259"/>
    <w:rsid w:val="009A374E"/>
    <w:rsid w:val="009A3ABA"/>
    <w:rsid w:val="009A3DD9"/>
    <w:rsid w:val="009A6B7E"/>
    <w:rsid w:val="009B17DE"/>
    <w:rsid w:val="009B1D94"/>
    <w:rsid w:val="009B2738"/>
    <w:rsid w:val="009B3DCE"/>
    <w:rsid w:val="009B3E26"/>
    <w:rsid w:val="009B4C00"/>
    <w:rsid w:val="009B68E4"/>
    <w:rsid w:val="009C077E"/>
    <w:rsid w:val="009C17E0"/>
    <w:rsid w:val="009C1B0D"/>
    <w:rsid w:val="009C2842"/>
    <w:rsid w:val="009C2D2F"/>
    <w:rsid w:val="009D028A"/>
    <w:rsid w:val="009D1C54"/>
    <w:rsid w:val="009D202C"/>
    <w:rsid w:val="009D2808"/>
    <w:rsid w:val="009D2CC1"/>
    <w:rsid w:val="009D5B91"/>
    <w:rsid w:val="009D5D40"/>
    <w:rsid w:val="009D64A1"/>
    <w:rsid w:val="009D7BC8"/>
    <w:rsid w:val="009E0C94"/>
    <w:rsid w:val="009E22E6"/>
    <w:rsid w:val="009E4252"/>
    <w:rsid w:val="009E4C07"/>
    <w:rsid w:val="009E554B"/>
    <w:rsid w:val="009F1DAA"/>
    <w:rsid w:val="009F1E19"/>
    <w:rsid w:val="009F2014"/>
    <w:rsid w:val="009F2EF1"/>
    <w:rsid w:val="009F472D"/>
    <w:rsid w:val="009F67A9"/>
    <w:rsid w:val="009F7D85"/>
    <w:rsid w:val="00A01DFC"/>
    <w:rsid w:val="00A031F2"/>
    <w:rsid w:val="00A03AB1"/>
    <w:rsid w:val="00A03D43"/>
    <w:rsid w:val="00A04380"/>
    <w:rsid w:val="00A05584"/>
    <w:rsid w:val="00A05DA3"/>
    <w:rsid w:val="00A06C2F"/>
    <w:rsid w:val="00A12556"/>
    <w:rsid w:val="00A13948"/>
    <w:rsid w:val="00A1478C"/>
    <w:rsid w:val="00A14D74"/>
    <w:rsid w:val="00A15CCB"/>
    <w:rsid w:val="00A15D1F"/>
    <w:rsid w:val="00A255E9"/>
    <w:rsid w:val="00A27AEC"/>
    <w:rsid w:val="00A346EB"/>
    <w:rsid w:val="00A34F9F"/>
    <w:rsid w:val="00A35D16"/>
    <w:rsid w:val="00A36513"/>
    <w:rsid w:val="00A36E56"/>
    <w:rsid w:val="00A37C80"/>
    <w:rsid w:val="00A409CA"/>
    <w:rsid w:val="00A42BA9"/>
    <w:rsid w:val="00A42DFB"/>
    <w:rsid w:val="00A43C59"/>
    <w:rsid w:val="00A450EE"/>
    <w:rsid w:val="00A465EC"/>
    <w:rsid w:val="00A50ECD"/>
    <w:rsid w:val="00A51C7B"/>
    <w:rsid w:val="00A51E1B"/>
    <w:rsid w:val="00A52729"/>
    <w:rsid w:val="00A5308E"/>
    <w:rsid w:val="00A53583"/>
    <w:rsid w:val="00A53675"/>
    <w:rsid w:val="00A54404"/>
    <w:rsid w:val="00A54EA8"/>
    <w:rsid w:val="00A56B6A"/>
    <w:rsid w:val="00A578DC"/>
    <w:rsid w:val="00A6015B"/>
    <w:rsid w:val="00A604A3"/>
    <w:rsid w:val="00A60D87"/>
    <w:rsid w:val="00A64FFD"/>
    <w:rsid w:val="00A66440"/>
    <w:rsid w:val="00A66797"/>
    <w:rsid w:val="00A67128"/>
    <w:rsid w:val="00A6725B"/>
    <w:rsid w:val="00A71FC7"/>
    <w:rsid w:val="00A72292"/>
    <w:rsid w:val="00A72E8D"/>
    <w:rsid w:val="00A73610"/>
    <w:rsid w:val="00A74D0D"/>
    <w:rsid w:val="00A768DF"/>
    <w:rsid w:val="00A76B8D"/>
    <w:rsid w:val="00A80828"/>
    <w:rsid w:val="00A81296"/>
    <w:rsid w:val="00A8249F"/>
    <w:rsid w:val="00A82505"/>
    <w:rsid w:val="00A84AF9"/>
    <w:rsid w:val="00A84E5D"/>
    <w:rsid w:val="00A84EA9"/>
    <w:rsid w:val="00A85568"/>
    <w:rsid w:val="00A86E8B"/>
    <w:rsid w:val="00A872B5"/>
    <w:rsid w:val="00A90173"/>
    <w:rsid w:val="00A9092B"/>
    <w:rsid w:val="00A93072"/>
    <w:rsid w:val="00A952BE"/>
    <w:rsid w:val="00A959D8"/>
    <w:rsid w:val="00A96946"/>
    <w:rsid w:val="00AA01C2"/>
    <w:rsid w:val="00AA1BD9"/>
    <w:rsid w:val="00AA343E"/>
    <w:rsid w:val="00AA3757"/>
    <w:rsid w:val="00AA6130"/>
    <w:rsid w:val="00AA6601"/>
    <w:rsid w:val="00AA66A1"/>
    <w:rsid w:val="00AB042A"/>
    <w:rsid w:val="00AB0ABD"/>
    <w:rsid w:val="00AB2107"/>
    <w:rsid w:val="00AB2C6B"/>
    <w:rsid w:val="00AB2D34"/>
    <w:rsid w:val="00AB3430"/>
    <w:rsid w:val="00AB3665"/>
    <w:rsid w:val="00AB38C4"/>
    <w:rsid w:val="00AB56C9"/>
    <w:rsid w:val="00AB5EC9"/>
    <w:rsid w:val="00AB60B2"/>
    <w:rsid w:val="00AB6BB1"/>
    <w:rsid w:val="00AB7CFA"/>
    <w:rsid w:val="00AC2F19"/>
    <w:rsid w:val="00AC4051"/>
    <w:rsid w:val="00AC517F"/>
    <w:rsid w:val="00AC595C"/>
    <w:rsid w:val="00AC5B25"/>
    <w:rsid w:val="00AC5C10"/>
    <w:rsid w:val="00AC605A"/>
    <w:rsid w:val="00AD0405"/>
    <w:rsid w:val="00AD064F"/>
    <w:rsid w:val="00AD2178"/>
    <w:rsid w:val="00AD2B3A"/>
    <w:rsid w:val="00AD2D2B"/>
    <w:rsid w:val="00AD4DC4"/>
    <w:rsid w:val="00AE0209"/>
    <w:rsid w:val="00AE0F1C"/>
    <w:rsid w:val="00AE1116"/>
    <w:rsid w:val="00AE214A"/>
    <w:rsid w:val="00AF0C22"/>
    <w:rsid w:val="00AF0E57"/>
    <w:rsid w:val="00AF4F9C"/>
    <w:rsid w:val="00AF51AC"/>
    <w:rsid w:val="00AF5448"/>
    <w:rsid w:val="00AF546F"/>
    <w:rsid w:val="00AF561C"/>
    <w:rsid w:val="00AF5860"/>
    <w:rsid w:val="00AF6C06"/>
    <w:rsid w:val="00AF7B55"/>
    <w:rsid w:val="00B000E4"/>
    <w:rsid w:val="00B0146B"/>
    <w:rsid w:val="00B05593"/>
    <w:rsid w:val="00B05AB8"/>
    <w:rsid w:val="00B115AF"/>
    <w:rsid w:val="00B12BD3"/>
    <w:rsid w:val="00B13A09"/>
    <w:rsid w:val="00B13B5D"/>
    <w:rsid w:val="00B13F4F"/>
    <w:rsid w:val="00B153D9"/>
    <w:rsid w:val="00B1592A"/>
    <w:rsid w:val="00B2032C"/>
    <w:rsid w:val="00B207CD"/>
    <w:rsid w:val="00B2397E"/>
    <w:rsid w:val="00B24255"/>
    <w:rsid w:val="00B2525A"/>
    <w:rsid w:val="00B25556"/>
    <w:rsid w:val="00B268B7"/>
    <w:rsid w:val="00B32183"/>
    <w:rsid w:val="00B33CAB"/>
    <w:rsid w:val="00B345F3"/>
    <w:rsid w:val="00B34C5E"/>
    <w:rsid w:val="00B416D9"/>
    <w:rsid w:val="00B4260E"/>
    <w:rsid w:val="00B42851"/>
    <w:rsid w:val="00B44D6E"/>
    <w:rsid w:val="00B44F00"/>
    <w:rsid w:val="00B466EA"/>
    <w:rsid w:val="00B50B5F"/>
    <w:rsid w:val="00B50DB8"/>
    <w:rsid w:val="00B5118A"/>
    <w:rsid w:val="00B51322"/>
    <w:rsid w:val="00B5158B"/>
    <w:rsid w:val="00B52BD9"/>
    <w:rsid w:val="00B52BFA"/>
    <w:rsid w:val="00B52C2D"/>
    <w:rsid w:val="00B53157"/>
    <w:rsid w:val="00B53905"/>
    <w:rsid w:val="00B5411F"/>
    <w:rsid w:val="00B541AC"/>
    <w:rsid w:val="00B54B5B"/>
    <w:rsid w:val="00B5562E"/>
    <w:rsid w:val="00B55D2C"/>
    <w:rsid w:val="00B56384"/>
    <w:rsid w:val="00B56985"/>
    <w:rsid w:val="00B56C8A"/>
    <w:rsid w:val="00B57000"/>
    <w:rsid w:val="00B60939"/>
    <w:rsid w:val="00B60AFD"/>
    <w:rsid w:val="00B611D3"/>
    <w:rsid w:val="00B618B0"/>
    <w:rsid w:val="00B61DF8"/>
    <w:rsid w:val="00B62715"/>
    <w:rsid w:val="00B62924"/>
    <w:rsid w:val="00B63154"/>
    <w:rsid w:val="00B651BD"/>
    <w:rsid w:val="00B6624B"/>
    <w:rsid w:val="00B67AA0"/>
    <w:rsid w:val="00B67CD8"/>
    <w:rsid w:val="00B740B4"/>
    <w:rsid w:val="00B755AE"/>
    <w:rsid w:val="00B76351"/>
    <w:rsid w:val="00B775AD"/>
    <w:rsid w:val="00B80E1E"/>
    <w:rsid w:val="00B812DB"/>
    <w:rsid w:val="00B81804"/>
    <w:rsid w:val="00B818A4"/>
    <w:rsid w:val="00B825D3"/>
    <w:rsid w:val="00B8289A"/>
    <w:rsid w:val="00B8291D"/>
    <w:rsid w:val="00B82977"/>
    <w:rsid w:val="00B835DE"/>
    <w:rsid w:val="00B83800"/>
    <w:rsid w:val="00B83C43"/>
    <w:rsid w:val="00B8649C"/>
    <w:rsid w:val="00B86554"/>
    <w:rsid w:val="00B90F88"/>
    <w:rsid w:val="00B9118D"/>
    <w:rsid w:val="00B91864"/>
    <w:rsid w:val="00B91E8F"/>
    <w:rsid w:val="00B92D0B"/>
    <w:rsid w:val="00B93B45"/>
    <w:rsid w:val="00B94945"/>
    <w:rsid w:val="00B974B5"/>
    <w:rsid w:val="00BA0D5D"/>
    <w:rsid w:val="00BA1043"/>
    <w:rsid w:val="00BA1607"/>
    <w:rsid w:val="00BA3782"/>
    <w:rsid w:val="00BA7010"/>
    <w:rsid w:val="00BA7040"/>
    <w:rsid w:val="00BB0646"/>
    <w:rsid w:val="00BB0862"/>
    <w:rsid w:val="00BB1C2C"/>
    <w:rsid w:val="00BB21D4"/>
    <w:rsid w:val="00BB4030"/>
    <w:rsid w:val="00BB43F8"/>
    <w:rsid w:val="00BB4428"/>
    <w:rsid w:val="00BB44CB"/>
    <w:rsid w:val="00BB47C7"/>
    <w:rsid w:val="00BB4B0E"/>
    <w:rsid w:val="00BB7405"/>
    <w:rsid w:val="00BC0EA0"/>
    <w:rsid w:val="00BC165E"/>
    <w:rsid w:val="00BC4CCB"/>
    <w:rsid w:val="00BC5E52"/>
    <w:rsid w:val="00BC79B6"/>
    <w:rsid w:val="00BD10E2"/>
    <w:rsid w:val="00BD1FA4"/>
    <w:rsid w:val="00BD2618"/>
    <w:rsid w:val="00BD490A"/>
    <w:rsid w:val="00BD596E"/>
    <w:rsid w:val="00BD5CAE"/>
    <w:rsid w:val="00BD630F"/>
    <w:rsid w:val="00BD6CF3"/>
    <w:rsid w:val="00BD73C8"/>
    <w:rsid w:val="00BD75B9"/>
    <w:rsid w:val="00BD7B20"/>
    <w:rsid w:val="00BE0C42"/>
    <w:rsid w:val="00BE11F9"/>
    <w:rsid w:val="00BE1F70"/>
    <w:rsid w:val="00BE2180"/>
    <w:rsid w:val="00BE2CED"/>
    <w:rsid w:val="00BE34BC"/>
    <w:rsid w:val="00BE4275"/>
    <w:rsid w:val="00BE7689"/>
    <w:rsid w:val="00BE7751"/>
    <w:rsid w:val="00BE7DD3"/>
    <w:rsid w:val="00BF0922"/>
    <w:rsid w:val="00BF1108"/>
    <w:rsid w:val="00BF16AA"/>
    <w:rsid w:val="00BF2161"/>
    <w:rsid w:val="00BF2433"/>
    <w:rsid w:val="00BF32F1"/>
    <w:rsid w:val="00BF566F"/>
    <w:rsid w:val="00BF61B4"/>
    <w:rsid w:val="00BF61C9"/>
    <w:rsid w:val="00BF761A"/>
    <w:rsid w:val="00C01687"/>
    <w:rsid w:val="00C034C5"/>
    <w:rsid w:val="00C0409C"/>
    <w:rsid w:val="00C05821"/>
    <w:rsid w:val="00C0769E"/>
    <w:rsid w:val="00C10F6D"/>
    <w:rsid w:val="00C11832"/>
    <w:rsid w:val="00C11B10"/>
    <w:rsid w:val="00C13489"/>
    <w:rsid w:val="00C140B0"/>
    <w:rsid w:val="00C1481A"/>
    <w:rsid w:val="00C16242"/>
    <w:rsid w:val="00C16A89"/>
    <w:rsid w:val="00C16F64"/>
    <w:rsid w:val="00C218CD"/>
    <w:rsid w:val="00C237DD"/>
    <w:rsid w:val="00C25418"/>
    <w:rsid w:val="00C25D9C"/>
    <w:rsid w:val="00C273A1"/>
    <w:rsid w:val="00C27E68"/>
    <w:rsid w:val="00C31649"/>
    <w:rsid w:val="00C33565"/>
    <w:rsid w:val="00C33971"/>
    <w:rsid w:val="00C34D72"/>
    <w:rsid w:val="00C354B2"/>
    <w:rsid w:val="00C3551C"/>
    <w:rsid w:val="00C35DBD"/>
    <w:rsid w:val="00C35EB1"/>
    <w:rsid w:val="00C36AAE"/>
    <w:rsid w:val="00C40385"/>
    <w:rsid w:val="00C41554"/>
    <w:rsid w:val="00C41FD8"/>
    <w:rsid w:val="00C43E4F"/>
    <w:rsid w:val="00C448AA"/>
    <w:rsid w:val="00C451E4"/>
    <w:rsid w:val="00C45C53"/>
    <w:rsid w:val="00C46440"/>
    <w:rsid w:val="00C5094B"/>
    <w:rsid w:val="00C51E78"/>
    <w:rsid w:val="00C5358E"/>
    <w:rsid w:val="00C53929"/>
    <w:rsid w:val="00C54AD4"/>
    <w:rsid w:val="00C55C41"/>
    <w:rsid w:val="00C5665F"/>
    <w:rsid w:val="00C57E59"/>
    <w:rsid w:val="00C606C5"/>
    <w:rsid w:val="00C612E8"/>
    <w:rsid w:val="00C62104"/>
    <w:rsid w:val="00C63A23"/>
    <w:rsid w:val="00C6535E"/>
    <w:rsid w:val="00C65576"/>
    <w:rsid w:val="00C65604"/>
    <w:rsid w:val="00C66165"/>
    <w:rsid w:val="00C67DFF"/>
    <w:rsid w:val="00C712FE"/>
    <w:rsid w:val="00C7140F"/>
    <w:rsid w:val="00C71D43"/>
    <w:rsid w:val="00C73EE1"/>
    <w:rsid w:val="00C750C8"/>
    <w:rsid w:val="00C75196"/>
    <w:rsid w:val="00C77200"/>
    <w:rsid w:val="00C776AE"/>
    <w:rsid w:val="00C803CD"/>
    <w:rsid w:val="00C8045A"/>
    <w:rsid w:val="00C818E9"/>
    <w:rsid w:val="00C82122"/>
    <w:rsid w:val="00C8213F"/>
    <w:rsid w:val="00C83E86"/>
    <w:rsid w:val="00C8575C"/>
    <w:rsid w:val="00C86224"/>
    <w:rsid w:val="00C87907"/>
    <w:rsid w:val="00C8797A"/>
    <w:rsid w:val="00C87AA7"/>
    <w:rsid w:val="00C87B58"/>
    <w:rsid w:val="00C87C70"/>
    <w:rsid w:val="00C87EB9"/>
    <w:rsid w:val="00C902E7"/>
    <w:rsid w:val="00C91CF9"/>
    <w:rsid w:val="00C91F8C"/>
    <w:rsid w:val="00C938CF"/>
    <w:rsid w:val="00C94741"/>
    <w:rsid w:val="00C965B4"/>
    <w:rsid w:val="00C966C1"/>
    <w:rsid w:val="00C96C10"/>
    <w:rsid w:val="00C976AB"/>
    <w:rsid w:val="00CA035B"/>
    <w:rsid w:val="00CA3762"/>
    <w:rsid w:val="00CA5245"/>
    <w:rsid w:val="00CA5974"/>
    <w:rsid w:val="00CA7B09"/>
    <w:rsid w:val="00CB0B50"/>
    <w:rsid w:val="00CB0C0E"/>
    <w:rsid w:val="00CB0D47"/>
    <w:rsid w:val="00CB146C"/>
    <w:rsid w:val="00CB1665"/>
    <w:rsid w:val="00CB22DC"/>
    <w:rsid w:val="00CB3DB2"/>
    <w:rsid w:val="00CB47A5"/>
    <w:rsid w:val="00CB5B1A"/>
    <w:rsid w:val="00CB5D6D"/>
    <w:rsid w:val="00CB6047"/>
    <w:rsid w:val="00CB6BE1"/>
    <w:rsid w:val="00CC0374"/>
    <w:rsid w:val="00CC0A2D"/>
    <w:rsid w:val="00CC1B45"/>
    <w:rsid w:val="00CC23F9"/>
    <w:rsid w:val="00CC3196"/>
    <w:rsid w:val="00CC445B"/>
    <w:rsid w:val="00CC498A"/>
    <w:rsid w:val="00CC5A28"/>
    <w:rsid w:val="00CC6E30"/>
    <w:rsid w:val="00CC7774"/>
    <w:rsid w:val="00CD05AE"/>
    <w:rsid w:val="00CD28AF"/>
    <w:rsid w:val="00CD5D60"/>
    <w:rsid w:val="00CD654D"/>
    <w:rsid w:val="00CD6ADC"/>
    <w:rsid w:val="00CD731A"/>
    <w:rsid w:val="00CE0F0D"/>
    <w:rsid w:val="00CE13C7"/>
    <w:rsid w:val="00CE1D89"/>
    <w:rsid w:val="00CE20CA"/>
    <w:rsid w:val="00CE27A6"/>
    <w:rsid w:val="00CE3DD9"/>
    <w:rsid w:val="00CE40BD"/>
    <w:rsid w:val="00CE490A"/>
    <w:rsid w:val="00CE6274"/>
    <w:rsid w:val="00CE6741"/>
    <w:rsid w:val="00CE6B9F"/>
    <w:rsid w:val="00CF0B4B"/>
    <w:rsid w:val="00CF1BB7"/>
    <w:rsid w:val="00CF456B"/>
    <w:rsid w:val="00CF4851"/>
    <w:rsid w:val="00CF5A22"/>
    <w:rsid w:val="00CF7225"/>
    <w:rsid w:val="00D00B9D"/>
    <w:rsid w:val="00D00BC1"/>
    <w:rsid w:val="00D00EB2"/>
    <w:rsid w:val="00D0262E"/>
    <w:rsid w:val="00D0342D"/>
    <w:rsid w:val="00D0392F"/>
    <w:rsid w:val="00D043D7"/>
    <w:rsid w:val="00D065D9"/>
    <w:rsid w:val="00D07E38"/>
    <w:rsid w:val="00D100AE"/>
    <w:rsid w:val="00D110BD"/>
    <w:rsid w:val="00D118AA"/>
    <w:rsid w:val="00D1514C"/>
    <w:rsid w:val="00D16FB8"/>
    <w:rsid w:val="00D172FA"/>
    <w:rsid w:val="00D17D6C"/>
    <w:rsid w:val="00D202AE"/>
    <w:rsid w:val="00D20344"/>
    <w:rsid w:val="00D22404"/>
    <w:rsid w:val="00D22A18"/>
    <w:rsid w:val="00D22A3A"/>
    <w:rsid w:val="00D23B31"/>
    <w:rsid w:val="00D300DE"/>
    <w:rsid w:val="00D313FF"/>
    <w:rsid w:val="00D31AC1"/>
    <w:rsid w:val="00D328C8"/>
    <w:rsid w:val="00D357FF"/>
    <w:rsid w:val="00D40338"/>
    <w:rsid w:val="00D4164D"/>
    <w:rsid w:val="00D418CA"/>
    <w:rsid w:val="00D431FE"/>
    <w:rsid w:val="00D46230"/>
    <w:rsid w:val="00D50A80"/>
    <w:rsid w:val="00D50AF4"/>
    <w:rsid w:val="00D511B2"/>
    <w:rsid w:val="00D52644"/>
    <w:rsid w:val="00D528AC"/>
    <w:rsid w:val="00D52E32"/>
    <w:rsid w:val="00D53D00"/>
    <w:rsid w:val="00D54E30"/>
    <w:rsid w:val="00D5557D"/>
    <w:rsid w:val="00D5590C"/>
    <w:rsid w:val="00D565A1"/>
    <w:rsid w:val="00D5784B"/>
    <w:rsid w:val="00D61A75"/>
    <w:rsid w:val="00D62C96"/>
    <w:rsid w:val="00D63AE9"/>
    <w:rsid w:val="00D6705F"/>
    <w:rsid w:val="00D67EBF"/>
    <w:rsid w:val="00D703D3"/>
    <w:rsid w:val="00D71120"/>
    <w:rsid w:val="00D73F95"/>
    <w:rsid w:val="00D7619C"/>
    <w:rsid w:val="00D76A44"/>
    <w:rsid w:val="00D776A4"/>
    <w:rsid w:val="00D8115E"/>
    <w:rsid w:val="00D81CD8"/>
    <w:rsid w:val="00D8209E"/>
    <w:rsid w:val="00D82BBD"/>
    <w:rsid w:val="00D86379"/>
    <w:rsid w:val="00D9008B"/>
    <w:rsid w:val="00D91C75"/>
    <w:rsid w:val="00D93753"/>
    <w:rsid w:val="00D942D1"/>
    <w:rsid w:val="00D94AF7"/>
    <w:rsid w:val="00D94EE3"/>
    <w:rsid w:val="00D97E30"/>
    <w:rsid w:val="00D97F45"/>
    <w:rsid w:val="00DA204B"/>
    <w:rsid w:val="00DA4202"/>
    <w:rsid w:val="00DA4DC9"/>
    <w:rsid w:val="00DA4FFE"/>
    <w:rsid w:val="00DA53F8"/>
    <w:rsid w:val="00DA77A5"/>
    <w:rsid w:val="00DB008B"/>
    <w:rsid w:val="00DB25B7"/>
    <w:rsid w:val="00DB457B"/>
    <w:rsid w:val="00DC0EA4"/>
    <w:rsid w:val="00DC28EF"/>
    <w:rsid w:val="00DC2F92"/>
    <w:rsid w:val="00DC416A"/>
    <w:rsid w:val="00DC46C6"/>
    <w:rsid w:val="00DC5501"/>
    <w:rsid w:val="00DC5BFB"/>
    <w:rsid w:val="00DC7FF2"/>
    <w:rsid w:val="00DD0768"/>
    <w:rsid w:val="00DD157C"/>
    <w:rsid w:val="00DD1769"/>
    <w:rsid w:val="00DD288D"/>
    <w:rsid w:val="00DD37AA"/>
    <w:rsid w:val="00DD3B9B"/>
    <w:rsid w:val="00DD3F28"/>
    <w:rsid w:val="00DD43B9"/>
    <w:rsid w:val="00DD4537"/>
    <w:rsid w:val="00DD4E15"/>
    <w:rsid w:val="00DD5B59"/>
    <w:rsid w:val="00DD7746"/>
    <w:rsid w:val="00DD7F82"/>
    <w:rsid w:val="00DE1388"/>
    <w:rsid w:val="00DE2BB9"/>
    <w:rsid w:val="00DE3CD8"/>
    <w:rsid w:val="00DE4B64"/>
    <w:rsid w:val="00DE4B90"/>
    <w:rsid w:val="00DE4FCB"/>
    <w:rsid w:val="00DE6BD1"/>
    <w:rsid w:val="00DE733E"/>
    <w:rsid w:val="00DF1B7E"/>
    <w:rsid w:val="00DF2191"/>
    <w:rsid w:val="00DF33B2"/>
    <w:rsid w:val="00DF4C9A"/>
    <w:rsid w:val="00DF5D2B"/>
    <w:rsid w:val="00DF6679"/>
    <w:rsid w:val="00DF68C6"/>
    <w:rsid w:val="00DF6F1F"/>
    <w:rsid w:val="00E00027"/>
    <w:rsid w:val="00E01594"/>
    <w:rsid w:val="00E040F9"/>
    <w:rsid w:val="00E04C16"/>
    <w:rsid w:val="00E056AA"/>
    <w:rsid w:val="00E06398"/>
    <w:rsid w:val="00E0644B"/>
    <w:rsid w:val="00E07D86"/>
    <w:rsid w:val="00E10149"/>
    <w:rsid w:val="00E1178F"/>
    <w:rsid w:val="00E1320C"/>
    <w:rsid w:val="00E13CED"/>
    <w:rsid w:val="00E1410A"/>
    <w:rsid w:val="00E16372"/>
    <w:rsid w:val="00E17C37"/>
    <w:rsid w:val="00E20ED6"/>
    <w:rsid w:val="00E21358"/>
    <w:rsid w:val="00E218EB"/>
    <w:rsid w:val="00E2241C"/>
    <w:rsid w:val="00E2249B"/>
    <w:rsid w:val="00E22A0D"/>
    <w:rsid w:val="00E23AB4"/>
    <w:rsid w:val="00E244A8"/>
    <w:rsid w:val="00E255A2"/>
    <w:rsid w:val="00E260A0"/>
    <w:rsid w:val="00E268B5"/>
    <w:rsid w:val="00E2771E"/>
    <w:rsid w:val="00E27720"/>
    <w:rsid w:val="00E3119E"/>
    <w:rsid w:val="00E322B6"/>
    <w:rsid w:val="00E32435"/>
    <w:rsid w:val="00E339FA"/>
    <w:rsid w:val="00E33CCF"/>
    <w:rsid w:val="00E34716"/>
    <w:rsid w:val="00E35682"/>
    <w:rsid w:val="00E3678A"/>
    <w:rsid w:val="00E37569"/>
    <w:rsid w:val="00E37F40"/>
    <w:rsid w:val="00E407EE"/>
    <w:rsid w:val="00E41E30"/>
    <w:rsid w:val="00E420DD"/>
    <w:rsid w:val="00E4217A"/>
    <w:rsid w:val="00E424F5"/>
    <w:rsid w:val="00E42CAE"/>
    <w:rsid w:val="00E42F40"/>
    <w:rsid w:val="00E437DB"/>
    <w:rsid w:val="00E43D70"/>
    <w:rsid w:val="00E44C5B"/>
    <w:rsid w:val="00E44EA4"/>
    <w:rsid w:val="00E450B6"/>
    <w:rsid w:val="00E46006"/>
    <w:rsid w:val="00E47B2C"/>
    <w:rsid w:val="00E50137"/>
    <w:rsid w:val="00E5070D"/>
    <w:rsid w:val="00E51560"/>
    <w:rsid w:val="00E52680"/>
    <w:rsid w:val="00E53471"/>
    <w:rsid w:val="00E55424"/>
    <w:rsid w:val="00E55BB5"/>
    <w:rsid w:val="00E55DDF"/>
    <w:rsid w:val="00E566C2"/>
    <w:rsid w:val="00E575A6"/>
    <w:rsid w:val="00E600D5"/>
    <w:rsid w:val="00E61270"/>
    <w:rsid w:val="00E64424"/>
    <w:rsid w:val="00E65E79"/>
    <w:rsid w:val="00E66066"/>
    <w:rsid w:val="00E66ABE"/>
    <w:rsid w:val="00E66BC3"/>
    <w:rsid w:val="00E66CA4"/>
    <w:rsid w:val="00E67416"/>
    <w:rsid w:val="00E70A74"/>
    <w:rsid w:val="00E718B6"/>
    <w:rsid w:val="00E73581"/>
    <w:rsid w:val="00E7678A"/>
    <w:rsid w:val="00E77627"/>
    <w:rsid w:val="00E806AE"/>
    <w:rsid w:val="00E83BDF"/>
    <w:rsid w:val="00E84D46"/>
    <w:rsid w:val="00E877F3"/>
    <w:rsid w:val="00E9031C"/>
    <w:rsid w:val="00E90983"/>
    <w:rsid w:val="00E90E9D"/>
    <w:rsid w:val="00E91F5A"/>
    <w:rsid w:val="00E92898"/>
    <w:rsid w:val="00E93225"/>
    <w:rsid w:val="00E9410C"/>
    <w:rsid w:val="00E9515B"/>
    <w:rsid w:val="00E9687D"/>
    <w:rsid w:val="00E968B7"/>
    <w:rsid w:val="00E96D0D"/>
    <w:rsid w:val="00EA0005"/>
    <w:rsid w:val="00EA218D"/>
    <w:rsid w:val="00EA2720"/>
    <w:rsid w:val="00EA35A0"/>
    <w:rsid w:val="00EA3864"/>
    <w:rsid w:val="00EA3866"/>
    <w:rsid w:val="00EA3E7B"/>
    <w:rsid w:val="00EA4A41"/>
    <w:rsid w:val="00EA65F1"/>
    <w:rsid w:val="00EA6926"/>
    <w:rsid w:val="00EB04B0"/>
    <w:rsid w:val="00EB0DBB"/>
    <w:rsid w:val="00EB15B6"/>
    <w:rsid w:val="00EB1DFC"/>
    <w:rsid w:val="00EB2403"/>
    <w:rsid w:val="00EB46FF"/>
    <w:rsid w:val="00EB4916"/>
    <w:rsid w:val="00EB5D7A"/>
    <w:rsid w:val="00EB7243"/>
    <w:rsid w:val="00EC00C9"/>
    <w:rsid w:val="00EC0FC7"/>
    <w:rsid w:val="00EC107E"/>
    <w:rsid w:val="00EC16A8"/>
    <w:rsid w:val="00EC17DF"/>
    <w:rsid w:val="00EC4ED2"/>
    <w:rsid w:val="00EC58F4"/>
    <w:rsid w:val="00EC593F"/>
    <w:rsid w:val="00ED3A70"/>
    <w:rsid w:val="00ED420A"/>
    <w:rsid w:val="00ED45BD"/>
    <w:rsid w:val="00ED47E0"/>
    <w:rsid w:val="00EE07D3"/>
    <w:rsid w:val="00EE15CC"/>
    <w:rsid w:val="00EE21AE"/>
    <w:rsid w:val="00EE3C11"/>
    <w:rsid w:val="00EE5787"/>
    <w:rsid w:val="00EE6033"/>
    <w:rsid w:val="00EE7524"/>
    <w:rsid w:val="00EE79EA"/>
    <w:rsid w:val="00EE7D8D"/>
    <w:rsid w:val="00EF20F7"/>
    <w:rsid w:val="00EF2FF5"/>
    <w:rsid w:val="00EF34AB"/>
    <w:rsid w:val="00EF4169"/>
    <w:rsid w:val="00EF530F"/>
    <w:rsid w:val="00EF5F80"/>
    <w:rsid w:val="00EF7687"/>
    <w:rsid w:val="00F007BB"/>
    <w:rsid w:val="00F0161D"/>
    <w:rsid w:val="00F03A61"/>
    <w:rsid w:val="00F0627F"/>
    <w:rsid w:val="00F067A2"/>
    <w:rsid w:val="00F07D22"/>
    <w:rsid w:val="00F10F58"/>
    <w:rsid w:val="00F11FE4"/>
    <w:rsid w:val="00F12998"/>
    <w:rsid w:val="00F1320A"/>
    <w:rsid w:val="00F1367E"/>
    <w:rsid w:val="00F166D4"/>
    <w:rsid w:val="00F17527"/>
    <w:rsid w:val="00F17F75"/>
    <w:rsid w:val="00F21951"/>
    <w:rsid w:val="00F22553"/>
    <w:rsid w:val="00F2336F"/>
    <w:rsid w:val="00F24837"/>
    <w:rsid w:val="00F24B41"/>
    <w:rsid w:val="00F2575F"/>
    <w:rsid w:val="00F259C9"/>
    <w:rsid w:val="00F30B9F"/>
    <w:rsid w:val="00F30D6B"/>
    <w:rsid w:val="00F31699"/>
    <w:rsid w:val="00F321DD"/>
    <w:rsid w:val="00F324AD"/>
    <w:rsid w:val="00F328A4"/>
    <w:rsid w:val="00F33264"/>
    <w:rsid w:val="00F33DE9"/>
    <w:rsid w:val="00F3619A"/>
    <w:rsid w:val="00F3670F"/>
    <w:rsid w:val="00F3767F"/>
    <w:rsid w:val="00F37DF5"/>
    <w:rsid w:val="00F41D56"/>
    <w:rsid w:val="00F420D3"/>
    <w:rsid w:val="00F423DA"/>
    <w:rsid w:val="00F44084"/>
    <w:rsid w:val="00F458F7"/>
    <w:rsid w:val="00F46CB6"/>
    <w:rsid w:val="00F473C9"/>
    <w:rsid w:val="00F47912"/>
    <w:rsid w:val="00F47D97"/>
    <w:rsid w:val="00F50463"/>
    <w:rsid w:val="00F505BC"/>
    <w:rsid w:val="00F512D1"/>
    <w:rsid w:val="00F51548"/>
    <w:rsid w:val="00F51B67"/>
    <w:rsid w:val="00F52149"/>
    <w:rsid w:val="00F5278D"/>
    <w:rsid w:val="00F52D93"/>
    <w:rsid w:val="00F54380"/>
    <w:rsid w:val="00F5513F"/>
    <w:rsid w:val="00F55319"/>
    <w:rsid w:val="00F55B64"/>
    <w:rsid w:val="00F55E73"/>
    <w:rsid w:val="00F56182"/>
    <w:rsid w:val="00F56490"/>
    <w:rsid w:val="00F567CA"/>
    <w:rsid w:val="00F573FE"/>
    <w:rsid w:val="00F60092"/>
    <w:rsid w:val="00F65B20"/>
    <w:rsid w:val="00F66328"/>
    <w:rsid w:val="00F6724C"/>
    <w:rsid w:val="00F6785C"/>
    <w:rsid w:val="00F67F3C"/>
    <w:rsid w:val="00F70DE5"/>
    <w:rsid w:val="00F71680"/>
    <w:rsid w:val="00F71B91"/>
    <w:rsid w:val="00F7268F"/>
    <w:rsid w:val="00F7303C"/>
    <w:rsid w:val="00F73D3D"/>
    <w:rsid w:val="00F74171"/>
    <w:rsid w:val="00F74FB1"/>
    <w:rsid w:val="00F75544"/>
    <w:rsid w:val="00F8047D"/>
    <w:rsid w:val="00F80E5D"/>
    <w:rsid w:val="00F81BA4"/>
    <w:rsid w:val="00F82AF4"/>
    <w:rsid w:val="00F851CE"/>
    <w:rsid w:val="00F874AD"/>
    <w:rsid w:val="00F9055E"/>
    <w:rsid w:val="00F911D0"/>
    <w:rsid w:val="00F91515"/>
    <w:rsid w:val="00F92CEE"/>
    <w:rsid w:val="00F930D8"/>
    <w:rsid w:val="00F93EC5"/>
    <w:rsid w:val="00F94F14"/>
    <w:rsid w:val="00F9504F"/>
    <w:rsid w:val="00F9600B"/>
    <w:rsid w:val="00F97A78"/>
    <w:rsid w:val="00FA0585"/>
    <w:rsid w:val="00FA1282"/>
    <w:rsid w:val="00FA15E8"/>
    <w:rsid w:val="00FA222E"/>
    <w:rsid w:val="00FA23F4"/>
    <w:rsid w:val="00FA2423"/>
    <w:rsid w:val="00FA24E7"/>
    <w:rsid w:val="00FA273B"/>
    <w:rsid w:val="00FA29AD"/>
    <w:rsid w:val="00FA3CD9"/>
    <w:rsid w:val="00FA4857"/>
    <w:rsid w:val="00FA4E8C"/>
    <w:rsid w:val="00FA6AD0"/>
    <w:rsid w:val="00FA7C18"/>
    <w:rsid w:val="00FB0CDD"/>
    <w:rsid w:val="00FB1A8A"/>
    <w:rsid w:val="00FB1DCF"/>
    <w:rsid w:val="00FB2B26"/>
    <w:rsid w:val="00FB2FCB"/>
    <w:rsid w:val="00FB39C1"/>
    <w:rsid w:val="00FB68F4"/>
    <w:rsid w:val="00FC0C19"/>
    <w:rsid w:val="00FC0ECC"/>
    <w:rsid w:val="00FC1074"/>
    <w:rsid w:val="00FC1884"/>
    <w:rsid w:val="00FC19E5"/>
    <w:rsid w:val="00FC3033"/>
    <w:rsid w:val="00FC45A9"/>
    <w:rsid w:val="00FC63C0"/>
    <w:rsid w:val="00FC6C2F"/>
    <w:rsid w:val="00FC7A32"/>
    <w:rsid w:val="00FD0BD7"/>
    <w:rsid w:val="00FD2100"/>
    <w:rsid w:val="00FD2A8F"/>
    <w:rsid w:val="00FD446D"/>
    <w:rsid w:val="00FD5041"/>
    <w:rsid w:val="00FD58F3"/>
    <w:rsid w:val="00FD6B70"/>
    <w:rsid w:val="00FD72A0"/>
    <w:rsid w:val="00FE0D7A"/>
    <w:rsid w:val="00FE109C"/>
    <w:rsid w:val="00FE28B2"/>
    <w:rsid w:val="00FE2BA5"/>
    <w:rsid w:val="00FE4A94"/>
    <w:rsid w:val="00FE710E"/>
    <w:rsid w:val="00FE77C5"/>
    <w:rsid w:val="00FE7942"/>
    <w:rsid w:val="00FE7FDD"/>
    <w:rsid w:val="00FF2BE6"/>
    <w:rsid w:val="00FF33CC"/>
    <w:rsid w:val="00FF3DCF"/>
    <w:rsid w:val="00FF4726"/>
    <w:rsid w:val="00FF5AA3"/>
    <w:rsid w:val="00FF66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qFormat="1"/>
    <w:lsdException w:name="caption" w:qFormat="1"/>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nhideWhenUsed="0"/>
    <w:lsdException w:name="Body Text" w:qFormat="1"/>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Hyperlink" w:uiPriority="99"/>
    <w:lsdException w:name="Strong" w:semiHidden="0" w:uiPriority="9" w:unhideWhenUsed="0"/>
    <w:lsdException w:name="Emphasis" w:semiHidden="0" w:uiPriority="9" w:unhideWhenUsed="0"/>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F78BC"/>
    <w:pPr>
      <w:widowControl w:val="0"/>
      <w:jc w:val="both"/>
    </w:pPr>
    <w:rPr>
      <w:rFonts w:ascii="Arial" w:hAnsi="Arial" w:cs="Arial"/>
      <w:snapToGrid w:val="0"/>
      <w:sz w:val="22"/>
      <w:lang w:eastAsia="en-US"/>
    </w:rPr>
  </w:style>
  <w:style w:type="paragraph" w:styleId="Heading1">
    <w:name w:val="heading 1"/>
    <w:basedOn w:val="Normal"/>
    <w:next w:val="Normal"/>
    <w:qFormat/>
    <w:rsid w:val="00C6535E"/>
    <w:pPr>
      <w:ind w:left="720" w:hanging="720"/>
      <w:outlineLvl w:val="0"/>
    </w:pPr>
    <w:rPr>
      <w:rFonts w:ascii="Arial Bold" w:hAnsi="Arial Bold"/>
      <w:b/>
      <w:caps/>
    </w:rPr>
  </w:style>
  <w:style w:type="paragraph" w:styleId="Heading2">
    <w:name w:val="heading 2"/>
    <w:basedOn w:val="Normal"/>
    <w:next w:val="Normal"/>
    <w:link w:val="Heading2Char"/>
    <w:qFormat/>
    <w:rsid w:val="00C6535E"/>
    <w:pPr>
      <w:outlineLvl w:val="1"/>
    </w:pPr>
    <w:rPr>
      <w:b/>
    </w:rPr>
  </w:style>
  <w:style w:type="paragraph" w:styleId="Heading3">
    <w:name w:val="heading 3"/>
    <w:basedOn w:val="Normal"/>
    <w:next w:val="Normal"/>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4B6AF7"/>
    <w:pPr>
      <w:keepNext/>
    </w:pPr>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har Char Char,Char Char1,Char Char,Char1"/>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0F7A85"/>
    <w:pPr>
      <w:tabs>
        <w:tab w:val="left" w:pos="44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9F1E19"/>
    <w:pPr>
      <w:numPr>
        <w:numId w:val="1"/>
      </w:numPr>
      <w:jc w:val="left"/>
      <w:outlineLvl w:val="0"/>
    </w:pPr>
    <w:rPr>
      <w:b/>
      <w:snapToGrid/>
      <w:sz w:val="28"/>
      <w:szCs w:val="22"/>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Default">
    <w:name w:val="Default"/>
    <w:rsid w:val="00047DB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302572"/>
    <w:rPr>
      <w:sz w:val="20"/>
    </w:rPr>
  </w:style>
  <w:style w:type="character" w:customStyle="1" w:styleId="FootnoteTextChar">
    <w:name w:val="Footnote Text Char"/>
    <w:basedOn w:val="DefaultParagraphFont"/>
    <w:link w:val="FootnoteText"/>
    <w:semiHidden/>
    <w:rsid w:val="00302572"/>
    <w:rPr>
      <w:rFonts w:ascii="Arial" w:hAnsi="Arial" w:cs="Arial"/>
      <w:snapToGrid w:val="0"/>
      <w:lang w:eastAsia="en-US"/>
    </w:rPr>
  </w:style>
  <w:style w:type="character" w:styleId="FootnoteReference">
    <w:name w:val="footnote reference"/>
    <w:basedOn w:val="DefaultParagraphFont"/>
    <w:unhideWhenUsed/>
    <w:rsid w:val="00302572"/>
    <w:rPr>
      <w:vertAlign w:val="superscript"/>
    </w:rPr>
  </w:style>
  <w:style w:type="paragraph" w:customStyle="1" w:styleId="TableText1">
    <w:name w:val="Table Text"/>
    <w:link w:val="TableTextChar0"/>
    <w:qFormat/>
    <w:rsid w:val="00FE77C5"/>
    <w:pPr>
      <w:tabs>
        <w:tab w:val="left" w:pos="416"/>
        <w:tab w:val="left" w:pos="582"/>
      </w:tabs>
      <w:spacing w:before="40" w:after="20"/>
    </w:pPr>
    <w:rPr>
      <w:rFonts w:ascii="Arial" w:hAnsi="Arial"/>
      <w:sz w:val="18"/>
      <w:szCs w:val="18"/>
      <w:lang w:eastAsia="en-US"/>
    </w:rPr>
  </w:style>
  <w:style w:type="character" w:customStyle="1" w:styleId="TableTextChar0">
    <w:name w:val="Table Text Char"/>
    <w:link w:val="TableText1"/>
    <w:rsid w:val="00FE77C5"/>
    <w:rPr>
      <w:rFonts w:ascii="Arial" w:hAnsi="Arial"/>
      <w:sz w:val="18"/>
      <w:szCs w:val="18"/>
      <w:lang w:eastAsia="en-US"/>
    </w:rPr>
  </w:style>
  <w:style w:type="character" w:customStyle="1" w:styleId="ListParagraphChar">
    <w:name w:val="List Paragraph Char"/>
    <w:aliases w:val="BulletPoints Char"/>
    <w:link w:val="ListParagraph"/>
    <w:uiPriority w:val="72"/>
    <w:locked/>
    <w:rsid w:val="008A5944"/>
    <w:rPr>
      <w:rFonts w:ascii="Arial" w:hAnsi="Arial" w:cs="Arial"/>
      <w:snapToGrid w:val="0"/>
      <w:sz w:val="22"/>
      <w:lang w:eastAsia="en-US"/>
    </w:rPr>
  </w:style>
  <w:style w:type="table" w:customStyle="1" w:styleId="TableGrid2">
    <w:name w:val="Table Grid2"/>
    <w:basedOn w:val="TableNormal"/>
    <w:next w:val="TableGrid"/>
    <w:rsid w:val="00C965B4"/>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next w:val="TableText1"/>
    <w:link w:val="TableText2Char"/>
    <w:qFormat/>
    <w:rsid w:val="00C16242"/>
    <w:pPr>
      <w:widowControl/>
      <w:spacing w:before="40" w:after="20"/>
      <w:jc w:val="left"/>
    </w:pPr>
    <w:rPr>
      <w:rFonts w:cs="Times New Roman"/>
      <w:b/>
      <w:bCs/>
      <w:snapToGrid/>
      <w:sz w:val="18"/>
      <w:lang w:eastAsia="en-AU"/>
    </w:rPr>
  </w:style>
  <w:style w:type="character" w:customStyle="1" w:styleId="TableText2Char">
    <w:name w:val="Table Text 2 Char"/>
    <w:link w:val="TableText2"/>
    <w:rsid w:val="00C16242"/>
    <w:rPr>
      <w:rFonts w:ascii="Arial" w:hAnsi="Arial"/>
      <w:b/>
      <w:bCs/>
      <w:sz w:val="18"/>
    </w:rPr>
  </w:style>
  <w:style w:type="table" w:customStyle="1" w:styleId="TableGrid3">
    <w:name w:val="Table Grid3"/>
    <w:basedOn w:val="TableNormal"/>
    <w:next w:val="TableGrid"/>
    <w:rsid w:val="00FB0CD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basedOn w:val="Normal"/>
    <w:link w:val="Tableheader1Char"/>
    <w:uiPriority w:val="99"/>
    <w:qFormat/>
    <w:rsid w:val="00FB0CDD"/>
    <w:pPr>
      <w:widowControl/>
      <w:spacing w:after="120"/>
      <w:jc w:val="center"/>
    </w:pPr>
    <w:rPr>
      <w:rFonts w:cs="Times New Roman"/>
      <w:b/>
      <w:snapToGrid/>
      <w:sz w:val="18"/>
      <w:szCs w:val="22"/>
      <w:lang w:eastAsia="en-AU"/>
    </w:rPr>
  </w:style>
  <w:style w:type="character" w:customStyle="1" w:styleId="Tableheader1Char">
    <w:name w:val="Table header 1 Char"/>
    <w:link w:val="Tableheader1"/>
    <w:uiPriority w:val="99"/>
    <w:rsid w:val="00FB0CDD"/>
    <w:rPr>
      <w:rFonts w:ascii="Arial" w:hAnsi="Arial"/>
      <w:b/>
      <w:sz w:val="18"/>
      <w:szCs w:val="22"/>
    </w:rPr>
  </w:style>
  <w:style w:type="character" w:customStyle="1" w:styleId="st">
    <w:name w:val="st"/>
    <w:basedOn w:val="DefaultParagraphFont"/>
    <w:rsid w:val="00FB0CDD"/>
  </w:style>
  <w:style w:type="table" w:customStyle="1" w:styleId="TableGrid4">
    <w:name w:val="Table Grid4"/>
    <w:basedOn w:val="TableNormal"/>
    <w:next w:val="TableGrid"/>
    <w:rsid w:val="0049490B"/>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508A"/>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1086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A38E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footnote">
    <w:name w:val="Table or figure footnote"/>
    <w:next w:val="BodyText"/>
    <w:link w:val="TableorfigurefootnoteChar"/>
    <w:qFormat/>
    <w:rsid w:val="00545ADF"/>
    <w:rPr>
      <w:rFonts w:ascii="Arial" w:hAnsi="Arial"/>
      <w:sz w:val="16"/>
      <w:szCs w:val="22"/>
      <w:lang w:val="en-GB" w:eastAsia="en-GB"/>
    </w:rPr>
  </w:style>
  <w:style w:type="character" w:customStyle="1" w:styleId="TableorfigurefootnoteChar">
    <w:name w:val="Table or figure footnote Char"/>
    <w:link w:val="Tableorfigurefootnote"/>
    <w:rsid w:val="00545ADF"/>
    <w:rPr>
      <w:rFonts w:ascii="Arial" w:hAnsi="Arial"/>
      <w:sz w:val="16"/>
      <w:szCs w:val="22"/>
      <w:lang w:val="en-GB" w:eastAsia="en-GB"/>
    </w:rPr>
  </w:style>
  <w:style w:type="paragraph" w:customStyle="1" w:styleId="BodytextBullet">
    <w:name w:val="Body text Bullet"/>
    <w:basedOn w:val="BodyText"/>
    <w:qFormat/>
    <w:rsid w:val="00756206"/>
    <w:pPr>
      <w:widowControl/>
      <w:numPr>
        <w:numId w:val="2"/>
      </w:numPr>
      <w:spacing w:after="120" w:line="360" w:lineRule="auto"/>
    </w:pPr>
    <w:rPr>
      <w:snapToGrid/>
      <w:sz w:val="20"/>
      <w:szCs w:val="24"/>
      <w:lang w:val="en-US"/>
    </w:rPr>
  </w:style>
  <w:style w:type="table" w:customStyle="1" w:styleId="TableGrid8">
    <w:name w:val="Table Grid8"/>
    <w:basedOn w:val="TableNormal"/>
    <w:next w:val="TableGrid"/>
    <w:rsid w:val="000E000A"/>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5590C"/>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A35B5"/>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91B1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11883"/>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72A4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05AB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1726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D596E"/>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centerheaderrow">
    <w:name w:val="Table Text 2 (center) header row"/>
    <w:basedOn w:val="Normal"/>
    <w:rsid w:val="00E90983"/>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E90983"/>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E90983"/>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table" w:customStyle="1" w:styleId="TableGrid17">
    <w:name w:val="Table Grid17"/>
    <w:basedOn w:val="TableNormal"/>
    <w:next w:val="TableGrid"/>
    <w:rsid w:val="0076646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3F3563"/>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371E4F"/>
    <w:pPr>
      <w:snapToGrid w:val="0"/>
      <w:ind w:left="720" w:hanging="720"/>
    </w:pPr>
    <w:rPr>
      <w:rFonts w:ascii="Arial" w:hAnsi="Arial" w:cs="Arial"/>
      <w:sz w:val="22"/>
      <w:szCs w:val="22"/>
      <w:lang w:eastAsia="en-US"/>
    </w:rPr>
  </w:style>
  <w:style w:type="character" w:customStyle="1" w:styleId="TableFooterChar">
    <w:name w:val="Table Footer Char"/>
    <w:link w:val="TableFooter"/>
    <w:uiPriority w:val="4"/>
    <w:rsid w:val="005677EC"/>
    <w:rPr>
      <w:rFonts w:ascii="Arial Narrow" w:hAnsi="Arial Narrow" w:cs="Arial"/>
      <w:snapToGrid w:val="0"/>
      <w:sz w:val="18"/>
      <w:lang w:eastAsia="en-US"/>
    </w:rPr>
  </w:style>
  <w:style w:type="paragraph" w:customStyle="1" w:styleId="EndNoteBibliographyTitle">
    <w:name w:val="EndNote Bibliography Title"/>
    <w:basedOn w:val="Normal"/>
    <w:link w:val="EndNoteBibliographyTitleChar"/>
    <w:rsid w:val="00742D8B"/>
    <w:pPr>
      <w:jc w:val="center"/>
    </w:pPr>
    <w:rPr>
      <w:noProof/>
      <w:lang w:val="en-US"/>
    </w:rPr>
  </w:style>
  <w:style w:type="character" w:customStyle="1" w:styleId="EndNoteBibliographyTitleChar">
    <w:name w:val="EndNote Bibliography Title Char"/>
    <w:basedOn w:val="ListParagraphChar"/>
    <w:link w:val="EndNoteBibliographyTitle"/>
    <w:rsid w:val="00742D8B"/>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742D8B"/>
    <w:rPr>
      <w:noProof/>
      <w:lang w:val="en-US"/>
    </w:rPr>
  </w:style>
  <w:style w:type="character" w:customStyle="1" w:styleId="EndNoteBibliographyChar">
    <w:name w:val="EndNote Bibliography Char"/>
    <w:basedOn w:val="ListParagraphChar"/>
    <w:link w:val="EndNoteBibliography"/>
    <w:rsid w:val="00742D8B"/>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37043"/>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D9008B"/>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qFormat="1"/>
    <w:lsdException w:name="caption" w:qFormat="1"/>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nhideWhenUsed="0"/>
    <w:lsdException w:name="Body Text" w:qFormat="1"/>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Hyperlink" w:uiPriority="99"/>
    <w:lsdException w:name="Strong" w:semiHidden="0" w:uiPriority="9" w:unhideWhenUsed="0"/>
    <w:lsdException w:name="Emphasis" w:semiHidden="0" w:uiPriority="9" w:unhideWhenUsed="0"/>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F78BC"/>
    <w:pPr>
      <w:widowControl w:val="0"/>
      <w:jc w:val="both"/>
    </w:pPr>
    <w:rPr>
      <w:rFonts w:ascii="Arial" w:hAnsi="Arial" w:cs="Arial"/>
      <w:snapToGrid w:val="0"/>
      <w:sz w:val="22"/>
      <w:lang w:eastAsia="en-US"/>
    </w:rPr>
  </w:style>
  <w:style w:type="paragraph" w:styleId="Heading1">
    <w:name w:val="heading 1"/>
    <w:basedOn w:val="Normal"/>
    <w:next w:val="Normal"/>
    <w:qFormat/>
    <w:rsid w:val="00C6535E"/>
    <w:pPr>
      <w:ind w:left="720" w:hanging="720"/>
      <w:outlineLvl w:val="0"/>
    </w:pPr>
    <w:rPr>
      <w:rFonts w:ascii="Arial Bold" w:hAnsi="Arial Bold"/>
      <w:b/>
      <w:caps/>
    </w:rPr>
  </w:style>
  <w:style w:type="paragraph" w:styleId="Heading2">
    <w:name w:val="heading 2"/>
    <w:basedOn w:val="Normal"/>
    <w:next w:val="Normal"/>
    <w:link w:val="Heading2Char"/>
    <w:qFormat/>
    <w:rsid w:val="00C6535E"/>
    <w:pPr>
      <w:outlineLvl w:val="1"/>
    </w:pPr>
    <w:rPr>
      <w:b/>
    </w:rPr>
  </w:style>
  <w:style w:type="paragraph" w:styleId="Heading3">
    <w:name w:val="heading 3"/>
    <w:basedOn w:val="Normal"/>
    <w:next w:val="Normal"/>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4B6AF7"/>
    <w:pPr>
      <w:keepNext/>
    </w:pPr>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Caption Char1,Char Char Char,Char Char1,Char Char,Char1"/>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0F7A85"/>
    <w:pPr>
      <w:tabs>
        <w:tab w:val="left" w:pos="44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9F1E19"/>
    <w:pPr>
      <w:numPr>
        <w:numId w:val="1"/>
      </w:numPr>
      <w:jc w:val="left"/>
      <w:outlineLvl w:val="0"/>
    </w:pPr>
    <w:rPr>
      <w:b/>
      <w:snapToGrid/>
      <w:sz w:val="28"/>
      <w:szCs w:val="22"/>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Default">
    <w:name w:val="Default"/>
    <w:rsid w:val="00047DB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302572"/>
    <w:rPr>
      <w:sz w:val="20"/>
    </w:rPr>
  </w:style>
  <w:style w:type="character" w:customStyle="1" w:styleId="FootnoteTextChar">
    <w:name w:val="Footnote Text Char"/>
    <w:basedOn w:val="DefaultParagraphFont"/>
    <w:link w:val="FootnoteText"/>
    <w:semiHidden/>
    <w:rsid w:val="00302572"/>
    <w:rPr>
      <w:rFonts w:ascii="Arial" w:hAnsi="Arial" w:cs="Arial"/>
      <w:snapToGrid w:val="0"/>
      <w:lang w:eastAsia="en-US"/>
    </w:rPr>
  </w:style>
  <w:style w:type="character" w:styleId="FootnoteReference">
    <w:name w:val="footnote reference"/>
    <w:basedOn w:val="DefaultParagraphFont"/>
    <w:unhideWhenUsed/>
    <w:rsid w:val="00302572"/>
    <w:rPr>
      <w:vertAlign w:val="superscript"/>
    </w:rPr>
  </w:style>
  <w:style w:type="paragraph" w:customStyle="1" w:styleId="TableText1">
    <w:name w:val="Table Text"/>
    <w:link w:val="TableTextChar0"/>
    <w:qFormat/>
    <w:rsid w:val="00FE77C5"/>
    <w:pPr>
      <w:tabs>
        <w:tab w:val="left" w:pos="416"/>
        <w:tab w:val="left" w:pos="582"/>
      </w:tabs>
      <w:spacing w:before="40" w:after="20"/>
    </w:pPr>
    <w:rPr>
      <w:rFonts w:ascii="Arial" w:hAnsi="Arial"/>
      <w:sz w:val="18"/>
      <w:szCs w:val="18"/>
      <w:lang w:eastAsia="en-US"/>
    </w:rPr>
  </w:style>
  <w:style w:type="character" w:customStyle="1" w:styleId="TableTextChar0">
    <w:name w:val="Table Text Char"/>
    <w:link w:val="TableText1"/>
    <w:rsid w:val="00FE77C5"/>
    <w:rPr>
      <w:rFonts w:ascii="Arial" w:hAnsi="Arial"/>
      <w:sz w:val="18"/>
      <w:szCs w:val="18"/>
      <w:lang w:eastAsia="en-US"/>
    </w:rPr>
  </w:style>
  <w:style w:type="character" w:customStyle="1" w:styleId="ListParagraphChar">
    <w:name w:val="List Paragraph Char"/>
    <w:aliases w:val="BulletPoints Char"/>
    <w:link w:val="ListParagraph"/>
    <w:uiPriority w:val="72"/>
    <w:locked/>
    <w:rsid w:val="008A5944"/>
    <w:rPr>
      <w:rFonts w:ascii="Arial" w:hAnsi="Arial" w:cs="Arial"/>
      <w:snapToGrid w:val="0"/>
      <w:sz w:val="22"/>
      <w:lang w:eastAsia="en-US"/>
    </w:rPr>
  </w:style>
  <w:style w:type="table" w:customStyle="1" w:styleId="TableGrid2">
    <w:name w:val="Table Grid2"/>
    <w:basedOn w:val="TableNormal"/>
    <w:next w:val="TableGrid"/>
    <w:rsid w:val="00C965B4"/>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next w:val="TableText1"/>
    <w:link w:val="TableText2Char"/>
    <w:qFormat/>
    <w:rsid w:val="00C16242"/>
    <w:pPr>
      <w:widowControl/>
      <w:spacing w:before="40" w:after="20"/>
      <w:jc w:val="left"/>
    </w:pPr>
    <w:rPr>
      <w:rFonts w:cs="Times New Roman"/>
      <w:b/>
      <w:bCs/>
      <w:snapToGrid/>
      <w:sz w:val="18"/>
      <w:lang w:eastAsia="en-AU"/>
    </w:rPr>
  </w:style>
  <w:style w:type="character" w:customStyle="1" w:styleId="TableText2Char">
    <w:name w:val="Table Text 2 Char"/>
    <w:link w:val="TableText2"/>
    <w:rsid w:val="00C16242"/>
    <w:rPr>
      <w:rFonts w:ascii="Arial" w:hAnsi="Arial"/>
      <w:b/>
      <w:bCs/>
      <w:sz w:val="18"/>
    </w:rPr>
  </w:style>
  <w:style w:type="table" w:customStyle="1" w:styleId="TableGrid3">
    <w:name w:val="Table Grid3"/>
    <w:basedOn w:val="TableNormal"/>
    <w:next w:val="TableGrid"/>
    <w:rsid w:val="00FB0CD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basedOn w:val="Normal"/>
    <w:link w:val="Tableheader1Char"/>
    <w:uiPriority w:val="99"/>
    <w:qFormat/>
    <w:rsid w:val="00FB0CDD"/>
    <w:pPr>
      <w:widowControl/>
      <w:spacing w:after="120"/>
      <w:jc w:val="center"/>
    </w:pPr>
    <w:rPr>
      <w:rFonts w:cs="Times New Roman"/>
      <w:b/>
      <w:snapToGrid/>
      <w:sz w:val="18"/>
      <w:szCs w:val="22"/>
      <w:lang w:eastAsia="en-AU"/>
    </w:rPr>
  </w:style>
  <w:style w:type="character" w:customStyle="1" w:styleId="Tableheader1Char">
    <w:name w:val="Table header 1 Char"/>
    <w:link w:val="Tableheader1"/>
    <w:uiPriority w:val="99"/>
    <w:rsid w:val="00FB0CDD"/>
    <w:rPr>
      <w:rFonts w:ascii="Arial" w:hAnsi="Arial"/>
      <w:b/>
      <w:sz w:val="18"/>
      <w:szCs w:val="22"/>
    </w:rPr>
  </w:style>
  <w:style w:type="character" w:customStyle="1" w:styleId="st">
    <w:name w:val="st"/>
    <w:basedOn w:val="DefaultParagraphFont"/>
    <w:rsid w:val="00FB0CDD"/>
  </w:style>
  <w:style w:type="table" w:customStyle="1" w:styleId="TableGrid4">
    <w:name w:val="Table Grid4"/>
    <w:basedOn w:val="TableNormal"/>
    <w:next w:val="TableGrid"/>
    <w:rsid w:val="0049490B"/>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508A"/>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10866"/>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A38E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footnote">
    <w:name w:val="Table or figure footnote"/>
    <w:next w:val="BodyText"/>
    <w:link w:val="TableorfigurefootnoteChar"/>
    <w:qFormat/>
    <w:rsid w:val="00545ADF"/>
    <w:rPr>
      <w:rFonts w:ascii="Arial" w:hAnsi="Arial"/>
      <w:sz w:val="16"/>
      <w:szCs w:val="22"/>
      <w:lang w:val="en-GB" w:eastAsia="en-GB"/>
    </w:rPr>
  </w:style>
  <w:style w:type="character" w:customStyle="1" w:styleId="TableorfigurefootnoteChar">
    <w:name w:val="Table or figure footnote Char"/>
    <w:link w:val="Tableorfigurefootnote"/>
    <w:rsid w:val="00545ADF"/>
    <w:rPr>
      <w:rFonts w:ascii="Arial" w:hAnsi="Arial"/>
      <w:sz w:val="16"/>
      <w:szCs w:val="22"/>
      <w:lang w:val="en-GB" w:eastAsia="en-GB"/>
    </w:rPr>
  </w:style>
  <w:style w:type="paragraph" w:customStyle="1" w:styleId="BodytextBullet">
    <w:name w:val="Body text Bullet"/>
    <w:basedOn w:val="BodyText"/>
    <w:qFormat/>
    <w:rsid w:val="00756206"/>
    <w:pPr>
      <w:widowControl/>
      <w:numPr>
        <w:numId w:val="2"/>
      </w:numPr>
      <w:spacing w:after="120" w:line="360" w:lineRule="auto"/>
    </w:pPr>
    <w:rPr>
      <w:snapToGrid/>
      <w:sz w:val="20"/>
      <w:szCs w:val="24"/>
      <w:lang w:val="en-US"/>
    </w:rPr>
  </w:style>
  <w:style w:type="table" w:customStyle="1" w:styleId="TableGrid8">
    <w:name w:val="Table Grid8"/>
    <w:basedOn w:val="TableNormal"/>
    <w:next w:val="TableGrid"/>
    <w:rsid w:val="000E000A"/>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5590C"/>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A35B5"/>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91B1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11883"/>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72A4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05AB8"/>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1726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D596E"/>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centerheaderrow">
    <w:name w:val="Table Text 2 (center) header row"/>
    <w:basedOn w:val="Normal"/>
    <w:rsid w:val="00E90983"/>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E90983"/>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E90983"/>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table" w:customStyle="1" w:styleId="TableGrid17">
    <w:name w:val="Table Grid17"/>
    <w:basedOn w:val="TableNormal"/>
    <w:next w:val="TableGrid"/>
    <w:rsid w:val="00766469"/>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3F3563"/>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371E4F"/>
    <w:pPr>
      <w:snapToGrid w:val="0"/>
      <w:ind w:left="720" w:hanging="720"/>
    </w:pPr>
    <w:rPr>
      <w:rFonts w:ascii="Arial" w:hAnsi="Arial" w:cs="Arial"/>
      <w:sz w:val="22"/>
      <w:szCs w:val="22"/>
      <w:lang w:eastAsia="en-US"/>
    </w:rPr>
  </w:style>
  <w:style w:type="character" w:customStyle="1" w:styleId="TableFooterChar">
    <w:name w:val="Table Footer Char"/>
    <w:link w:val="TableFooter"/>
    <w:uiPriority w:val="4"/>
    <w:rsid w:val="005677EC"/>
    <w:rPr>
      <w:rFonts w:ascii="Arial Narrow" w:hAnsi="Arial Narrow" w:cs="Arial"/>
      <w:snapToGrid w:val="0"/>
      <w:sz w:val="18"/>
      <w:lang w:eastAsia="en-US"/>
    </w:rPr>
  </w:style>
  <w:style w:type="paragraph" w:customStyle="1" w:styleId="EndNoteBibliographyTitle">
    <w:name w:val="EndNote Bibliography Title"/>
    <w:basedOn w:val="Normal"/>
    <w:link w:val="EndNoteBibliographyTitleChar"/>
    <w:rsid w:val="00742D8B"/>
    <w:pPr>
      <w:jc w:val="center"/>
    </w:pPr>
    <w:rPr>
      <w:noProof/>
      <w:lang w:val="en-US"/>
    </w:rPr>
  </w:style>
  <w:style w:type="character" w:customStyle="1" w:styleId="EndNoteBibliographyTitleChar">
    <w:name w:val="EndNote Bibliography Title Char"/>
    <w:basedOn w:val="ListParagraphChar"/>
    <w:link w:val="EndNoteBibliographyTitle"/>
    <w:rsid w:val="00742D8B"/>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742D8B"/>
    <w:rPr>
      <w:noProof/>
      <w:lang w:val="en-US"/>
    </w:rPr>
  </w:style>
  <w:style w:type="character" w:customStyle="1" w:styleId="EndNoteBibliographyChar">
    <w:name w:val="EndNote Bibliography Char"/>
    <w:basedOn w:val="ListParagraphChar"/>
    <w:link w:val="EndNoteBibliography"/>
    <w:rsid w:val="00742D8B"/>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37043"/>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D9008B"/>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043">
      <w:bodyDiv w:val="1"/>
      <w:marLeft w:val="0"/>
      <w:marRight w:val="0"/>
      <w:marTop w:val="0"/>
      <w:marBottom w:val="0"/>
      <w:divBdr>
        <w:top w:val="none" w:sz="0" w:space="0" w:color="auto"/>
        <w:left w:val="none" w:sz="0" w:space="0" w:color="auto"/>
        <w:bottom w:val="none" w:sz="0" w:space="0" w:color="auto"/>
        <w:right w:val="none" w:sz="0" w:space="0" w:color="auto"/>
      </w:divBdr>
    </w:div>
    <w:div w:id="296379459">
      <w:bodyDiv w:val="1"/>
      <w:marLeft w:val="0"/>
      <w:marRight w:val="0"/>
      <w:marTop w:val="0"/>
      <w:marBottom w:val="0"/>
      <w:divBdr>
        <w:top w:val="none" w:sz="0" w:space="0" w:color="auto"/>
        <w:left w:val="none" w:sz="0" w:space="0" w:color="auto"/>
        <w:bottom w:val="none" w:sz="0" w:space="0" w:color="auto"/>
        <w:right w:val="none" w:sz="0" w:space="0" w:color="auto"/>
      </w:divBdr>
    </w:div>
    <w:div w:id="299581761">
      <w:bodyDiv w:val="1"/>
      <w:marLeft w:val="0"/>
      <w:marRight w:val="0"/>
      <w:marTop w:val="0"/>
      <w:marBottom w:val="0"/>
      <w:divBdr>
        <w:top w:val="none" w:sz="0" w:space="0" w:color="auto"/>
        <w:left w:val="none" w:sz="0" w:space="0" w:color="auto"/>
        <w:bottom w:val="none" w:sz="0" w:space="0" w:color="auto"/>
        <w:right w:val="none" w:sz="0" w:space="0" w:color="auto"/>
      </w:divBdr>
    </w:div>
    <w:div w:id="399330083">
      <w:bodyDiv w:val="1"/>
      <w:marLeft w:val="0"/>
      <w:marRight w:val="0"/>
      <w:marTop w:val="0"/>
      <w:marBottom w:val="0"/>
      <w:divBdr>
        <w:top w:val="none" w:sz="0" w:space="0" w:color="auto"/>
        <w:left w:val="none" w:sz="0" w:space="0" w:color="auto"/>
        <w:bottom w:val="none" w:sz="0" w:space="0" w:color="auto"/>
        <w:right w:val="none" w:sz="0" w:space="0" w:color="auto"/>
      </w:divBdr>
    </w:div>
    <w:div w:id="439184052">
      <w:bodyDiv w:val="1"/>
      <w:marLeft w:val="0"/>
      <w:marRight w:val="0"/>
      <w:marTop w:val="0"/>
      <w:marBottom w:val="0"/>
      <w:divBdr>
        <w:top w:val="none" w:sz="0" w:space="0" w:color="auto"/>
        <w:left w:val="none" w:sz="0" w:space="0" w:color="auto"/>
        <w:bottom w:val="none" w:sz="0" w:space="0" w:color="auto"/>
        <w:right w:val="none" w:sz="0" w:space="0" w:color="auto"/>
      </w:divBdr>
    </w:div>
    <w:div w:id="471366351">
      <w:bodyDiv w:val="1"/>
      <w:marLeft w:val="0"/>
      <w:marRight w:val="0"/>
      <w:marTop w:val="0"/>
      <w:marBottom w:val="0"/>
      <w:divBdr>
        <w:top w:val="none" w:sz="0" w:space="0" w:color="auto"/>
        <w:left w:val="none" w:sz="0" w:space="0" w:color="auto"/>
        <w:bottom w:val="none" w:sz="0" w:space="0" w:color="auto"/>
        <w:right w:val="none" w:sz="0" w:space="0" w:color="auto"/>
      </w:divBdr>
    </w:div>
    <w:div w:id="504322285">
      <w:bodyDiv w:val="1"/>
      <w:marLeft w:val="0"/>
      <w:marRight w:val="0"/>
      <w:marTop w:val="0"/>
      <w:marBottom w:val="0"/>
      <w:divBdr>
        <w:top w:val="none" w:sz="0" w:space="0" w:color="auto"/>
        <w:left w:val="none" w:sz="0" w:space="0" w:color="auto"/>
        <w:bottom w:val="none" w:sz="0" w:space="0" w:color="auto"/>
        <w:right w:val="none" w:sz="0" w:space="0" w:color="auto"/>
      </w:divBdr>
    </w:div>
    <w:div w:id="577716853">
      <w:bodyDiv w:val="1"/>
      <w:marLeft w:val="0"/>
      <w:marRight w:val="0"/>
      <w:marTop w:val="0"/>
      <w:marBottom w:val="0"/>
      <w:divBdr>
        <w:top w:val="none" w:sz="0" w:space="0" w:color="auto"/>
        <w:left w:val="none" w:sz="0" w:space="0" w:color="auto"/>
        <w:bottom w:val="none" w:sz="0" w:space="0" w:color="auto"/>
        <w:right w:val="none" w:sz="0" w:space="0" w:color="auto"/>
      </w:divBdr>
    </w:div>
    <w:div w:id="903370905">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298295529">
      <w:bodyDiv w:val="1"/>
      <w:marLeft w:val="0"/>
      <w:marRight w:val="0"/>
      <w:marTop w:val="0"/>
      <w:marBottom w:val="0"/>
      <w:divBdr>
        <w:top w:val="none" w:sz="0" w:space="0" w:color="auto"/>
        <w:left w:val="none" w:sz="0" w:space="0" w:color="auto"/>
        <w:bottom w:val="none" w:sz="0" w:space="0" w:color="auto"/>
        <w:right w:val="none" w:sz="0" w:space="0" w:color="auto"/>
      </w:divBdr>
    </w:div>
    <w:div w:id="1311059470">
      <w:bodyDiv w:val="1"/>
      <w:marLeft w:val="0"/>
      <w:marRight w:val="0"/>
      <w:marTop w:val="0"/>
      <w:marBottom w:val="0"/>
      <w:divBdr>
        <w:top w:val="none" w:sz="0" w:space="0" w:color="auto"/>
        <w:left w:val="none" w:sz="0" w:space="0" w:color="auto"/>
        <w:bottom w:val="none" w:sz="0" w:space="0" w:color="auto"/>
        <w:right w:val="none" w:sz="0" w:space="0" w:color="auto"/>
      </w:divBdr>
    </w:div>
    <w:div w:id="1342851695">
      <w:bodyDiv w:val="1"/>
      <w:marLeft w:val="0"/>
      <w:marRight w:val="0"/>
      <w:marTop w:val="0"/>
      <w:marBottom w:val="0"/>
      <w:divBdr>
        <w:top w:val="none" w:sz="0" w:space="0" w:color="auto"/>
        <w:left w:val="none" w:sz="0" w:space="0" w:color="auto"/>
        <w:bottom w:val="none" w:sz="0" w:space="0" w:color="auto"/>
        <w:right w:val="none" w:sz="0" w:space="0" w:color="auto"/>
      </w:divBdr>
    </w:div>
    <w:div w:id="1384406418">
      <w:bodyDiv w:val="1"/>
      <w:marLeft w:val="0"/>
      <w:marRight w:val="0"/>
      <w:marTop w:val="0"/>
      <w:marBottom w:val="0"/>
      <w:divBdr>
        <w:top w:val="none" w:sz="0" w:space="0" w:color="auto"/>
        <w:left w:val="none" w:sz="0" w:space="0" w:color="auto"/>
        <w:bottom w:val="none" w:sz="0" w:space="0" w:color="auto"/>
        <w:right w:val="none" w:sz="0" w:space="0" w:color="auto"/>
      </w:divBdr>
    </w:div>
    <w:div w:id="1573614250">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752774670">
      <w:bodyDiv w:val="1"/>
      <w:marLeft w:val="0"/>
      <w:marRight w:val="0"/>
      <w:marTop w:val="0"/>
      <w:marBottom w:val="0"/>
      <w:divBdr>
        <w:top w:val="none" w:sz="0" w:space="0" w:color="auto"/>
        <w:left w:val="none" w:sz="0" w:space="0" w:color="auto"/>
        <w:bottom w:val="none" w:sz="0" w:space="0" w:color="auto"/>
        <w:right w:val="none" w:sz="0" w:space="0" w:color="auto"/>
      </w:divBdr>
    </w:div>
    <w:div w:id="1949581641">
      <w:bodyDiv w:val="1"/>
      <w:marLeft w:val="0"/>
      <w:marRight w:val="0"/>
      <w:marTop w:val="0"/>
      <w:marBottom w:val="0"/>
      <w:divBdr>
        <w:top w:val="none" w:sz="0" w:space="0" w:color="auto"/>
        <w:left w:val="none" w:sz="0" w:space="0" w:color="auto"/>
        <w:bottom w:val="none" w:sz="0" w:space="0" w:color="auto"/>
        <w:right w:val="none" w:sz="0" w:space="0" w:color="auto"/>
      </w:divBdr>
    </w:div>
    <w:div w:id="2079355982">
      <w:bodyDiv w:val="1"/>
      <w:marLeft w:val="0"/>
      <w:marRight w:val="0"/>
      <w:marTop w:val="0"/>
      <w:marBottom w:val="0"/>
      <w:divBdr>
        <w:top w:val="none" w:sz="0" w:space="0" w:color="auto"/>
        <w:left w:val="none" w:sz="0" w:space="0" w:color="auto"/>
        <w:bottom w:val="none" w:sz="0" w:space="0" w:color="auto"/>
        <w:right w:val="none" w:sz="0" w:space="0" w:color="auto"/>
      </w:divBdr>
    </w:div>
    <w:div w:id="20828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6698-1AED-443A-B474-57DAA255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9736</Words>
  <Characters>54125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2016-10-11T23:55:00Z</dcterms:created>
  <dcterms:modified xsi:type="dcterms:W3CDTF">2016-10-12T01:09:00Z</dcterms:modified>
</cp:coreProperties>
</file>