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72D" w:rsidRDefault="00962E4B" w:rsidP="00CC372D">
      <w:pPr>
        <w:pStyle w:val="Title"/>
        <w:rPr>
          <w:rFonts w:hint="eastAsia"/>
          <w:szCs w:val="28"/>
        </w:rPr>
      </w:pPr>
      <w:bookmarkStart w:id="0" w:name="_GoBack"/>
      <w:bookmarkEnd w:id="0"/>
      <w:r>
        <w:rPr>
          <w:szCs w:val="28"/>
        </w:rPr>
        <w:t>4.03</w:t>
      </w:r>
      <w:r w:rsidR="007C0F57" w:rsidRPr="006D6EC7">
        <w:rPr>
          <w:szCs w:val="28"/>
        </w:rPr>
        <w:tab/>
      </w:r>
      <w:r w:rsidR="00CC372D">
        <w:rPr>
          <w:szCs w:val="28"/>
        </w:rPr>
        <w:t>IDELALISIB</w:t>
      </w:r>
    </w:p>
    <w:p w:rsidR="00CC372D" w:rsidRDefault="00CC372D" w:rsidP="00CC372D">
      <w:pPr>
        <w:pStyle w:val="Title"/>
        <w:ind w:left="720"/>
        <w:rPr>
          <w:rFonts w:hint="eastAsia"/>
          <w:szCs w:val="28"/>
        </w:rPr>
      </w:pPr>
      <w:r>
        <w:rPr>
          <w:szCs w:val="28"/>
        </w:rPr>
        <w:t>Oral tablet</w:t>
      </w:r>
      <w:r w:rsidRPr="006D6EC7">
        <w:rPr>
          <w:szCs w:val="28"/>
        </w:rPr>
        <w:t xml:space="preserve">, </w:t>
      </w:r>
      <w:r>
        <w:rPr>
          <w:szCs w:val="28"/>
        </w:rPr>
        <w:t>100 mg</w:t>
      </w:r>
      <w:r w:rsidRPr="006D6EC7">
        <w:rPr>
          <w:szCs w:val="28"/>
        </w:rPr>
        <w:t>,</w:t>
      </w:r>
      <w:r>
        <w:rPr>
          <w:szCs w:val="28"/>
        </w:rPr>
        <w:t xml:space="preserve"> 150 mg</w:t>
      </w:r>
    </w:p>
    <w:p w:rsidR="00D3280C" w:rsidRPr="006D6EC7" w:rsidRDefault="00CC372D" w:rsidP="00CC372D">
      <w:pPr>
        <w:pStyle w:val="Title"/>
        <w:ind w:firstLine="720"/>
        <w:rPr>
          <w:rFonts w:hint="eastAsia"/>
          <w:szCs w:val="28"/>
        </w:rPr>
      </w:pPr>
      <w:r>
        <w:rPr>
          <w:szCs w:val="28"/>
        </w:rPr>
        <w:t>Zydelig</w:t>
      </w:r>
      <w:r w:rsidRPr="006D6EC7">
        <w:rPr>
          <w:szCs w:val="28"/>
          <w:vertAlign w:val="superscript"/>
        </w:rPr>
        <w:t>®</w:t>
      </w:r>
      <w:r>
        <w:rPr>
          <w:szCs w:val="28"/>
        </w:rPr>
        <w:t>, Gilead Sciences</w:t>
      </w:r>
      <w:r w:rsidRPr="00781464">
        <w:t xml:space="preserve"> </w:t>
      </w:r>
      <w:r w:rsidRPr="00067D33">
        <w:t>Pty Ltd</w:t>
      </w:r>
    </w:p>
    <w:p w:rsidR="00C27B58" w:rsidRDefault="00C27B58" w:rsidP="00C27B58">
      <w:pPr>
        <w:pStyle w:val="NoSpacing"/>
      </w:pPr>
    </w:p>
    <w:p w:rsidR="009B52B4" w:rsidRDefault="009B52B4" w:rsidP="004D535B">
      <w:pPr>
        <w:pStyle w:val="Heading1"/>
        <w:numPr>
          <w:ilvl w:val="0"/>
          <w:numId w:val="1"/>
        </w:numPr>
      </w:pPr>
      <w:r w:rsidRPr="00077143">
        <w:t xml:space="preserve">Purpose of </w:t>
      </w:r>
      <w:r>
        <w:t>Item</w:t>
      </w:r>
    </w:p>
    <w:p w:rsidR="009B52B4" w:rsidRPr="0077464B" w:rsidRDefault="009B52B4" w:rsidP="009B52B4"/>
    <w:p w:rsidR="009B52B4" w:rsidRPr="00F9629A" w:rsidRDefault="009B52B4" w:rsidP="00CB067E">
      <w:pPr>
        <w:pStyle w:val="ListParagraph"/>
        <w:numPr>
          <w:ilvl w:val="1"/>
          <w:numId w:val="1"/>
        </w:numPr>
        <w:jc w:val="both"/>
      </w:pPr>
      <w:r>
        <w:rPr>
          <w:rFonts w:ascii="Arial" w:hAnsi="Arial"/>
          <w:sz w:val="22"/>
          <w:szCs w:val="22"/>
        </w:rPr>
        <w:t>T</w:t>
      </w:r>
      <w:r w:rsidRPr="0077464B">
        <w:rPr>
          <w:rFonts w:ascii="Arial" w:hAnsi="Arial"/>
          <w:sz w:val="22"/>
          <w:szCs w:val="22"/>
        </w:rPr>
        <w:t xml:space="preserve">o provide the PBAC with </w:t>
      </w:r>
      <w:r>
        <w:rPr>
          <w:rFonts w:ascii="Arial" w:hAnsi="Arial"/>
          <w:sz w:val="22"/>
          <w:szCs w:val="22"/>
        </w:rPr>
        <w:t xml:space="preserve">information regarding an emerging safety signal raised by the EU and US </w:t>
      </w:r>
      <w:r w:rsidR="00CB067E">
        <w:rPr>
          <w:rFonts w:ascii="Arial" w:hAnsi="Arial"/>
          <w:sz w:val="22"/>
          <w:szCs w:val="22"/>
        </w:rPr>
        <w:t xml:space="preserve">drug </w:t>
      </w:r>
      <w:r>
        <w:rPr>
          <w:rFonts w:ascii="Arial" w:hAnsi="Arial"/>
          <w:sz w:val="22"/>
          <w:szCs w:val="22"/>
        </w:rPr>
        <w:t>regulatory agencies</w:t>
      </w:r>
      <w:r w:rsidR="00CB067E" w:rsidRPr="00CB067E">
        <w:t xml:space="preserve"> </w:t>
      </w:r>
      <w:r w:rsidR="00CB067E" w:rsidRPr="00CB067E">
        <w:rPr>
          <w:rFonts w:ascii="Arial" w:hAnsi="Arial"/>
          <w:sz w:val="22"/>
          <w:szCs w:val="22"/>
        </w:rPr>
        <w:t>and identified to the TGA</w:t>
      </w:r>
      <w:r>
        <w:rPr>
          <w:rFonts w:ascii="Arial" w:hAnsi="Arial"/>
          <w:sz w:val="22"/>
          <w:szCs w:val="22"/>
        </w:rPr>
        <w:t xml:space="preserve"> in relation to idelalisib, and to clarify adverse events in the clinical area in which the listings are being sought.</w:t>
      </w:r>
    </w:p>
    <w:p w:rsidR="00B95F72" w:rsidRPr="00C27B58" w:rsidRDefault="00B95F72" w:rsidP="009B52B4">
      <w:pPr>
        <w:pStyle w:val="NoSpacing"/>
      </w:pPr>
    </w:p>
    <w:p w:rsidR="009B52B4" w:rsidRDefault="009B52B4" w:rsidP="004D535B">
      <w:pPr>
        <w:pStyle w:val="Heading1"/>
        <w:numPr>
          <w:ilvl w:val="0"/>
          <w:numId w:val="1"/>
        </w:numPr>
      </w:pPr>
      <w:r w:rsidRPr="004A2484">
        <w:t>Requested listing</w:t>
      </w:r>
      <w:r>
        <w:t xml:space="preserve"> </w:t>
      </w:r>
    </w:p>
    <w:p w:rsidR="00296B10" w:rsidRPr="00296B10" w:rsidRDefault="00296B10" w:rsidP="00296B10"/>
    <w:p w:rsidR="009B52B4" w:rsidRDefault="00E77197" w:rsidP="009B52B4">
      <w:pPr>
        <w:pStyle w:val="NoSpacing"/>
        <w:numPr>
          <w:ilvl w:val="1"/>
          <w:numId w:val="1"/>
        </w:numPr>
      </w:pPr>
      <w:r>
        <w:t>The re</w:t>
      </w:r>
      <w:r w:rsidR="009B52B4" w:rsidRPr="002518C0">
        <w:t xml:space="preserve">submission </w:t>
      </w:r>
      <w:r w:rsidR="00FE0BF6">
        <w:t>did</w:t>
      </w:r>
      <w:r w:rsidR="009B52B4" w:rsidRPr="002518C0">
        <w:t xml:space="preserve"> not request any changes to the wording of the listing </w:t>
      </w:r>
      <w:r w:rsidR="00CB067E">
        <w:t>fr</w:t>
      </w:r>
      <w:r w:rsidR="00AC2B99">
        <w:t>o</w:t>
      </w:r>
      <w:r w:rsidR="00CB067E">
        <w:t>m the</w:t>
      </w:r>
      <w:r w:rsidR="009B52B4" w:rsidRPr="002518C0">
        <w:t xml:space="preserve"> </w:t>
      </w:r>
      <w:r w:rsidR="009B52B4">
        <w:t>March 2016</w:t>
      </w:r>
      <w:r w:rsidR="009B52B4" w:rsidRPr="002518C0">
        <w:t xml:space="preserve"> PBAC</w:t>
      </w:r>
      <w:r w:rsidR="002621E7">
        <w:t xml:space="preserve"> </w:t>
      </w:r>
      <w:r w:rsidR="00AC2B99">
        <w:t>public summary document (PSD)</w:t>
      </w:r>
      <w:r w:rsidR="009B52B4" w:rsidRPr="002518C0">
        <w:t>.</w:t>
      </w:r>
    </w:p>
    <w:p w:rsidR="004904A3" w:rsidRPr="00BE46E1" w:rsidRDefault="004904A3" w:rsidP="004904A3">
      <w:pPr>
        <w:pStyle w:val="ListParagraph"/>
        <w:jc w:val="both"/>
      </w:pPr>
    </w:p>
    <w:tbl>
      <w:tblPr>
        <w:tblW w:w="8501" w:type="dxa"/>
        <w:tblInd w:w="817" w:type="dxa"/>
        <w:tblLayout w:type="fixed"/>
        <w:tblLook w:val="04A0" w:firstRow="1" w:lastRow="0" w:firstColumn="1" w:lastColumn="0" w:noHBand="0" w:noVBand="1"/>
      </w:tblPr>
      <w:tblGrid>
        <w:gridCol w:w="1954"/>
        <w:gridCol w:w="1032"/>
        <w:gridCol w:w="537"/>
        <w:gridCol w:w="794"/>
        <w:gridCol w:w="1565"/>
        <w:gridCol w:w="1436"/>
        <w:gridCol w:w="1183"/>
      </w:tblGrid>
      <w:tr w:rsidR="004904A3" w:rsidRPr="00BE46E1" w:rsidTr="0099597C">
        <w:trPr>
          <w:cantSplit/>
          <w:trHeight w:val="471"/>
        </w:trPr>
        <w:tc>
          <w:tcPr>
            <w:tcW w:w="2986" w:type="dxa"/>
            <w:gridSpan w:val="2"/>
            <w:tcBorders>
              <w:top w:val="nil"/>
              <w:left w:val="nil"/>
              <w:bottom w:val="single" w:sz="4" w:space="0" w:color="auto"/>
              <w:right w:val="nil"/>
            </w:tcBorders>
            <w:hideMark/>
          </w:tcPr>
          <w:p w:rsidR="004904A3" w:rsidRPr="00BE46E1" w:rsidRDefault="004904A3" w:rsidP="0099597C">
            <w:pPr>
              <w:keepNext/>
              <w:ind w:left="-108"/>
              <w:rPr>
                <w:rFonts w:ascii="Arial Narrow" w:hAnsi="Arial Narrow"/>
                <w:sz w:val="20"/>
              </w:rPr>
            </w:pPr>
            <w:r w:rsidRPr="00BE46E1">
              <w:rPr>
                <w:rFonts w:ascii="Arial Narrow" w:hAnsi="Arial Narrow"/>
                <w:sz w:val="20"/>
              </w:rPr>
              <w:t>Name, Restriction,</w:t>
            </w:r>
          </w:p>
          <w:p w:rsidR="004904A3" w:rsidRPr="00BE46E1" w:rsidRDefault="004904A3" w:rsidP="0099597C">
            <w:pPr>
              <w:keepNext/>
              <w:ind w:left="-108"/>
              <w:rPr>
                <w:rFonts w:ascii="Arial Narrow" w:hAnsi="Arial Narrow"/>
                <w:sz w:val="20"/>
              </w:rPr>
            </w:pPr>
            <w:r w:rsidRPr="00BE46E1">
              <w:rPr>
                <w:rFonts w:ascii="Arial Narrow" w:hAnsi="Arial Narrow"/>
                <w:sz w:val="20"/>
              </w:rPr>
              <w:t>Manner of administration and form</w:t>
            </w:r>
          </w:p>
        </w:tc>
        <w:tc>
          <w:tcPr>
            <w:tcW w:w="537" w:type="dxa"/>
            <w:tcBorders>
              <w:top w:val="nil"/>
              <w:left w:val="nil"/>
              <w:bottom w:val="single" w:sz="4" w:space="0" w:color="auto"/>
              <w:right w:val="nil"/>
            </w:tcBorders>
            <w:hideMark/>
          </w:tcPr>
          <w:p w:rsidR="004904A3" w:rsidRPr="00BE46E1" w:rsidRDefault="004904A3" w:rsidP="0099597C">
            <w:pPr>
              <w:keepNext/>
              <w:ind w:left="-108"/>
              <w:rPr>
                <w:rFonts w:ascii="Arial Narrow" w:hAnsi="Arial Narrow"/>
                <w:sz w:val="20"/>
              </w:rPr>
            </w:pPr>
            <w:r w:rsidRPr="00BE46E1">
              <w:rPr>
                <w:rFonts w:ascii="Arial Narrow" w:hAnsi="Arial Narrow"/>
                <w:sz w:val="20"/>
              </w:rPr>
              <w:t>Max.</w:t>
            </w:r>
          </w:p>
          <w:p w:rsidR="004904A3" w:rsidRPr="00BE46E1" w:rsidRDefault="004904A3" w:rsidP="0099597C">
            <w:pPr>
              <w:keepNext/>
              <w:ind w:left="-108"/>
              <w:rPr>
                <w:rFonts w:ascii="Arial Narrow" w:hAnsi="Arial Narrow"/>
                <w:sz w:val="20"/>
              </w:rPr>
            </w:pPr>
            <w:r w:rsidRPr="00BE46E1">
              <w:rPr>
                <w:rFonts w:ascii="Arial Narrow" w:hAnsi="Arial Narrow"/>
                <w:sz w:val="20"/>
              </w:rPr>
              <w:t>Qty</w:t>
            </w:r>
          </w:p>
        </w:tc>
        <w:tc>
          <w:tcPr>
            <w:tcW w:w="794" w:type="dxa"/>
            <w:tcBorders>
              <w:top w:val="nil"/>
              <w:left w:val="nil"/>
              <w:bottom w:val="single" w:sz="4" w:space="0" w:color="auto"/>
              <w:right w:val="nil"/>
            </w:tcBorders>
            <w:hideMark/>
          </w:tcPr>
          <w:p w:rsidR="004904A3" w:rsidRPr="00BE46E1" w:rsidRDefault="004904A3" w:rsidP="0099597C">
            <w:pPr>
              <w:keepNext/>
              <w:ind w:left="-108"/>
              <w:rPr>
                <w:rFonts w:ascii="Arial Narrow" w:hAnsi="Arial Narrow"/>
                <w:sz w:val="20"/>
              </w:rPr>
            </w:pPr>
            <w:r w:rsidRPr="00BE46E1">
              <w:rPr>
                <w:rFonts w:ascii="Arial Narrow" w:hAnsi="Arial Narrow"/>
                <w:sz w:val="20"/>
              </w:rPr>
              <w:t>№.of</w:t>
            </w:r>
          </w:p>
          <w:p w:rsidR="004904A3" w:rsidRPr="00BE46E1" w:rsidRDefault="004904A3" w:rsidP="0099597C">
            <w:pPr>
              <w:keepNext/>
              <w:ind w:left="-108"/>
              <w:rPr>
                <w:rFonts w:ascii="Arial Narrow" w:hAnsi="Arial Narrow"/>
                <w:sz w:val="20"/>
              </w:rPr>
            </w:pPr>
            <w:r w:rsidRPr="00BE46E1">
              <w:rPr>
                <w:rFonts w:ascii="Arial Narrow" w:hAnsi="Arial Narrow"/>
                <w:sz w:val="20"/>
              </w:rPr>
              <w:t>Rpts</w:t>
            </w:r>
          </w:p>
        </w:tc>
        <w:tc>
          <w:tcPr>
            <w:tcW w:w="1565" w:type="dxa"/>
            <w:tcBorders>
              <w:top w:val="nil"/>
              <w:left w:val="nil"/>
              <w:bottom w:val="single" w:sz="4" w:space="0" w:color="auto"/>
              <w:right w:val="nil"/>
            </w:tcBorders>
            <w:hideMark/>
          </w:tcPr>
          <w:p w:rsidR="004904A3" w:rsidRPr="00BE46E1" w:rsidRDefault="004904A3" w:rsidP="0099597C">
            <w:pPr>
              <w:keepNext/>
              <w:ind w:left="-108"/>
              <w:rPr>
                <w:rFonts w:ascii="Arial Narrow" w:hAnsi="Arial Narrow"/>
                <w:sz w:val="20"/>
              </w:rPr>
            </w:pPr>
            <w:r w:rsidRPr="00BE46E1">
              <w:rPr>
                <w:rFonts w:ascii="Arial Narrow" w:hAnsi="Arial Narrow"/>
                <w:sz w:val="20"/>
              </w:rPr>
              <w:t>Dispensed Price for Max. Qty</w:t>
            </w:r>
          </w:p>
        </w:tc>
        <w:tc>
          <w:tcPr>
            <w:tcW w:w="2619" w:type="dxa"/>
            <w:gridSpan w:val="2"/>
            <w:tcBorders>
              <w:top w:val="nil"/>
              <w:left w:val="nil"/>
              <w:bottom w:val="single" w:sz="4" w:space="0" w:color="auto"/>
              <w:right w:val="nil"/>
            </w:tcBorders>
            <w:hideMark/>
          </w:tcPr>
          <w:p w:rsidR="004904A3" w:rsidRPr="00BE46E1" w:rsidRDefault="004904A3" w:rsidP="0099597C">
            <w:pPr>
              <w:keepNext/>
              <w:rPr>
                <w:rFonts w:ascii="Arial Narrow" w:hAnsi="Arial Narrow"/>
                <w:sz w:val="20"/>
              </w:rPr>
            </w:pPr>
            <w:r w:rsidRPr="00BE46E1">
              <w:rPr>
                <w:rFonts w:ascii="Arial Narrow" w:hAnsi="Arial Narrow"/>
                <w:sz w:val="20"/>
              </w:rPr>
              <w:t>Proprietary Name and Manufacturer</w:t>
            </w:r>
          </w:p>
        </w:tc>
      </w:tr>
      <w:tr w:rsidR="004904A3" w:rsidRPr="00BE46E1" w:rsidTr="0099597C">
        <w:trPr>
          <w:cantSplit/>
          <w:trHeight w:val="577"/>
        </w:trPr>
        <w:tc>
          <w:tcPr>
            <w:tcW w:w="2986" w:type="dxa"/>
            <w:gridSpan w:val="2"/>
            <w:hideMark/>
          </w:tcPr>
          <w:p w:rsidR="004904A3" w:rsidRPr="00BE46E1" w:rsidRDefault="004904A3" w:rsidP="0099597C">
            <w:pPr>
              <w:keepNext/>
              <w:ind w:left="-108"/>
              <w:rPr>
                <w:rFonts w:ascii="Arial Narrow" w:hAnsi="Arial Narrow"/>
                <w:smallCaps/>
                <w:sz w:val="20"/>
              </w:rPr>
            </w:pPr>
            <w:r w:rsidRPr="00BE46E1">
              <w:rPr>
                <w:rFonts w:ascii="Arial Narrow" w:hAnsi="Arial Narrow"/>
                <w:smallCaps/>
                <w:sz w:val="20"/>
              </w:rPr>
              <w:t>idelalisib</w:t>
            </w:r>
          </w:p>
          <w:p w:rsidR="004904A3" w:rsidRPr="00BE46E1" w:rsidRDefault="004904A3" w:rsidP="0099597C">
            <w:pPr>
              <w:keepNext/>
              <w:ind w:left="-108"/>
              <w:rPr>
                <w:rFonts w:ascii="Arial Narrow" w:hAnsi="Arial Narrow"/>
                <w:sz w:val="20"/>
              </w:rPr>
            </w:pPr>
            <w:r w:rsidRPr="00BE46E1">
              <w:rPr>
                <w:rFonts w:ascii="Arial Narrow" w:hAnsi="Arial Narrow"/>
                <w:sz w:val="20"/>
              </w:rPr>
              <w:t>Tablet, 150mg, 60</w:t>
            </w:r>
          </w:p>
          <w:p w:rsidR="004904A3" w:rsidRPr="00BE46E1" w:rsidRDefault="004904A3" w:rsidP="0099597C">
            <w:pPr>
              <w:keepNext/>
              <w:ind w:left="-108"/>
              <w:rPr>
                <w:rFonts w:ascii="Arial Narrow" w:hAnsi="Arial Narrow"/>
                <w:sz w:val="20"/>
              </w:rPr>
            </w:pPr>
            <w:r w:rsidRPr="00BE46E1">
              <w:rPr>
                <w:rFonts w:ascii="Arial Narrow" w:hAnsi="Arial Narrow"/>
                <w:sz w:val="20"/>
              </w:rPr>
              <w:t>Tablet, 100mg, 60</w:t>
            </w:r>
          </w:p>
        </w:tc>
        <w:tc>
          <w:tcPr>
            <w:tcW w:w="537" w:type="dxa"/>
          </w:tcPr>
          <w:p w:rsidR="004904A3" w:rsidRPr="00BE46E1" w:rsidRDefault="004904A3" w:rsidP="0099597C">
            <w:pPr>
              <w:keepNext/>
              <w:ind w:left="-108"/>
              <w:rPr>
                <w:rFonts w:ascii="Arial Narrow" w:hAnsi="Arial Narrow"/>
                <w:sz w:val="20"/>
              </w:rPr>
            </w:pPr>
          </w:p>
          <w:p w:rsidR="004904A3" w:rsidRPr="00BE46E1" w:rsidRDefault="004904A3" w:rsidP="0099597C">
            <w:pPr>
              <w:keepNext/>
              <w:ind w:left="-108"/>
              <w:rPr>
                <w:rFonts w:ascii="Arial Narrow" w:hAnsi="Arial Narrow"/>
                <w:sz w:val="20"/>
              </w:rPr>
            </w:pPr>
            <w:r w:rsidRPr="00BE46E1">
              <w:rPr>
                <w:rFonts w:ascii="Arial Narrow" w:hAnsi="Arial Narrow"/>
                <w:sz w:val="20"/>
              </w:rPr>
              <w:t>1</w:t>
            </w:r>
          </w:p>
        </w:tc>
        <w:tc>
          <w:tcPr>
            <w:tcW w:w="794" w:type="dxa"/>
          </w:tcPr>
          <w:p w:rsidR="004904A3" w:rsidRPr="00BE46E1" w:rsidRDefault="004904A3" w:rsidP="0099597C">
            <w:pPr>
              <w:keepNext/>
              <w:ind w:left="-108"/>
              <w:rPr>
                <w:rFonts w:ascii="Arial Narrow" w:hAnsi="Arial Narrow"/>
                <w:sz w:val="20"/>
              </w:rPr>
            </w:pPr>
          </w:p>
          <w:p w:rsidR="004904A3" w:rsidRPr="00BE46E1" w:rsidRDefault="004904A3" w:rsidP="0099597C">
            <w:pPr>
              <w:keepNext/>
              <w:ind w:left="-108"/>
              <w:rPr>
                <w:rFonts w:ascii="Arial Narrow" w:hAnsi="Arial Narrow"/>
                <w:sz w:val="20"/>
              </w:rPr>
            </w:pPr>
            <w:r w:rsidRPr="00BE46E1">
              <w:rPr>
                <w:rFonts w:ascii="Arial Narrow" w:hAnsi="Arial Narrow"/>
                <w:sz w:val="20"/>
              </w:rPr>
              <w:t>5</w:t>
            </w:r>
          </w:p>
        </w:tc>
        <w:tc>
          <w:tcPr>
            <w:tcW w:w="1565" w:type="dxa"/>
          </w:tcPr>
          <w:p w:rsidR="004904A3" w:rsidRPr="00BE46E1" w:rsidRDefault="004904A3" w:rsidP="0099597C">
            <w:pPr>
              <w:keepNext/>
              <w:ind w:left="-108"/>
              <w:rPr>
                <w:rFonts w:ascii="Arial Narrow" w:hAnsi="Arial Narrow"/>
                <w:sz w:val="20"/>
              </w:rPr>
            </w:pPr>
          </w:p>
          <w:p w:rsidR="004904A3" w:rsidRPr="00BE46E1" w:rsidRDefault="004904A3" w:rsidP="0099597C">
            <w:pPr>
              <w:keepNext/>
              <w:ind w:left="-108"/>
              <w:rPr>
                <w:rFonts w:ascii="Arial Narrow" w:hAnsi="Arial Narrow"/>
                <w:sz w:val="20"/>
              </w:rPr>
            </w:pPr>
            <w:r w:rsidRPr="00BE46E1">
              <w:rPr>
                <w:rFonts w:ascii="Arial Narrow" w:hAnsi="Arial Narrow"/>
                <w:sz w:val="20"/>
              </w:rPr>
              <w:t>$</w:t>
            </w:r>
            <w:r w:rsidR="00F171BB">
              <w:rPr>
                <w:rFonts w:ascii="Arial Narrow" w:hAnsi="Arial Narrow"/>
                <w:noProof/>
                <w:color w:val="000000"/>
                <w:sz w:val="20"/>
                <w:highlight w:val="black"/>
              </w:rPr>
              <w:t>'''''''''''''''''''''</w:t>
            </w:r>
            <w:r w:rsidRPr="00BE46E1">
              <w:rPr>
                <w:rFonts w:ascii="Arial Narrow" w:hAnsi="Arial Narrow"/>
                <w:sz w:val="20"/>
              </w:rPr>
              <w:t xml:space="preserve"> (published)</w:t>
            </w:r>
          </w:p>
          <w:p w:rsidR="004904A3" w:rsidRPr="00BE46E1" w:rsidRDefault="004904A3" w:rsidP="0099597C">
            <w:pPr>
              <w:keepNext/>
              <w:ind w:left="-108"/>
              <w:rPr>
                <w:rFonts w:ascii="Arial Narrow" w:hAnsi="Arial Narrow"/>
                <w:sz w:val="20"/>
              </w:rPr>
            </w:pPr>
            <w:r w:rsidRPr="00BE46E1">
              <w:rPr>
                <w:rFonts w:ascii="Arial Narrow" w:hAnsi="Arial Narrow"/>
                <w:sz w:val="20"/>
              </w:rPr>
              <w:t>$</w:t>
            </w:r>
            <w:r w:rsidR="00F171BB">
              <w:rPr>
                <w:rFonts w:ascii="Arial Narrow" w:hAnsi="Arial Narrow"/>
                <w:noProof/>
                <w:color w:val="000000"/>
                <w:sz w:val="20"/>
                <w:highlight w:val="black"/>
              </w:rPr>
              <w:t>'''''''''''''''''''</w:t>
            </w:r>
            <w:r w:rsidRPr="00BE46E1">
              <w:rPr>
                <w:rFonts w:ascii="Arial Narrow" w:hAnsi="Arial Narrow"/>
                <w:sz w:val="20"/>
              </w:rPr>
              <w:t xml:space="preserve"> (effective) </w:t>
            </w:r>
          </w:p>
        </w:tc>
        <w:tc>
          <w:tcPr>
            <w:tcW w:w="1436" w:type="dxa"/>
            <w:hideMark/>
          </w:tcPr>
          <w:p w:rsidR="004904A3" w:rsidRPr="00BE46E1" w:rsidRDefault="004904A3" w:rsidP="0099597C">
            <w:pPr>
              <w:keepNext/>
              <w:jc w:val="center"/>
              <w:rPr>
                <w:rFonts w:ascii="Arial Narrow" w:hAnsi="Arial Narrow"/>
                <w:sz w:val="20"/>
              </w:rPr>
            </w:pPr>
            <w:r w:rsidRPr="00BE46E1">
              <w:rPr>
                <w:rFonts w:ascii="Arial Narrow" w:hAnsi="Arial Narrow"/>
                <w:sz w:val="20"/>
              </w:rPr>
              <w:t>Zydelig</w:t>
            </w:r>
            <w:r w:rsidRPr="00BE46E1">
              <w:rPr>
                <w:rFonts w:ascii="Arial Narrow" w:hAnsi="Arial Narrow"/>
                <w:sz w:val="20"/>
                <w:vertAlign w:val="superscript"/>
              </w:rPr>
              <w:t>®</w:t>
            </w:r>
          </w:p>
        </w:tc>
        <w:tc>
          <w:tcPr>
            <w:tcW w:w="1183" w:type="dxa"/>
            <w:hideMark/>
          </w:tcPr>
          <w:p w:rsidR="004904A3" w:rsidRPr="00BE46E1" w:rsidRDefault="004904A3" w:rsidP="0099597C">
            <w:pPr>
              <w:keepNext/>
              <w:jc w:val="center"/>
              <w:rPr>
                <w:rFonts w:ascii="Arial Narrow" w:hAnsi="Arial Narrow"/>
                <w:sz w:val="20"/>
              </w:rPr>
            </w:pPr>
            <w:r w:rsidRPr="00BE46E1">
              <w:rPr>
                <w:rFonts w:ascii="Arial Narrow" w:hAnsi="Arial Narrow"/>
                <w:sz w:val="20"/>
              </w:rPr>
              <w:t>Gilead</w:t>
            </w:r>
          </w:p>
        </w:tc>
      </w:tr>
      <w:tr w:rsidR="004904A3" w:rsidRPr="00BE46E1" w:rsidTr="0099597C">
        <w:trPr>
          <w:cantSplit/>
          <w:trHeight w:val="360"/>
        </w:trPr>
        <w:tc>
          <w:tcPr>
            <w:tcW w:w="8501" w:type="dxa"/>
            <w:gridSpan w:val="7"/>
            <w:tcBorders>
              <w:top w:val="nil"/>
              <w:left w:val="nil"/>
              <w:bottom w:val="single" w:sz="4" w:space="0" w:color="auto"/>
              <w:right w:val="nil"/>
            </w:tcBorders>
          </w:tcPr>
          <w:p w:rsidR="004904A3" w:rsidRPr="00BE46E1" w:rsidRDefault="004904A3" w:rsidP="0099597C">
            <w:pPr>
              <w:rPr>
                <w:rFonts w:ascii="Arial Narrow" w:hAnsi="Arial Narrow"/>
                <w:sz w:val="20"/>
              </w:rPr>
            </w:pPr>
          </w:p>
        </w:tc>
      </w:tr>
      <w:tr w:rsidR="004904A3"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b/>
                <w:sz w:val="20"/>
              </w:rPr>
            </w:pPr>
            <w:r w:rsidRPr="00BE46E1">
              <w:rPr>
                <w:rFonts w:ascii="Arial Narrow" w:hAnsi="Arial Narrow"/>
                <w:b/>
                <w:sz w:val="20"/>
              </w:rPr>
              <w:t xml:space="preserve">Category / </w:t>
            </w:r>
          </w:p>
          <w:p w:rsidR="004904A3" w:rsidRPr="00BE46E1" w:rsidRDefault="004904A3" w:rsidP="0099597C">
            <w:pPr>
              <w:rPr>
                <w:rFonts w:ascii="Arial Narrow" w:hAnsi="Arial Narrow"/>
                <w:b/>
                <w:sz w:val="20"/>
              </w:rPr>
            </w:pPr>
            <w:r w:rsidRPr="00BE46E1">
              <w:rPr>
                <w:rFonts w:ascii="Arial Narrow" w:hAnsi="Arial Narrow"/>
                <w:b/>
                <w:sz w:val="20"/>
              </w:rPr>
              <w:t>Program</w:t>
            </w:r>
          </w:p>
        </w:tc>
        <w:tc>
          <w:tcPr>
            <w:tcW w:w="6547" w:type="dxa"/>
            <w:gridSpan w:val="6"/>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sz w:val="20"/>
              </w:rPr>
            </w:pPr>
            <w:r w:rsidRPr="00BE46E1">
              <w:rPr>
                <w:rFonts w:ascii="Arial Narrow" w:hAnsi="Arial Narrow"/>
                <w:sz w:val="20"/>
              </w:rPr>
              <w:t>GENERAL – General Schedule (Code GE)</w:t>
            </w:r>
          </w:p>
        </w:tc>
      </w:tr>
      <w:tr w:rsidR="004904A3"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tcPr>
          <w:p w:rsidR="004904A3" w:rsidRPr="00BE46E1" w:rsidRDefault="004904A3" w:rsidP="0099597C">
            <w:pPr>
              <w:rPr>
                <w:rFonts w:ascii="Arial Narrow" w:hAnsi="Arial Narrow"/>
                <w:b/>
                <w:sz w:val="20"/>
              </w:rPr>
            </w:pPr>
            <w:r w:rsidRPr="00BE46E1">
              <w:rPr>
                <w:rFonts w:ascii="Arial Narrow" w:hAnsi="Arial Narrow"/>
                <w:b/>
                <w:sz w:val="20"/>
              </w:rPr>
              <w:t>Prescriber type:</w:t>
            </w:r>
          </w:p>
          <w:p w:rsidR="004904A3" w:rsidRPr="00BE46E1" w:rsidRDefault="004904A3" w:rsidP="0099597C">
            <w:pPr>
              <w:rPr>
                <w:rFonts w:ascii="Arial Narrow" w:hAnsi="Arial Narrow"/>
                <w:b/>
                <w:sz w:val="20"/>
              </w:rPr>
            </w:pPr>
          </w:p>
        </w:tc>
        <w:tc>
          <w:tcPr>
            <w:tcW w:w="6547" w:type="dxa"/>
            <w:gridSpan w:val="6"/>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sz w:val="20"/>
              </w:rPr>
            </w:pPr>
            <w:r w:rsidRPr="00BE46E1">
              <w:rPr>
                <w:rFonts w:ascii="Arial Narrow" w:hAnsi="Arial Narrow"/>
                <w:sz w:val="20"/>
              </w:rPr>
              <w:fldChar w:fldCharType="begin">
                <w:ffData>
                  <w:name w:val="Check1"/>
                  <w:enabled/>
                  <w:calcOnExit w:val="0"/>
                  <w:checkBox>
                    <w:sizeAuto/>
                    <w:default w:val="0"/>
                  </w:checkBox>
                </w:ffData>
              </w:fldChar>
            </w:r>
            <w:r w:rsidRPr="00BE46E1">
              <w:rPr>
                <w:rFonts w:ascii="Arial Narrow" w:hAnsi="Arial Narrow"/>
                <w:sz w:val="20"/>
              </w:rPr>
              <w:instrText xml:space="preserve"> FORMCHECKBOX </w:instrText>
            </w:r>
            <w:r w:rsidR="00303D56">
              <w:rPr>
                <w:rFonts w:ascii="Arial Narrow" w:hAnsi="Arial Narrow"/>
                <w:sz w:val="20"/>
              </w:rPr>
            </w:r>
            <w:r w:rsidR="00303D56">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 xml:space="preserve">Dental  </w:t>
            </w:r>
            <w:r w:rsidRPr="00BE46E1">
              <w:rPr>
                <w:rFonts w:ascii="Arial Narrow" w:hAnsi="Arial Narrow"/>
                <w:sz w:val="20"/>
              </w:rPr>
              <w:fldChar w:fldCharType="begin">
                <w:ffData>
                  <w:name w:val=""/>
                  <w:enabled/>
                  <w:calcOnExit w:val="0"/>
                  <w:checkBox>
                    <w:sizeAuto/>
                    <w:default w:val="1"/>
                  </w:checkBox>
                </w:ffData>
              </w:fldChar>
            </w:r>
            <w:r w:rsidRPr="00BE46E1">
              <w:rPr>
                <w:rFonts w:ascii="Arial Narrow" w:hAnsi="Arial Narrow"/>
                <w:sz w:val="20"/>
              </w:rPr>
              <w:instrText xml:space="preserve"> FORMCHECKBOX </w:instrText>
            </w:r>
            <w:r w:rsidR="00303D56">
              <w:rPr>
                <w:rFonts w:ascii="Arial Narrow" w:hAnsi="Arial Narrow"/>
                <w:sz w:val="20"/>
              </w:rPr>
            </w:r>
            <w:r w:rsidR="00303D56">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 xml:space="preserve">Medical Practitioners  </w:t>
            </w:r>
            <w:r w:rsidRPr="00BE46E1">
              <w:rPr>
                <w:rFonts w:ascii="Arial Narrow" w:hAnsi="Arial Narrow"/>
                <w:sz w:val="20"/>
              </w:rPr>
              <w:fldChar w:fldCharType="begin">
                <w:ffData>
                  <w:name w:val="Check3"/>
                  <w:enabled/>
                  <w:calcOnExit w:val="0"/>
                  <w:checkBox>
                    <w:sizeAuto/>
                    <w:default w:val="0"/>
                  </w:checkBox>
                </w:ffData>
              </w:fldChar>
            </w:r>
            <w:r w:rsidRPr="00BE46E1">
              <w:rPr>
                <w:rFonts w:ascii="Arial Narrow" w:hAnsi="Arial Narrow"/>
                <w:sz w:val="20"/>
              </w:rPr>
              <w:instrText xml:space="preserve"> FORMCHECKBOX </w:instrText>
            </w:r>
            <w:r w:rsidR="00303D56">
              <w:rPr>
                <w:rFonts w:ascii="Arial Narrow" w:hAnsi="Arial Narrow"/>
                <w:sz w:val="20"/>
              </w:rPr>
            </w:r>
            <w:r w:rsidR="00303D56">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 xml:space="preserve">Nurse practitioners  </w:t>
            </w:r>
            <w:r w:rsidRPr="00BE46E1">
              <w:rPr>
                <w:rFonts w:ascii="Arial Narrow" w:hAnsi="Arial Narrow"/>
                <w:sz w:val="20"/>
              </w:rPr>
              <w:fldChar w:fldCharType="begin">
                <w:ffData>
                  <w:name w:val=""/>
                  <w:enabled/>
                  <w:calcOnExit w:val="0"/>
                  <w:checkBox>
                    <w:sizeAuto/>
                    <w:default w:val="0"/>
                  </w:checkBox>
                </w:ffData>
              </w:fldChar>
            </w:r>
            <w:r w:rsidRPr="00BE46E1">
              <w:rPr>
                <w:rFonts w:ascii="Arial Narrow" w:hAnsi="Arial Narrow"/>
                <w:sz w:val="20"/>
              </w:rPr>
              <w:instrText xml:space="preserve"> FORMCHECKBOX </w:instrText>
            </w:r>
            <w:r w:rsidR="00303D56">
              <w:rPr>
                <w:rFonts w:ascii="Arial Narrow" w:hAnsi="Arial Narrow"/>
                <w:sz w:val="20"/>
              </w:rPr>
            </w:r>
            <w:r w:rsidR="00303D56">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Optometrists</w:t>
            </w:r>
          </w:p>
          <w:p w:rsidR="004904A3" w:rsidRPr="00BE46E1" w:rsidRDefault="004904A3" w:rsidP="0099597C">
            <w:pPr>
              <w:rPr>
                <w:rFonts w:ascii="Arial Narrow" w:hAnsi="Arial Narrow"/>
                <w:sz w:val="20"/>
              </w:rPr>
            </w:pPr>
            <w:r w:rsidRPr="00BE46E1">
              <w:rPr>
                <w:rFonts w:ascii="Arial Narrow" w:hAnsi="Arial Narrow"/>
                <w:sz w:val="20"/>
              </w:rPr>
              <w:fldChar w:fldCharType="begin">
                <w:ffData>
                  <w:name w:val="Check5"/>
                  <w:enabled/>
                  <w:calcOnExit w:val="0"/>
                  <w:checkBox>
                    <w:sizeAuto/>
                    <w:default w:val="0"/>
                  </w:checkBox>
                </w:ffData>
              </w:fldChar>
            </w:r>
            <w:r w:rsidRPr="00BE46E1">
              <w:rPr>
                <w:rFonts w:ascii="Arial Narrow" w:hAnsi="Arial Narrow"/>
                <w:sz w:val="20"/>
              </w:rPr>
              <w:instrText xml:space="preserve"> FORMCHECKBOX </w:instrText>
            </w:r>
            <w:r w:rsidR="00303D56">
              <w:rPr>
                <w:rFonts w:ascii="Arial Narrow" w:hAnsi="Arial Narrow"/>
                <w:sz w:val="20"/>
              </w:rPr>
            </w:r>
            <w:r w:rsidR="00303D56">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Midwives</w:t>
            </w:r>
          </w:p>
        </w:tc>
      </w:tr>
      <w:tr w:rsidR="004904A3"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b/>
                <w:sz w:val="20"/>
              </w:rPr>
            </w:pPr>
            <w:r w:rsidRPr="00BE46E1">
              <w:rPr>
                <w:rFonts w:ascii="Arial Narrow" w:hAnsi="Arial Narrow"/>
                <w:b/>
                <w:sz w:val="20"/>
              </w:rPr>
              <w:t>Episodicity:</w:t>
            </w:r>
          </w:p>
        </w:tc>
        <w:tc>
          <w:tcPr>
            <w:tcW w:w="6547" w:type="dxa"/>
            <w:gridSpan w:val="6"/>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strike/>
                <w:sz w:val="20"/>
              </w:rPr>
            </w:pPr>
            <w:r w:rsidRPr="00BE46E1">
              <w:rPr>
                <w:rFonts w:ascii="Arial Narrow" w:hAnsi="Arial Narrow"/>
                <w:sz w:val="20"/>
              </w:rPr>
              <w:t>Refractory</w:t>
            </w:r>
          </w:p>
        </w:tc>
      </w:tr>
      <w:tr w:rsidR="004904A3"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b/>
                <w:sz w:val="20"/>
              </w:rPr>
            </w:pPr>
            <w:r w:rsidRPr="00BE46E1">
              <w:rPr>
                <w:rFonts w:ascii="Arial Narrow" w:hAnsi="Arial Narrow"/>
                <w:b/>
                <w:sz w:val="20"/>
              </w:rPr>
              <w:t>Severity:</w:t>
            </w:r>
          </w:p>
        </w:tc>
        <w:tc>
          <w:tcPr>
            <w:tcW w:w="6547" w:type="dxa"/>
            <w:gridSpan w:val="6"/>
            <w:tcBorders>
              <w:top w:val="single" w:sz="4" w:space="0" w:color="auto"/>
              <w:left w:val="single" w:sz="4" w:space="0" w:color="auto"/>
              <w:bottom w:val="single" w:sz="4" w:space="0" w:color="auto"/>
              <w:right w:val="single" w:sz="4" w:space="0" w:color="auto"/>
            </w:tcBorders>
            <w:hideMark/>
          </w:tcPr>
          <w:p w:rsidR="004904A3" w:rsidRPr="00BE46E1" w:rsidRDefault="00FE0BF6" w:rsidP="0099597C">
            <w:pPr>
              <w:rPr>
                <w:rFonts w:ascii="Arial Narrow" w:hAnsi="Arial Narrow"/>
                <w:strike/>
                <w:sz w:val="20"/>
              </w:rPr>
            </w:pPr>
            <w:r>
              <w:rPr>
                <w:rFonts w:ascii="Arial Narrow" w:hAnsi="Arial Narrow"/>
                <w:strike/>
                <w:sz w:val="20"/>
              </w:rPr>
              <w:t>-</w:t>
            </w:r>
          </w:p>
        </w:tc>
      </w:tr>
      <w:tr w:rsidR="004904A3"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b/>
                <w:sz w:val="20"/>
              </w:rPr>
            </w:pPr>
            <w:r w:rsidRPr="00BE46E1">
              <w:rPr>
                <w:rFonts w:ascii="Arial Narrow" w:hAnsi="Arial Narrow"/>
                <w:b/>
                <w:sz w:val="20"/>
              </w:rPr>
              <w:t>Condition:</w:t>
            </w:r>
          </w:p>
        </w:tc>
        <w:tc>
          <w:tcPr>
            <w:tcW w:w="6547" w:type="dxa"/>
            <w:gridSpan w:val="6"/>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sz w:val="20"/>
              </w:rPr>
            </w:pPr>
            <w:r w:rsidRPr="00BE46E1">
              <w:rPr>
                <w:rFonts w:ascii="Arial Narrow" w:hAnsi="Arial Narrow"/>
                <w:sz w:val="20"/>
              </w:rPr>
              <w:t>follicular B-cell non-Hodgkin’s lymphoma</w:t>
            </w:r>
          </w:p>
        </w:tc>
      </w:tr>
      <w:tr w:rsidR="004904A3"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b/>
                <w:sz w:val="20"/>
              </w:rPr>
            </w:pPr>
            <w:r w:rsidRPr="00BE46E1">
              <w:rPr>
                <w:rFonts w:ascii="Arial Narrow" w:hAnsi="Arial Narrow"/>
                <w:b/>
                <w:sz w:val="20"/>
              </w:rPr>
              <w:t>PBS Indication:</w:t>
            </w:r>
          </w:p>
        </w:tc>
        <w:tc>
          <w:tcPr>
            <w:tcW w:w="6547" w:type="dxa"/>
            <w:gridSpan w:val="6"/>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sz w:val="20"/>
              </w:rPr>
            </w:pPr>
            <w:r w:rsidRPr="00BE46E1">
              <w:rPr>
                <w:rFonts w:ascii="Arial Narrow" w:hAnsi="Arial Narrow"/>
                <w:sz w:val="20"/>
              </w:rPr>
              <w:t>Refractory follicular B-cell non-Hodgkin’s lymphoma</w:t>
            </w:r>
          </w:p>
        </w:tc>
      </w:tr>
      <w:tr w:rsidR="004904A3"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b/>
                <w:sz w:val="20"/>
              </w:rPr>
            </w:pPr>
            <w:r w:rsidRPr="00BE46E1">
              <w:rPr>
                <w:rFonts w:ascii="Arial Narrow" w:hAnsi="Arial Narrow"/>
                <w:b/>
                <w:sz w:val="20"/>
              </w:rPr>
              <w:t>Treatment phase:</w:t>
            </w:r>
          </w:p>
        </w:tc>
        <w:tc>
          <w:tcPr>
            <w:tcW w:w="6547" w:type="dxa"/>
            <w:gridSpan w:val="6"/>
            <w:tcBorders>
              <w:top w:val="single" w:sz="4" w:space="0" w:color="auto"/>
              <w:left w:val="single" w:sz="4" w:space="0" w:color="auto"/>
              <w:bottom w:val="single" w:sz="4" w:space="0" w:color="auto"/>
              <w:right w:val="single" w:sz="4" w:space="0" w:color="auto"/>
            </w:tcBorders>
            <w:hideMark/>
          </w:tcPr>
          <w:p w:rsidR="004904A3" w:rsidRPr="00A70FD0" w:rsidRDefault="00FE0BF6" w:rsidP="0099597C">
            <w:pPr>
              <w:rPr>
                <w:rFonts w:ascii="Arial Narrow" w:hAnsi="Arial Narrow"/>
                <w:b/>
                <w:strike/>
                <w:sz w:val="20"/>
              </w:rPr>
            </w:pPr>
            <w:r w:rsidRPr="00A70FD0">
              <w:rPr>
                <w:rFonts w:ascii="Arial Narrow" w:hAnsi="Arial Narrow"/>
                <w:b/>
                <w:strike/>
                <w:sz w:val="20"/>
              </w:rPr>
              <w:t>-</w:t>
            </w:r>
          </w:p>
        </w:tc>
      </w:tr>
      <w:tr w:rsidR="004904A3"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b/>
                <w:sz w:val="20"/>
              </w:rPr>
            </w:pPr>
            <w:r w:rsidRPr="00BE46E1">
              <w:rPr>
                <w:rFonts w:ascii="Arial Narrow" w:hAnsi="Arial Narrow"/>
                <w:b/>
                <w:sz w:val="20"/>
              </w:rPr>
              <w:t>Restriction Level / Method:</w:t>
            </w:r>
          </w:p>
        </w:tc>
        <w:tc>
          <w:tcPr>
            <w:tcW w:w="6547" w:type="dxa"/>
            <w:gridSpan w:val="6"/>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sz w:val="20"/>
              </w:rPr>
            </w:pPr>
            <w:r w:rsidRPr="00BE46E1">
              <w:rPr>
                <w:rFonts w:ascii="Arial Narrow" w:hAnsi="Arial Narrow" w:cs="Arial"/>
                <w:sz w:val="20"/>
                <w:szCs w:val="20"/>
              </w:rPr>
              <w:fldChar w:fldCharType="begin">
                <w:ffData>
                  <w:name w:val="Check5"/>
                  <w:enabled/>
                  <w:calcOnExit w:val="0"/>
                  <w:checkBox>
                    <w:sizeAuto/>
                    <w:default w:val="1"/>
                  </w:checkBox>
                </w:ffData>
              </w:fldChar>
            </w:r>
            <w:bookmarkStart w:id="1" w:name="Check5"/>
            <w:r w:rsidRPr="00BE46E1">
              <w:rPr>
                <w:rFonts w:ascii="Arial Narrow" w:hAnsi="Arial Narrow"/>
                <w:sz w:val="20"/>
              </w:rPr>
              <w:instrText xml:space="preserve"> FORMCHECKBOX </w:instrText>
            </w:r>
            <w:r w:rsidR="00303D56">
              <w:rPr>
                <w:rFonts w:ascii="Arial Narrow" w:hAnsi="Arial Narrow" w:cs="Arial"/>
                <w:sz w:val="20"/>
                <w:szCs w:val="20"/>
              </w:rPr>
            </w:r>
            <w:r w:rsidR="00303D56">
              <w:rPr>
                <w:rFonts w:ascii="Arial Narrow" w:hAnsi="Arial Narrow" w:cs="Arial"/>
                <w:sz w:val="20"/>
                <w:szCs w:val="20"/>
              </w:rPr>
              <w:fldChar w:fldCharType="separate"/>
            </w:r>
            <w:r w:rsidRPr="00BE46E1">
              <w:rPr>
                <w:rFonts w:ascii="Arial Narrow" w:hAnsi="Arial Narrow" w:cs="Arial"/>
                <w:sz w:val="20"/>
                <w:szCs w:val="20"/>
              </w:rPr>
              <w:fldChar w:fldCharType="end"/>
            </w:r>
            <w:bookmarkEnd w:id="1"/>
            <w:r w:rsidRPr="00BE46E1">
              <w:rPr>
                <w:rFonts w:ascii="Arial Narrow" w:hAnsi="Arial Narrow"/>
                <w:sz w:val="20"/>
              </w:rPr>
              <w:t xml:space="preserve"> Authority Required - Telephone</w:t>
            </w:r>
          </w:p>
        </w:tc>
      </w:tr>
      <w:tr w:rsidR="004904A3"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b/>
                <w:sz w:val="20"/>
              </w:rPr>
            </w:pPr>
            <w:r w:rsidRPr="00BE46E1">
              <w:rPr>
                <w:rFonts w:ascii="Arial Narrow" w:hAnsi="Arial Narrow"/>
                <w:b/>
                <w:sz w:val="20"/>
              </w:rPr>
              <w:t>Treatment criteria:</w:t>
            </w:r>
          </w:p>
        </w:tc>
        <w:tc>
          <w:tcPr>
            <w:tcW w:w="6547" w:type="dxa"/>
            <w:gridSpan w:val="6"/>
            <w:tcBorders>
              <w:top w:val="single" w:sz="4" w:space="0" w:color="auto"/>
              <w:left w:val="single" w:sz="4" w:space="0" w:color="auto"/>
              <w:bottom w:val="single" w:sz="4" w:space="0" w:color="auto"/>
              <w:right w:val="single" w:sz="4" w:space="0" w:color="auto"/>
            </w:tcBorders>
          </w:tcPr>
          <w:p w:rsidR="004904A3" w:rsidRPr="00BE46E1" w:rsidRDefault="00FE0BF6" w:rsidP="0099597C">
            <w:pPr>
              <w:rPr>
                <w:rFonts w:ascii="Arial Narrow" w:hAnsi="Arial Narrow"/>
                <w:sz w:val="20"/>
              </w:rPr>
            </w:pPr>
            <w:r>
              <w:rPr>
                <w:rFonts w:ascii="Arial Narrow" w:hAnsi="Arial Narrow"/>
                <w:sz w:val="20"/>
              </w:rPr>
              <w:t>-</w:t>
            </w:r>
          </w:p>
        </w:tc>
      </w:tr>
      <w:tr w:rsidR="004904A3"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b/>
                <w:sz w:val="20"/>
              </w:rPr>
            </w:pPr>
            <w:r w:rsidRPr="00BE46E1">
              <w:rPr>
                <w:rFonts w:ascii="Arial Narrow" w:hAnsi="Arial Narrow"/>
                <w:b/>
                <w:sz w:val="20"/>
              </w:rPr>
              <w:t>Clinical criteria:</w:t>
            </w:r>
          </w:p>
        </w:tc>
        <w:tc>
          <w:tcPr>
            <w:tcW w:w="6547" w:type="dxa"/>
            <w:gridSpan w:val="6"/>
            <w:tcBorders>
              <w:top w:val="single" w:sz="4" w:space="0" w:color="auto"/>
              <w:left w:val="single" w:sz="4" w:space="0" w:color="auto"/>
              <w:bottom w:val="single" w:sz="4" w:space="0" w:color="auto"/>
              <w:right w:val="single" w:sz="4" w:space="0" w:color="auto"/>
            </w:tcBorders>
          </w:tcPr>
          <w:p w:rsidR="004904A3" w:rsidRPr="00BE46E1" w:rsidRDefault="004904A3" w:rsidP="0099597C">
            <w:pPr>
              <w:rPr>
                <w:rFonts w:ascii="Arial Narrow" w:hAnsi="Arial Narrow"/>
                <w:sz w:val="20"/>
              </w:rPr>
            </w:pPr>
            <w:r w:rsidRPr="00BE46E1">
              <w:rPr>
                <w:rFonts w:ascii="Arial Narrow" w:hAnsi="Arial Narrow"/>
                <w:sz w:val="20"/>
              </w:rPr>
              <w:t>The condition must be refractory to rituximab</w:t>
            </w:r>
          </w:p>
          <w:p w:rsidR="004904A3" w:rsidRPr="00BE46E1" w:rsidRDefault="004904A3" w:rsidP="0099597C">
            <w:pPr>
              <w:rPr>
                <w:rFonts w:ascii="Arial Narrow" w:hAnsi="Arial Narrow"/>
                <w:sz w:val="20"/>
              </w:rPr>
            </w:pPr>
          </w:p>
          <w:p w:rsidR="004904A3" w:rsidRPr="00BE46E1" w:rsidRDefault="004904A3" w:rsidP="0099597C">
            <w:pPr>
              <w:rPr>
                <w:rFonts w:ascii="Arial Narrow" w:hAnsi="Arial Narrow"/>
                <w:sz w:val="20"/>
              </w:rPr>
            </w:pPr>
            <w:r w:rsidRPr="00BE46E1">
              <w:rPr>
                <w:rFonts w:ascii="Arial Narrow" w:hAnsi="Arial Narrow"/>
                <w:sz w:val="20"/>
              </w:rPr>
              <w:t>AND</w:t>
            </w:r>
          </w:p>
          <w:p w:rsidR="004904A3" w:rsidRPr="00BE46E1" w:rsidRDefault="004904A3" w:rsidP="0099597C">
            <w:pPr>
              <w:rPr>
                <w:rFonts w:ascii="Arial Narrow" w:hAnsi="Arial Narrow"/>
                <w:sz w:val="20"/>
              </w:rPr>
            </w:pPr>
          </w:p>
          <w:p w:rsidR="004904A3" w:rsidRPr="00BE46E1" w:rsidRDefault="004904A3" w:rsidP="0099597C">
            <w:pPr>
              <w:rPr>
                <w:rFonts w:ascii="Arial Narrow" w:hAnsi="Arial Narrow"/>
                <w:sz w:val="20"/>
              </w:rPr>
            </w:pPr>
            <w:r w:rsidRPr="00BE46E1">
              <w:rPr>
                <w:rFonts w:ascii="Arial Narrow" w:hAnsi="Arial Narrow"/>
                <w:sz w:val="20"/>
              </w:rPr>
              <w:t xml:space="preserve">The condition must be refractory to an alkylating agent </w:t>
            </w:r>
          </w:p>
          <w:p w:rsidR="004904A3" w:rsidRPr="00BE46E1" w:rsidRDefault="004904A3" w:rsidP="0099597C">
            <w:pPr>
              <w:rPr>
                <w:rFonts w:ascii="Arial Narrow" w:hAnsi="Arial Narrow"/>
                <w:sz w:val="20"/>
              </w:rPr>
            </w:pPr>
          </w:p>
          <w:p w:rsidR="004904A3" w:rsidRPr="00BE46E1" w:rsidRDefault="004904A3" w:rsidP="0099597C">
            <w:pPr>
              <w:rPr>
                <w:rFonts w:ascii="Arial Narrow" w:hAnsi="Arial Narrow"/>
                <w:sz w:val="20"/>
              </w:rPr>
            </w:pPr>
            <w:r w:rsidRPr="00BE46E1">
              <w:rPr>
                <w:rFonts w:ascii="Arial Narrow" w:hAnsi="Arial Narrow"/>
                <w:sz w:val="20"/>
              </w:rPr>
              <w:t>AND</w:t>
            </w:r>
          </w:p>
          <w:p w:rsidR="004904A3" w:rsidRPr="00BE46E1" w:rsidRDefault="004904A3" w:rsidP="0099597C">
            <w:pPr>
              <w:rPr>
                <w:rFonts w:ascii="Arial Narrow" w:hAnsi="Arial Narrow"/>
                <w:sz w:val="20"/>
              </w:rPr>
            </w:pPr>
          </w:p>
          <w:p w:rsidR="004904A3" w:rsidRPr="00BE46E1" w:rsidRDefault="004904A3" w:rsidP="0099597C">
            <w:pPr>
              <w:rPr>
                <w:rFonts w:ascii="Arial Narrow" w:hAnsi="Arial Narrow"/>
                <w:sz w:val="20"/>
              </w:rPr>
            </w:pPr>
            <w:r w:rsidRPr="00BE46E1">
              <w:rPr>
                <w:rFonts w:ascii="Arial Narrow" w:hAnsi="Arial Narrow"/>
                <w:sz w:val="20"/>
              </w:rPr>
              <w:t>The treatment must be as monotherapy</w:t>
            </w:r>
          </w:p>
          <w:p w:rsidR="004904A3" w:rsidRPr="00BE46E1" w:rsidRDefault="004904A3" w:rsidP="0099597C">
            <w:pPr>
              <w:rPr>
                <w:rFonts w:ascii="Arial Narrow" w:hAnsi="Arial Narrow"/>
                <w:strike/>
                <w:sz w:val="20"/>
              </w:rPr>
            </w:pPr>
          </w:p>
        </w:tc>
      </w:tr>
      <w:tr w:rsidR="004904A3"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tcPr>
          <w:p w:rsidR="004904A3" w:rsidRPr="00BE46E1" w:rsidRDefault="004904A3" w:rsidP="0099597C">
            <w:pPr>
              <w:rPr>
                <w:rFonts w:ascii="Arial Narrow" w:hAnsi="Arial Narrow"/>
                <w:b/>
                <w:sz w:val="20"/>
              </w:rPr>
            </w:pPr>
            <w:r w:rsidRPr="00BE46E1">
              <w:rPr>
                <w:rFonts w:ascii="Arial Narrow" w:hAnsi="Arial Narrow"/>
                <w:b/>
                <w:sz w:val="20"/>
              </w:rPr>
              <w:lastRenderedPageBreak/>
              <w:t>Prescriber Instructions</w:t>
            </w:r>
          </w:p>
          <w:p w:rsidR="004904A3" w:rsidRPr="00BE46E1" w:rsidRDefault="004904A3" w:rsidP="0099597C">
            <w:pPr>
              <w:rPr>
                <w:rFonts w:ascii="Arial Narrow" w:hAnsi="Arial Narrow"/>
                <w:sz w:val="20"/>
              </w:rPr>
            </w:pPr>
          </w:p>
        </w:tc>
        <w:tc>
          <w:tcPr>
            <w:tcW w:w="6547" w:type="dxa"/>
            <w:gridSpan w:val="6"/>
            <w:tcBorders>
              <w:top w:val="single" w:sz="4" w:space="0" w:color="auto"/>
              <w:left w:val="single" w:sz="4" w:space="0" w:color="auto"/>
              <w:bottom w:val="single" w:sz="4" w:space="0" w:color="auto"/>
              <w:right w:val="single" w:sz="4" w:space="0" w:color="auto"/>
            </w:tcBorders>
          </w:tcPr>
          <w:p w:rsidR="004904A3" w:rsidRPr="00BE46E1" w:rsidRDefault="004904A3" w:rsidP="0099597C">
            <w:pPr>
              <w:rPr>
                <w:rFonts w:ascii="Arial Narrow" w:hAnsi="Arial Narrow"/>
                <w:sz w:val="20"/>
              </w:rPr>
            </w:pPr>
            <w:r w:rsidRPr="00BE46E1">
              <w:rPr>
                <w:rFonts w:ascii="Arial Narrow" w:hAnsi="Arial Narrow"/>
                <w:sz w:val="20"/>
              </w:rPr>
              <w:t xml:space="preserve">A patient who has progressive disease when treated with this drug is no longer eligible for PBS-subsidised treatment with this drug. </w:t>
            </w:r>
          </w:p>
          <w:p w:rsidR="004904A3" w:rsidRPr="00BE46E1" w:rsidRDefault="004904A3" w:rsidP="0099597C">
            <w:pPr>
              <w:rPr>
                <w:rFonts w:ascii="Arial Narrow" w:hAnsi="Arial Narrow"/>
                <w:sz w:val="20"/>
              </w:rPr>
            </w:pPr>
          </w:p>
          <w:p w:rsidR="004904A3" w:rsidRPr="00BE46E1" w:rsidRDefault="004904A3" w:rsidP="0099597C">
            <w:pPr>
              <w:rPr>
                <w:rFonts w:ascii="Arial Narrow" w:hAnsi="Arial Narrow"/>
                <w:sz w:val="20"/>
              </w:rPr>
            </w:pPr>
            <w:r w:rsidRPr="00BE46E1">
              <w:rPr>
                <w:rFonts w:ascii="Arial Narrow" w:hAnsi="Arial Narrow"/>
                <w:sz w:val="20"/>
              </w:rPr>
              <w:t xml:space="preserve">The condition is considered refractory to both rituximab and an alkylating agent if the agents were administered together or in successive treatment regimens. </w:t>
            </w:r>
          </w:p>
          <w:p w:rsidR="004904A3" w:rsidRPr="00BE46E1" w:rsidRDefault="004904A3" w:rsidP="0099597C">
            <w:pPr>
              <w:rPr>
                <w:rFonts w:ascii="Arial Narrow" w:hAnsi="Arial Narrow"/>
                <w:sz w:val="20"/>
              </w:rPr>
            </w:pPr>
          </w:p>
          <w:p w:rsidR="004904A3" w:rsidRPr="00BE46E1" w:rsidRDefault="004904A3" w:rsidP="0099597C">
            <w:pPr>
              <w:rPr>
                <w:rFonts w:ascii="Arial Narrow" w:hAnsi="Arial Narrow"/>
                <w:sz w:val="20"/>
              </w:rPr>
            </w:pPr>
            <w:r w:rsidRPr="00BE46E1">
              <w:rPr>
                <w:rFonts w:ascii="Arial Narrow" w:hAnsi="Arial Narrow"/>
                <w:sz w:val="20"/>
              </w:rPr>
              <w:t xml:space="preserve">The condition is considered refractory if the patient experiences less than a partial response or progression of disease within 6 months after completion of a prior therapy. </w:t>
            </w:r>
          </w:p>
        </w:tc>
      </w:tr>
      <w:tr w:rsidR="004904A3"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4904A3" w:rsidRPr="00BE46E1" w:rsidRDefault="004904A3" w:rsidP="0099597C">
            <w:pPr>
              <w:rPr>
                <w:rFonts w:ascii="Arial Narrow" w:hAnsi="Arial Narrow"/>
                <w:b/>
                <w:sz w:val="20"/>
              </w:rPr>
            </w:pPr>
            <w:r w:rsidRPr="00BE46E1">
              <w:rPr>
                <w:rFonts w:ascii="Arial Narrow" w:hAnsi="Arial Narrow"/>
                <w:b/>
                <w:sz w:val="20"/>
              </w:rPr>
              <w:t>Administrative Advice</w:t>
            </w:r>
          </w:p>
        </w:tc>
        <w:tc>
          <w:tcPr>
            <w:tcW w:w="6547" w:type="dxa"/>
            <w:gridSpan w:val="6"/>
            <w:tcBorders>
              <w:top w:val="single" w:sz="4" w:space="0" w:color="auto"/>
              <w:left w:val="single" w:sz="4" w:space="0" w:color="auto"/>
              <w:bottom w:val="single" w:sz="4" w:space="0" w:color="auto"/>
              <w:right w:val="single" w:sz="4" w:space="0" w:color="auto"/>
            </w:tcBorders>
          </w:tcPr>
          <w:p w:rsidR="004904A3" w:rsidRPr="00BE46E1" w:rsidRDefault="004904A3" w:rsidP="0099597C">
            <w:pPr>
              <w:rPr>
                <w:rFonts w:ascii="Arial Narrow" w:hAnsi="Arial Narrow"/>
                <w:sz w:val="20"/>
              </w:rPr>
            </w:pPr>
            <w:r w:rsidRPr="00BE46E1">
              <w:rPr>
                <w:rFonts w:ascii="Arial Narrow" w:hAnsi="Arial Narrow"/>
                <w:sz w:val="20"/>
              </w:rPr>
              <w:t xml:space="preserve">No increase in the maximum quantity or number of units may be authorised. </w:t>
            </w:r>
          </w:p>
          <w:p w:rsidR="004904A3" w:rsidRPr="00BE46E1" w:rsidRDefault="004904A3" w:rsidP="0099597C">
            <w:pPr>
              <w:rPr>
                <w:rFonts w:ascii="Arial Narrow" w:hAnsi="Arial Narrow"/>
                <w:sz w:val="20"/>
              </w:rPr>
            </w:pPr>
          </w:p>
          <w:p w:rsidR="004904A3" w:rsidRPr="00BE46E1" w:rsidRDefault="004904A3" w:rsidP="0099597C">
            <w:pPr>
              <w:rPr>
                <w:rFonts w:ascii="Arial Narrow" w:hAnsi="Arial Narrow"/>
                <w:sz w:val="20"/>
              </w:rPr>
            </w:pPr>
            <w:r w:rsidRPr="00BE46E1">
              <w:rPr>
                <w:rFonts w:ascii="Arial Narrow" w:hAnsi="Arial Narrow"/>
                <w:sz w:val="20"/>
              </w:rPr>
              <w:t xml:space="preserve">No increase in the maximum number of repeats may be authorised. </w:t>
            </w:r>
          </w:p>
          <w:p w:rsidR="004904A3" w:rsidRPr="00BE46E1" w:rsidRDefault="004904A3" w:rsidP="0099597C">
            <w:pPr>
              <w:rPr>
                <w:rFonts w:ascii="Arial Narrow" w:hAnsi="Arial Narrow"/>
                <w:sz w:val="20"/>
              </w:rPr>
            </w:pPr>
          </w:p>
          <w:p w:rsidR="004904A3" w:rsidRPr="00BE46E1" w:rsidRDefault="004904A3" w:rsidP="0099597C">
            <w:pPr>
              <w:rPr>
                <w:rFonts w:ascii="Arial Narrow" w:hAnsi="Arial Narrow"/>
                <w:sz w:val="20"/>
              </w:rPr>
            </w:pPr>
            <w:r w:rsidRPr="00BE46E1">
              <w:rPr>
                <w:rFonts w:ascii="Arial Narrow" w:hAnsi="Arial Narrow"/>
                <w:sz w:val="20"/>
              </w:rPr>
              <w:t>Special Pricing Arrangements apply.</w:t>
            </w:r>
          </w:p>
        </w:tc>
      </w:tr>
    </w:tbl>
    <w:p w:rsidR="009B52B4" w:rsidRDefault="009B52B4" w:rsidP="009B52B4">
      <w:pPr>
        <w:jc w:val="both"/>
        <w:rPr>
          <w:rFonts w:ascii="Arial" w:hAnsi="Arial"/>
          <w:b/>
          <w:sz w:val="22"/>
          <w:szCs w:val="22"/>
        </w:rPr>
      </w:pPr>
    </w:p>
    <w:p w:rsidR="004904A3" w:rsidRPr="00010E90" w:rsidRDefault="004904A3" w:rsidP="000C3D8F">
      <w:pPr>
        <w:pStyle w:val="ListParagraph"/>
        <w:numPr>
          <w:ilvl w:val="1"/>
          <w:numId w:val="1"/>
        </w:numPr>
        <w:jc w:val="both"/>
        <w:rPr>
          <w:rFonts w:ascii="Arial" w:hAnsi="Arial" w:cs="Arial"/>
          <w:i/>
          <w:sz w:val="22"/>
          <w:szCs w:val="22"/>
        </w:rPr>
      </w:pPr>
      <w:r>
        <w:rPr>
          <w:rFonts w:ascii="Arial" w:hAnsi="Arial" w:cs="Arial"/>
          <w:sz w:val="22"/>
          <w:szCs w:val="22"/>
        </w:rPr>
        <w:t xml:space="preserve">At the </w:t>
      </w:r>
      <w:r w:rsidRPr="002B5C9C">
        <w:rPr>
          <w:rFonts w:ascii="Arial" w:hAnsi="Arial" w:cs="Arial"/>
          <w:sz w:val="22"/>
          <w:szCs w:val="22"/>
        </w:rPr>
        <w:t>November</w:t>
      </w:r>
      <w:r>
        <w:rPr>
          <w:rFonts w:ascii="Arial" w:hAnsi="Arial" w:cs="Arial"/>
          <w:sz w:val="22"/>
          <w:szCs w:val="22"/>
        </w:rPr>
        <w:t xml:space="preserve"> 2015 meeting, the</w:t>
      </w:r>
      <w:r w:rsidRPr="002B5C9C">
        <w:rPr>
          <w:rFonts w:ascii="Arial" w:hAnsi="Arial" w:cs="Arial"/>
          <w:sz w:val="22"/>
          <w:szCs w:val="22"/>
        </w:rPr>
        <w:t xml:space="preserve"> PBAC accepted the restriction as proposed by the Secretariat, but considered that a telephone authority would be more appropriate than a streamlined authority. The PBAC considered that leakage into Waldenstrom's Macroglobulinemia was likely.</w:t>
      </w:r>
      <w:r>
        <w:rPr>
          <w:rFonts w:ascii="Arial" w:hAnsi="Arial" w:cs="Arial"/>
          <w:sz w:val="22"/>
          <w:szCs w:val="22"/>
        </w:rPr>
        <w:t xml:space="preserve"> In the </w:t>
      </w:r>
      <w:r w:rsidR="00E77197">
        <w:rPr>
          <w:rFonts w:ascii="Arial" w:hAnsi="Arial" w:cs="Arial"/>
          <w:sz w:val="22"/>
          <w:szCs w:val="22"/>
        </w:rPr>
        <w:t>March 2016 minor re</w:t>
      </w:r>
      <w:r>
        <w:rPr>
          <w:rFonts w:ascii="Arial" w:hAnsi="Arial" w:cs="Arial"/>
          <w:sz w:val="22"/>
          <w:szCs w:val="22"/>
        </w:rPr>
        <w:t>submission, the sponsor did not object to the implementation of a telephone authority and the restriction was updated accordingly</w:t>
      </w:r>
      <w:r w:rsidR="00B65698">
        <w:rPr>
          <w:rFonts w:ascii="Arial" w:hAnsi="Arial" w:cs="Arial"/>
          <w:sz w:val="22"/>
          <w:szCs w:val="22"/>
        </w:rPr>
        <w:t xml:space="preserve"> at that time</w:t>
      </w:r>
      <w:r>
        <w:rPr>
          <w:rFonts w:ascii="Arial" w:hAnsi="Arial" w:cs="Arial"/>
          <w:sz w:val="22"/>
          <w:szCs w:val="22"/>
        </w:rPr>
        <w:t>.</w:t>
      </w:r>
    </w:p>
    <w:p w:rsidR="00B95F72" w:rsidRPr="00882085" w:rsidRDefault="00B95F72" w:rsidP="009B52B4">
      <w:pPr>
        <w:jc w:val="both"/>
        <w:rPr>
          <w:rFonts w:ascii="Arial" w:hAnsi="Arial"/>
          <w:b/>
          <w:sz w:val="22"/>
          <w:szCs w:val="22"/>
        </w:rPr>
      </w:pPr>
    </w:p>
    <w:p w:rsidR="009B52B4" w:rsidRPr="003D4D12" w:rsidRDefault="009B52B4" w:rsidP="004D535B">
      <w:pPr>
        <w:pStyle w:val="Heading1"/>
        <w:numPr>
          <w:ilvl w:val="0"/>
          <w:numId w:val="1"/>
        </w:numPr>
      </w:pPr>
      <w:r w:rsidRPr="00882085">
        <w:t>Background</w:t>
      </w:r>
    </w:p>
    <w:p w:rsidR="003D4D12" w:rsidRPr="003D4D12" w:rsidRDefault="003D4D12" w:rsidP="003D4D12">
      <w:pPr>
        <w:jc w:val="both"/>
        <w:rPr>
          <w:rFonts w:ascii="Arial" w:hAnsi="Arial"/>
          <w:sz w:val="22"/>
          <w:szCs w:val="22"/>
        </w:rPr>
      </w:pPr>
    </w:p>
    <w:p w:rsidR="003D4D12" w:rsidRDefault="003D4D12" w:rsidP="004D535B">
      <w:pPr>
        <w:pStyle w:val="NoSpacing"/>
        <w:numPr>
          <w:ilvl w:val="1"/>
          <w:numId w:val="1"/>
        </w:numPr>
      </w:pPr>
      <w:r w:rsidRPr="00272AEE">
        <w:t>Idelalisib was TGA registered on 9 February 2015 as monotherapy for the treatment of patients with refractory follicular lymphoma, who have received at least two prior systemic therapies.</w:t>
      </w:r>
    </w:p>
    <w:p w:rsidR="003D4D12" w:rsidRDefault="003D4D12" w:rsidP="003D4D12">
      <w:pPr>
        <w:pStyle w:val="ListParagraph"/>
        <w:rPr>
          <w:rFonts w:ascii="Arial" w:hAnsi="Arial"/>
          <w:sz w:val="22"/>
          <w:szCs w:val="22"/>
        </w:rPr>
      </w:pPr>
    </w:p>
    <w:p w:rsidR="003D4D12" w:rsidRDefault="009B52B4" w:rsidP="004D535B">
      <w:pPr>
        <w:pStyle w:val="NoSpacing"/>
        <w:numPr>
          <w:ilvl w:val="1"/>
          <w:numId w:val="1"/>
        </w:numPr>
      </w:pPr>
      <w:r w:rsidRPr="00856BD0">
        <w:t>This item was previously considered at the March 2015</w:t>
      </w:r>
      <w:r>
        <w:t xml:space="preserve">, November 2015, and March 2016 </w:t>
      </w:r>
      <w:r w:rsidRPr="00856BD0">
        <w:t>PBAC meeting</w:t>
      </w:r>
      <w:r>
        <w:t>s</w:t>
      </w:r>
      <w:r w:rsidRPr="00856BD0">
        <w:t>.</w:t>
      </w:r>
      <w:r>
        <w:t xml:space="preserve"> At the November 2015 meeting, the</w:t>
      </w:r>
      <w:r w:rsidRPr="00C97E05">
        <w:t xml:space="preserve"> PBAC deferred its decision for the Authority Required listing of idelalisib </w:t>
      </w:r>
      <w:r>
        <w:t>monotherapy in patients with follicular lymphoma, refractory to rituximab and an alkylating agent,</w:t>
      </w:r>
      <w:r w:rsidRPr="00C97E05">
        <w:t xml:space="preserve"> as idelalisib was not considered to be cost-effective at the price proposed.</w:t>
      </w:r>
    </w:p>
    <w:p w:rsidR="003D4D12" w:rsidRDefault="003D4D12" w:rsidP="004D535B">
      <w:pPr>
        <w:pStyle w:val="NoSpacing"/>
        <w:ind w:left="720"/>
      </w:pPr>
    </w:p>
    <w:p w:rsidR="009B52B4" w:rsidRPr="008D7B22" w:rsidRDefault="009B52B4" w:rsidP="004D535B">
      <w:pPr>
        <w:pStyle w:val="NoSpacing"/>
        <w:numPr>
          <w:ilvl w:val="1"/>
          <w:numId w:val="1"/>
        </w:numPr>
      </w:pPr>
      <w:r>
        <w:t>The decision to list for the aforementioned indication was again deferred at the March 2016 PBAC meeting to allow the committee to seek additional information from the Sponsor regarding emerging safety concerns in</w:t>
      </w:r>
      <w:r w:rsidR="00CB067E" w:rsidRPr="00CB067E">
        <w:t xml:space="preserve"> phase 3 clinical trials of idelalisib as identified by</w:t>
      </w:r>
      <w:r>
        <w:t xml:space="preserve"> the EU and US </w:t>
      </w:r>
      <w:r w:rsidR="00CB067E">
        <w:t xml:space="preserve">drug </w:t>
      </w:r>
      <w:r>
        <w:t>regulatory agencies.</w:t>
      </w:r>
    </w:p>
    <w:p w:rsidR="00B95F72" w:rsidRPr="00882085" w:rsidRDefault="00B95F72" w:rsidP="009B52B4">
      <w:pPr>
        <w:jc w:val="both"/>
        <w:rPr>
          <w:rFonts w:ascii="Arial" w:hAnsi="Arial"/>
          <w:b/>
          <w:sz w:val="22"/>
          <w:szCs w:val="22"/>
        </w:rPr>
      </w:pPr>
    </w:p>
    <w:p w:rsidR="00887E92" w:rsidRPr="00882085" w:rsidRDefault="00887E92" w:rsidP="00887E92">
      <w:pPr>
        <w:pStyle w:val="Heading1"/>
        <w:numPr>
          <w:ilvl w:val="0"/>
          <w:numId w:val="1"/>
        </w:numPr>
      </w:pPr>
      <w:r>
        <w:t>Consideration of the evidence</w:t>
      </w:r>
    </w:p>
    <w:p w:rsidR="00887E92" w:rsidRDefault="00887E92" w:rsidP="00887E92">
      <w:pPr>
        <w:jc w:val="both"/>
      </w:pPr>
    </w:p>
    <w:p w:rsidR="00887E92" w:rsidRPr="00357BBA" w:rsidRDefault="00887E92" w:rsidP="009548BA">
      <w:pPr>
        <w:pStyle w:val="Heading2"/>
        <w:rPr>
          <w:snapToGrid w:val="0"/>
        </w:rPr>
      </w:pPr>
      <w:r w:rsidRPr="00357BBA">
        <w:rPr>
          <w:snapToGrid w:val="0"/>
        </w:rPr>
        <w:t>Sponsor hearing</w:t>
      </w:r>
    </w:p>
    <w:p w:rsidR="00887E92" w:rsidRPr="00357BBA" w:rsidRDefault="00887E92" w:rsidP="00887E92">
      <w:pPr>
        <w:rPr>
          <w:rFonts w:ascii="Arial" w:hAnsi="Arial" w:cs="Arial"/>
          <w:b/>
          <w:bCs/>
          <w:i/>
          <w:snapToGrid w:val="0"/>
          <w:sz w:val="22"/>
          <w:szCs w:val="22"/>
          <w:highlight w:val="yellow"/>
        </w:rPr>
      </w:pPr>
    </w:p>
    <w:p w:rsidR="00887E92" w:rsidRDefault="00887E92" w:rsidP="00887E92">
      <w:pPr>
        <w:pStyle w:val="ListParagraph"/>
        <w:numPr>
          <w:ilvl w:val="1"/>
          <w:numId w:val="1"/>
        </w:numPr>
        <w:jc w:val="both"/>
        <w:rPr>
          <w:rFonts w:ascii="Arial" w:hAnsi="Arial"/>
          <w:sz w:val="22"/>
          <w:szCs w:val="22"/>
        </w:rPr>
      </w:pPr>
      <w:r w:rsidRPr="00F1150D">
        <w:rPr>
          <w:rFonts w:ascii="Arial" w:hAnsi="Arial"/>
          <w:sz w:val="22"/>
          <w:szCs w:val="22"/>
        </w:rPr>
        <w:t>There was no hearing for this item as it was a minor submission.</w:t>
      </w:r>
    </w:p>
    <w:p w:rsidR="00887E92" w:rsidRDefault="00887E92" w:rsidP="00887E92">
      <w:pPr>
        <w:rPr>
          <w:rFonts w:ascii="Arial" w:hAnsi="Arial" w:cs="Arial"/>
          <w:b/>
          <w:bCs/>
          <w:snapToGrid w:val="0"/>
          <w:sz w:val="22"/>
          <w:szCs w:val="22"/>
          <w:highlight w:val="yellow"/>
        </w:rPr>
      </w:pPr>
    </w:p>
    <w:p w:rsidR="00887E92" w:rsidRPr="00357BBA" w:rsidRDefault="00887E92" w:rsidP="009548BA">
      <w:pPr>
        <w:pStyle w:val="Heading2"/>
        <w:rPr>
          <w:snapToGrid w:val="0"/>
        </w:rPr>
      </w:pPr>
      <w:r w:rsidRPr="00357BBA">
        <w:rPr>
          <w:snapToGrid w:val="0"/>
        </w:rPr>
        <w:t>Consumer comments</w:t>
      </w:r>
    </w:p>
    <w:p w:rsidR="00887E92" w:rsidRPr="00357BBA" w:rsidRDefault="00887E92" w:rsidP="00887E92">
      <w:pPr>
        <w:rPr>
          <w:rFonts w:ascii="Arial" w:hAnsi="Arial" w:cs="Arial"/>
          <w:b/>
          <w:bCs/>
          <w:i/>
          <w:snapToGrid w:val="0"/>
          <w:sz w:val="22"/>
          <w:szCs w:val="22"/>
          <w:highlight w:val="yellow"/>
        </w:rPr>
      </w:pPr>
    </w:p>
    <w:p w:rsidR="00887E92" w:rsidRPr="0007015B" w:rsidRDefault="00887E92" w:rsidP="00887E92">
      <w:pPr>
        <w:pStyle w:val="ListParagraph"/>
        <w:numPr>
          <w:ilvl w:val="1"/>
          <w:numId w:val="1"/>
        </w:numPr>
        <w:jc w:val="both"/>
        <w:rPr>
          <w:rFonts w:ascii="Arial" w:hAnsi="Arial"/>
          <w:sz w:val="22"/>
          <w:szCs w:val="22"/>
        </w:rPr>
      </w:pPr>
      <w:r w:rsidRPr="0007015B">
        <w:rPr>
          <w:rFonts w:ascii="Arial" w:hAnsi="Arial"/>
          <w:sz w:val="22"/>
          <w:szCs w:val="22"/>
        </w:rPr>
        <w:t>T</w:t>
      </w:r>
      <w:r w:rsidR="0007015B" w:rsidRPr="0007015B">
        <w:rPr>
          <w:rFonts w:ascii="Arial" w:hAnsi="Arial" w:cs="Arial"/>
          <w:bCs/>
          <w:snapToGrid w:val="0"/>
          <w:sz w:val="22"/>
          <w:szCs w:val="22"/>
        </w:rPr>
        <w:t xml:space="preserve">he PBAC noted and welcomed the input from </w:t>
      </w:r>
      <w:r w:rsidR="00E87617">
        <w:rPr>
          <w:rFonts w:ascii="Arial" w:hAnsi="Arial" w:cs="Arial"/>
          <w:bCs/>
          <w:snapToGrid w:val="0"/>
          <w:sz w:val="22"/>
          <w:szCs w:val="22"/>
        </w:rPr>
        <w:t>an organisation (1)</w:t>
      </w:r>
      <w:r w:rsidR="0007015B">
        <w:rPr>
          <w:rFonts w:ascii="Arial" w:hAnsi="Arial" w:cs="Arial"/>
          <w:bCs/>
          <w:snapToGrid w:val="0"/>
          <w:sz w:val="22"/>
          <w:szCs w:val="22"/>
        </w:rPr>
        <w:t xml:space="preserve"> </w:t>
      </w:r>
      <w:r w:rsidR="0007015B" w:rsidRPr="0007015B">
        <w:rPr>
          <w:rFonts w:ascii="Arial" w:hAnsi="Arial" w:cs="Arial"/>
          <w:bCs/>
          <w:snapToGrid w:val="0"/>
          <w:sz w:val="22"/>
          <w:szCs w:val="22"/>
        </w:rPr>
        <w:t xml:space="preserve">via the Consumer Comments facility on the PBS website.  The comment </w:t>
      </w:r>
      <w:r w:rsidR="0007015B">
        <w:rPr>
          <w:rFonts w:ascii="Arial" w:hAnsi="Arial" w:cs="Arial"/>
          <w:bCs/>
          <w:snapToGrid w:val="0"/>
          <w:sz w:val="22"/>
          <w:szCs w:val="22"/>
        </w:rPr>
        <w:t xml:space="preserve">reiterated the lack of treatment options for patients with follicular lymphoma and </w:t>
      </w:r>
      <w:r w:rsidR="00E87617">
        <w:rPr>
          <w:rFonts w:ascii="Arial" w:hAnsi="Arial" w:cs="Arial"/>
          <w:bCs/>
          <w:snapToGrid w:val="0"/>
          <w:sz w:val="22"/>
          <w:szCs w:val="22"/>
        </w:rPr>
        <w:t xml:space="preserve">highlighted </w:t>
      </w:r>
      <w:r w:rsidR="0007015B">
        <w:rPr>
          <w:rFonts w:ascii="Arial" w:hAnsi="Arial" w:cs="Arial"/>
          <w:bCs/>
          <w:snapToGrid w:val="0"/>
          <w:sz w:val="22"/>
          <w:szCs w:val="22"/>
        </w:rPr>
        <w:t>the</w:t>
      </w:r>
      <w:r w:rsidR="00E87617">
        <w:rPr>
          <w:rFonts w:ascii="Arial" w:hAnsi="Arial" w:cs="Arial"/>
          <w:bCs/>
          <w:snapToGrid w:val="0"/>
          <w:sz w:val="22"/>
          <w:szCs w:val="22"/>
        </w:rPr>
        <w:t xml:space="preserve"> importance of providing another therapeutic option for these patients. </w:t>
      </w:r>
    </w:p>
    <w:p w:rsidR="00887E92" w:rsidRDefault="00887E92" w:rsidP="007A0984"/>
    <w:p w:rsidR="00887E92" w:rsidRDefault="00887E92" w:rsidP="00887E92">
      <w:pPr>
        <w:pStyle w:val="Heading2"/>
        <w:tabs>
          <w:tab w:val="left" w:pos="2093"/>
        </w:tabs>
      </w:pPr>
      <w:r>
        <w:lastRenderedPageBreak/>
        <w:t>Clinical trials</w:t>
      </w:r>
      <w:r>
        <w:tab/>
      </w:r>
    </w:p>
    <w:p w:rsidR="00887E92" w:rsidRPr="009548BA" w:rsidRDefault="00887E92" w:rsidP="009548BA">
      <w:pPr>
        <w:jc w:val="both"/>
        <w:rPr>
          <w:rFonts w:ascii="Arial" w:hAnsi="Arial"/>
          <w:vanish/>
          <w:sz w:val="22"/>
          <w:szCs w:val="22"/>
        </w:rPr>
      </w:pPr>
    </w:p>
    <w:p w:rsidR="00887E92" w:rsidRDefault="00887E92" w:rsidP="00887E92">
      <w:pPr>
        <w:pStyle w:val="ListParagraph"/>
        <w:numPr>
          <w:ilvl w:val="1"/>
          <w:numId w:val="1"/>
        </w:numPr>
        <w:jc w:val="both"/>
        <w:rPr>
          <w:rFonts w:ascii="Arial" w:hAnsi="Arial"/>
          <w:sz w:val="22"/>
          <w:szCs w:val="22"/>
        </w:rPr>
      </w:pPr>
      <w:r>
        <w:rPr>
          <w:rFonts w:ascii="Arial" w:hAnsi="Arial"/>
          <w:sz w:val="22"/>
          <w:szCs w:val="22"/>
        </w:rPr>
        <w:t>As a minor resubmission, no new clinical trials were presented.</w:t>
      </w:r>
    </w:p>
    <w:p w:rsidR="00E75851" w:rsidRDefault="00E75851" w:rsidP="00E75851">
      <w:pPr>
        <w:pStyle w:val="ListParagraph"/>
        <w:jc w:val="both"/>
        <w:rPr>
          <w:rFonts w:ascii="Arial" w:hAnsi="Arial"/>
          <w:sz w:val="22"/>
          <w:szCs w:val="22"/>
        </w:rPr>
      </w:pPr>
    </w:p>
    <w:p w:rsidR="00887E92" w:rsidRPr="0018327D" w:rsidRDefault="00887E92" w:rsidP="0018327D">
      <w:pPr>
        <w:jc w:val="both"/>
        <w:rPr>
          <w:rFonts w:ascii="Arial" w:hAnsi="Arial"/>
          <w:vanish/>
          <w:sz w:val="22"/>
          <w:szCs w:val="22"/>
        </w:rPr>
      </w:pPr>
    </w:p>
    <w:p w:rsidR="009B52B4" w:rsidRPr="00887E92" w:rsidRDefault="00887E92" w:rsidP="009B52B4">
      <w:pPr>
        <w:pStyle w:val="ListParagraph"/>
        <w:numPr>
          <w:ilvl w:val="1"/>
          <w:numId w:val="1"/>
        </w:numPr>
        <w:jc w:val="both"/>
        <w:rPr>
          <w:rFonts w:ascii="Arial" w:hAnsi="Arial"/>
          <w:sz w:val="22"/>
          <w:szCs w:val="22"/>
        </w:rPr>
      </w:pPr>
      <w:r>
        <w:rPr>
          <w:rFonts w:ascii="Arial" w:hAnsi="Arial"/>
          <w:sz w:val="22"/>
          <w:szCs w:val="22"/>
        </w:rPr>
        <w:t>The resubmission provided information to clarify adverse events for the indication for which listing is being sought.</w:t>
      </w:r>
    </w:p>
    <w:p w:rsidR="009B52B4" w:rsidRPr="00887E92" w:rsidRDefault="009B52B4" w:rsidP="00887E92">
      <w:pPr>
        <w:jc w:val="both"/>
        <w:rPr>
          <w:rFonts w:ascii="Arial" w:hAnsi="Arial"/>
          <w:sz w:val="22"/>
          <w:szCs w:val="22"/>
        </w:rPr>
      </w:pPr>
    </w:p>
    <w:p w:rsidR="0072359F" w:rsidRDefault="009B52B4" w:rsidP="00586602">
      <w:pPr>
        <w:pStyle w:val="NoSpacing"/>
        <w:keepNext/>
        <w:keepLines/>
        <w:numPr>
          <w:ilvl w:val="1"/>
          <w:numId w:val="1"/>
        </w:numPr>
      </w:pPr>
      <w:r>
        <w:t>Serious adverse events for idelalisib were reported in three Phase 3 studies where idelalisib was added to standard the</w:t>
      </w:r>
      <w:r w:rsidR="005C3421">
        <w:t xml:space="preserve">rapies as first line treatment </w:t>
      </w:r>
      <w:r w:rsidR="0072359F">
        <w:t xml:space="preserve">in either CLL (one study) or relapsed refractory indolent NHL, including </w:t>
      </w:r>
      <w:r w:rsidR="0045796B">
        <w:t>follicular lymphoma</w:t>
      </w:r>
      <w:r w:rsidR="0072359F">
        <w:t xml:space="preserve"> (two studies).  In these studies, a higher incidence of SAEs and increased risk of death (7.4% versus 3.5%) was observed among patients receiving idelalisib. The excess deaths were mainly caused by infections, including pneumocystis and cytomegalovirus. </w:t>
      </w:r>
      <w:r>
        <w:t xml:space="preserve">These studies included patients with different disease </w:t>
      </w:r>
      <w:r w:rsidR="0072359F">
        <w:t xml:space="preserve">states and </w:t>
      </w:r>
      <w:r>
        <w:t>characteristics to those covered by the current authorised indications</w:t>
      </w:r>
      <w:r w:rsidR="0072359F">
        <w:t xml:space="preserve"> and studied patients who were less heavily pre-treated than in the trials considered by the PBAC. They also incorporated treatment combinations (bendamustine + rituximab) not currently approved for use as first line therapy for CLL or for second line therapy for indolent NHL.</w:t>
      </w:r>
      <w:r>
        <w:t xml:space="preserve">  The trials </w:t>
      </w:r>
      <w:r w:rsidR="0072359F">
        <w:t xml:space="preserve">studied the </w:t>
      </w:r>
      <w:r>
        <w:t xml:space="preserve">combination of idelalisib, rituximab and bendamustine in patients with previously untreated CLL and relapsed/refractory </w:t>
      </w:r>
      <w:r w:rsidR="0091176A">
        <w:t>i</w:t>
      </w:r>
      <w:r w:rsidR="0072359F">
        <w:t xml:space="preserve">ndolent </w:t>
      </w:r>
      <w:r w:rsidR="0091176A">
        <w:t>NHL</w:t>
      </w:r>
      <w:r>
        <w:t xml:space="preserve">, and a combination of idelalisib with rituximab for patients with relapsed/refractory </w:t>
      </w:r>
      <w:r w:rsidR="0091176A">
        <w:t>i</w:t>
      </w:r>
      <w:r w:rsidR="0072359F">
        <w:t xml:space="preserve">ndolent </w:t>
      </w:r>
      <w:r w:rsidR="0091176A">
        <w:t>NHL</w:t>
      </w:r>
      <w:r>
        <w:t>.</w:t>
      </w:r>
    </w:p>
    <w:p w:rsidR="0072359F" w:rsidRDefault="0072359F" w:rsidP="00810367">
      <w:pPr>
        <w:pStyle w:val="NoSpacing"/>
        <w:keepNext/>
        <w:keepLines/>
        <w:ind w:left="720"/>
      </w:pPr>
    </w:p>
    <w:p w:rsidR="009B52B4" w:rsidRDefault="009B52B4" w:rsidP="00586602">
      <w:pPr>
        <w:pStyle w:val="NoSpacing"/>
        <w:keepNext/>
        <w:keepLines/>
        <w:numPr>
          <w:ilvl w:val="1"/>
          <w:numId w:val="1"/>
        </w:numPr>
      </w:pPr>
      <w:r>
        <w:t xml:space="preserve">The proposed PBS population is </w:t>
      </w:r>
      <w:r w:rsidR="0091176A">
        <w:t xml:space="preserve">as monotherapy </w:t>
      </w:r>
      <w:r>
        <w:t>for patients with Follicular Lymphoma (FL) that is refractory to both rituximab and an alkylating agent</w:t>
      </w:r>
      <w:r w:rsidR="00E77197">
        <w:t>.</w:t>
      </w:r>
      <w:r>
        <w:t xml:space="preserve">  Treatment options for this population are limited. </w:t>
      </w:r>
      <w:r w:rsidR="0045796B">
        <w:t>Infectious complications were observed in the trial previously considered by the P</w:t>
      </w:r>
      <w:r w:rsidR="009548BA">
        <w:t>BAC in support of this listing.</w:t>
      </w:r>
    </w:p>
    <w:p w:rsidR="009B52B4" w:rsidRPr="00864D1F" w:rsidRDefault="009B52B4" w:rsidP="004D535B">
      <w:pPr>
        <w:pStyle w:val="NoSpacing"/>
        <w:ind w:left="720"/>
      </w:pPr>
    </w:p>
    <w:p w:rsidR="009B52B4" w:rsidRDefault="009B52B4" w:rsidP="004D535B">
      <w:pPr>
        <w:pStyle w:val="NoSpacing"/>
        <w:numPr>
          <w:ilvl w:val="1"/>
          <w:numId w:val="1"/>
        </w:numPr>
      </w:pPr>
      <w:r>
        <w:t xml:space="preserve">The new safety signals observed in the recently terminated Phase 3 studies </w:t>
      </w:r>
      <w:r w:rsidR="00632DB8">
        <w:t xml:space="preserve">were </w:t>
      </w:r>
      <w:r>
        <w:t>not identified in</w:t>
      </w:r>
      <w:r w:rsidR="00632DB8">
        <w:t xml:space="preserve"> a</w:t>
      </w:r>
      <w:r>
        <w:t xml:space="preserve"> re-analysis of the clinical trials </w:t>
      </w:r>
      <w:r w:rsidR="0072359F">
        <w:t xml:space="preserve">in CLL and refractory follicular lymphoma </w:t>
      </w:r>
      <w:r>
        <w:t>previously considered by the PBAC in support of the proposed listings.  Therefore the</w:t>
      </w:r>
      <w:r w:rsidR="00632DB8">
        <w:t xml:space="preserve"> s</w:t>
      </w:r>
      <w:r w:rsidR="0091176A">
        <w:t>ubmission</w:t>
      </w:r>
      <w:r w:rsidR="00632DB8">
        <w:t xml:space="preserve"> consider</w:t>
      </w:r>
      <w:r w:rsidR="0091176A">
        <w:t>ed</w:t>
      </w:r>
      <w:r w:rsidR="00632DB8">
        <w:t xml:space="preserve"> that the</w:t>
      </w:r>
      <w:r>
        <w:t xml:space="preserve"> safety data previously considered by the PBAC in November 2015 for the proposed PBS populations remains unchanged</w:t>
      </w:r>
      <w:r w:rsidR="0091176A">
        <w:t xml:space="preserve"> and </w:t>
      </w:r>
      <w:r>
        <w:t>that the overall benefit-risk evaluation for idelalisib remains positive for patients with FL who are refractory to rituximab and alkylating agents.</w:t>
      </w:r>
    </w:p>
    <w:p w:rsidR="00AB25E9" w:rsidRDefault="00AB25E9" w:rsidP="009B52B4">
      <w:pPr>
        <w:jc w:val="both"/>
        <w:rPr>
          <w:rFonts w:ascii="Arial" w:hAnsi="Arial"/>
          <w:sz w:val="22"/>
          <w:szCs w:val="22"/>
        </w:rPr>
      </w:pPr>
    </w:p>
    <w:p w:rsidR="00887E92" w:rsidRPr="001B7DD6" w:rsidRDefault="00887E92" w:rsidP="00887E92">
      <w:pPr>
        <w:pStyle w:val="Heading2"/>
      </w:pPr>
      <w:r w:rsidRPr="001B7DD6">
        <w:t>Drug cost/patient/course: $</w:t>
      </w:r>
      <w:r w:rsidR="00F171BB">
        <w:rPr>
          <w:noProof/>
          <w:color w:val="000000"/>
          <w:highlight w:val="black"/>
        </w:rPr>
        <w:t>''''''''''''''</w:t>
      </w:r>
    </w:p>
    <w:p w:rsidR="00887E92" w:rsidRPr="0036181A" w:rsidRDefault="00887E92" w:rsidP="00887E92">
      <w:pPr>
        <w:pStyle w:val="ListParagraph"/>
        <w:jc w:val="both"/>
        <w:rPr>
          <w:rFonts w:ascii="Arial" w:hAnsi="Arial"/>
          <w:sz w:val="22"/>
          <w:szCs w:val="22"/>
        </w:rPr>
      </w:pPr>
    </w:p>
    <w:p w:rsidR="00887E92" w:rsidRPr="00223360" w:rsidRDefault="00887E92" w:rsidP="00887E92">
      <w:pPr>
        <w:pStyle w:val="ListParagraph"/>
        <w:numPr>
          <w:ilvl w:val="1"/>
          <w:numId w:val="1"/>
        </w:numPr>
        <w:jc w:val="both"/>
        <w:rPr>
          <w:rFonts w:ascii="Arial" w:hAnsi="Arial"/>
          <w:sz w:val="22"/>
          <w:szCs w:val="22"/>
        </w:rPr>
      </w:pPr>
      <w:r w:rsidRPr="00223360">
        <w:rPr>
          <w:rFonts w:ascii="Arial" w:hAnsi="Arial"/>
          <w:sz w:val="22"/>
          <w:szCs w:val="22"/>
        </w:rPr>
        <w:t>This was based on a mean duration of treatment of 11.4 months (mean progression free survival duration estimated in the economic model, November 2015 resubmission), 92.7% dose intensity, and cost of $</w:t>
      </w:r>
      <w:r w:rsidR="00F171BB">
        <w:rPr>
          <w:rFonts w:ascii="Arial" w:hAnsi="Arial"/>
          <w:noProof/>
          <w:color w:val="000000"/>
          <w:sz w:val="22"/>
          <w:szCs w:val="22"/>
          <w:highlight w:val="black"/>
        </w:rPr>
        <w:t>'''''''''''''''''''</w:t>
      </w:r>
      <w:r w:rsidR="00301136">
        <w:rPr>
          <w:rFonts w:ascii="Arial" w:hAnsi="Arial"/>
          <w:sz w:val="22"/>
          <w:szCs w:val="22"/>
        </w:rPr>
        <w:t xml:space="preserve"> per pack</w:t>
      </w:r>
      <w:r w:rsidRPr="00223360">
        <w:rPr>
          <w:rFonts w:ascii="Arial" w:hAnsi="Arial"/>
          <w:sz w:val="22"/>
          <w:szCs w:val="22"/>
        </w:rPr>
        <w:t>.</w:t>
      </w:r>
    </w:p>
    <w:p w:rsidR="009B52B4" w:rsidRDefault="009B52B4" w:rsidP="009B52B4">
      <w:pPr>
        <w:jc w:val="both"/>
        <w:rPr>
          <w:rFonts w:ascii="Arial" w:hAnsi="Arial"/>
          <w:sz w:val="22"/>
          <w:szCs w:val="22"/>
        </w:rPr>
      </w:pPr>
    </w:p>
    <w:p w:rsidR="00AB25E9" w:rsidRPr="00882085" w:rsidRDefault="00AB25E9" w:rsidP="009B52B4">
      <w:pPr>
        <w:jc w:val="both"/>
        <w:rPr>
          <w:rFonts w:ascii="Arial" w:hAnsi="Arial"/>
          <w:sz w:val="22"/>
          <w:szCs w:val="22"/>
        </w:rPr>
      </w:pPr>
    </w:p>
    <w:p w:rsidR="00AB25E9" w:rsidRPr="009548BA" w:rsidRDefault="00AB25E9" w:rsidP="009548BA">
      <w:pPr>
        <w:pStyle w:val="Heading1"/>
        <w:numPr>
          <w:ilvl w:val="0"/>
          <w:numId w:val="1"/>
        </w:numPr>
      </w:pPr>
      <w:r w:rsidRPr="009548BA">
        <w:t>PBAC Outcome</w:t>
      </w:r>
    </w:p>
    <w:p w:rsidR="00AB25E9" w:rsidRPr="00163412" w:rsidRDefault="00AB25E9" w:rsidP="00AB25E9">
      <w:pPr>
        <w:widowControl w:val="0"/>
        <w:jc w:val="both"/>
        <w:rPr>
          <w:rFonts w:ascii="Arial" w:hAnsi="Arial" w:cs="Arial"/>
          <w:b/>
          <w:bCs/>
          <w:snapToGrid w:val="0"/>
          <w:sz w:val="22"/>
          <w:szCs w:val="20"/>
          <w:lang w:val="en-GB"/>
        </w:rPr>
      </w:pPr>
    </w:p>
    <w:p w:rsidR="00AB25E9" w:rsidRPr="00163412" w:rsidRDefault="00273A9A" w:rsidP="00AB25E9">
      <w:pPr>
        <w:widowControl w:val="0"/>
        <w:numPr>
          <w:ilvl w:val="1"/>
          <w:numId w:val="1"/>
        </w:numPr>
        <w:jc w:val="both"/>
        <w:rPr>
          <w:rFonts w:ascii="Arial" w:hAnsi="Arial" w:cs="Arial"/>
          <w:bCs/>
          <w:snapToGrid w:val="0"/>
          <w:sz w:val="22"/>
          <w:szCs w:val="20"/>
          <w:lang w:val="en-GB"/>
        </w:rPr>
      </w:pPr>
      <w:r w:rsidRPr="00163412">
        <w:rPr>
          <w:rFonts w:ascii="Arial" w:hAnsi="Arial" w:cs="Arial"/>
          <w:bCs/>
          <w:snapToGrid w:val="0"/>
          <w:sz w:val="22"/>
          <w:szCs w:val="20"/>
          <w:lang w:val="en-GB"/>
        </w:rPr>
        <w:t>The PBAC recommended the Authority Required listing of idelalisib as monotherapy for the treatment of follicular B-cell non-Hodgkin’s lymphoma</w:t>
      </w:r>
      <w:r w:rsidR="008C08BF">
        <w:rPr>
          <w:rFonts w:ascii="Arial" w:hAnsi="Arial" w:cs="Arial"/>
          <w:bCs/>
          <w:snapToGrid w:val="0"/>
          <w:sz w:val="22"/>
          <w:szCs w:val="20"/>
          <w:lang w:val="en-GB"/>
        </w:rPr>
        <w:t xml:space="preserve"> that is refractory to both rituximab and an alkylating agent</w:t>
      </w:r>
      <w:r w:rsidRPr="00163412">
        <w:rPr>
          <w:rFonts w:ascii="Arial" w:hAnsi="Arial" w:cs="Arial"/>
          <w:bCs/>
          <w:snapToGrid w:val="0"/>
          <w:sz w:val="22"/>
          <w:szCs w:val="20"/>
          <w:lang w:val="en-GB"/>
        </w:rPr>
        <w:t>. The PBAC was satisfied that idelalisib provides, for some patients, a significant improvement in efficacy over best supportive care.</w:t>
      </w:r>
    </w:p>
    <w:p w:rsidR="00273A9A" w:rsidRPr="00163412" w:rsidRDefault="00273A9A" w:rsidP="00273A9A">
      <w:pPr>
        <w:widowControl w:val="0"/>
        <w:ind w:left="720"/>
        <w:jc w:val="both"/>
        <w:rPr>
          <w:rFonts w:ascii="Arial" w:hAnsi="Arial" w:cs="Arial"/>
          <w:bCs/>
          <w:snapToGrid w:val="0"/>
          <w:sz w:val="22"/>
          <w:szCs w:val="20"/>
          <w:lang w:val="en-GB"/>
        </w:rPr>
      </w:pPr>
    </w:p>
    <w:p w:rsidR="00010E90" w:rsidRPr="00010E90" w:rsidRDefault="00F01A00" w:rsidP="00010E90">
      <w:pPr>
        <w:widowControl w:val="0"/>
        <w:numPr>
          <w:ilvl w:val="1"/>
          <w:numId w:val="1"/>
        </w:numPr>
        <w:jc w:val="both"/>
        <w:rPr>
          <w:rFonts w:ascii="Arial" w:hAnsi="Arial" w:cs="Arial"/>
          <w:bCs/>
          <w:snapToGrid w:val="0"/>
          <w:sz w:val="22"/>
          <w:szCs w:val="20"/>
          <w:lang w:val="en-GB"/>
        </w:rPr>
      </w:pPr>
      <w:r w:rsidRPr="00F01A00">
        <w:rPr>
          <w:rFonts w:ascii="Arial" w:hAnsi="Arial" w:cs="Arial"/>
          <w:bCs/>
          <w:snapToGrid w:val="0"/>
          <w:sz w:val="22"/>
          <w:szCs w:val="20"/>
          <w:lang w:val="en-GB"/>
        </w:rPr>
        <w:t>The PBAC reiterated that there is a high unmet clinical need for an effective treatment for patients with double-refractory follicular lymphoma, considering that the benefits are expected to outweigh the risks of significant toxicity</w:t>
      </w:r>
      <w:r>
        <w:rPr>
          <w:rFonts w:ascii="Arial" w:hAnsi="Arial" w:cs="Arial"/>
          <w:bCs/>
          <w:snapToGrid w:val="0"/>
          <w:sz w:val="22"/>
          <w:szCs w:val="20"/>
          <w:lang w:val="en-GB"/>
        </w:rPr>
        <w:t xml:space="preserve"> in this patient population</w:t>
      </w:r>
      <w:r w:rsidRPr="00F01A00">
        <w:rPr>
          <w:rFonts w:ascii="Arial" w:hAnsi="Arial" w:cs="Arial"/>
          <w:bCs/>
          <w:snapToGrid w:val="0"/>
          <w:sz w:val="22"/>
          <w:szCs w:val="20"/>
          <w:lang w:val="en-GB"/>
        </w:rPr>
        <w:t xml:space="preserve">. </w:t>
      </w:r>
    </w:p>
    <w:p w:rsidR="00010E90" w:rsidRPr="00F01A00" w:rsidRDefault="00010E90" w:rsidP="00010E90">
      <w:pPr>
        <w:widowControl w:val="0"/>
        <w:jc w:val="both"/>
        <w:rPr>
          <w:rFonts w:ascii="Arial" w:hAnsi="Arial" w:cs="Arial"/>
          <w:bCs/>
          <w:snapToGrid w:val="0"/>
          <w:sz w:val="22"/>
          <w:szCs w:val="20"/>
          <w:lang w:val="en-GB"/>
        </w:rPr>
      </w:pPr>
    </w:p>
    <w:p w:rsidR="006C5674" w:rsidRDefault="00273A9A" w:rsidP="005C3421">
      <w:pPr>
        <w:widowControl w:val="0"/>
        <w:numPr>
          <w:ilvl w:val="1"/>
          <w:numId w:val="1"/>
        </w:numPr>
        <w:jc w:val="both"/>
        <w:rPr>
          <w:rFonts w:ascii="Arial" w:hAnsi="Arial" w:cs="Arial"/>
          <w:bCs/>
          <w:snapToGrid w:val="0"/>
          <w:sz w:val="22"/>
          <w:szCs w:val="20"/>
          <w:lang w:val="en-GB"/>
        </w:rPr>
      </w:pPr>
      <w:r w:rsidRPr="00163412">
        <w:rPr>
          <w:rFonts w:ascii="Arial" w:hAnsi="Arial" w:cs="Arial"/>
          <w:sz w:val="22"/>
        </w:rPr>
        <w:t xml:space="preserve">The PBAC acknowledged that the safety signals observed in the Phase 3 trials, resulting in the March 2016 submission deferral, were not identified in a re-analysis of the clinical trial </w:t>
      </w:r>
      <w:r w:rsidR="0045796B" w:rsidRPr="0045796B">
        <w:rPr>
          <w:rFonts w:ascii="Arial" w:hAnsi="Arial" w:cs="Arial"/>
          <w:sz w:val="22"/>
        </w:rPr>
        <w:t xml:space="preserve">in CLL </w:t>
      </w:r>
      <w:r w:rsidR="000503D2" w:rsidRPr="0045796B">
        <w:rPr>
          <w:rFonts w:ascii="Arial" w:hAnsi="Arial" w:cs="Arial"/>
          <w:sz w:val="22"/>
        </w:rPr>
        <w:t xml:space="preserve">and refractory follicular lymphoma </w:t>
      </w:r>
      <w:r w:rsidRPr="00163412">
        <w:rPr>
          <w:rFonts w:ascii="Arial" w:hAnsi="Arial" w:cs="Arial"/>
          <w:sz w:val="22"/>
        </w:rPr>
        <w:t>that have been considered by the PBAC in the support of the proposed</w:t>
      </w:r>
      <w:r>
        <w:rPr>
          <w:rFonts w:ascii="Arial" w:hAnsi="Arial" w:cs="Arial"/>
          <w:sz w:val="22"/>
        </w:rPr>
        <w:t xml:space="preserve"> listing. </w:t>
      </w:r>
      <w:r w:rsidRPr="00DB2A6A">
        <w:rPr>
          <w:rFonts w:ascii="Arial" w:hAnsi="Arial" w:cs="Arial"/>
          <w:sz w:val="22"/>
        </w:rPr>
        <w:t>However,</w:t>
      </w:r>
      <w:r>
        <w:rPr>
          <w:rFonts w:ascii="Arial" w:hAnsi="Arial" w:cs="Arial"/>
          <w:sz w:val="22"/>
        </w:rPr>
        <w:t xml:space="preserve"> </w:t>
      </w:r>
      <w:r w:rsidR="000503D2">
        <w:rPr>
          <w:rFonts w:ascii="Arial" w:hAnsi="Arial" w:cs="Arial"/>
          <w:sz w:val="22"/>
        </w:rPr>
        <w:t xml:space="preserve">it considered that the single arm nature of the follicular lymphoma trial made identification of an excess toxicity signal difficult. Further, the PBAC noted that </w:t>
      </w:r>
      <w:r>
        <w:rPr>
          <w:rFonts w:ascii="Arial" w:hAnsi="Arial" w:cs="Arial"/>
          <w:sz w:val="22"/>
        </w:rPr>
        <w:t>the TGA is still undertaking an evaluat</w:t>
      </w:r>
      <w:r w:rsidR="009F2A46">
        <w:rPr>
          <w:rFonts w:ascii="Arial" w:hAnsi="Arial" w:cs="Arial"/>
          <w:sz w:val="22"/>
        </w:rPr>
        <w:t xml:space="preserve">ion of the safety of idelalisib, </w:t>
      </w:r>
      <w:r w:rsidR="00F01A00">
        <w:rPr>
          <w:rFonts w:ascii="Arial" w:hAnsi="Arial" w:cs="Arial"/>
          <w:sz w:val="22"/>
        </w:rPr>
        <w:t xml:space="preserve">and that there were more safety concerns with </w:t>
      </w:r>
      <w:r w:rsidR="005C3421">
        <w:rPr>
          <w:rFonts w:ascii="Arial" w:hAnsi="Arial" w:cs="Arial"/>
          <w:sz w:val="22"/>
        </w:rPr>
        <w:t xml:space="preserve">the </w:t>
      </w:r>
      <w:r w:rsidR="00F01A00">
        <w:rPr>
          <w:rFonts w:ascii="Arial" w:hAnsi="Arial" w:cs="Arial"/>
          <w:sz w:val="22"/>
        </w:rPr>
        <w:t>use of idelalisib in follicular lymphoma than in chronic lymphocytic lymphoma</w:t>
      </w:r>
      <w:r w:rsidR="000503D2">
        <w:rPr>
          <w:rFonts w:ascii="Arial" w:hAnsi="Arial" w:cs="Arial"/>
          <w:sz w:val="22"/>
        </w:rPr>
        <w:t xml:space="preserve">. Consequently, </w:t>
      </w:r>
      <w:r w:rsidR="009F2A46">
        <w:rPr>
          <w:rFonts w:ascii="Arial" w:hAnsi="Arial" w:cs="Arial"/>
          <w:sz w:val="22"/>
        </w:rPr>
        <w:t>t</w:t>
      </w:r>
      <w:r w:rsidRPr="00DB2A6A">
        <w:rPr>
          <w:rFonts w:ascii="Arial" w:hAnsi="Arial" w:cs="Arial"/>
          <w:sz w:val="22"/>
        </w:rPr>
        <w:t xml:space="preserve">he </w:t>
      </w:r>
      <w:r>
        <w:rPr>
          <w:rFonts w:ascii="Arial" w:hAnsi="Arial" w:cs="Arial"/>
          <w:sz w:val="22"/>
        </w:rPr>
        <w:t>C</w:t>
      </w:r>
      <w:r w:rsidRPr="00DB2A6A">
        <w:rPr>
          <w:rFonts w:ascii="Arial" w:hAnsi="Arial" w:cs="Arial"/>
          <w:sz w:val="22"/>
        </w:rPr>
        <w:t xml:space="preserve">ommittee </w:t>
      </w:r>
      <w:r>
        <w:rPr>
          <w:rFonts w:ascii="Arial" w:hAnsi="Arial" w:cs="Arial"/>
          <w:sz w:val="22"/>
        </w:rPr>
        <w:t>considered that the concerns around toxicity remain</w:t>
      </w:r>
      <w:r w:rsidR="005C3421">
        <w:rPr>
          <w:rFonts w:ascii="Arial" w:hAnsi="Arial" w:cs="Arial"/>
          <w:sz w:val="22"/>
        </w:rPr>
        <w:t xml:space="preserve">. To address this concern, the PBAC </w:t>
      </w:r>
      <w:r w:rsidR="00D81D48">
        <w:rPr>
          <w:rFonts w:ascii="Arial" w:hAnsi="Arial" w:cs="Arial"/>
          <w:bCs/>
          <w:snapToGrid w:val="0"/>
          <w:sz w:val="22"/>
          <w:szCs w:val="20"/>
          <w:lang w:val="en-GB"/>
        </w:rPr>
        <w:t>recommended</w:t>
      </w:r>
      <w:r w:rsidR="00FE0BF6">
        <w:rPr>
          <w:rFonts w:ascii="Arial" w:hAnsi="Arial" w:cs="Arial"/>
          <w:bCs/>
          <w:snapToGrid w:val="0"/>
          <w:sz w:val="22"/>
          <w:szCs w:val="20"/>
          <w:lang w:val="en-GB"/>
        </w:rPr>
        <w:t xml:space="preserve"> that PBS</w:t>
      </w:r>
      <w:r w:rsidR="00F01A00">
        <w:rPr>
          <w:rFonts w:ascii="Arial" w:hAnsi="Arial" w:cs="Arial"/>
          <w:bCs/>
          <w:snapToGrid w:val="0"/>
          <w:sz w:val="22"/>
          <w:szCs w:val="20"/>
          <w:lang w:val="en-GB"/>
        </w:rPr>
        <w:t xml:space="preserve"> listing </w:t>
      </w:r>
      <w:r w:rsidR="005C3421">
        <w:rPr>
          <w:rFonts w:ascii="Arial" w:hAnsi="Arial" w:cs="Arial"/>
          <w:bCs/>
          <w:snapToGrid w:val="0"/>
          <w:sz w:val="22"/>
          <w:szCs w:val="20"/>
          <w:lang w:val="en-GB"/>
        </w:rPr>
        <w:t>of idelalisib for</w:t>
      </w:r>
      <w:r w:rsidR="00F01A00">
        <w:rPr>
          <w:rFonts w:ascii="Arial" w:hAnsi="Arial" w:cs="Arial"/>
          <w:bCs/>
          <w:snapToGrid w:val="0"/>
          <w:sz w:val="22"/>
          <w:szCs w:val="20"/>
          <w:lang w:val="en-GB"/>
        </w:rPr>
        <w:t xml:space="preserve"> this indication should not proceed until further </w:t>
      </w:r>
      <w:r w:rsidR="005C3421">
        <w:rPr>
          <w:rFonts w:ascii="Arial" w:hAnsi="Arial" w:cs="Arial"/>
          <w:bCs/>
          <w:snapToGrid w:val="0"/>
          <w:sz w:val="22"/>
          <w:szCs w:val="20"/>
          <w:lang w:val="en-GB"/>
        </w:rPr>
        <w:t xml:space="preserve">safety </w:t>
      </w:r>
      <w:r w:rsidR="00F01A00">
        <w:rPr>
          <w:rFonts w:ascii="Arial" w:hAnsi="Arial" w:cs="Arial"/>
          <w:bCs/>
          <w:snapToGrid w:val="0"/>
          <w:sz w:val="22"/>
          <w:szCs w:val="20"/>
          <w:lang w:val="en-GB"/>
        </w:rPr>
        <w:t>advice from the TGA is available.</w:t>
      </w:r>
    </w:p>
    <w:p w:rsidR="00010E90" w:rsidRPr="00F01A00" w:rsidRDefault="00010E90" w:rsidP="00010E90">
      <w:pPr>
        <w:widowControl w:val="0"/>
        <w:ind w:left="709"/>
        <w:jc w:val="both"/>
        <w:rPr>
          <w:rFonts w:ascii="Arial" w:hAnsi="Arial" w:cs="Arial"/>
          <w:bCs/>
          <w:snapToGrid w:val="0"/>
          <w:sz w:val="22"/>
          <w:szCs w:val="20"/>
          <w:lang w:val="en-GB"/>
        </w:rPr>
      </w:pPr>
    </w:p>
    <w:p w:rsidR="006C5674" w:rsidRDefault="00273A9A" w:rsidP="006C5674">
      <w:pPr>
        <w:widowControl w:val="0"/>
        <w:numPr>
          <w:ilvl w:val="1"/>
          <w:numId w:val="1"/>
        </w:numPr>
        <w:jc w:val="both"/>
        <w:rPr>
          <w:rFonts w:ascii="Arial" w:hAnsi="Arial" w:cs="Arial"/>
          <w:noProof/>
          <w:sz w:val="22"/>
        </w:rPr>
      </w:pPr>
      <w:r w:rsidRPr="00010E90">
        <w:rPr>
          <w:rFonts w:ascii="Arial" w:hAnsi="Arial" w:cs="Arial"/>
          <w:noProof/>
          <w:sz w:val="22"/>
        </w:rPr>
        <w:t xml:space="preserve">The PBAC agreed with the proposed restriction from the March 2016 </w:t>
      </w:r>
      <w:r w:rsidR="00FE0BF6" w:rsidRPr="00010E90">
        <w:rPr>
          <w:rFonts w:ascii="Arial" w:hAnsi="Arial" w:cs="Arial"/>
          <w:noProof/>
          <w:sz w:val="22"/>
        </w:rPr>
        <w:t>submission</w:t>
      </w:r>
      <w:r w:rsidRPr="00010E90">
        <w:rPr>
          <w:rFonts w:ascii="Arial" w:hAnsi="Arial" w:cs="Arial"/>
          <w:noProof/>
          <w:sz w:val="22"/>
        </w:rPr>
        <w:t xml:space="preserve">, however considered it </w:t>
      </w:r>
      <w:r w:rsidR="000503D2">
        <w:rPr>
          <w:rFonts w:ascii="Arial" w:hAnsi="Arial" w:cs="Arial"/>
          <w:noProof/>
          <w:sz w:val="22"/>
        </w:rPr>
        <w:t xml:space="preserve">now </w:t>
      </w:r>
      <w:r w:rsidRPr="00010E90">
        <w:rPr>
          <w:rFonts w:ascii="Arial" w:hAnsi="Arial" w:cs="Arial"/>
          <w:noProof/>
          <w:sz w:val="22"/>
        </w:rPr>
        <w:t xml:space="preserve">appropriate for idelalisib </w:t>
      </w:r>
      <w:r w:rsidR="000503D2">
        <w:rPr>
          <w:rFonts w:ascii="Arial" w:hAnsi="Arial" w:cs="Arial"/>
          <w:noProof/>
          <w:sz w:val="22"/>
        </w:rPr>
        <w:t xml:space="preserve">listing </w:t>
      </w:r>
      <w:r w:rsidRPr="00010E90">
        <w:rPr>
          <w:rFonts w:ascii="Arial" w:hAnsi="Arial" w:cs="Arial"/>
          <w:noProof/>
          <w:sz w:val="22"/>
        </w:rPr>
        <w:t xml:space="preserve">to </w:t>
      </w:r>
      <w:r w:rsidR="000503D2">
        <w:rPr>
          <w:rFonts w:ascii="Arial" w:hAnsi="Arial" w:cs="Arial"/>
          <w:noProof/>
          <w:sz w:val="22"/>
        </w:rPr>
        <w:t>require</w:t>
      </w:r>
      <w:r w:rsidR="000503D2" w:rsidRPr="00010E90">
        <w:rPr>
          <w:rFonts w:ascii="Arial" w:hAnsi="Arial" w:cs="Arial"/>
          <w:noProof/>
          <w:sz w:val="22"/>
        </w:rPr>
        <w:t xml:space="preserve"> </w:t>
      </w:r>
      <w:r w:rsidRPr="00010E90">
        <w:rPr>
          <w:rFonts w:ascii="Arial" w:hAnsi="Arial" w:cs="Arial"/>
          <w:noProof/>
          <w:sz w:val="22"/>
        </w:rPr>
        <w:t xml:space="preserve">a written authority as </w:t>
      </w:r>
      <w:r w:rsidR="000503D2">
        <w:rPr>
          <w:rFonts w:ascii="Arial" w:hAnsi="Arial" w:cs="Arial"/>
          <w:noProof/>
          <w:sz w:val="22"/>
        </w:rPr>
        <w:t>a</w:t>
      </w:r>
      <w:r w:rsidRPr="00010E90">
        <w:rPr>
          <w:rFonts w:ascii="Arial" w:hAnsi="Arial" w:cs="Arial"/>
          <w:noProof/>
          <w:sz w:val="22"/>
        </w:rPr>
        <w:t xml:space="preserve"> mechanism </w:t>
      </w:r>
      <w:r w:rsidR="000503D2">
        <w:rPr>
          <w:rFonts w:ascii="Arial" w:hAnsi="Arial" w:cs="Arial"/>
          <w:noProof/>
          <w:sz w:val="22"/>
        </w:rPr>
        <w:t>to</w:t>
      </w:r>
      <w:r w:rsidR="000503D2" w:rsidRPr="00010E90">
        <w:rPr>
          <w:rFonts w:ascii="Arial" w:hAnsi="Arial" w:cs="Arial"/>
          <w:noProof/>
          <w:sz w:val="22"/>
        </w:rPr>
        <w:t xml:space="preserve"> </w:t>
      </w:r>
      <w:r w:rsidRPr="00010E90">
        <w:rPr>
          <w:rFonts w:ascii="Arial" w:hAnsi="Arial" w:cs="Arial"/>
          <w:noProof/>
          <w:sz w:val="22"/>
        </w:rPr>
        <w:t>reduce the risk of patients being inappropriately exposed to potential toxicity.</w:t>
      </w:r>
      <w:r w:rsidR="00F01A00" w:rsidRPr="00010E90">
        <w:rPr>
          <w:rFonts w:ascii="Arial" w:hAnsi="Arial" w:cs="Arial"/>
          <w:noProof/>
          <w:sz w:val="22"/>
        </w:rPr>
        <w:t xml:space="preserve"> The PBAC reiterated that idelalisib should be used last-line in patients with follicular lymphoma, and should only be used as monotherapy.</w:t>
      </w:r>
    </w:p>
    <w:p w:rsidR="006C5674" w:rsidRDefault="006C5674" w:rsidP="006C5674">
      <w:pPr>
        <w:widowControl w:val="0"/>
        <w:ind w:left="720"/>
        <w:jc w:val="both"/>
        <w:rPr>
          <w:rFonts w:ascii="Arial" w:hAnsi="Arial" w:cs="Arial"/>
          <w:noProof/>
          <w:sz w:val="22"/>
        </w:rPr>
      </w:pPr>
    </w:p>
    <w:p w:rsidR="009F2A46" w:rsidRDefault="00F01A00" w:rsidP="006C5674">
      <w:pPr>
        <w:widowControl w:val="0"/>
        <w:numPr>
          <w:ilvl w:val="1"/>
          <w:numId w:val="1"/>
        </w:numPr>
        <w:jc w:val="both"/>
        <w:rPr>
          <w:noProof/>
        </w:rPr>
      </w:pPr>
      <w:r>
        <w:rPr>
          <w:rFonts w:ascii="Arial" w:hAnsi="Arial" w:cs="Arial"/>
          <w:sz w:val="22"/>
        </w:rPr>
        <w:t xml:space="preserve">The PBAC </w:t>
      </w:r>
      <w:r w:rsidR="00905437">
        <w:rPr>
          <w:rFonts w:ascii="Arial" w:hAnsi="Arial"/>
          <w:sz w:val="22"/>
          <w:szCs w:val="22"/>
        </w:rPr>
        <w:t>recalled</w:t>
      </w:r>
      <w:r>
        <w:rPr>
          <w:rFonts w:ascii="Arial" w:hAnsi="Arial"/>
          <w:sz w:val="22"/>
          <w:szCs w:val="22"/>
        </w:rPr>
        <w:t xml:space="preserve"> that</w:t>
      </w:r>
      <w:r w:rsidR="00905437">
        <w:rPr>
          <w:rFonts w:ascii="Arial" w:hAnsi="Arial"/>
          <w:sz w:val="22"/>
          <w:szCs w:val="22"/>
        </w:rPr>
        <w:t xml:space="preserve"> limitations in the data provided in the submissions meant that </w:t>
      </w:r>
      <w:r w:rsidR="005D77B3">
        <w:rPr>
          <w:rFonts w:ascii="Arial" w:hAnsi="Arial"/>
          <w:sz w:val="22"/>
          <w:szCs w:val="22"/>
        </w:rPr>
        <w:t xml:space="preserve">the </w:t>
      </w:r>
      <w:r w:rsidR="00905437">
        <w:rPr>
          <w:rFonts w:ascii="Arial" w:hAnsi="Arial"/>
          <w:sz w:val="22"/>
          <w:szCs w:val="22"/>
        </w:rPr>
        <w:t>comparative efficacy could not be estimated and the magnitude of any incremental benefit was highly uncertain. However, recognising</w:t>
      </w:r>
      <w:r w:rsidR="005D77B3">
        <w:rPr>
          <w:rFonts w:ascii="Arial" w:hAnsi="Arial"/>
          <w:sz w:val="22"/>
          <w:szCs w:val="22"/>
        </w:rPr>
        <w:t xml:space="preserve"> the need for a treatment option for this cohort of patient</w:t>
      </w:r>
      <w:r w:rsidR="008C08BF">
        <w:rPr>
          <w:rFonts w:ascii="Arial" w:hAnsi="Arial"/>
          <w:sz w:val="22"/>
          <w:szCs w:val="22"/>
        </w:rPr>
        <w:t>s,</w:t>
      </w:r>
      <w:r w:rsidR="00905437">
        <w:rPr>
          <w:rFonts w:ascii="Arial" w:hAnsi="Arial"/>
          <w:sz w:val="22"/>
          <w:szCs w:val="22"/>
        </w:rPr>
        <w:t xml:space="preserve"> on balance</w:t>
      </w:r>
      <w:r w:rsidR="008C08BF">
        <w:rPr>
          <w:rFonts w:ascii="Arial" w:hAnsi="Arial"/>
          <w:sz w:val="22"/>
          <w:szCs w:val="22"/>
        </w:rPr>
        <w:t xml:space="preserve"> the PBAC</w:t>
      </w:r>
      <w:r w:rsidR="00905437">
        <w:rPr>
          <w:rFonts w:ascii="Arial" w:hAnsi="Arial"/>
          <w:sz w:val="22"/>
          <w:szCs w:val="22"/>
        </w:rPr>
        <w:t xml:space="preserve"> considered that idelalisib is clinically effective as a last-line treatment option. </w:t>
      </w:r>
    </w:p>
    <w:p w:rsidR="001B3509" w:rsidRDefault="001B3509" w:rsidP="001B3509">
      <w:pPr>
        <w:pStyle w:val="ListParagraph"/>
        <w:rPr>
          <w:rFonts w:ascii="Arial" w:hAnsi="Arial"/>
          <w:sz w:val="22"/>
          <w:szCs w:val="22"/>
        </w:rPr>
      </w:pPr>
    </w:p>
    <w:p w:rsidR="000C3D8F" w:rsidRDefault="001B3509" w:rsidP="000C3D8F">
      <w:pPr>
        <w:widowControl w:val="0"/>
        <w:numPr>
          <w:ilvl w:val="1"/>
          <w:numId w:val="1"/>
        </w:numPr>
        <w:jc w:val="both"/>
        <w:rPr>
          <w:rFonts w:ascii="Arial" w:hAnsi="Arial" w:cs="Arial"/>
          <w:bCs/>
          <w:snapToGrid w:val="0"/>
          <w:sz w:val="22"/>
          <w:szCs w:val="20"/>
          <w:lang w:val="en-GB"/>
        </w:rPr>
      </w:pPr>
      <w:r>
        <w:rPr>
          <w:rFonts w:ascii="Arial" w:hAnsi="Arial" w:cs="Arial"/>
          <w:bCs/>
          <w:snapToGrid w:val="0"/>
          <w:sz w:val="22"/>
          <w:szCs w:val="20"/>
          <w:lang w:val="en-GB"/>
        </w:rPr>
        <w:t xml:space="preserve">The PBAC considered the </w:t>
      </w:r>
      <w:r w:rsidR="00FE0BF6">
        <w:rPr>
          <w:rFonts w:ascii="Arial" w:hAnsi="Arial" w:cs="Arial"/>
          <w:bCs/>
          <w:snapToGrid w:val="0"/>
          <w:sz w:val="22"/>
          <w:szCs w:val="20"/>
          <w:lang w:val="en-GB"/>
        </w:rPr>
        <w:t xml:space="preserve">reduced </w:t>
      </w:r>
      <w:r w:rsidR="00411B81">
        <w:rPr>
          <w:rFonts w:ascii="Arial" w:hAnsi="Arial" w:cs="Arial"/>
          <w:bCs/>
          <w:snapToGrid w:val="0"/>
          <w:sz w:val="22"/>
          <w:szCs w:val="20"/>
          <w:lang w:val="en-GB"/>
        </w:rPr>
        <w:t>price offered</w:t>
      </w:r>
      <w:r>
        <w:rPr>
          <w:rFonts w:ascii="Arial" w:hAnsi="Arial" w:cs="Arial"/>
          <w:bCs/>
          <w:snapToGrid w:val="0"/>
          <w:sz w:val="22"/>
          <w:szCs w:val="20"/>
          <w:lang w:val="en-GB"/>
        </w:rPr>
        <w:t xml:space="preserve"> in the March 2016 submission</w:t>
      </w:r>
      <w:r w:rsidR="00FE0BF6">
        <w:rPr>
          <w:rFonts w:ascii="Arial" w:hAnsi="Arial" w:cs="Arial"/>
          <w:bCs/>
          <w:snapToGrid w:val="0"/>
          <w:sz w:val="22"/>
          <w:szCs w:val="20"/>
          <w:lang w:val="en-GB"/>
        </w:rPr>
        <w:t xml:space="preserve"> </w:t>
      </w:r>
      <w:r>
        <w:rPr>
          <w:rFonts w:ascii="Arial" w:hAnsi="Arial" w:cs="Arial"/>
          <w:bCs/>
          <w:snapToGrid w:val="0"/>
          <w:sz w:val="22"/>
          <w:szCs w:val="20"/>
          <w:lang w:val="en-GB"/>
        </w:rPr>
        <w:t xml:space="preserve">was acceptable and likely to be cost-effective.  The PBAC maintained that the ICER remained high but considered this acceptable for this patient population for whom there are few treatment options.  The PBAC also noted that the </w:t>
      </w:r>
      <w:r w:rsidR="006C5674">
        <w:rPr>
          <w:rFonts w:ascii="Arial" w:hAnsi="Arial" w:cs="Arial"/>
          <w:bCs/>
          <w:snapToGrid w:val="0"/>
          <w:sz w:val="22"/>
          <w:szCs w:val="20"/>
          <w:lang w:val="en-GB"/>
        </w:rPr>
        <w:t xml:space="preserve">economic evaluation </w:t>
      </w:r>
      <w:r>
        <w:rPr>
          <w:rFonts w:ascii="Arial" w:hAnsi="Arial" w:cs="Arial"/>
          <w:bCs/>
          <w:snapToGrid w:val="0"/>
          <w:sz w:val="22"/>
          <w:szCs w:val="20"/>
          <w:lang w:val="en-GB"/>
        </w:rPr>
        <w:t xml:space="preserve">did not include the additional </w:t>
      </w:r>
      <w:r w:rsidR="006C5674">
        <w:rPr>
          <w:rFonts w:ascii="Arial" w:hAnsi="Arial" w:cs="Arial"/>
          <w:bCs/>
          <w:snapToGrid w:val="0"/>
          <w:sz w:val="22"/>
          <w:szCs w:val="20"/>
          <w:lang w:val="en-GB"/>
        </w:rPr>
        <w:t>costs associated with the updated safety recommendations</w:t>
      </w:r>
      <w:r>
        <w:rPr>
          <w:rFonts w:ascii="Arial" w:hAnsi="Arial" w:cs="Arial"/>
          <w:bCs/>
          <w:snapToGrid w:val="0"/>
          <w:sz w:val="22"/>
          <w:szCs w:val="20"/>
          <w:lang w:val="en-GB"/>
        </w:rPr>
        <w:t xml:space="preserve"> (</w:t>
      </w:r>
      <w:r w:rsidR="006C5674">
        <w:rPr>
          <w:rFonts w:ascii="Arial" w:hAnsi="Arial" w:cs="Arial"/>
          <w:bCs/>
          <w:i/>
          <w:snapToGrid w:val="0"/>
          <w:sz w:val="22"/>
          <w:szCs w:val="20"/>
          <w:lang w:val="en-GB"/>
        </w:rPr>
        <w:t xml:space="preserve">Pneumocystis jirovecii </w:t>
      </w:r>
      <w:r w:rsidR="006C5674">
        <w:rPr>
          <w:rFonts w:ascii="Arial" w:hAnsi="Arial" w:cs="Arial"/>
          <w:bCs/>
          <w:snapToGrid w:val="0"/>
          <w:sz w:val="22"/>
          <w:szCs w:val="20"/>
          <w:lang w:val="en-GB"/>
        </w:rPr>
        <w:t xml:space="preserve">pneumonia prophylaxis, regular screening for cytomegalovirus, and </w:t>
      </w:r>
      <w:r>
        <w:rPr>
          <w:rFonts w:ascii="Arial" w:hAnsi="Arial" w:cs="Arial"/>
          <w:bCs/>
          <w:snapToGrid w:val="0"/>
          <w:sz w:val="22"/>
          <w:szCs w:val="20"/>
          <w:lang w:val="en-GB"/>
        </w:rPr>
        <w:t>absolute neutrophil count</w:t>
      </w:r>
      <w:r w:rsidR="006C5674">
        <w:rPr>
          <w:rFonts w:ascii="Arial" w:hAnsi="Arial" w:cs="Arial"/>
          <w:bCs/>
          <w:snapToGrid w:val="0"/>
          <w:sz w:val="22"/>
          <w:szCs w:val="20"/>
          <w:lang w:val="en-GB"/>
        </w:rPr>
        <w:t xml:space="preserve"> monitoring</w:t>
      </w:r>
      <w:r>
        <w:rPr>
          <w:rFonts w:ascii="Arial" w:hAnsi="Arial" w:cs="Arial"/>
          <w:bCs/>
          <w:snapToGrid w:val="0"/>
          <w:sz w:val="22"/>
          <w:szCs w:val="20"/>
          <w:lang w:val="en-GB"/>
        </w:rPr>
        <w:t xml:space="preserve">), </w:t>
      </w:r>
      <w:r w:rsidR="006C5674">
        <w:rPr>
          <w:rFonts w:ascii="Arial" w:hAnsi="Arial" w:cs="Arial"/>
          <w:bCs/>
          <w:snapToGrid w:val="0"/>
          <w:sz w:val="22"/>
          <w:szCs w:val="20"/>
          <w:lang w:val="en-GB"/>
        </w:rPr>
        <w:t>however considered that</w:t>
      </w:r>
      <w:r>
        <w:rPr>
          <w:rFonts w:ascii="Arial" w:hAnsi="Arial" w:cs="Arial"/>
          <w:bCs/>
          <w:snapToGrid w:val="0"/>
          <w:sz w:val="22"/>
          <w:szCs w:val="20"/>
          <w:lang w:val="en-GB"/>
        </w:rPr>
        <w:t xml:space="preserve"> this would be unlikely to have a significant effect on the overall cost effectiveness.</w:t>
      </w:r>
    </w:p>
    <w:p w:rsidR="000C3D8F" w:rsidRDefault="000C3D8F" w:rsidP="000C3D8F">
      <w:pPr>
        <w:pStyle w:val="ListParagraph"/>
        <w:rPr>
          <w:rFonts w:ascii="Arial" w:hAnsi="Arial" w:cs="Arial"/>
          <w:bCs/>
          <w:snapToGrid w:val="0"/>
          <w:sz w:val="22"/>
          <w:szCs w:val="20"/>
          <w:lang w:val="en-GB"/>
        </w:rPr>
      </w:pPr>
    </w:p>
    <w:p w:rsidR="008C08BF" w:rsidRDefault="00411B81" w:rsidP="000C3D8F">
      <w:pPr>
        <w:widowControl w:val="0"/>
        <w:numPr>
          <w:ilvl w:val="1"/>
          <w:numId w:val="1"/>
        </w:numPr>
        <w:jc w:val="both"/>
        <w:rPr>
          <w:rFonts w:ascii="Arial" w:hAnsi="Arial" w:cs="Arial"/>
          <w:bCs/>
          <w:snapToGrid w:val="0"/>
          <w:sz w:val="22"/>
          <w:szCs w:val="20"/>
          <w:lang w:val="en-GB"/>
        </w:rPr>
      </w:pPr>
      <w:r w:rsidRPr="000C3D8F">
        <w:rPr>
          <w:rFonts w:ascii="Arial" w:hAnsi="Arial" w:cs="Arial"/>
          <w:bCs/>
          <w:snapToGrid w:val="0"/>
          <w:sz w:val="22"/>
          <w:szCs w:val="20"/>
          <w:lang w:val="en-GB"/>
        </w:rPr>
        <w:t xml:space="preserve">The PBAC </w:t>
      </w:r>
      <w:r w:rsidR="009C410A" w:rsidRPr="000C3D8F">
        <w:rPr>
          <w:rFonts w:ascii="Arial" w:hAnsi="Arial" w:cs="Arial"/>
          <w:bCs/>
          <w:snapToGrid w:val="0"/>
          <w:sz w:val="22"/>
          <w:szCs w:val="20"/>
          <w:lang w:val="en-GB"/>
        </w:rPr>
        <w:t xml:space="preserve">remained concerned that the total patient population is uncertain, </w:t>
      </w:r>
      <w:r w:rsidRPr="000C3D8F">
        <w:rPr>
          <w:rFonts w:ascii="Arial" w:hAnsi="Arial" w:cs="Arial"/>
          <w:bCs/>
          <w:snapToGrid w:val="0"/>
          <w:sz w:val="22"/>
          <w:szCs w:val="20"/>
          <w:lang w:val="en-GB"/>
        </w:rPr>
        <w:t xml:space="preserve">considering that </w:t>
      </w:r>
      <w:r w:rsidR="00AF76CE" w:rsidRPr="000C3D8F">
        <w:rPr>
          <w:rFonts w:ascii="Arial" w:hAnsi="Arial" w:cs="Arial"/>
          <w:bCs/>
          <w:snapToGrid w:val="0"/>
          <w:sz w:val="22"/>
          <w:szCs w:val="20"/>
          <w:lang w:val="en-GB"/>
        </w:rPr>
        <w:t>the Department should negotiate a risk sharing arrangement with a financial cap</w:t>
      </w:r>
      <w:r w:rsidR="00EA016D">
        <w:rPr>
          <w:rFonts w:ascii="Arial" w:hAnsi="Arial" w:cs="Arial"/>
          <w:bCs/>
          <w:snapToGrid w:val="0"/>
          <w:sz w:val="22"/>
          <w:szCs w:val="20"/>
          <w:lang w:val="en-GB"/>
        </w:rPr>
        <w:t xml:space="preserve">. The cap should be </w:t>
      </w:r>
      <w:r w:rsidR="008C08BF">
        <w:rPr>
          <w:rFonts w:ascii="Arial" w:hAnsi="Arial" w:cs="Arial"/>
          <w:bCs/>
          <w:snapToGrid w:val="0"/>
          <w:sz w:val="22"/>
          <w:szCs w:val="20"/>
          <w:lang w:val="en-GB"/>
        </w:rPr>
        <w:t>based on</w:t>
      </w:r>
      <w:r w:rsidR="00EA016D">
        <w:rPr>
          <w:rFonts w:ascii="Arial" w:hAnsi="Arial" w:cs="Arial"/>
          <w:bCs/>
          <w:snapToGrid w:val="0"/>
          <w:sz w:val="22"/>
          <w:szCs w:val="20"/>
          <w:lang w:val="en-GB"/>
        </w:rPr>
        <w:t xml:space="preserve"> utilisation estimates</w:t>
      </w:r>
      <w:r w:rsidR="00AF76CE">
        <w:rPr>
          <w:rFonts w:ascii="Arial" w:hAnsi="Arial" w:cs="Arial"/>
          <w:bCs/>
          <w:snapToGrid w:val="0"/>
          <w:sz w:val="22"/>
          <w:szCs w:val="20"/>
          <w:lang w:val="en-GB"/>
        </w:rPr>
        <w:t xml:space="preserve"> contained in the</w:t>
      </w:r>
      <w:r w:rsidR="008C08BF">
        <w:rPr>
          <w:rFonts w:ascii="Arial" w:hAnsi="Arial" w:cs="Arial"/>
          <w:bCs/>
          <w:snapToGrid w:val="0"/>
          <w:sz w:val="22"/>
          <w:szCs w:val="20"/>
          <w:lang w:val="en-GB"/>
        </w:rPr>
        <w:t xml:space="preserve"> March 2016 submission’s</w:t>
      </w:r>
      <w:r w:rsidRPr="000C3D8F">
        <w:rPr>
          <w:rFonts w:ascii="Arial" w:hAnsi="Arial" w:cs="Arial"/>
          <w:bCs/>
          <w:snapToGrid w:val="0"/>
          <w:sz w:val="22"/>
          <w:szCs w:val="20"/>
          <w:lang w:val="en-GB"/>
        </w:rPr>
        <w:t xml:space="preserve"> patient numbers. The PBAC reiterated that due to the uncertainty in patient numbers, utilisation should be reviewed 3 years after listing.</w:t>
      </w:r>
    </w:p>
    <w:p w:rsidR="008C08BF" w:rsidRDefault="008C08BF" w:rsidP="008C08BF">
      <w:pPr>
        <w:pStyle w:val="ListParagraph"/>
        <w:rPr>
          <w:rFonts w:ascii="Arial" w:hAnsi="Arial" w:cs="Arial"/>
          <w:bCs/>
          <w:snapToGrid w:val="0"/>
          <w:sz w:val="22"/>
          <w:szCs w:val="20"/>
          <w:lang w:val="en-GB"/>
        </w:rPr>
      </w:pPr>
    </w:p>
    <w:p w:rsidR="00AB25E9" w:rsidRPr="000C3D8F" w:rsidRDefault="00AB25E9" w:rsidP="000C3D8F">
      <w:pPr>
        <w:widowControl w:val="0"/>
        <w:numPr>
          <w:ilvl w:val="1"/>
          <w:numId w:val="1"/>
        </w:numPr>
        <w:jc w:val="both"/>
        <w:rPr>
          <w:rFonts w:ascii="Arial" w:hAnsi="Arial" w:cs="Arial"/>
          <w:bCs/>
          <w:snapToGrid w:val="0"/>
          <w:sz w:val="22"/>
          <w:szCs w:val="20"/>
          <w:lang w:val="en-GB"/>
        </w:rPr>
      </w:pPr>
      <w:r w:rsidRPr="000C3D8F">
        <w:rPr>
          <w:rFonts w:ascii="Arial" w:hAnsi="Arial" w:cs="Arial"/>
          <w:bCs/>
          <w:snapToGrid w:val="0"/>
          <w:sz w:val="22"/>
          <w:szCs w:val="20"/>
          <w:lang w:val="en-GB"/>
        </w:rPr>
        <w:t xml:space="preserve">The PBAC recommended that </w:t>
      </w:r>
      <w:r w:rsidR="002E36CB" w:rsidRPr="000C3D8F">
        <w:rPr>
          <w:rFonts w:ascii="Arial" w:hAnsi="Arial" w:cs="Arial"/>
          <w:bCs/>
          <w:snapToGrid w:val="0"/>
          <w:sz w:val="22"/>
          <w:szCs w:val="20"/>
          <w:lang w:val="en-GB"/>
        </w:rPr>
        <w:t>idelalisib</w:t>
      </w:r>
      <w:r w:rsidRPr="000C3D8F">
        <w:rPr>
          <w:rFonts w:ascii="Arial" w:hAnsi="Arial" w:cs="Arial"/>
          <w:bCs/>
          <w:snapToGrid w:val="0"/>
          <w:sz w:val="22"/>
          <w:szCs w:val="20"/>
          <w:lang w:val="en-GB"/>
        </w:rPr>
        <w:t xml:space="preserve"> should not be treated as interchangeable </w:t>
      </w:r>
      <w:r w:rsidR="002E36CB" w:rsidRPr="000C3D8F">
        <w:rPr>
          <w:rFonts w:ascii="Arial" w:hAnsi="Arial" w:cs="Arial"/>
          <w:bCs/>
          <w:snapToGrid w:val="0"/>
          <w:sz w:val="22"/>
          <w:szCs w:val="20"/>
          <w:lang w:val="en-GB"/>
        </w:rPr>
        <w:t>with any other drugs.</w:t>
      </w:r>
    </w:p>
    <w:p w:rsidR="00AB25E9" w:rsidRPr="002E36CB" w:rsidRDefault="00AB25E9" w:rsidP="00AB25E9">
      <w:pPr>
        <w:widowControl w:val="0"/>
        <w:jc w:val="both"/>
        <w:rPr>
          <w:rFonts w:ascii="Arial" w:hAnsi="Arial" w:cs="Arial"/>
          <w:bCs/>
          <w:snapToGrid w:val="0"/>
          <w:sz w:val="22"/>
          <w:szCs w:val="20"/>
          <w:lang w:val="en-GB"/>
        </w:rPr>
      </w:pPr>
    </w:p>
    <w:p w:rsidR="00F27F5A" w:rsidRDefault="00AB25E9" w:rsidP="00AB25E9">
      <w:pPr>
        <w:widowControl w:val="0"/>
        <w:numPr>
          <w:ilvl w:val="1"/>
          <w:numId w:val="1"/>
        </w:numPr>
        <w:jc w:val="both"/>
        <w:rPr>
          <w:rFonts w:ascii="Arial" w:hAnsi="Arial" w:cs="Arial"/>
          <w:bCs/>
          <w:snapToGrid w:val="0"/>
          <w:sz w:val="22"/>
          <w:szCs w:val="20"/>
          <w:lang w:val="en-GB"/>
        </w:rPr>
      </w:pPr>
      <w:r w:rsidRPr="002E36CB">
        <w:rPr>
          <w:rFonts w:ascii="Arial" w:hAnsi="Arial" w:cs="Arial"/>
          <w:bCs/>
          <w:snapToGrid w:val="0"/>
          <w:sz w:val="22"/>
          <w:szCs w:val="20"/>
          <w:lang w:val="en-GB"/>
        </w:rPr>
        <w:t xml:space="preserve">The PBAC advised that </w:t>
      </w:r>
      <w:r w:rsidR="002E36CB" w:rsidRPr="002E36CB">
        <w:rPr>
          <w:rFonts w:ascii="Arial" w:hAnsi="Arial" w:cs="Arial"/>
          <w:bCs/>
          <w:snapToGrid w:val="0"/>
          <w:sz w:val="22"/>
          <w:szCs w:val="20"/>
          <w:lang w:val="en-GB"/>
        </w:rPr>
        <w:t xml:space="preserve">idelalisib is </w:t>
      </w:r>
      <w:r w:rsidRPr="002E36CB">
        <w:rPr>
          <w:rFonts w:ascii="Arial" w:hAnsi="Arial" w:cs="Arial"/>
          <w:bCs/>
          <w:snapToGrid w:val="0"/>
          <w:sz w:val="22"/>
          <w:szCs w:val="20"/>
          <w:lang w:val="en-GB"/>
        </w:rPr>
        <w:t xml:space="preserve">not suitable for prescribing by nurse practitioners. </w:t>
      </w:r>
    </w:p>
    <w:p w:rsidR="00F27F5A" w:rsidRDefault="00F27F5A" w:rsidP="00F27F5A">
      <w:pPr>
        <w:pStyle w:val="ListParagraph"/>
        <w:rPr>
          <w:rFonts w:ascii="Arial" w:hAnsi="Arial" w:cs="Arial"/>
          <w:bCs/>
          <w:snapToGrid w:val="0"/>
          <w:sz w:val="22"/>
          <w:szCs w:val="20"/>
          <w:lang w:val="en-GB"/>
        </w:rPr>
      </w:pPr>
    </w:p>
    <w:p w:rsidR="00AB25E9" w:rsidRPr="002E36CB" w:rsidRDefault="00F27F5A" w:rsidP="00AB25E9">
      <w:pPr>
        <w:widowControl w:val="0"/>
        <w:numPr>
          <w:ilvl w:val="1"/>
          <w:numId w:val="1"/>
        </w:numPr>
        <w:jc w:val="both"/>
        <w:rPr>
          <w:rFonts w:ascii="Arial" w:hAnsi="Arial" w:cs="Arial"/>
          <w:bCs/>
          <w:snapToGrid w:val="0"/>
          <w:sz w:val="22"/>
          <w:szCs w:val="20"/>
          <w:lang w:val="en-GB"/>
        </w:rPr>
      </w:pPr>
      <w:r>
        <w:rPr>
          <w:rFonts w:ascii="Arial" w:hAnsi="Arial" w:cs="Arial"/>
          <w:bCs/>
          <w:snapToGrid w:val="0"/>
          <w:sz w:val="22"/>
          <w:szCs w:val="22"/>
          <w:lang w:val="en-GB"/>
        </w:rPr>
        <w:t>The PBAC recommended that idelalisib should not be treated as interchangeable on an individual patient basis with any other drugs.</w:t>
      </w:r>
      <w:r w:rsidR="00AB25E9" w:rsidRPr="002E36CB">
        <w:rPr>
          <w:rFonts w:ascii="Arial" w:hAnsi="Arial" w:cs="Arial"/>
          <w:bCs/>
          <w:snapToGrid w:val="0"/>
          <w:sz w:val="22"/>
          <w:szCs w:val="20"/>
          <w:lang w:val="en-GB"/>
        </w:rPr>
        <w:t xml:space="preserve"> </w:t>
      </w:r>
    </w:p>
    <w:p w:rsidR="00AB25E9" w:rsidRPr="002E36CB" w:rsidRDefault="00AB25E9" w:rsidP="00AB25E9">
      <w:pPr>
        <w:widowControl w:val="0"/>
        <w:jc w:val="both"/>
        <w:rPr>
          <w:rFonts w:ascii="Arial" w:hAnsi="Arial" w:cs="Arial"/>
          <w:bCs/>
          <w:snapToGrid w:val="0"/>
          <w:sz w:val="22"/>
          <w:szCs w:val="20"/>
          <w:lang w:val="en-GB"/>
        </w:rPr>
      </w:pPr>
    </w:p>
    <w:p w:rsidR="00AB25E9" w:rsidRPr="002E36CB" w:rsidRDefault="00AB25E9" w:rsidP="00AB25E9">
      <w:pPr>
        <w:widowControl w:val="0"/>
        <w:numPr>
          <w:ilvl w:val="1"/>
          <w:numId w:val="1"/>
        </w:numPr>
        <w:jc w:val="both"/>
        <w:rPr>
          <w:rFonts w:ascii="Arial" w:hAnsi="Arial" w:cs="Arial"/>
          <w:bCs/>
          <w:snapToGrid w:val="0"/>
          <w:sz w:val="22"/>
          <w:szCs w:val="20"/>
          <w:lang w:val="en-GB"/>
        </w:rPr>
      </w:pPr>
      <w:r w:rsidRPr="002E36CB">
        <w:rPr>
          <w:rFonts w:ascii="Arial" w:hAnsi="Arial" w:cs="Arial"/>
          <w:bCs/>
          <w:snapToGrid w:val="0"/>
          <w:sz w:val="22"/>
          <w:szCs w:val="20"/>
          <w:lang w:val="en-GB"/>
        </w:rPr>
        <w:t>The PBAC recommended th</w:t>
      </w:r>
      <w:r w:rsidR="002E36CB" w:rsidRPr="002E36CB">
        <w:rPr>
          <w:rFonts w:ascii="Arial" w:hAnsi="Arial" w:cs="Arial"/>
          <w:bCs/>
          <w:snapToGrid w:val="0"/>
          <w:sz w:val="22"/>
          <w:szCs w:val="20"/>
          <w:lang w:val="en-GB"/>
        </w:rPr>
        <w:t>at the Early Supply Rule should</w:t>
      </w:r>
      <w:r w:rsidRPr="002E36CB">
        <w:rPr>
          <w:rFonts w:ascii="Arial" w:hAnsi="Arial" w:cs="Arial"/>
          <w:bCs/>
          <w:snapToGrid w:val="0"/>
          <w:sz w:val="22"/>
          <w:szCs w:val="20"/>
          <w:lang w:val="en-GB"/>
        </w:rPr>
        <w:t xml:space="preserve"> apply</w:t>
      </w:r>
      <w:r w:rsidR="002E36CB" w:rsidRPr="002E36CB">
        <w:rPr>
          <w:rFonts w:ascii="Arial" w:hAnsi="Arial" w:cs="Arial"/>
          <w:bCs/>
          <w:snapToGrid w:val="0"/>
          <w:sz w:val="22"/>
          <w:szCs w:val="20"/>
          <w:lang w:val="en-GB"/>
        </w:rPr>
        <w:t xml:space="preserve"> to idelalisib</w:t>
      </w:r>
      <w:r w:rsidRPr="002E36CB">
        <w:rPr>
          <w:rFonts w:ascii="Arial" w:hAnsi="Arial" w:cs="Arial"/>
          <w:bCs/>
          <w:snapToGrid w:val="0"/>
          <w:sz w:val="22"/>
          <w:szCs w:val="20"/>
          <w:lang w:val="en-GB"/>
        </w:rPr>
        <w:t xml:space="preserve">. </w:t>
      </w:r>
    </w:p>
    <w:p w:rsidR="00AB25E9" w:rsidRPr="002E36CB" w:rsidRDefault="00AB25E9" w:rsidP="00AB25E9">
      <w:pPr>
        <w:widowControl w:val="0"/>
        <w:jc w:val="both"/>
        <w:rPr>
          <w:rFonts w:ascii="Arial" w:hAnsi="Arial" w:cs="Arial"/>
          <w:bCs/>
          <w:snapToGrid w:val="0"/>
          <w:sz w:val="22"/>
          <w:szCs w:val="20"/>
          <w:lang w:val="en-GB"/>
        </w:rPr>
      </w:pPr>
    </w:p>
    <w:p w:rsidR="00AB25E9" w:rsidRDefault="00AB25E9" w:rsidP="00AB25E9">
      <w:pPr>
        <w:widowControl w:val="0"/>
        <w:numPr>
          <w:ilvl w:val="1"/>
          <w:numId w:val="1"/>
        </w:numPr>
        <w:jc w:val="both"/>
        <w:rPr>
          <w:rFonts w:ascii="Arial" w:hAnsi="Arial" w:cs="Arial"/>
          <w:bCs/>
          <w:snapToGrid w:val="0"/>
          <w:sz w:val="22"/>
          <w:szCs w:val="20"/>
          <w:lang w:val="en-GB"/>
        </w:rPr>
      </w:pPr>
      <w:r w:rsidRPr="002E36CB">
        <w:rPr>
          <w:rFonts w:ascii="Arial" w:hAnsi="Arial" w:cs="Arial"/>
          <w:bCs/>
          <w:snapToGrid w:val="0"/>
          <w:sz w:val="22"/>
          <w:szCs w:val="20"/>
          <w:lang w:val="en-GB"/>
        </w:rPr>
        <w:t>The PBA</w:t>
      </w:r>
      <w:r w:rsidR="002E36CB" w:rsidRPr="002E36CB">
        <w:rPr>
          <w:rFonts w:ascii="Arial" w:hAnsi="Arial" w:cs="Arial"/>
          <w:bCs/>
          <w:snapToGrid w:val="0"/>
          <w:sz w:val="22"/>
          <w:szCs w:val="20"/>
          <w:lang w:val="en-GB"/>
        </w:rPr>
        <w:t xml:space="preserve">C noted that this submission </w:t>
      </w:r>
      <w:r w:rsidRPr="002E36CB">
        <w:rPr>
          <w:rFonts w:ascii="Arial" w:hAnsi="Arial" w:cs="Arial"/>
          <w:bCs/>
          <w:snapToGrid w:val="0"/>
          <w:sz w:val="22"/>
          <w:szCs w:val="20"/>
          <w:lang w:val="en-GB"/>
        </w:rPr>
        <w:t>is not eligible for an Independent Review</w:t>
      </w:r>
      <w:r w:rsidR="002E36CB" w:rsidRPr="002E36CB">
        <w:rPr>
          <w:rFonts w:ascii="Arial" w:hAnsi="Arial" w:cs="Arial"/>
          <w:bCs/>
          <w:snapToGrid w:val="0"/>
          <w:sz w:val="22"/>
          <w:szCs w:val="20"/>
          <w:lang w:val="en-GB"/>
        </w:rPr>
        <w:t xml:space="preserve"> as idelalisib has been recommended for listing</w:t>
      </w:r>
      <w:r w:rsidR="009548BA">
        <w:rPr>
          <w:rFonts w:ascii="Arial" w:hAnsi="Arial" w:cs="Arial"/>
          <w:bCs/>
          <w:snapToGrid w:val="0"/>
          <w:sz w:val="22"/>
          <w:szCs w:val="20"/>
          <w:lang w:val="en-GB"/>
        </w:rPr>
        <w:t>.</w:t>
      </w:r>
    </w:p>
    <w:p w:rsidR="00AB25E9" w:rsidRPr="00AA321C" w:rsidRDefault="00AB25E9" w:rsidP="00AB25E9">
      <w:pPr>
        <w:widowControl w:val="0"/>
        <w:jc w:val="both"/>
        <w:rPr>
          <w:rFonts w:ascii="Arial" w:hAnsi="Arial" w:cs="Arial"/>
          <w:b/>
          <w:bCs/>
          <w:snapToGrid w:val="0"/>
          <w:sz w:val="22"/>
          <w:szCs w:val="20"/>
          <w:lang w:val="en-GB"/>
        </w:rPr>
      </w:pPr>
    </w:p>
    <w:p w:rsidR="00AB25E9" w:rsidRPr="00AA321C" w:rsidRDefault="00AB25E9" w:rsidP="009548BA">
      <w:pPr>
        <w:pStyle w:val="Heading2"/>
        <w:rPr>
          <w:snapToGrid w:val="0"/>
          <w:lang w:val="en-GB"/>
        </w:rPr>
      </w:pPr>
      <w:r w:rsidRPr="00AA321C">
        <w:rPr>
          <w:snapToGrid w:val="0"/>
          <w:lang w:val="en-GB"/>
        </w:rPr>
        <w:t>Outcome:</w:t>
      </w:r>
    </w:p>
    <w:p w:rsidR="00AB25E9" w:rsidRDefault="00AB25E9" w:rsidP="00AB25E9">
      <w:pPr>
        <w:widowControl w:val="0"/>
        <w:jc w:val="both"/>
        <w:rPr>
          <w:rFonts w:ascii="Arial" w:hAnsi="Arial" w:cs="Arial"/>
          <w:bCs/>
          <w:snapToGrid w:val="0"/>
          <w:sz w:val="22"/>
          <w:szCs w:val="20"/>
          <w:lang w:val="en-GB"/>
        </w:rPr>
      </w:pPr>
      <w:r w:rsidRPr="00AA321C">
        <w:rPr>
          <w:rFonts w:ascii="Arial" w:hAnsi="Arial" w:cs="Arial"/>
          <w:bCs/>
          <w:snapToGrid w:val="0"/>
          <w:sz w:val="22"/>
          <w:szCs w:val="20"/>
          <w:lang w:val="en-GB"/>
        </w:rPr>
        <w:t>Recommended</w:t>
      </w:r>
    </w:p>
    <w:p w:rsidR="009548BA" w:rsidRPr="009548BA" w:rsidRDefault="009548BA" w:rsidP="00AB25E9">
      <w:pPr>
        <w:widowControl w:val="0"/>
        <w:jc w:val="both"/>
        <w:rPr>
          <w:rFonts w:ascii="Arial" w:hAnsi="Arial" w:cs="Arial"/>
          <w:bCs/>
          <w:snapToGrid w:val="0"/>
          <w:sz w:val="22"/>
          <w:szCs w:val="20"/>
          <w:lang w:val="en-GB"/>
        </w:rPr>
      </w:pPr>
    </w:p>
    <w:p w:rsidR="00AB25E9" w:rsidRPr="009548BA" w:rsidRDefault="00AB25E9" w:rsidP="009548BA">
      <w:pPr>
        <w:pStyle w:val="Heading1"/>
        <w:numPr>
          <w:ilvl w:val="0"/>
          <w:numId w:val="1"/>
        </w:numPr>
      </w:pPr>
      <w:r w:rsidRPr="009548BA">
        <w:t>Recommended listing</w:t>
      </w:r>
    </w:p>
    <w:p w:rsidR="00DE113C" w:rsidRPr="002E5056" w:rsidRDefault="00DE113C" w:rsidP="00DE113C">
      <w:pPr>
        <w:widowControl w:val="0"/>
        <w:ind w:left="720"/>
        <w:jc w:val="both"/>
        <w:rPr>
          <w:rFonts w:ascii="Arial" w:hAnsi="Arial" w:cs="Arial"/>
          <w:b/>
          <w:bCs/>
          <w:i/>
          <w:snapToGrid w:val="0"/>
          <w:sz w:val="22"/>
          <w:szCs w:val="20"/>
          <w:lang w:val="en-GB"/>
        </w:rPr>
      </w:pPr>
    </w:p>
    <w:p w:rsidR="00DE113C" w:rsidRDefault="00DE113C" w:rsidP="00DE113C">
      <w:pPr>
        <w:widowControl w:val="0"/>
        <w:numPr>
          <w:ilvl w:val="1"/>
          <w:numId w:val="1"/>
        </w:numPr>
        <w:jc w:val="both"/>
        <w:rPr>
          <w:rFonts w:ascii="Arial" w:hAnsi="Arial" w:cs="Arial"/>
          <w:bCs/>
          <w:snapToGrid w:val="0"/>
          <w:sz w:val="22"/>
          <w:szCs w:val="20"/>
          <w:lang w:val="en-GB"/>
        </w:rPr>
      </w:pPr>
      <w:r>
        <w:rPr>
          <w:rFonts w:ascii="Arial" w:hAnsi="Arial" w:cs="Arial"/>
          <w:bCs/>
          <w:snapToGrid w:val="0"/>
          <w:sz w:val="22"/>
          <w:szCs w:val="20"/>
          <w:lang w:val="en-GB"/>
        </w:rPr>
        <w:t>Add item:</w:t>
      </w:r>
    </w:p>
    <w:p w:rsidR="002E5056" w:rsidRPr="00BE46E1" w:rsidRDefault="002E5056" w:rsidP="00DE113C">
      <w:pPr>
        <w:jc w:val="both"/>
      </w:pPr>
    </w:p>
    <w:tbl>
      <w:tblPr>
        <w:tblW w:w="8501" w:type="dxa"/>
        <w:tblInd w:w="817" w:type="dxa"/>
        <w:tblLayout w:type="fixed"/>
        <w:tblLook w:val="04A0" w:firstRow="1" w:lastRow="0" w:firstColumn="1" w:lastColumn="0" w:noHBand="0" w:noVBand="1"/>
      </w:tblPr>
      <w:tblGrid>
        <w:gridCol w:w="1954"/>
        <w:gridCol w:w="1032"/>
        <w:gridCol w:w="537"/>
        <w:gridCol w:w="794"/>
        <w:gridCol w:w="1436"/>
        <w:gridCol w:w="1183"/>
        <w:gridCol w:w="1565"/>
      </w:tblGrid>
      <w:tr w:rsidR="00F01A00" w:rsidRPr="00BE46E1" w:rsidTr="0099597C">
        <w:trPr>
          <w:gridAfter w:val="1"/>
          <w:wAfter w:w="1565" w:type="dxa"/>
          <w:cantSplit/>
          <w:trHeight w:val="471"/>
        </w:trPr>
        <w:tc>
          <w:tcPr>
            <w:tcW w:w="2986" w:type="dxa"/>
            <w:gridSpan w:val="2"/>
            <w:tcBorders>
              <w:top w:val="nil"/>
              <w:left w:val="nil"/>
              <w:bottom w:val="single" w:sz="4" w:space="0" w:color="auto"/>
              <w:right w:val="nil"/>
            </w:tcBorders>
            <w:hideMark/>
          </w:tcPr>
          <w:p w:rsidR="00F01A00" w:rsidRPr="00BE46E1" w:rsidRDefault="00F01A00" w:rsidP="0099597C">
            <w:pPr>
              <w:keepNext/>
              <w:ind w:left="-108"/>
              <w:rPr>
                <w:rFonts w:ascii="Arial Narrow" w:hAnsi="Arial Narrow"/>
                <w:sz w:val="20"/>
              </w:rPr>
            </w:pPr>
            <w:r w:rsidRPr="00BE46E1">
              <w:rPr>
                <w:rFonts w:ascii="Arial Narrow" w:hAnsi="Arial Narrow"/>
                <w:sz w:val="20"/>
              </w:rPr>
              <w:t>Name, Restriction,</w:t>
            </w:r>
          </w:p>
          <w:p w:rsidR="00F01A00" w:rsidRPr="00BE46E1" w:rsidRDefault="00F01A00" w:rsidP="0099597C">
            <w:pPr>
              <w:keepNext/>
              <w:ind w:left="-108"/>
              <w:rPr>
                <w:rFonts w:ascii="Arial Narrow" w:hAnsi="Arial Narrow"/>
                <w:sz w:val="20"/>
              </w:rPr>
            </w:pPr>
            <w:r w:rsidRPr="00BE46E1">
              <w:rPr>
                <w:rFonts w:ascii="Arial Narrow" w:hAnsi="Arial Narrow"/>
                <w:sz w:val="20"/>
              </w:rPr>
              <w:t>Manner of administration and form</w:t>
            </w:r>
          </w:p>
        </w:tc>
        <w:tc>
          <w:tcPr>
            <w:tcW w:w="537" w:type="dxa"/>
            <w:tcBorders>
              <w:top w:val="nil"/>
              <w:left w:val="nil"/>
              <w:bottom w:val="single" w:sz="4" w:space="0" w:color="auto"/>
              <w:right w:val="nil"/>
            </w:tcBorders>
            <w:hideMark/>
          </w:tcPr>
          <w:p w:rsidR="00F01A00" w:rsidRPr="00BE46E1" w:rsidRDefault="00F01A00" w:rsidP="0099597C">
            <w:pPr>
              <w:keepNext/>
              <w:ind w:left="-108"/>
              <w:rPr>
                <w:rFonts w:ascii="Arial Narrow" w:hAnsi="Arial Narrow"/>
                <w:sz w:val="20"/>
              </w:rPr>
            </w:pPr>
            <w:r w:rsidRPr="00BE46E1">
              <w:rPr>
                <w:rFonts w:ascii="Arial Narrow" w:hAnsi="Arial Narrow"/>
                <w:sz w:val="20"/>
              </w:rPr>
              <w:t>Max.</w:t>
            </w:r>
          </w:p>
          <w:p w:rsidR="00F01A00" w:rsidRPr="00BE46E1" w:rsidRDefault="00F01A00" w:rsidP="0099597C">
            <w:pPr>
              <w:keepNext/>
              <w:ind w:left="-108"/>
              <w:rPr>
                <w:rFonts w:ascii="Arial Narrow" w:hAnsi="Arial Narrow"/>
                <w:sz w:val="20"/>
              </w:rPr>
            </w:pPr>
            <w:r w:rsidRPr="00BE46E1">
              <w:rPr>
                <w:rFonts w:ascii="Arial Narrow" w:hAnsi="Arial Narrow"/>
                <w:sz w:val="20"/>
              </w:rPr>
              <w:t>Qty</w:t>
            </w:r>
          </w:p>
        </w:tc>
        <w:tc>
          <w:tcPr>
            <w:tcW w:w="794" w:type="dxa"/>
            <w:tcBorders>
              <w:top w:val="nil"/>
              <w:left w:val="nil"/>
              <w:bottom w:val="single" w:sz="4" w:space="0" w:color="auto"/>
              <w:right w:val="nil"/>
            </w:tcBorders>
            <w:hideMark/>
          </w:tcPr>
          <w:p w:rsidR="00F01A00" w:rsidRPr="00BE46E1" w:rsidRDefault="00F01A00" w:rsidP="0099597C">
            <w:pPr>
              <w:keepNext/>
              <w:ind w:left="-108"/>
              <w:rPr>
                <w:rFonts w:ascii="Arial Narrow" w:hAnsi="Arial Narrow"/>
                <w:sz w:val="20"/>
              </w:rPr>
            </w:pPr>
            <w:r w:rsidRPr="00BE46E1">
              <w:rPr>
                <w:rFonts w:ascii="Arial Narrow" w:hAnsi="Arial Narrow"/>
                <w:sz w:val="20"/>
              </w:rPr>
              <w:t>№.of</w:t>
            </w:r>
          </w:p>
          <w:p w:rsidR="00F01A00" w:rsidRPr="00BE46E1" w:rsidRDefault="00F01A00" w:rsidP="0099597C">
            <w:pPr>
              <w:keepNext/>
              <w:ind w:left="-108"/>
              <w:rPr>
                <w:rFonts w:ascii="Arial Narrow" w:hAnsi="Arial Narrow"/>
                <w:sz w:val="20"/>
              </w:rPr>
            </w:pPr>
            <w:r w:rsidRPr="00BE46E1">
              <w:rPr>
                <w:rFonts w:ascii="Arial Narrow" w:hAnsi="Arial Narrow"/>
                <w:sz w:val="20"/>
              </w:rPr>
              <w:t>Rpts</w:t>
            </w:r>
          </w:p>
        </w:tc>
        <w:tc>
          <w:tcPr>
            <w:tcW w:w="2619" w:type="dxa"/>
            <w:gridSpan w:val="2"/>
            <w:tcBorders>
              <w:top w:val="nil"/>
              <w:left w:val="nil"/>
              <w:bottom w:val="single" w:sz="4" w:space="0" w:color="auto"/>
              <w:right w:val="nil"/>
            </w:tcBorders>
            <w:hideMark/>
          </w:tcPr>
          <w:p w:rsidR="00F01A00" w:rsidRPr="00BE46E1" w:rsidRDefault="00F01A00" w:rsidP="0099597C">
            <w:pPr>
              <w:keepNext/>
              <w:rPr>
                <w:rFonts w:ascii="Arial Narrow" w:hAnsi="Arial Narrow"/>
                <w:sz w:val="20"/>
              </w:rPr>
            </w:pPr>
            <w:r w:rsidRPr="00BE46E1">
              <w:rPr>
                <w:rFonts w:ascii="Arial Narrow" w:hAnsi="Arial Narrow"/>
                <w:sz w:val="20"/>
              </w:rPr>
              <w:t>Proprietary Name and Manufacturer</w:t>
            </w:r>
          </w:p>
        </w:tc>
      </w:tr>
      <w:tr w:rsidR="00F01A00" w:rsidRPr="00BE46E1" w:rsidTr="0099597C">
        <w:trPr>
          <w:gridAfter w:val="1"/>
          <w:wAfter w:w="1565" w:type="dxa"/>
          <w:cantSplit/>
          <w:trHeight w:val="577"/>
        </w:trPr>
        <w:tc>
          <w:tcPr>
            <w:tcW w:w="2986" w:type="dxa"/>
            <w:gridSpan w:val="2"/>
            <w:hideMark/>
          </w:tcPr>
          <w:p w:rsidR="00F01A00" w:rsidRPr="00BE46E1" w:rsidRDefault="00F01A00" w:rsidP="0099597C">
            <w:pPr>
              <w:keepNext/>
              <w:ind w:left="-108"/>
              <w:rPr>
                <w:rFonts w:ascii="Arial Narrow" w:hAnsi="Arial Narrow"/>
                <w:smallCaps/>
                <w:sz w:val="20"/>
              </w:rPr>
            </w:pPr>
            <w:r w:rsidRPr="00BE46E1">
              <w:rPr>
                <w:rFonts w:ascii="Arial Narrow" w:hAnsi="Arial Narrow"/>
                <w:smallCaps/>
                <w:sz w:val="20"/>
              </w:rPr>
              <w:t>idelalisib</w:t>
            </w:r>
          </w:p>
          <w:p w:rsidR="00F01A00" w:rsidRPr="00BE46E1" w:rsidRDefault="00F01A00" w:rsidP="0099597C">
            <w:pPr>
              <w:keepNext/>
              <w:ind w:left="-108"/>
              <w:rPr>
                <w:rFonts w:ascii="Arial Narrow" w:hAnsi="Arial Narrow"/>
                <w:sz w:val="20"/>
              </w:rPr>
            </w:pPr>
            <w:r w:rsidRPr="00BE46E1">
              <w:rPr>
                <w:rFonts w:ascii="Arial Narrow" w:hAnsi="Arial Narrow"/>
                <w:sz w:val="20"/>
              </w:rPr>
              <w:t>Tablet, 150mg, 60</w:t>
            </w:r>
          </w:p>
          <w:p w:rsidR="00F01A00" w:rsidRPr="00BE46E1" w:rsidRDefault="00F01A00" w:rsidP="0099597C">
            <w:pPr>
              <w:keepNext/>
              <w:ind w:left="-108"/>
              <w:rPr>
                <w:rFonts w:ascii="Arial Narrow" w:hAnsi="Arial Narrow"/>
                <w:sz w:val="20"/>
              </w:rPr>
            </w:pPr>
            <w:r w:rsidRPr="00BE46E1">
              <w:rPr>
                <w:rFonts w:ascii="Arial Narrow" w:hAnsi="Arial Narrow"/>
                <w:sz w:val="20"/>
              </w:rPr>
              <w:t>Tablet, 100mg, 60</w:t>
            </w:r>
          </w:p>
        </w:tc>
        <w:tc>
          <w:tcPr>
            <w:tcW w:w="537" w:type="dxa"/>
          </w:tcPr>
          <w:p w:rsidR="00F01A00" w:rsidRPr="00BE46E1" w:rsidRDefault="00F01A00" w:rsidP="0099597C">
            <w:pPr>
              <w:keepNext/>
              <w:ind w:left="-108"/>
              <w:rPr>
                <w:rFonts w:ascii="Arial Narrow" w:hAnsi="Arial Narrow"/>
                <w:sz w:val="20"/>
              </w:rPr>
            </w:pPr>
          </w:p>
          <w:p w:rsidR="00F01A00" w:rsidRPr="00BE46E1" w:rsidRDefault="00F01A00" w:rsidP="0099597C">
            <w:pPr>
              <w:keepNext/>
              <w:ind w:left="-108"/>
              <w:rPr>
                <w:rFonts w:ascii="Arial Narrow" w:hAnsi="Arial Narrow"/>
                <w:sz w:val="20"/>
              </w:rPr>
            </w:pPr>
            <w:r w:rsidRPr="00BE46E1">
              <w:rPr>
                <w:rFonts w:ascii="Arial Narrow" w:hAnsi="Arial Narrow"/>
                <w:sz w:val="20"/>
              </w:rPr>
              <w:t>1</w:t>
            </w:r>
          </w:p>
        </w:tc>
        <w:tc>
          <w:tcPr>
            <w:tcW w:w="794" w:type="dxa"/>
          </w:tcPr>
          <w:p w:rsidR="00F01A00" w:rsidRPr="00BE46E1" w:rsidRDefault="00F01A00" w:rsidP="0099597C">
            <w:pPr>
              <w:keepNext/>
              <w:ind w:left="-108"/>
              <w:rPr>
                <w:rFonts w:ascii="Arial Narrow" w:hAnsi="Arial Narrow"/>
                <w:sz w:val="20"/>
              </w:rPr>
            </w:pPr>
          </w:p>
          <w:p w:rsidR="00F01A00" w:rsidRPr="00BE46E1" w:rsidRDefault="00F01A00" w:rsidP="0099597C">
            <w:pPr>
              <w:keepNext/>
              <w:ind w:left="-108"/>
              <w:rPr>
                <w:rFonts w:ascii="Arial Narrow" w:hAnsi="Arial Narrow"/>
                <w:sz w:val="20"/>
              </w:rPr>
            </w:pPr>
            <w:r w:rsidRPr="00BE46E1">
              <w:rPr>
                <w:rFonts w:ascii="Arial Narrow" w:hAnsi="Arial Narrow"/>
                <w:sz w:val="20"/>
              </w:rPr>
              <w:t>5</w:t>
            </w:r>
          </w:p>
        </w:tc>
        <w:tc>
          <w:tcPr>
            <w:tcW w:w="1436" w:type="dxa"/>
            <w:hideMark/>
          </w:tcPr>
          <w:p w:rsidR="00F01A00" w:rsidRPr="00BE46E1" w:rsidRDefault="00F01A00" w:rsidP="0099597C">
            <w:pPr>
              <w:keepNext/>
              <w:jc w:val="center"/>
              <w:rPr>
                <w:rFonts w:ascii="Arial Narrow" w:hAnsi="Arial Narrow"/>
                <w:sz w:val="20"/>
              </w:rPr>
            </w:pPr>
            <w:r w:rsidRPr="00BE46E1">
              <w:rPr>
                <w:rFonts w:ascii="Arial Narrow" w:hAnsi="Arial Narrow"/>
                <w:sz w:val="20"/>
              </w:rPr>
              <w:t>Zydelig</w:t>
            </w:r>
            <w:r w:rsidRPr="00BE46E1">
              <w:rPr>
                <w:rFonts w:ascii="Arial Narrow" w:hAnsi="Arial Narrow"/>
                <w:sz w:val="20"/>
                <w:vertAlign w:val="superscript"/>
              </w:rPr>
              <w:t>®</w:t>
            </w:r>
          </w:p>
        </w:tc>
        <w:tc>
          <w:tcPr>
            <w:tcW w:w="1183" w:type="dxa"/>
            <w:hideMark/>
          </w:tcPr>
          <w:p w:rsidR="00F01A00" w:rsidRPr="00BE46E1" w:rsidRDefault="00F01A00" w:rsidP="0099597C">
            <w:pPr>
              <w:keepNext/>
              <w:jc w:val="center"/>
              <w:rPr>
                <w:rFonts w:ascii="Arial Narrow" w:hAnsi="Arial Narrow"/>
                <w:sz w:val="20"/>
              </w:rPr>
            </w:pPr>
            <w:r w:rsidRPr="00BE46E1">
              <w:rPr>
                <w:rFonts w:ascii="Arial Narrow" w:hAnsi="Arial Narrow"/>
                <w:sz w:val="20"/>
              </w:rPr>
              <w:t>Gilead</w:t>
            </w:r>
          </w:p>
        </w:tc>
      </w:tr>
      <w:tr w:rsidR="002E5056" w:rsidRPr="00BE46E1" w:rsidTr="0099597C">
        <w:trPr>
          <w:cantSplit/>
          <w:trHeight w:val="360"/>
        </w:trPr>
        <w:tc>
          <w:tcPr>
            <w:tcW w:w="8501" w:type="dxa"/>
            <w:gridSpan w:val="7"/>
            <w:tcBorders>
              <w:top w:val="nil"/>
              <w:left w:val="nil"/>
              <w:bottom w:val="single" w:sz="4" w:space="0" w:color="auto"/>
              <w:right w:val="nil"/>
            </w:tcBorders>
          </w:tcPr>
          <w:p w:rsidR="002E5056" w:rsidRPr="00BE46E1" w:rsidRDefault="002E5056" w:rsidP="0099597C">
            <w:pPr>
              <w:rPr>
                <w:rFonts w:ascii="Arial Narrow" w:hAnsi="Arial Narrow"/>
                <w:sz w:val="20"/>
              </w:rPr>
            </w:pPr>
          </w:p>
        </w:tc>
      </w:tr>
      <w:tr w:rsidR="002E5056"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b/>
                <w:sz w:val="20"/>
              </w:rPr>
            </w:pPr>
            <w:r w:rsidRPr="00BE46E1">
              <w:rPr>
                <w:rFonts w:ascii="Arial Narrow" w:hAnsi="Arial Narrow"/>
                <w:b/>
                <w:sz w:val="20"/>
              </w:rPr>
              <w:t xml:space="preserve">Category / </w:t>
            </w:r>
          </w:p>
          <w:p w:rsidR="002E5056" w:rsidRPr="00BE46E1" w:rsidRDefault="002E5056" w:rsidP="0099597C">
            <w:pPr>
              <w:rPr>
                <w:rFonts w:ascii="Arial Narrow" w:hAnsi="Arial Narrow"/>
                <w:b/>
                <w:sz w:val="20"/>
              </w:rPr>
            </w:pPr>
            <w:r w:rsidRPr="00BE46E1">
              <w:rPr>
                <w:rFonts w:ascii="Arial Narrow" w:hAnsi="Arial Narrow"/>
                <w:b/>
                <w:sz w:val="20"/>
              </w:rPr>
              <w:t>Program</w:t>
            </w:r>
          </w:p>
        </w:tc>
        <w:tc>
          <w:tcPr>
            <w:tcW w:w="6547" w:type="dxa"/>
            <w:gridSpan w:val="6"/>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sz w:val="20"/>
              </w:rPr>
            </w:pPr>
            <w:r w:rsidRPr="00BE46E1">
              <w:rPr>
                <w:rFonts w:ascii="Arial Narrow" w:hAnsi="Arial Narrow"/>
                <w:sz w:val="20"/>
              </w:rPr>
              <w:t>GENERAL – General Schedule (Code GE)</w:t>
            </w:r>
          </w:p>
        </w:tc>
      </w:tr>
      <w:tr w:rsidR="002E5056"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tcPr>
          <w:p w:rsidR="002E5056" w:rsidRPr="00BE46E1" w:rsidRDefault="002E5056" w:rsidP="0099597C">
            <w:pPr>
              <w:rPr>
                <w:rFonts w:ascii="Arial Narrow" w:hAnsi="Arial Narrow"/>
                <w:b/>
                <w:sz w:val="20"/>
              </w:rPr>
            </w:pPr>
            <w:r w:rsidRPr="00BE46E1">
              <w:rPr>
                <w:rFonts w:ascii="Arial Narrow" w:hAnsi="Arial Narrow"/>
                <w:b/>
                <w:sz w:val="20"/>
              </w:rPr>
              <w:t>Prescriber type:</w:t>
            </w:r>
          </w:p>
          <w:p w:rsidR="002E5056" w:rsidRPr="00BE46E1" w:rsidRDefault="002E5056" w:rsidP="0099597C">
            <w:pPr>
              <w:rPr>
                <w:rFonts w:ascii="Arial Narrow" w:hAnsi="Arial Narrow"/>
                <w:b/>
                <w:sz w:val="20"/>
              </w:rPr>
            </w:pPr>
          </w:p>
        </w:tc>
        <w:tc>
          <w:tcPr>
            <w:tcW w:w="6547" w:type="dxa"/>
            <w:gridSpan w:val="6"/>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sz w:val="20"/>
              </w:rPr>
            </w:pPr>
            <w:r w:rsidRPr="00BE46E1">
              <w:rPr>
                <w:rFonts w:ascii="Arial Narrow" w:hAnsi="Arial Narrow"/>
                <w:sz w:val="20"/>
              </w:rPr>
              <w:fldChar w:fldCharType="begin">
                <w:ffData>
                  <w:name w:val="Check1"/>
                  <w:enabled/>
                  <w:calcOnExit w:val="0"/>
                  <w:checkBox>
                    <w:sizeAuto/>
                    <w:default w:val="0"/>
                  </w:checkBox>
                </w:ffData>
              </w:fldChar>
            </w:r>
            <w:r w:rsidRPr="00BE46E1">
              <w:rPr>
                <w:rFonts w:ascii="Arial Narrow" w:hAnsi="Arial Narrow"/>
                <w:sz w:val="20"/>
              </w:rPr>
              <w:instrText xml:space="preserve"> FORMCHECKBOX </w:instrText>
            </w:r>
            <w:r w:rsidR="00303D56">
              <w:rPr>
                <w:rFonts w:ascii="Arial Narrow" w:hAnsi="Arial Narrow"/>
                <w:sz w:val="20"/>
              </w:rPr>
            </w:r>
            <w:r w:rsidR="00303D56">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 xml:space="preserve">Dental  </w:t>
            </w:r>
            <w:r w:rsidRPr="00BE46E1">
              <w:rPr>
                <w:rFonts w:ascii="Arial Narrow" w:hAnsi="Arial Narrow"/>
                <w:sz w:val="20"/>
              </w:rPr>
              <w:fldChar w:fldCharType="begin">
                <w:ffData>
                  <w:name w:val=""/>
                  <w:enabled/>
                  <w:calcOnExit w:val="0"/>
                  <w:checkBox>
                    <w:sizeAuto/>
                    <w:default w:val="1"/>
                  </w:checkBox>
                </w:ffData>
              </w:fldChar>
            </w:r>
            <w:r w:rsidRPr="00BE46E1">
              <w:rPr>
                <w:rFonts w:ascii="Arial Narrow" w:hAnsi="Arial Narrow"/>
                <w:sz w:val="20"/>
              </w:rPr>
              <w:instrText xml:space="preserve"> FORMCHECKBOX </w:instrText>
            </w:r>
            <w:r w:rsidR="00303D56">
              <w:rPr>
                <w:rFonts w:ascii="Arial Narrow" w:hAnsi="Arial Narrow"/>
                <w:sz w:val="20"/>
              </w:rPr>
            </w:r>
            <w:r w:rsidR="00303D56">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 xml:space="preserve">Medical Practitioners  </w:t>
            </w:r>
            <w:r w:rsidRPr="00BE46E1">
              <w:rPr>
                <w:rFonts w:ascii="Arial Narrow" w:hAnsi="Arial Narrow"/>
                <w:sz w:val="20"/>
              </w:rPr>
              <w:fldChar w:fldCharType="begin">
                <w:ffData>
                  <w:name w:val="Check3"/>
                  <w:enabled/>
                  <w:calcOnExit w:val="0"/>
                  <w:checkBox>
                    <w:sizeAuto/>
                    <w:default w:val="0"/>
                  </w:checkBox>
                </w:ffData>
              </w:fldChar>
            </w:r>
            <w:r w:rsidRPr="00BE46E1">
              <w:rPr>
                <w:rFonts w:ascii="Arial Narrow" w:hAnsi="Arial Narrow"/>
                <w:sz w:val="20"/>
              </w:rPr>
              <w:instrText xml:space="preserve"> FORMCHECKBOX </w:instrText>
            </w:r>
            <w:r w:rsidR="00303D56">
              <w:rPr>
                <w:rFonts w:ascii="Arial Narrow" w:hAnsi="Arial Narrow"/>
                <w:sz w:val="20"/>
              </w:rPr>
            </w:r>
            <w:r w:rsidR="00303D56">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 xml:space="preserve">Nurse practitioners  </w:t>
            </w:r>
            <w:r w:rsidRPr="00BE46E1">
              <w:rPr>
                <w:rFonts w:ascii="Arial Narrow" w:hAnsi="Arial Narrow"/>
                <w:sz w:val="20"/>
              </w:rPr>
              <w:fldChar w:fldCharType="begin">
                <w:ffData>
                  <w:name w:val=""/>
                  <w:enabled/>
                  <w:calcOnExit w:val="0"/>
                  <w:checkBox>
                    <w:sizeAuto/>
                    <w:default w:val="0"/>
                  </w:checkBox>
                </w:ffData>
              </w:fldChar>
            </w:r>
            <w:r w:rsidRPr="00BE46E1">
              <w:rPr>
                <w:rFonts w:ascii="Arial Narrow" w:hAnsi="Arial Narrow"/>
                <w:sz w:val="20"/>
              </w:rPr>
              <w:instrText xml:space="preserve"> FORMCHECKBOX </w:instrText>
            </w:r>
            <w:r w:rsidR="00303D56">
              <w:rPr>
                <w:rFonts w:ascii="Arial Narrow" w:hAnsi="Arial Narrow"/>
                <w:sz w:val="20"/>
              </w:rPr>
            </w:r>
            <w:r w:rsidR="00303D56">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Optometrists</w:t>
            </w:r>
          </w:p>
          <w:p w:rsidR="002E5056" w:rsidRPr="00BE46E1" w:rsidRDefault="002E5056" w:rsidP="0099597C">
            <w:pPr>
              <w:rPr>
                <w:rFonts w:ascii="Arial Narrow" w:hAnsi="Arial Narrow"/>
                <w:sz w:val="20"/>
              </w:rPr>
            </w:pPr>
            <w:r w:rsidRPr="00BE46E1">
              <w:rPr>
                <w:rFonts w:ascii="Arial Narrow" w:hAnsi="Arial Narrow"/>
                <w:sz w:val="20"/>
              </w:rPr>
              <w:fldChar w:fldCharType="begin">
                <w:ffData>
                  <w:name w:val="Check5"/>
                  <w:enabled/>
                  <w:calcOnExit w:val="0"/>
                  <w:checkBox>
                    <w:sizeAuto/>
                    <w:default w:val="0"/>
                  </w:checkBox>
                </w:ffData>
              </w:fldChar>
            </w:r>
            <w:r w:rsidRPr="00BE46E1">
              <w:rPr>
                <w:rFonts w:ascii="Arial Narrow" w:hAnsi="Arial Narrow"/>
                <w:sz w:val="20"/>
              </w:rPr>
              <w:instrText xml:space="preserve"> FORMCHECKBOX </w:instrText>
            </w:r>
            <w:r w:rsidR="00303D56">
              <w:rPr>
                <w:rFonts w:ascii="Arial Narrow" w:hAnsi="Arial Narrow"/>
                <w:sz w:val="20"/>
              </w:rPr>
            </w:r>
            <w:r w:rsidR="00303D56">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Midwives</w:t>
            </w:r>
          </w:p>
        </w:tc>
      </w:tr>
      <w:tr w:rsidR="002E5056"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b/>
                <w:sz w:val="20"/>
              </w:rPr>
            </w:pPr>
            <w:r w:rsidRPr="00BE46E1">
              <w:rPr>
                <w:rFonts w:ascii="Arial Narrow" w:hAnsi="Arial Narrow"/>
                <w:b/>
                <w:sz w:val="20"/>
              </w:rPr>
              <w:t>Episodicity:</w:t>
            </w:r>
          </w:p>
        </w:tc>
        <w:tc>
          <w:tcPr>
            <w:tcW w:w="6547" w:type="dxa"/>
            <w:gridSpan w:val="6"/>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strike/>
                <w:sz w:val="20"/>
              </w:rPr>
            </w:pPr>
            <w:r w:rsidRPr="00BE46E1">
              <w:rPr>
                <w:rFonts w:ascii="Arial Narrow" w:hAnsi="Arial Narrow"/>
                <w:sz w:val="20"/>
              </w:rPr>
              <w:t>Refractory</w:t>
            </w:r>
          </w:p>
        </w:tc>
      </w:tr>
      <w:tr w:rsidR="002E5056"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b/>
                <w:sz w:val="20"/>
              </w:rPr>
            </w:pPr>
            <w:r w:rsidRPr="00BE46E1">
              <w:rPr>
                <w:rFonts w:ascii="Arial Narrow" w:hAnsi="Arial Narrow"/>
                <w:b/>
                <w:sz w:val="20"/>
              </w:rPr>
              <w:t>Severity:</w:t>
            </w:r>
          </w:p>
        </w:tc>
        <w:tc>
          <w:tcPr>
            <w:tcW w:w="6547" w:type="dxa"/>
            <w:gridSpan w:val="6"/>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strike/>
                <w:sz w:val="20"/>
              </w:rPr>
            </w:pPr>
          </w:p>
        </w:tc>
      </w:tr>
      <w:tr w:rsidR="002E5056"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b/>
                <w:sz w:val="20"/>
              </w:rPr>
            </w:pPr>
            <w:r w:rsidRPr="00BE46E1">
              <w:rPr>
                <w:rFonts w:ascii="Arial Narrow" w:hAnsi="Arial Narrow"/>
                <w:b/>
                <w:sz w:val="20"/>
              </w:rPr>
              <w:t>Condition:</w:t>
            </w:r>
          </w:p>
        </w:tc>
        <w:tc>
          <w:tcPr>
            <w:tcW w:w="6547" w:type="dxa"/>
            <w:gridSpan w:val="6"/>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sz w:val="20"/>
              </w:rPr>
            </w:pPr>
            <w:r w:rsidRPr="00BE46E1">
              <w:rPr>
                <w:rFonts w:ascii="Arial Narrow" w:hAnsi="Arial Narrow"/>
                <w:sz w:val="20"/>
              </w:rPr>
              <w:t>follicular B-cell non-Hodgkin’s lymphoma</w:t>
            </w:r>
          </w:p>
        </w:tc>
      </w:tr>
      <w:tr w:rsidR="002E5056"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b/>
                <w:sz w:val="20"/>
              </w:rPr>
            </w:pPr>
            <w:r w:rsidRPr="00BE46E1">
              <w:rPr>
                <w:rFonts w:ascii="Arial Narrow" w:hAnsi="Arial Narrow"/>
                <w:b/>
                <w:sz w:val="20"/>
              </w:rPr>
              <w:t>PBS Indication:</w:t>
            </w:r>
          </w:p>
        </w:tc>
        <w:tc>
          <w:tcPr>
            <w:tcW w:w="6547" w:type="dxa"/>
            <w:gridSpan w:val="6"/>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sz w:val="20"/>
              </w:rPr>
            </w:pPr>
            <w:r w:rsidRPr="00BE46E1">
              <w:rPr>
                <w:rFonts w:ascii="Arial Narrow" w:hAnsi="Arial Narrow"/>
                <w:sz w:val="20"/>
              </w:rPr>
              <w:t>Refractory follicular B-cell non-Hodgkin’s lymphoma</w:t>
            </w:r>
          </w:p>
        </w:tc>
      </w:tr>
      <w:tr w:rsidR="002E5056"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b/>
                <w:sz w:val="20"/>
              </w:rPr>
            </w:pPr>
            <w:r w:rsidRPr="00BE46E1">
              <w:rPr>
                <w:rFonts w:ascii="Arial Narrow" w:hAnsi="Arial Narrow"/>
                <w:b/>
                <w:sz w:val="20"/>
              </w:rPr>
              <w:t>Treatment phase:</w:t>
            </w:r>
          </w:p>
        </w:tc>
        <w:tc>
          <w:tcPr>
            <w:tcW w:w="6547" w:type="dxa"/>
            <w:gridSpan w:val="6"/>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strike/>
                <w:sz w:val="20"/>
              </w:rPr>
            </w:pPr>
          </w:p>
        </w:tc>
      </w:tr>
      <w:tr w:rsidR="002E5056"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b/>
                <w:sz w:val="20"/>
              </w:rPr>
            </w:pPr>
            <w:r w:rsidRPr="00BE46E1">
              <w:rPr>
                <w:rFonts w:ascii="Arial Narrow" w:hAnsi="Arial Narrow"/>
                <w:b/>
                <w:sz w:val="20"/>
              </w:rPr>
              <w:t>Restriction Level / Method:</w:t>
            </w:r>
          </w:p>
        </w:tc>
        <w:tc>
          <w:tcPr>
            <w:tcW w:w="6547" w:type="dxa"/>
            <w:gridSpan w:val="6"/>
            <w:tcBorders>
              <w:top w:val="single" w:sz="4" w:space="0" w:color="auto"/>
              <w:left w:val="single" w:sz="4" w:space="0" w:color="auto"/>
              <w:bottom w:val="single" w:sz="4" w:space="0" w:color="auto"/>
              <w:right w:val="single" w:sz="4" w:space="0" w:color="auto"/>
            </w:tcBorders>
            <w:hideMark/>
          </w:tcPr>
          <w:p w:rsidR="002E5056" w:rsidRPr="002E5056" w:rsidRDefault="002E5056" w:rsidP="00810367">
            <w:pPr>
              <w:rPr>
                <w:rFonts w:ascii="Arial Narrow" w:hAnsi="Arial Narrow"/>
                <w:i/>
                <w:sz w:val="20"/>
              </w:rPr>
            </w:pPr>
            <w:r w:rsidRPr="00BE46E1">
              <w:rPr>
                <w:rFonts w:ascii="Arial Narrow" w:hAnsi="Arial Narrow" w:cs="Arial"/>
                <w:sz w:val="20"/>
                <w:szCs w:val="20"/>
              </w:rPr>
              <w:fldChar w:fldCharType="begin">
                <w:ffData>
                  <w:name w:val="Check5"/>
                  <w:enabled/>
                  <w:calcOnExit w:val="0"/>
                  <w:checkBox>
                    <w:sizeAuto/>
                    <w:default w:val="1"/>
                  </w:checkBox>
                </w:ffData>
              </w:fldChar>
            </w:r>
            <w:r w:rsidRPr="00BE46E1">
              <w:rPr>
                <w:rFonts w:ascii="Arial Narrow" w:hAnsi="Arial Narrow"/>
                <w:sz w:val="20"/>
              </w:rPr>
              <w:instrText xml:space="preserve"> FORMCHECKBOX </w:instrText>
            </w:r>
            <w:r w:rsidR="00303D56">
              <w:rPr>
                <w:rFonts w:ascii="Arial Narrow" w:hAnsi="Arial Narrow" w:cs="Arial"/>
                <w:sz w:val="20"/>
                <w:szCs w:val="20"/>
              </w:rPr>
            </w:r>
            <w:r w:rsidR="00303D56">
              <w:rPr>
                <w:rFonts w:ascii="Arial Narrow" w:hAnsi="Arial Narrow" w:cs="Arial"/>
                <w:sz w:val="20"/>
                <w:szCs w:val="20"/>
              </w:rPr>
              <w:fldChar w:fldCharType="separate"/>
            </w:r>
            <w:r w:rsidRPr="00BE46E1">
              <w:rPr>
                <w:rFonts w:ascii="Arial Narrow" w:hAnsi="Arial Narrow" w:cs="Arial"/>
                <w:sz w:val="20"/>
                <w:szCs w:val="20"/>
              </w:rPr>
              <w:fldChar w:fldCharType="end"/>
            </w:r>
            <w:r w:rsidRPr="00BE46E1">
              <w:rPr>
                <w:rFonts w:ascii="Arial Narrow" w:hAnsi="Arial Narrow"/>
                <w:sz w:val="20"/>
              </w:rPr>
              <w:t xml:space="preserve"> Authority Required -</w:t>
            </w:r>
            <w:r>
              <w:rPr>
                <w:rFonts w:ascii="Arial Narrow" w:hAnsi="Arial Narrow"/>
                <w:sz w:val="20"/>
              </w:rPr>
              <w:t xml:space="preserve"> </w:t>
            </w:r>
            <w:r w:rsidRPr="00810367">
              <w:rPr>
                <w:rFonts w:ascii="Arial Narrow" w:hAnsi="Arial Narrow"/>
                <w:sz w:val="20"/>
              </w:rPr>
              <w:t xml:space="preserve">Written </w:t>
            </w:r>
          </w:p>
        </w:tc>
      </w:tr>
      <w:tr w:rsidR="002E5056"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b/>
                <w:sz w:val="20"/>
              </w:rPr>
            </w:pPr>
            <w:r w:rsidRPr="00BE46E1">
              <w:rPr>
                <w:rFonts w:ascii="Arial Narrow" w:hAnsi="Arial Narrow"/>
                <w:b/>
                <w:sz w:val="20"/>
              </w:rPr>
              <w:t>Treatment criteria:</w:t>
            </w:r>
          </w:p>
        </w:tc>
        <w:tc>
          <w:tcPr>
            <w:tcW w:w="6547" w:type="dxa"/>
            <w:gridSpan w:val="6"/>
            <w:tcBorders>
              <w:top w:val="single" w:sz="4" w:space="0" w:color="auto"/>
              <w:left w:val="single" w:sz="4" w:space="0" w:color="auto"/>
              <w:bottom w:val="single" w:sz="4" w:space="0" w:color="auto"/>
              <w:right w:val="single" w:sz="4" w:space="0" w:color="auto"/>
            </w:tcBorders>
          </w:tcPr>
          <w:p w:rsidR="002E5056" w:rsidRPr="00BE46E1" w:rsidRDefault="002E5056" w:rsidP="0099597C">
            <w:pPr>
              <w:rPr>
                <w:rFonts w:ascii="Arial Narrow" w:hAnsi="Arial Narrow"/>
                <w:sz w:val="20"/>
              </w:rPr>
            </w:pPr>
          </w:p>
        </w:tc>
      </w:tr>
      <w:tr w:rsidR="002E5056"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b/>
                <w:sz w:val="20"/>
              </w:rPr>
            </w:pPr>
            <w:r w:rsidRPr="00BE46E1">
              <w:rPr>
                <w:rFonts w:ascii="Arial Narrow" w:hAnsi="Arial Narrow"/>
                <w:b/>
                <w:sz w:val="20"/>
              </w:rPr>
              <w:t>Clinical criteria:</w:t>
            </w:r>
          </w:p>
        </w:tc>
        <w:tc>
          <w:tcPr>
            <w:tcW w:w="6547" w:type="dxa"/>
            <w:gridSpan w:val="6"/>
            <w:tcBorders>
              <w:top w:val="single" w:sz="4" w:space="0" w:color="auto"/>
              <w:left w:val="single" w:sz="4" w:space="0" w:color="auto"/>
              <w:bottom w:val="single" w:sz="4" w:space="0" w:color="auto"/>
              <w:right w:val="single" w:sz="4" w:space="0" w:color="auto"/>
            </w:tcBorders>
          </w:tcPr>
          <w:p w:rsidR="002E5056" w:rsidRPr="00BE46E1" w:rsidRDefault="002E5056" w:rsidP="0099597C">
            <w:pPr>
              <w:rPr>
                <w:rFonts w:ascii="Arial Narrow" w:hAnsi="Arial Narrow"/>
                <w:sz w:val="20"/>
              </w:rPr>
            </w:pPr>
            <w:r w:rsidRPr="00BE46E1">
              <w:rPr>
                <w:rFonts w:ascii="Arial Narrow" w:hAnsi="Arial Narrow"/>
                <w:sz w:val="20"/>
              </w:rPr>
              <w:t>The condition must be refractory to rituximab</w:t>
            </w:r>
          </w:p>
          <w:p w:rsidR="002E5056" w:rsidRPr="00BE46E1" w:rsidRDefault="002E5056" w:rsidP="0099597C">
            <w:pPr>
              <w:rPr>
                <w:rFonts w:ascii="Arial Narrow" w:hAnsi="Arial Narrow"/>
                <w:sz w:val="20"/>
              </w:rPr>
            </w:pPr>
          </w:p>
          <w:p w:rsidR="002E5056" w:rsidRPr="00BE46E1" w:rsidRDefault="002E5056" w:rsidP="0099597C">
            <w:pPr>
              <w:rPr>
                <w:rFonts w:ascii="Arial Narrow" w:hAnsi="Arial Narrow"/>
                <w:sz w:val="20"/>
              </w:rPr>
            </w:pPr>
            <w:r w:rsidRPr="00BE46E1">
              <w:rPr>
                <w:rFonts w:ascii="Arial Narrow" w:hAnsi="Arial Narrow"/>
                <w:sz w:val="20"/>
              </w:rPr>
              <w:t>AND</w:t>
            </w:r>
          </w:p>
          <w:p w:rsidR="002E5056" w:rsidRPr="00BE46E1" w:rsidRDefault="002E5056" w:rsidP="0099597C">
            <w:pPr>
              <w:rPr>
                <w:rFonts w:ascii="Arial Narrow" w:hAnsi="Arial Narrow"/>
                <w:sz w:val="20"/>
              </w:rPr>
            </w:pPr>
          </w:p>
          <w:p w:rsidR="002E5056" w:rsidRPr="00BE46E1" w:rsidRDefault="002E5056" w:rsidP="0099597C">
            <w:pPr>
              <w:rPr>
                <w:rFonts w:ascii="Arial Narrow" w:hAnsi="Arial Narrow"/>
                <w:sz w:val="20"/>
              </w:rPr>
            </w:pPr>
            <w:r w:rsidRPr="00BE46E1">
              <w:rPr>
                <w:rFonts w:ascii="Arial Narrow" w:hAnsi="Arial Narrow"/>
                <w:sz w:val="20"/>
              </w:rPr>
              <w:t xml:space="preserve">The condition must be refractory to an alkylating agent </w:t>
            </w:r>
          </w:p>
          <w:p w:rsidR="002E5056" w:rsidRPr="00BE46E1" w:rsidRDefault="002E5056" w:rsidP="0099597C">
            <w:pPr>
              <w:rPr>
                <w:rFonts w:ascii="Arial Narrow" w:hAnsi="Arial Narrow"/>
                <w:sz w:val="20"/>
              </w:rPr>
            </w:pPr>
          </w:p>
          <w:p w:rsidR="002E5056" w:rsidRPr="00BE46E1" w:rsidRDefault="002E5056" w:rsidP="0099597C">
            <w:pPr>
              <w:rPr>
                <w:rFonts w:ascii="Arial Narrow" w:hAnsi="Arial Narrow"/>
                <w:sz w:val="20"/>
              </w:rPr>
            </w:pPr>
            <w:r w:rsidRPr="00BE46E1">
              <w:rPr>
                <w:rFonts w:ascii="Arial Narrow" w:hAnsi="Arial Narrow"/>
                <w:sz w:val="20"/>
              </w:rPr>
              <w:t>AND</w:t>
            </w:r>
          </w:p>
          <w:p w:rsidR="002E5056" w:rsidRPr="00BE46E1" w:rsidRDefault="002E5056" w:rsidP="0099597C">
            <w:pPr>
              <w:rPr>
                <w:rFonts w:ascii="Arial Narrow" w:hAnsi="Arial Narrow"/>
                <w:sz w:val="20"/>
              </w:rPr>
            </w:pPr>
          </w:p>
          <w:p w:rsidR="002E5056" w:rsidRPr="00BE46E1" w:rsidRDefault="002E5056" w:rsidP="0099597C">
            <w:pPr>
              <w:rPr>
                <w:rFonts w:ascii="Arial Narrow" w:hAnsi="Arial Narrow"/>
                <w:sz w:val="20"/>
              </w:rPr>
            </w:pPr>
            <w:r w:rsidRPr="00BE46E1">
              <w:rPr>
                <w:rFonts w:ascii="Arial Narrow" w:hAnsi="Arial Narrow"/>
                <w:sz w:val="20"/>
              </w:rPr>
              <w:t>The treatment must be as monotherapy</w:t>
            </w:r>
          </w:p>
          <w:p w:rsidR="002E5056" w:rsidRPr="00BE46E1" w:rsidRDefault="002E5056" w:rsidP="0099597C">
            <w:pPr>
              <w:rPr>
                <w:rFonts w:ascii="Arial Narrow" w:hAnsi="Arial Narrow"/>
                <w:strike/>
                <w:sz w:val="20"/>
              </w:rPr>
            </w:pPr>
          </w:p>
        </w:tc>
      </w:tr>
      <w:tr w:rsidR="002E5056"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tcPr>
          <w:p w:rsidR="002E5056" w:rsidRPr="00BE46E1" w:rsidRDefault="002E5056" w:rsidP="0099597C">
            <w:pPr>
              <w:rPr>
                <w:rFonts w:ascii="Arial Narrow" w:hAnsi="Arial Narrow"/>
                <w:b/>
                <w:sz w:val="20"/>
              </w:rPr>
            </w:pPr>
            <w:r w:rsidRPr="00BE46E1">
              <w:rPr>
                <w:rFonts w:ascii="Arial Narrow" w:hAnsi="Arial Narrow"/>
                <w:b/>
                <w:sz w:val="20"/>
              </w:rPr>
              <w:t>Prescriber Instructions</w:t>
            </w:r>
          </w:p>
          <w:p w:rsidR="002E5056" w:rsidRPr="00BE46E1" w:rsidRDefault="002E5056" w:rsidP="0099597C">
            <w:pPr>
              <w:rPr>
                <w:rFonts w:ascii="Arial Narrow" w:hAnsi="Arial Narrow"/>
                <w:sz w:val="20"/>
              </w:rPr>
            </w:pPr>
          </w:p>
        </w:tc>
        <w:tc>
          <w:tcPr>
            <w:tcW w:w="6547" w:type="dxa"/>
            <w:gridSpan w:val="6"/>
            <w:tcBorders>
              <w:top w:val="single" w:sz="4" w:space="0" w:color="auto"/>
              <w:left w:val="single" w:sz="4" w:space="0" w:color="auto"/>
              <w:bottom w:val="single" w:sz="4" w:space="0" w:color="auto"/>
              <w:right w:val="single" w:sz="4" w:space="0" w:color="auto"/>
            </w:tcBorders>
          </w:tcPr>
          <w:p w:rsidR="002E5056" w:rsidRPr="00BE46E1" w:rsidRDefault="002E5056" w:rsidP="0099597C">
            <w:pPr>
              <w:rPr>
                <w:rFonts w:ascii="Arial Narrow" w:hAnsi="Arial Narrow"/>
                <w:sz w:val="20"/>
              </w:rPr>
            </w:pPr>
            <w:r w:rsidRPr="00BE46E1">
              <w:rPr>
                <w:rFonts w:ascii="Arial Narrow" w:hAnsi="Arial Narrow"/>
                <w:sz w:val="20"/>
              </w:rPr>
              <w:t xml:space="preserve">A patient who has progressive disease when treated with this drug is no longer eligible for PBS-subsidised treatment with this drug. </w:t>
            </w:r>
          </w:p>
          <w:p w:rsidR="002E5056" w:rsidRPr="00BE46E1" w:rsidRDefault="002E5056" w:rsidP="0099597C">
            <w:pPr>
              <w:rPr>
                <w:rFonts w:ascii="Arial Narrow" w:hAnsi="Arial Narrow"/>
                <w:sz w:val="20"/>
              </w:rPr>
            </w:pPr>
          </w:p>
          <w:p w:rsidR="002E5056" w:rsidRPr="00BE46E1" w:rsidRDefault="002E5056" w:rsidP="0099597C">
            <w:pPr>
              <w:rPr>
                <w:rFonts w:ascii="Arial Narrow" w:hAnsi="Arial Narrow"/>
                <w:sz w:val="20"/>
              </w:rPr>
            </w:pPr>
            <w:r w:rsidRPr="00BE46E1">
              <w:rPr>
                <w:rFonts w:ascii="Arial Narrow" w:hAnsi="Arial Narrow"/>
                <w:sz w:val="20"/>
              </w:rPr>
              <w:t xml:space="preserve">The condition is considered refractory to both rituximab and an alkylating agent if the agents were administered together or in successive treatment regimens. </w:t>
            </w:r>
          </w:p>
          <w:p w:rsidR="002E5056" w:rsidRPr="00BE46E1" w:rsidRDefault="002E5056" w:rsidP="0099597C">
            <w:pPr>
              <w:rPr>
                <w:rFonts w:ascii="Arial Narrow" w:hAnsi="Arial Narrow"/>
                <w:sz w:val="20"/>
              </w:rPr>
            </w:pPr>
          </w:p>
          <w:p w:rsidR="002E5056" w:rsidRPr="00BE46E1" w:rsidRDefault="002E5056" w:rsidP="0099597C">
            <w:pPr>
              <w:rPr>
                <w:rFonts w:ascii="Arial Narrow" w:hAnsi="Arial Narrow"/>
                <w:sz w:val="20"/>
              </w:rPr>
            </w:pPr>
            <w:r w:rsidRPr="00BE46E1">
              <w:rPr>
                <w:rFonts w:ascii="Arial Narrow" w:hAnsi="Arial Narrow"/>
                <w:sz w:val="20"/>
              </w:rPr>
              <w:t xml:space="preserve">The condition is considered refractory if the patient experiences less than a partial response or progression of disease within 6 months after completion of a prior therapy. </w:t>
            </w:r>
          </w:p>
        </w:tc>
      </w:tr>
      <w:tr w:rsidR="002E5056" w:rsidRPr="00BE46E1" w:rsidTr="0099597C">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2E5056" w:rsidRPr="00BE46E1" w:rsidRDefault="002E5056" w:rsidP="0099597C">
            <w:pPr>
              <w:rPr>
                <w:rFonts w:ascii="Arial Narrow" w:hAnsi="Arial Narrow"/>
                <w:b/>
                <w:sz w:val="20"/>
              </w:rPr>
            </w:pPr>
            <w:r w:rsidRPr="00BE46E1">
              <w:rPr>
                <w:rFonts w:ascii="Arial Narrow" w:hAnsi="Arial Narrow"/>
                <w:b/>
                <w:sz w:val="20"/>
              </w:rPr>
              <w:t>Administrative Advice</w:t>
            </w:r>
          </w:p>
        </w:tc>
        <w:tc>
          <w:tcPr>
            <w:tcW w:w="6547" w:type="dxa"/>
            <w:gridSpan w:val="6"/>
            <w:tcBorders>
              <w:top w:val="single" w:sz="4" w:space="0" w:color="auto"/>
              <w:left w:val="single" w:sz="4" w:space="0" w:color="auto"/>
              <w:bottom w:val="single" w:sz="4" w:space="0" w:color="auto"/>
              <w:right w:val="single" w:sz="4" w:space="0" w:color="auto"/>
            </w:tcBorders>
          </w:tcPr>
          <w:p w:rsidR="002E5056" w:rsidRPr="00BE46E1" w:rsidRDefault="002E5056" w:rsidP="0099597C">
            <w:pPr>
              <w:rPr>
                <w:rFonts w:ascii="Arial Narrow" w:hAnsi="Arial Narrow"/>
                <w:sz w:val="20"/>
              </w:rPr>
            </w:pPr>
            <w:r w:rsidRPr="00BE46E1">
              <w:rPr>
                <w:rFonts w:ascii="Arial Narrow" w:hAnsi="Arial Narrow"/>
                <w:sz w:val="20"/>
              </w:rPr>
              <w:t xml:space="preserve">No increase in the maximum quantity or number of units may be authorised. </w:t>
            </w:r>
          </w:p>
          <w:p w:rsidR="002E5056" w:rsidRPr="00BE46E1" w:rsidRDefault="002E5056" w:rsidP="0099597C">
            <w:pPr>
              <w:rPr>
                <w:rFonts w:ascii="Arial Narrow" w:hAnsi="Arial Narrow"/>
                <w:sz w:val="20"/>
              </w:rPr>
            </w:pPr>
          </w:p>
          <w:p w:rsidR="002E5056" w:rsidRPr="00BE46E1" w:rsidRDefault="002E5056" w:rsidP="0099597C">
            <w:pPr>
              <w:rPr>
                <w:rFonts w:ascii="Arial Narrow" w:hAnsi="Arial Narrow"/>
                <w:sz w:val="20"/>
              </w:rPr>
            </w:pPr>
            <w:r w:rsidRPr="00BE46E1">
              <w:rPr>
                <w:rFonts w:ascii="Arial Narrow" w:hAnsi="Arial Narrow"/>
                <w:sz w:val="20"/>
              </w:rPr>
              <w:t xml:space="preserve">No increase in the maximum number of repeats may be authorised. </w:t>
            </w:r>
          </w:p>
          <w:p w:rsidR="002E5056" w:rsidRPr="00BE46E1" w:rsidRDefault="002E5056" w:rsidP="0099597C">
            <w:pPr>
              <w:rPr>
                <w:rFonts w:ascii="Arial Narrow" w:hAnsi="Arial Narrow"/>
                <w:sz w:val="20"/>
              </w:rPr>
            </w:pPr>
          </w:p>
          <w:p w:rsidR="002E5056" w:rsidRPr="00BE46E1" w:rsidRDefault="002E5056" w:rsidP="0099597C">
            <w:pPr>
              <w:rPr>
                <w:rFonts w:ascii="Arial Narrow" w:hAnsi="Arial Narrow"/>
                <w:sz w:val="20"/>
              </w:rPr>
            </w:pPr>
            <w:r w:rsidRPr="00BE46E1">
              <w:rPr>
                <w:rFonts w:ascii="Arial Narrow" w:hAnsi="Arial Narrow"/>
                <w:sz w:val="20"/>
              </w:rPr>
              <w:t>Special Pricing Arrangements apply.</w:t>
            </w:r>
          </w:p>
        </w:tc>
      </w:tr>
    </w:tbl>
    <w:p w:rsidR="00AB25E9" w:rsidRPr="0069654D" w:rsidRDefault="00AB25E9" w:rsidP="00AB25E9">
      <w:pPr>
        <w:widowControl w:val="0"/>
        <w:jc w:val="both"/>
        <w:rPr>
          <w:rFonts w:ascii="Arial" w:hAnsi="Arial" w:cs="Arial"/>
          <w:b/>
          <w:bCs/>
          <w:snapToGrid w:val="0"/>
          <w:sz w:val="22"/>
          <w:szCs w:val="20"/>
          <w:highlight w:val="yellow"/>
        </w:rPr>
      </w:pPr>
    </w:p>
    <w:p w:rsidR="00AB25E9" w:rsidRPr="0069654D" w:rsidRDefault="00AB25E9" w:rsidP="00AB25E9">
      <w:pPr>
        <w:widowControl w:val="0"/>
        <w:jc w:val="both"/>
        <w:rPr>
          <w:rFonts w:ascii="Arial" w:hAnsi="Arial" w:cs="Arial"/>
          <w:snapToGrid w:val="0"/>
          <w:sz w:val="22"/>
          <w:szCs w:val="20"/>
        </w:rPr>
      </w:pPr>
    </w:p>
    <w:p w:rsidR="00E75851" w:rsidRPr="00E75851" w:rsidRDefault="00E75851" w:rsidP="00E75851">
      <w:pPr>
        <w:widowControl w:val="0"/>
        <w:numPr>
          <w:ilvl w:val="0"/>
          <w:numId w:val="1"/>
        </w:numPr>
        <w:jc w:val="both"/>
        <w:outlineLvl w:val="0"/>
        <w:rPr>
          <w:rFonts w:ascii="Arial" w:hAnsi="Arial" w:cs="Arial"/>
          <w:b/>
          <w:bCs/>
          <w:snapToGrid w:val="0"/>
          <w:sz w:val="22"/>
          <w:szCs w:val="20"/>
          <w:lang w:val="en-GB"/>
        </w:rPr>
      </w:pPr>
      <w:r w:rsidRPr="00E75851">
        <w:rPr>
          <w:rFonts w:ascii="Arial" w:hAnsi="Arial" w:cs="Arial"/>
          <w:b/>
          <w:bCs/>
          <w:snapToGrid w:val="0"/>
          <w:sz w:val="22"/>
          <w:szCs w:val="20"/>
          <w:lang w:val="en-GB"/>
        </w:rPr>
        <w:t>Context for Decision</w:t>
      </w:r>
    </w:p>
    <w:p w:rsidR="00E75851" w:rsidRDefault="00E75851" w:rsidP="00E75851">
      <w:pPr>
        <w:ind w:left="426"/>
        <w:jc w:val="both"/>
        <w:rPr>
          <w:rFonts w:ascii="Arial" w:hAnsi="Arial" w:cs="Arial"/>
          <w:sz w:val="22"/>
        </w:rPr>
      </w:pPr>
    </w:p>
    <w:p w:rsidR="00E75851" w:rsidRPr="00E75851" w:rsidRDefault="00E75851" w:rsidP="00E75851">
      <w:pPr>
        <w:pStyle w:val="NoSpacing"/>
        <w:keepNext/>
        <w:keepLines/>
        <w:ind w:left="720"/>
      </w:pPr>
      <w:r w:rsidRPr="00E75851">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75851" w:rsidRDefault="00E75851" w:rsidP="00E75851">
      <w:pPr>
        <w:ind w:left="426"/>
        <w:jc w:val="both"/>
        <w:rPr>
          <w:rFonts w:ascii="Arial" w:hAnsi="Arial" w:cs="Arial"/>
          <w:sz w:val="22"/>
        </w:rPr>
      </w:pPr>
    </w:p>
    <w:p w:rsidR="009548BA" w:rsidRDefault="00E75851" w:rsidP="009548BA">
      <w:pPr>
        <w:widowControl w:val="0"/>
        <w:numPr>
          <w:ilvl w:val="0"/>
          <w:numId w:val="1"/>
        </w:numPr>
        <w:jc w:val="both"/>
        <w:outlineLvl w:val="0"/>
        <w:rPr>
          <w:rFonts w:ascii="Arial" w:hAnsi="Arial" w:cs="Arial"/>
          <w:b/>
          <w:bCs/>
          <w:snapToGrid w:val="0"/>
          <w:sz w:val="22"/>
          <w:szCs w:val="20"/>
          <w:lang w:val="en-GB"/>
        </w:rPr>
      </w:pPr>
      <w:r w:rsidRPr="00E75851">
        <w:rPr>
          <w:rFonts w:ascii="Arial" w:hAnsi="Arial" w:cs="Arial"/>
          <w:b/>
          <w:bCs/>
          <w:snapToGrid w:val="0"/>
          <w:sz w:val="22"/>
          <w:szCs w:val="20"/>
          <w:lang w:val="en-GB"/>
        </w:rPr>
        <w:t>Sponsor’s Comment</w:t>
      </w:r>
    </w:p>
    <w:p w:rsidR="009548BA" w:rsidRPr="009548BA" w:rsidRDefault="009548BA" w:rsidP="009548BA">
      <w:pPr>
        <w:rPr>
          <w:snapToGrid w:val="0"/>
          <w:lang w:val="en-GB"/>
        </w:rPr>
      </w:pPr>
    </w:p>
    <w:p w:rsidR="00E75851" w:rsidRPr="00E75851" w:rsidRDefault="00E75851" w:rsidP="00E75851">
      <w:pPr>
        <w:pStyle w:val="NoSpacing"/>
        <w:keepNext/>
        <w:keepLines/>
        <w:ind w:left="720"/>
      </w:pPr>
      <w:r w:rsidRPr="00E75851">
        <w:t>The sponsor had no comment.</w:t>
      </w:r>
    </w:p>
    <w:p w:rsidR="00F64CC1" w:rsidRPr="00D84934" w:rsidRDefault="00F64CC1" w:rsidP="00AB25E9">
      <w:pPr>
        <w:rPr>
          <w:rFonts w:ascii="Arial" w:hAnsi="Arial"/>
          <w:sz w:val="22"/>
          <w:szCs w:val="22"/>
        </w:rPr>
      </w:pPr>
    </w:p>
    <w:sectPr w:rsidR="00F64CC1" w:rsidRPr="00D84934"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1BB" w:rsidRDefault="00F171BB">
      <w:r>
        <w:separator/>
      </w:r>
    </w:p>
    <w:p w:rsidR="00F171BB" w:rsidRDefault="00F171BB"/>
  </w:endnote>
  <w:endnote w:type="continuationSeparator" w:id="0">
    <w:p w:rsidR="00F171BB" w:rsidRDefault="00F171BB">
      <w:r>
        <w:continuationSeparator/>
      </w:r>
    </w:p>
    <w:p w:rsidR="00F171BB" w:rsidRDefault="00F17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C2B99" w:rsidTr="005A3173">
      <w:trPr>
        <w:trHeight w:val="151"/>
      </w:trPr>
      <w:tc>
        <w:tcPr>
          <w:tcW w:w="2250" w:type="pct"/>
          <w:tcBorders>
            <w:top w:val="nil"/>
            <w:left w:val="nil"/>
            <w:bottom w:val="single" w:sz="4" w:space="0" w:color="4F81BD"/>
            <w:right w:val="nil"/>
          </w:tcBorders>
        </w:tcPr>
        <w:p w:rsidR="00AC2B99" w:rsidRPr="005A3173" w:rsidRDefault="00AC2B9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2B99" w:rsidRPr="005A3173" w:rsidRDefault="00AC2B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2B99" w:rsidRPr="005A3173" w:rsidRDefault="00AC2B99" w:rsidP="005A3173">
          <w:pPr>
            <w:pStyle w:val="Header"/>
            <w:spacing w:line="276" w:lineRule="auto"/>
            <w:rPr>
              <w:rFonts w:ascii="Calibri" w:eastAsia="MS Gothic" w:hAnsi="Calibri"/>
              <w:b/>
              <w:bCs/>
              <w:color w:val="4F81BD"/>
            </w:rPr>
          </w:pPr>
        </w:p>
      </w:tc>
    </w:tr>
    <w:tr w:rsidR="00AC2B99" w:rsidTr="005A3173">
      <w:trPr>
        <w:trHeight w:val="150"/>
      </w:trPr>
      <w:tc>
        <w:tcPr>
          <w:tcW w:w="2250" w:type="pct"/>
          <w:tcBorders>
            <w:top w:val="single" w:sz="4" w:space="0" w:color="4F81BD"/>
            <w:left w:val="nil"/>
            <w:bottom w:val="nil"/>
            <w:right w:val="nil"/>
          </w:tcBorders>
        </w:tcPr>
        <w:p w:rsidR="00AC2B99" w:rsidRPr="005A3173" w:rsidRDefault="00AC2B99" w:rsidP="005A3173">
          <w:pPr>
            <w:pStyle w:val="Header"/>
            <w:spacing w:line="276" w:lineRule="auto"/>
            <w:rPr>
              <w:rFonts w:ascii="Calibri" w:eastAsia="MS Gothic" w:hAnsi="Calibri"/>
              <w:b/>
              <w:bCs/>
              <w:color w:val="4F81BD"/>
            </w:rPr>
          </w:pPr>
        </w:p>
      </w:tc>
      <w:tc>
        <w:tcPr>
          <w:tcW w:w="0" w:type="auto"/>
          <w:vMerge/>
          <w:vAlign w:val="center"/>
          <w:hideMark/>
        </w:tcPr>
        <w:p w:rsidR="00AC2B99" w:rsidRPr="005A3173" w:rsidRDefault="00AC2B99"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2B99" w:rsidRPr="005A3173" w:rsidRDefault="00AC2B99" w:rsidP="005A3173">
          <w:pPr>
            <w:pStyle w:val="Header"/>
            <w:spacing w:line="276" w:lineRule="auto"/>
            <w:rPr>
              <w:rFonts w:ascii="Calibri" w:eastAsia="MS Gothic" w:hAnsi="Calibri"/>
              <w:b/>
              <w:bCs/>
              <w:color w:val="4F81BD"/>
            </w:rPr>
          </w:pPr>
        </w:p>
      </w:tc>
    </w:tr>
  </w:tbl>
  <w:p w:rsidR="00AC2B99" w:rsidRDefault="00AC2B9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2B99" w:rsidRDefault="00AC2B99">
    <w:pPr>
      <w:pStyle w:val="Footer"/>
    </w:pPr>
  </w:p>
  <w:p w:rsidR="00AC2B99" w:rsidRDefault="00AC2B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577740"/>
      <w:docPartObj>
        <w:docPartGallery w:val="Page Numbers (Bottom of Page)"/>
        <w:docPartUnique/>
      </w:docPartObj>
    </w:sdtPr>
    <w:sdtEndPr>
      <w:rPr>
        <w:rFonts w:ascii="Arial" w:hAnsi="Arial" w:cs="Arial"/>
        <w:noProof/>
        <w:sz w:val="22"/>
        <w:szCs w:val="22"/>
      </w:rPr>
    </w:sdtEndPr>
    <w:sdtContent>
      <w:p w:rsidR="00AC2B99" w:rsidRPr="00AB25E9" w:rsidRDefault="00AC2B99">
        <w:pPr>
          <w:pStyle w:val="Footer"/>
          <w:jc w:val="center"/>
          <w:rPr>
            <w:rFonts w:ascii="Arial" w:hAnsi="Arial" w:cs="Arial"/>
            <w:sz w:val="22"/>
            <w:szCs w:val="22"/>
          </w:rPr>
        </w:pPr>
        <w:r w:rsidRPr="00AB25E9">
          <w:rPr>
            <w:rFonts w:ascii="Arial" w:hAnsi="Arial" w:cs="Arial"/>
            <w:sz w:val="22"/>
            <w:szCs w:val="22"/>
          </w:rPr>
          <w:fldChar w:fldCharType="begin"/>
        </w:r>
        <w:r w:rsidRPr="00AB25E9">
          <w:rPr>
            <w:rFonts w:ascii="Arial" w:hAnsi="Arial" w:cs="Arial"/>
            <w:sz w:val="22"/>
            <w:szCs w:val="22"/>
          </w:rPr>
          <w:instrText xml:space="preserve"> PAGE   \* MERGEFORMAT </w:instrText>
        </w:r>
        <w:r w:rsidRPr="00AB25E9">
          <w:rPr>
            <w:rFonts w:ascii="Arial" w:hAnsi="Arial" w:cs="Arial"/>
            <w:sz w:val="22"/>
            <w:szCs w:val="22"/>
          </w:rPr>
          <w:fldChar w:fldCharType="separate"/>
        </w:r>
        <w:r w:rsidR="00303D56">
          <w:rPr>
            <w:rFonts w:ascii="Arial" w:hAnsi="Arial" w:cs="Arial"/>
            <w:noProof/>
            <w:sz w:val="22"/>
            <w:szCs w:val="22"/>
          </w:rPr>
          <w:t>5</w:t>
        </w:r>
        <w:r w:rsidRPr="00AB25E9">
          <w:rPr>
            <w:rFonts w:ascii="Arial" w:hAnsi="Arial" w:cs="Arial"/>
            <w:noProof/>
            <w:sz w:val="22"/>
            <w:szCs w:val="22"/>
          </w:rPr>
          <w:fldChar w:fldCharType="end"/>
        </w:r>
      </w:p>
    </w:sdtContent>
  </w:sdt>
  <w:p w:rsidR="00AC2B99" w:rsidRDefault="00AC2B99"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C2B99" w:rsidTr="005A3173">
      <w:trPr>
        <w:trHeight w:val="151"/>
      </w:trPr>
      <w:tc>
        <w:tcPr>
          <w:tcW w:w="2250" w:type="pct"/>
          <w:tcBorders>
            <w:top w:val="nil"/>
            <w:left w:val="nil"/>
            <w:bottom w:val="single" w:sz="4" w:space="0" w:color="4F81BD"/>
            <w:right w:val="nil"/>
          </w:tcBorders>
        </w:tcPr>
        <w:p w:rsidR="00AC2B99" w:rsidRPr="005A3173" w:rsidRDefault="00AC2B9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2B99" w:rsidRPr="005A3173" w:rsidRDefault="00AC2B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2B99" w:rsidRPr="005A3173" w:rsidRDefault="00AC2B99" w:rsidP="005A3173">
          <w:pPr>
            <w:pStyle w:val="Header"/>
            <w:spacing w:line="276" w:lineRule="auto"/>
            <w:rPr>
              <w:rFonts w:ascii="Calibri" w:eastAsia="MS Gothic" w:hAnsi="Calibri"/>
              <w:b/>
              <w:bCs/>
              <w:color w:val="4F81BD"/>
            </w:rPr>
          </w:pPr>
        </w:p>
      </w:tc>
    </w:tr>
    <w:tr w:rsidR="00AC2B99" w:rsidTr="005A3173">
      <w:trPr>
        <w:trHeight w:val="150"/>
      </w:trPr>
      <w:tc>
        <w:tcPr>
          <w:tcW w:w="2250" w:type="pct"/>
          <w:tcBorders>
            <w:top w:val="single" w:sz="4" w:space="0" w:color="4F81BD"/>
            <w:left w:val="nil"/>
            <w:bottom w:val="nil"/>
            <w:right w:val="nil"/>
          </w:tcBorders>
        </w:tcPr>
        <w:p w:rsidR="00AC2B99" w:rsidRPr="005A3173" w:rsidRDefault="00AC2B99" w:rsidP="005A3173">
          <w:pPr>
            <w:pStyle w:val="Header"/>
            <w:spacing w:line="276" w:lineRule="auto"/>
            <w:rPr>
              <w:rFonts w:ascii="Calibri" w:eastAsia="MS Gothic" w:hAnsi="Calibri"/>
              <w:b/>
              <w:bCs/>
              <w:color w:val="4F81BD"/>
            </w:rPr>
          </w:pPr>
        </w:p>
      </w:tc>
      <w:tc>
        <w:tcPr>
          <w:tcW w:w="0" w:type="auto"/>
          <w:vMerge/>
          <w:vAlign w:val="center"/>
          <w:hideMark/>
        </w:tcPr>
        <w:p w:rsidR="00AC2B99" w:rsidRPr="005A3173" w:rsidRDefault="00AC2B99"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2B99" w:rsidRPr="005A3173" w:rsidRDefault="00AC2B9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C2B99" w:rsidTr="005A3173">
      <w:trPr>
        <w:trHeight w:val="151"/>
      </w:trPr>
      <w:tc>
        <w:tcPr>
          <w:tcW w:w="2250" w:type="pct"/>
          <w:tcBorders>
            <w:top w:val="nil"/>
            <w:left w:val="nil"/>
            <w:bottom w:val="single" w:sz="4" w:space="0" w:color="4F81BD"/>
            <w:right w:val="nil"/>
          </w:tcBorders>
        </w:tcPr>
        <w:p w:rsidR="00AC2B99" w:rsidRPr="005A3173" w:rsidRDefault="00AC2B9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2B99" w:rsidRPr="005A3173" w:rsidRDefault="00AC2B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2B99" w:rsidRPr="005A3173" w:rsidRDefault="00AC2B99" w:rsidP="005A3173">
          <w:pPr>
            <w:pStyle w:val="Header"/>
            <w:spacing w:line="276" w:lineRule="auto"/>
            <w:rPr>
              <w:rFonts w:ascii="Calibri" w:eastAsia="MS Gothic" w:hAnsi="Calibri"/>
              <w:b/>
              <w:bCs/>
              <w:color w:val="4F81BD"/>
            </w:rPr>
          </w:pPr>
        </w:p>
      </w:tc>
    </w:tr>
    <w:tr w:rsidR="00AC2B99" w:rsidTr="005A3173">
      <w:trPr>
        <w:trHeight w:val="150"/>
      </w:trPr>
      <w:tc>
        <w:tcPr>
          <w:tcW w:w="2250" w:type="pct"/>
          <w:tcBorders>
            <w:top w:val="single" w:sz="4" w:space="0" w:color="4F81BD"/>
            <w:left w:val="nil"/>
            <w:bottom w:val="nil"/>
            <w:right w:val="nil"/>
          </w:tcBorders>
        </w:tcPr>
        <w:p w:rsidR="00AC2B99" w:rsidRPr="005A3173" w:rsidRDefault="00AC2B99" w:rsidP="005A3173">
          <w:pPr>
            <w:pStyle w:val="Header"/>
            <w:spacing w:line="276" w:lineRule="auto"/>
            <w:rPr>
              <w:rFonts w:ascii="Calibri" w:eastAsia="MS Gothic" w:hAnsi="Calibri"/>
              <w:b/>
              <w:bCs/>
              <w:color w:val="4F81BD"/>
            </w:rPr>
          </w:pPr>
        </w:p>
      </w:tc>
      <w:tc>
        <w:tcPr>
          <w:tcW w:w="0" w:type="auto"/>
          <w:vMerge/>
          <w:vAlign w:val="center"/>
          <w:hideMark/>
        </w:tcPr>
        <w:p w:rsidR="00AC2B99" w:rsidRPr="005A3173" w:rsidRDefault="00AC2B99"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2B99" w:rsidRPr="005A3173" w:rsidRDefault="00AC2B99" w:rsidP="005A3173">
          <w:pPr>
            <w:pStyle w:val="Header"/>
            <w:spacing w:line="276" w:lineRule="auto"/>
            <w:rPr>
              <w:rFonts w:ascii="Calibri" w:eastAsia="MS Gothic" w:hAnsi="Calibri"/>
              <w:b/>
              <w:bCs/>
              <w:color w:val="4F81BD"/>
            </w:rPr>
          </w:pPr>
        </w:p>
      </w:tc>
    </w:tr>
  </w:tbl>
  <w:p w:rsidR="00AC2B99" w:rsidRPr="007C0F57" w:rsidRDefault="00AC2B9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C2B99" w:rsidRPr="007C0F57" w:rsidRDefault="00AC2B99" w:rsidP="007C0F57">
    <w:pPr>
      <w:pStyle w:val="Footer"/>
      <w:jc w:val="center"/>
      <w:rPr>
        <w:b/>
        <w:i/>
        <w:sz w:val="20"/>
        <w:szCs w:val="20"/>
      </w:rPr>
    </w:pPr>
    <w:r w:rsidRPr="007C0F57">
      <w:rPr>
        <w:b/>
        <w:i/>
        <w:sz w:val="20"/>
        <w:szCs w:val="20"/>
      </w:rPr>
      <w:t>Commercial-in-Confidence</w:t>
    </w:r>
  </w:p>
  <w:p w:rsidR="00AC2B99" w:rsidRDefault="00AC2B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1BB" w:rsidRDefault="00F171BB">
      <w:r>
        <w:separator/>
      </w:r>
    </w:p>
    <w:p w:rsidR="00F171BB" w:rsidRDefault="00F171BB"/>
  </w:footnote>
  <w:footnote w:type="continuationSeparator" w:id="0">
    <w:p w:rsidR="00F171BB" w:rsidRDefault="00F171BB">
      <w:r>
        <w:continuationSeparator/>
      </w:r>
    </w:p>
    <w:p w:rsidR="00F171BB" w:rsidRDefault="00F171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C2B99" w:rsidRPr="008E0D90" w:rsidTr="00A06225">
      <w:trPr>
        <w:trHeight w:val="151"/>
      </w:trPr>
      <w:tc>
        <w:tcPr>
          <w:tcW w:w="2389" w:type="pct"/>
          <w:tcBorders>
            <w:top w:val="nil"/>
            <w:left w:val="nil"/>
            <w:bottom w:val="single" w:sz="4" w:space="0" w:color="4F81BD"/>
            <w:right w:val="nil"/>
          </w:tcBorders>
        </w:tcPr>
        <w:p w:rsidR="00AC2B99" w:rsidRPr="00A06225" w:rsidRDefault="00AC2B99">
          <w:pPr>
            <w:pStyle w:val="Header"/>
            <w:spacing w:line="276" w:lineRule="auto"/>
            <w:rPr>
              <w:rFonts w:ascii="Cambria" w:eastAsia="MS Gothic" w:hAnsi="Cambria"/>
              <w:b/>
              <w:bCs/>
              <w:color w:val="4F81BD"/>
            </w:rPr>
          </w:pPr>
        </w:p>
      </w:tc>
      <w:tc>
        <w:tcPr>
          <w:tcW w:w="333" w:type="pct"/>
          <w:vMerge w:val="restart"/>
          <w:noWrap/>
          <w:vAlign w:val="center"/>
          <w:hideMark/>
        </w:tcPr>
        <w:p w:rsidR="00AC2B99" w:rsidRPr="00A06225" w:rsidRDefault="00AC2B9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C2B99" w:rsidRPr="00A06225" w:rsidRDefault="00AC2B99">
          <w:pPr>
            <w:pStyle w:val="Header"/>
            <w:spacing w:line="276" w:lineRule="auto"/>
            <w:rPr>
              <w:rFonts w:ascii="Cambria" w:eastAsia="MS Gothic" w:hAnsi="Cambria"/>
              <w:b/>
              <w:bCs/>
              <w:color w:val="4F81BD"/>
            </w:rPr>
          </w:pPr>
        </w:p>
      </w:tc>
    </w:tr>
    <w:tr w:rsidR="00AC2B99" w:rsidRPr="008E0D90" w:rsidTr="00A06225">
      <w:trPr>
        <w:trHeight w:val="150"/>
      </w:trPr>
      <w:tc>
        <w:tcPr>
          <w:tcW w:w="2389" w:type="pct"/>
          <w:tcBorders>
            <w:top w:val="single" w:sz="4" w:space="0" w:color="4F81BD"/>
            <w:left w:val="nil"/>
            <w:bottom w:val="nil"/>
            <w:right w:val="nil"/>
          </w:tcBorders>
        </w:tcPr>
        <w:p w:rsidR="00AC2B99" w:rsidRPr="00A06225" w:rsidRDefault="00AC2B99">
          <w:pPr>
            <w:pStyle w:val="Header"/>
            <w:spacing w:line="276" w:lineRule="auto"/>
            <w:rPr>
              <w:rFonts w:ascii="Cambria" w:eastAsia="MS Gothic" w:hAnsi="Cambria"/>
              <w:b/>
              <w:bCs/>
              <w:color w:val="4F81BD"/>
            </w:rPr>
          </w:pPr>
        </w:p>
      </w:tc>
      <w:tc>
        <w:tcPr>
          <w:tcW w:w="0" w:type="auto"/>
          <w:vMerge/>
          <w:vAlign w:val="center"/>
          <w:hideMark/>
        </w:tcPr>
        <w:p w:rsidR="00AC2B99" w:rsidRPr="00A06225" w:rsidRDefault="00AC2B99">
          <w:pPr>
            <w:rPr>
              <w:rFonts w:ascii="Cambria" w:hAnsi="Cambria"/>
              <w:color w:val="4F81BD"/>
              <w:sz w:val="22"/>
              <w:szCs w:val="22"/>
            </w:rPr>
          </w:pPr>
        </w:p>
      </w:tc>
      <w:tc>
        <w:tcPr>
          <w:tcW w:w="2278" w:type="pct"/>
          <w:tcBorders>
            <w:top w:val="single" w:sz="4" w:space="0" w:color="4F81BD"/>
            <w:left w:val="nil"/>
            <w:bottom w:val="nil"/>
            <w:right w:val="nil"/>
          </w:tcBorders>
        </w:tcPr>
        <w:p w:rsidR="00AC2B99" w:rsidRPr="00A06225" w:rsidRDefault="00AC2B99">
          <w:pPr>
            <w:pStyle w:val="Header"/>
            <w:spacing w:line="276" w:lineRule="auto"/>
            <w:rPr>
              <w:rFonts w:ascii="Cambria" w:eastAsia="MS Gothic" w:hAnsi="Cambria"/>
              <w:b/>
              <w:bCs/>
              <w:color w:val="4F81BD"/>
            </w:rPr>
          </w:pPr>
        </w:p>
      </w:tc>
    </w:tr>
  </w:tbl>
  <w:p w:rsidR="00AC2B99" w:rsidRDefault="00AC2B99">
    <w:pPr>
      <w:pStyle w:val="Header"/>
    </w:pPr>
  </w:p>
  <w:p w:rsidR="00AC2B99" w:rsidRDefault="00AC2B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99" w:rsidRPr="00DF217D" w:rsidRDefault="00AC2B99" w:rsidP="00AB25E9">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AC2B99" w:rsidRDefault="00AC2B99"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BB" w:rsidRDefault="00F17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406D41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2EE1F5D"/>
    <w:multiLevelType w:val="hybridMultilevel"/>
    <w:tmpl w:val="A072D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2F0655"/>
    <w:multiLevelType w:val="hybridMultilevel"/>
    <w:tmpl w:val="30FA5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A555A14"/>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4D033C"/>
    <w:multiLevelType w:val="multilevel"/>
    <w:tmpl w:val="CE788FA8"/>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0"/>
  </w:num>
  <w:num w:numId="4">
    <w:abstractNumId w:val="7"/>
  </w:num>
  <w:num w:numId="5">
    <w:abstractNumId w:val="3"/>
  </w:num>
  <w:num w:numId="6">
    <w:abstractNumId w:val="5"/>
  </w:num>
  <w:num w:numId="7">
    <w:abstractNumId w:val="8"/>
  </w:num>
  <w:num w:numId="8">
    <w:abstractNumId w:val="4"/>
  </w:num>
  <w:num w:numId="9">
    <w:abstractNumId w:val="2"/>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0E90"/>
    <w:rsid w:val="000231FA"/>
    <w:rsid w:val="0002464A"/>
    <w:rsid w:val="0003106B"/>
    <w:rsid w:val="000351D5"/>
    <w:rsid w:val="000421A1"/>
    <w:rsid w:val="0004240E"/>
    <w:rsid w:val="00045E26"/>
    <w:rsid w:val="000503D2"/>
    <w:rsid w:val="000514B5"/>
    <w:rsid w:val="00060E64"/>
    <w:rsid w:val="00066755"/>
    <w:rsid w:val="0007015B"/>
    <w:rsid w:val="00077143"/>
    <w:rsid w:val="000969AD"/>
    <w:rsid w:val="000B558D"/>
    <w:rsid w:val="000C3D8F"/>
    <w:rsid w:val="000C6996"/>
    <w:rsid w:val="000D23BA"/>
    <w:rsid w:val="000D588C"/>
    <w:rsid w:val="000E681E"/>
    <w:rsid w:val="000F4E6A"/>
    <w:rsid w:val="001107BF"/>
    <w:rsid w:val="0012417C"/>
    <w:rsid w:val="00142395"/>
    <w:rsid w:val="00142714"/>
    <w:rsid w:val="001452ED"/>
    <w:rsid w:val="00163412"/>
    <w:rsid w:val="001830CE"/>
    <w:rsid w:val="0018327D"/>
    <w:rsid w:val="0018643B"/>
    <w:rsid w:val="00191D86"/>
    <w:rsid w:val="00196307"/>
    <w:rsid w:val="001B017F"/>
    <w:rsid w:val="001B3509"/>
    <w:rsid w:val="001B5129"/>
    <w:rsid w:val="001C1195"/>
    <w:rsid w:val="00213CFB"/>
    <w:rsid w:val="00224108"/>
    <w:rsid w:val="002621E7"/>
    <w:rsid w:val="00271BA1"/>
    <w:rsid w:val="0027397B"/>
    <w:rsid w:val="00273A9A"/>
    <w:rsid w:val="00277505"/>
    <w:rsid w:val="0029458F"/>
    <w:rsid w:val="00296B10"/>
    <w:rsid w:val="002A104C"/>
    <w:rsid w:val="002A4960"/>
    <w:rsid w:val="002A5D12"/>
    <w:rsid w:val="002B1AE6"/>
    <w:rsid w:val="002B30F8"/>
    <w:rsid w:val="002C212F"/>
    <w:rsid w:val="002E3153"/>
    <w:rsid w:val="002E36CB"/>
    <w:rsid w:val="002E5056"/>
    <w:rsid w:val="002E72CA"/>
    <w:rsid w:val="00301136"/>
    <w:rsid w:val="00303D56"/>
    <w:rsid w:val="00326E79"/>
    <w:rsid w:val="00335869"/>
    <w:rsid w:val="003367EF"/>
    <w:rsid w:val="00341AE4"/>
    <w:rsid w:val="00370111"/>
    <w:rsid w:val="003872CF"/>
    <w:rsid w:val="00395844"/>
    <w:rsid w:val="0039782C"/>
    <w:rsid w:val="003A5B4A"/>
    <w:rsid w:val="003B23C5"/>
    <w:rsid w:val="003B2A75"/>
    <w:rsid w:val="003D4AC4"/>
    <w:rsid w:val="003D4D12"/>
    <w:rsid w:val="003D4DD8"/>
    <w:rsid w:val="003D63B7"/>
    <w:rsid w:val="003E0C3B"/>
    <w:rsid w:val="003E468B"/>
    <w:rsid w:val="003F5C8C"/>
    <w:rsid w:val="004107A6"/>
    <w:rsid w:val="00411B81"/>
    <w:rsid w:val="00425E2A"/>
    <w:rsid w:val="004465BD"/>
    <w:rsid w:val="0045796B"/>
    <w:rsid w:val="00466ADA"/>
    <w:rsid w:val="00476245"/>
    <w:rsid w:val="00485940"/>
    <w:rsid w:val="004904A3"/>
    <w:rsid w:val="004A2484"/>
    <w:rsid w:val="004A5A85"/>
    <w:rsid w:val="004B5640"/>
    <w:rsid w:val="004C1BD7"/>
    <w:rsid w:val="004C691D"/>
    <w:rsid w:val="004D535B"/>
    <w:rsid w:val="004E692D"/>
    <w:rsid w:val="00501554"/>
    <w:rsid w:val="005070F3"/>
    <w:rsid w:val="00514CD7"/>
    <w:rsid w:val="005319B2"/>
    <w:rsid w:val="00532C74"/>
    <w:rsid w:val="00534E2E"/>
    <w:rsid w:val="00544552"/>
    <w:rsid w:val="00581932"/>
    <w:rsid w:val="00586602"/>
    <w:rsid w:val="00586B0E"/>
    <w:rsid w:val="005963BB"/>
    <w:rsid w:val="005A3173"/>
    <w:rsid w:val="005A3223"/>
    <w:rsid w:val="005A3DA3"/>
    <w:rsid w:val="005A52C4"/>
    <w:rsid w:val="005C3421"/>
    <w:rsid w:val="005D03AB"/>
    <w:rsid w:val="005D5017"/>
    <w:rsid w:val="005D5CE8"/>
    <w:rsid w:val="005D77B3"/>
    <w:rsid w:val="00601A91"/>
    <w:rsid w:val="00602BA3"/>
    <w:rsid w:val="00614159"/>
    <w:rsid w:val="00617C00"/>
    <w:rsid w:val="00624ADC"/>
    <w:rsid w:val="006263BF"/>
    <w:rsid w:val="0062748A"/>
    <w:rsid w:val="00630A2C"/>
    <w:rsid w:val="00632DB8"/>
    <w:rsid w:val="00651169"/>
    <w:rsid w:val="00653D69"/>
    <w:rsid w:val="00670A76"/>
    <w:rsid w:val="006711AA"/>
    <w:rsid w:val="00672B57"/>
    <w:rsid w:val="00675622"/>
    <w:rsid w:val="006906DB"/>
    <w:rsid w:val="006A12A5"/>
    <w:rsid w:val="006B0D94"/>
    <w:rsid w:val="006B485D"/>
    <w:rsid w:val="006C5674"/>
    <w:rsid w:val="006C708E"/>
    <w:rsid w:val="006D6EC7"/>
    <w:rsid w:val="006F5125"/>
    <w:rsid w:val="007174BB"/>
    <w:rsid w:val="0072359F"/>
    <w:rsid w:val="00750590"/>
    <w:rsid w:val="0076420C"/>
    <w:rsid w:val="00771636"/>
    <w:rsid w:val="0077464B"/>
    <w:rsid w:val="007753C2"/>
    <w:rsid w:val="007838B8"/>
    <w:rsid w:val="007A0984"/>
    <w:rsid w:val="007B22FC"/>
    <w:rsid w:val="007C0F57"/>
    <w:rsid w:val="007C40B6"/>
    <w:rsid w:val="007C729F"/>
    <w:rsid w:val="007D2403"/>
    <w:rsid w:val="007E1D28"/>
    <w:rsid w:val="007F2641"/>
    <w:rsid w:val="007F7C36"/>
    <w:rsid w:val="008039EB"/>
    <w:rsid w:val="00806796"/>
    <w:rsid w:val="00810367"/>
    <w:rsid w:val="008151D6"/>
    <w:rsid w:val="00826F6D"/>
    <w:rsid w:val="00856DDD"/>
    <w:rsid w:val="00863E68"/>
    <w:rsid w:val="00882085"/>
    <w:rsid w:val="00883188"/>
    <w:rsid w:val="00887E92"/>
    <w:rsid w:val="00897D58"/>
    <w:rsid w:val="008A1956"/>
    <w:rsid w:val="008A4937"/>
    <w:rsid w:val="008C08BF"/>
    <w:rsid w:val="008D1B5C"/>
    <w:rsid w:val="008D3C82"/>
    <w:rsid w:val="008D447E"/>
    <w:rsid w:val="008D7A41"/>
    <w:rsid w:val="008E3680"/>
    <w:rsid w:val="008E5870"/>
    <w:rsid w:val="008F1434"/>
    <w:rsid w:val="008F7355"/>
    <w:rsid w:val="0090502F"/>
    <w:rsid w:val="00905437"/>
    <w:rsid w:val="00905B8F"/>
    <w:rsid w:val="009067B7"/>
    <w:rsid w:val="0091176A"/>
    <w:rsid w:val="00930937"/>
    <w:rsid w:val="00933E6C"/>
    <w:rsid w:val="00942160"/>
    <w:rsid w:val="009548BA"/>
    <w:rsid w:val="009602C5"/>
    <w:rsid w:val="00962CBF"/>
    <w:rsid w:val="00962E4B"/>
    <w:rsid w:val="00974C21"/>
    <w:rsid w:val="0099597C"/>
    <w:rsid w:val="009B0F67"/>
    <w:rsid w:val="009B52B4"/>
    <w:rsid w:val="009C410A"/>
    <w:rsid w:val="009C703C"/>
    <w:rsid w:val="009D3CAA"/>
    <w:rsid w:val="009F2A46"/>
    <w:rsid w:val="009F4E46"/>
    <w:rsid w:val="009F5B65"/>
    <w:rsid w:val="009F5F2E"/>
    <w:rsid w:val="00A06225"/>
    <w:rsid w:val="00A128E6"/>
    <w:rsid w:val="00A27FAD"/>
    <w:rsid w:val="00A37C8D"/>
    <w:rsid w:val="00A5273B"/>
    <w:rsid w:val="00A53A9D"/>
    <w:rsid w:val="00A55FEE"/>
    <w:rsid w:val="00A62C1A"/>
    <w:rsid w:val="00A6426D"/>
    <w:rsid w:val="00A70622"/>
    <w:rsid w:val="00A70977"/>
    <w:rsid w:val="00A70FD0"/>
    <w:rsid w:val="00A8390C"/>
    <w:rsid w:val="00A928BD"/>
    <w:rsid w:val="00AA321C"/>
    <w:rsid w:val="00AA4D1C"/>
    <w:rsid w:val="00AB25E9"/>
    <w:rsid w:val="00AC193C"/>
    <w:rsid w:val="00AC2B99"/>
    <w:rsid w:val="00AC5206"/>
    <w:rsid w:val="00AE11A5"/>
    <w:rsid w:val="00AE13E2"/>
    <w:rsid w:val="00AF0EE7"/>
    <w:rsid w:val="00AF68CC"/>
    <w:rsid w:val="00AF76CE"/>
    <w:rsid w:val="00B1059E"/>
    <w:rsid w:val="00B205AA"/>
    <w:rsid w:val="00B22E84"/>
    <w:rsid w:val="00B25F75"/>
    <w:rsid w:val="00B43E90"/>
    <w:rsid w:val="00B467DC"/>
    <w:rsid w:val="00B550FD"/>
    <w:rsid w:val="00B56118"/>
    <w:rsid w:val="00B65698"/>
    <w:rsid w:val="00B6773F"/>
    <w:rsid w:val="00B7221C"/>
    <w:rsid w:val="00B726F2"/>
    <w:rsid w:val="00B801BA"/>
    <w:rsid w:val="00B95F72"/>
    <w:rsid w:val="00BB69F5"/>
    <w:rsid w:val="00BB7EC3"/>
    <w:rsid w:val="00BC4B9A"/>
    <w:rsid w:val="00BD784C"/>
    <w:rsid w:val="00BF4CB6"/>
    <w:rsid w:val="00C00DA7"/>
    <w:rsid w:val="00C12768"/>
    <w:rsid w:val="00C27B58"/>
    <w:rsid w:val="00C35996"/>
    <w:rsid w:val="00C4333B"/>
    <w:rsid w:val="00C5342C"/>
    <w:rsid w:val="00C6256A"/>
    <w:rsid w:val="00C72508"/>
    <w:rsid w:val="00C91449"/>
    <w:rsid w:val="00C92C57"/>
    <w:rsid w:val="00C92D10"/>
    <w:rsid w:val="00CB00EC"/>
    <w:rsid w:val="00CB067E"/>
    <w:rsid w:val="00CC372D"/>
    <w:rsid w:val="00CE10C4"/>
    <w:rsid w:val="00CE27B5"/>
    <w:rsid w:val="00D0317E"/>
    <w:rsid w:val="00D0321E"/>
    <w:rsid w:val="00D06686"/>
    <w:rsid w:val="00D1455A"/>
    <w:rsid w:val="00D3138B"/>
    <w:rsid w:val="00D3280C"/>
    <w:rsid w:val="00D3406A"/>
    <w:rsid w:val="00D37C99"/>
    <w:rsid w:val="00D469B2"/>
    <w:rsid w:val="00D741EB"/>
    <w:rsid w:val="00D81D48"/>
    <w:rsid w:val="00D84934"/>
    <w:rsid w:val="00D91271"/>
    <w:rsid w:val="00DA2CB5"/>
    <w:rsid w:val="00DA4AF9"/>
    <w:rsid w:val="00DA4BAC"/>
    <w:rsid w:val="00DE113C"/>
    <w:rsid w:val="00DE6D27"/>
    <w:rsid w:val="00DF217D"/>
    <w:rsid w:val="00DF26A7"/>
    <w:rsid w:val="00E07A2B"/>
    <w:rsid w:val="00E164B3"/>
    <w:rsid w:val="00E16910"/>
    <w:rsid w:val="00E65E54"/>
    <w:rsid w:val="00E671ED"/>
    <w:rsid w:val="00E75851"/>
    <w:rsid w:val="00E77197"/>
    <w:rsid w:val="00E80155"/>
    <w:rsid w:val="00E848C0"/>
    <w:rsid w:val="00E87617"/>
    <w:rsid w:val="00E91B96"/>
    <w:rsid w:val="00E941A1"/>
    <w:rsid w:val="00E95CE3"/>
    <w:rsid w:val="00EA016D"/>
    <w:rsid w:val="00EA17C8"/>
    <w:rsid w:val="00EA2825"/>
    <w:rsid w:val="00EB5088"/>
    <w:rsid w:val="00ED1644"/>
    <w:rsid w:val="00ED2593"/>
    <w:rsid w:val="00EF44A0"/>
    <w:rsid w:val="00EF4FED"/>
    <w:rsid w:val="00F01A00"/>
    <w:rsid w:val="00F050BD"/>
    <w:rsid w:val="00F05657"/>
    <w:rsid w:val="00F07C44"/>
    <w:rsid w:val="00F171BB"/>
    <w:rsid w:val="00F25578"/>
    <w:rsid w:val="00F258E5"/>
    <w:rsid w:val="00F27F5A"/>
    <w:rsid w:val="00F300BC"/>
    <w:rsid w:val="00F3334E"/>
    <w:rsid w:val="00F50EC4"/>
    <w:rsid w:val="00F57A6D"/>
    <w:rsid w:val="00F638CC"/>
    <w:rsid w:val="00F64CC1"/>
    <w:rsid w:val="00F77DAC"/>
    <w:rsid w:val="00F8247A"/>
    <w:rsid w:val="00F9629A"/>
    <w:rsid w:val="00FA5883"/>
    <w:rsid w:val="00FA6055"/>
    <w:rsid w:val="00FB322F"/>
    <w:rsid w:val="00FB442F"/>
    <w:rsid w:val="00FC1929"/>
    <w:rsid w:val="00FC5B46"/>
    <w:rsid w:val="00FE0BF6"/>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65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077143"/>
    <w:pPr>
      <w:numPr>
        <w:numId w:val="3"/>
      </w:numPr>
      <w:jc w:val="both"/>
      <w:outlineLvl w:val="0"/>
    </w:pPr>
    <w:rPr>
      <w:rFonts w:ascii="Arial" w:hAnsi="Arial"/>
      <w:b/>
      <w:sz w:val="22"/>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sz w:val="24"/>
      <w:szCs w:val="24"/>
    </w:rPr>
  </w:style>
  <w:style w:type="paragraph" w:customStyle="1" w:styleId="PBACHeading1">
    <w:name w:val="PBAC Heading 1"/>
    <w:basedOn w:val="ListParagraph"/>
    <w:qFormat/>
    <w:rsid w:val="00AB25E9"/>
    <w:pPr>
      <w:spacing w:before="240" w:after="120"/>
      <w:ind w:hanging="720"/>
      <w:jc w:val="both"/>
    </w:pPr>
    <w:rPr>
      <w:b/>
      <w:szCs w:val="22"/>
      <w:lang w:eastAsia="en-US"/>
    </w:rPr>
  </w:style>
  <w:style w:type="character" w:styleId="IntenseReference">
    <w:name w:val="Intense Reference"/>
    <w:basedOn w:val="DefaultParagraphFont"/>
    <w:uiPriority w:val="32"/>
    <w:rsid w:val="00AB25E9"/>
    <w:rPr>
      <w:b/>
      <w:bCs/>
      <w:smallCaps/>
      <w:color w:val="C0504D" w:themeColor="accent2"/>
      <w:spacing w:val="5"/>
      <w:u w:val="single"/>
    </w:rPr>
  </w:style>
  <w:style w:type="paragraph" w:styleId="Revision">
    <w:name w:val="Revision"/>
    <w:hidden/>
    <w:uiPriority w:val="71"/>
    <w:rsid w:val="001832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077143"/>
    <w:pPr>
      <w:numPr>
        <w:numId w:val="3"/>
      </w:numPr>
      <w:jc w:val="both"/>
      <w:outlineLvl w:val="0"/>
    </w:pPr>
    <w:rPr>
      <w:rFonts w:ascii="Arial" w:hAnsi="Arial"/>
      <w:b/>
      <w:sz w:val="22"/>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sz w:val="24"/>
      <w:szCs w:val="24"/>
    </w:rPr>
  </w:style>
  <w:style w:type="paragraph" w:customStyle="1" w:styleId="PBACHeading1">
    <w:name w:val="PBAC Heading 1"/>
    <w:basedOn w:val="ListParagraph"/>
    <w:qFormat/>
    <w:rsid w:val="00AB25E9"/>
    <w:pPr>
      <w:spacing w:before="240" w:after="120"/>
      <w:ind w:hanging="720"/>
      <w:jc w:val="both"/>
    </w:pPr>
    <w:rPr>
      <w:b/>
      <w:szCs w:val="22"/>
      <w:lang w:eastAsia="en-US"/>
    </w:rPr>
  </w:style>
  <w:style w:type="character" w:styleId="IntenseReference">
    <w:name w:val="Intense Reference"/>
    <w:basedOn w:val="DefaultParagraphFont"/>
    <w:uiPriority w:val="32"/>
    <w:rsid w:val="00AB25E9"/>
    <w:rPr>
      <w:b/>
      <w:bCs/>
      <w:smallCaps/>
      <w:color w:val="C0504D" w:themeColor="accent2"/>
      <w:spacing w:val="5"/>
      <w:u w:val="single"/>
    </w:rPr>
  </w:style>
  <w:style w:type="paragraph" w:styleId="Revision">
    <w:name w:val="Revision"/>
    <w:hidden/>
    <w:uiPriority w:val="71"/>
    <w:rsid w:val="001832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2855488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96438617">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55556063">
      <w:bodyDiv w:val="1"/>
      <w:marLeft w:val="0"/>
      <w:marRight w:val="0"/>
      <w:marTop w:val="0"/>
      <w:marBottom w:val="0"/>
      <w:divBdr>
        <w:top w:val="none" w:sz="0" w:space="0" w:color="auto"/>
        <w:left w:val="none" w:sz="0" w:space="0" w:color="auto"/>
        <w:bottom w:val="none" w:sz="0" w:space="0" w:color="auto"/>
        <w:right w:val="none" w:sz="0" w:space="0" w:color="auto"/>
      </w:divBdr>
    </w:div>
    <w:div w:id="19791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4477A-AEBF-4A3F-86B6-B9215BE9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10666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2016-10-04T22:49:00Z</dcterms:created>
  <dcterms:modified xsi:type="dcterms:W3CDTF">2016-10-04T22:53:00Z</dcterms:modified>
</cp:coreProperties>
</file>