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7B" w:rsidRDefault="002A607B" w:rsidP="002A607B">
      <w:pPr>
        <w:pStyle w:val="Title"/>
        <w:rPr>
          <w:szCs w:val="28"/>
        </w:rPr>
      </w:pPr>
      <w:bookmarkStart w:id="0" w:name="_GoBack"/>
      <w:bookmarkEnd w:id="0"/>
      <w:r>
        <w:rPr>
          <w:szCs w:val="28"/>
        </w:rPr>
        <w:t>6.11</w:t>
      </w:r>
      <w:r w:rsidR="007C0F57" w:rsidRPr="006D6EC7">
        <w:rPr>
          <w:szCs w:val="28"/>
        </w:rPr>
        <w:tab/>
      </w:r>
      <w:r>
        <w:rPr>
          <w:szCs w:val="28"/>
        </w:rPr>
        <w:t>IPILIMUMAB</w:t>
      </w:r>
    </w:p>
    <w:p w:rsidR="00C27B58" w:rsidRPr="00AD4DB8" w:rsidRDefault="002A607B" w:rsidP="00AD4DB8">
      <w:pPr>
        <w:pStyle w:val="Title"/>
        <w:ind w:left="720"/>
        <w:rPr>
          <w:szCs w:val="28"/>
        </w:rPr>
      </w:pPr>
      <w:r>
        <w:t>50</w:t>
      </w:r>
      <w:r w:rsidR="004B03AB">
        <w:rPr>
          <w:rFonts w:hint="eastAsia"/>
        </w:rPr>
        <w:t> </w:t>
      </w:r>
      <w:r>
        <w:t>mg/10</w:t>
      </w:r>
      <w:r w:rsidR="004B03AB">
        <w:rPr>
          <w:rFonts w:hint="eastAsia"/>
        </w:rPr>
        <w:t> </w:t>
      </w:r>
      <w:r w:rsidR="004B03AB">
        <w:t>mL injection, 10 mL, 200 mg/40 mL injection, 40 </w:t>
      </w:r>
      <w:r>
        <w:t>mL</w:t>
      </w:r>
      <w:r w:rsidR="004B03AB">
        <w:t>,</w:t>
      </w:r>
      <w:r>
        <w:t xml:space="preserve"> Yervoy</w:t>
      </w:r>
      <w:r w:rsidRPr="004B03AB">
        <w:rPr>
          <w:vertAlign w:val="superscript"/>
        </w:rPr>
        <w:t>®</w:t>
      </w:r>
      <w:r w:rsidR="004B03AB">
        <w:t>,</w:t>
      </w:r>
      <w:r>
        <w:t xml:space="preserve"> Bristol-Myers Squibb Australia Ltd</w:t>
      </w:r>
    </w:p>
    <w:p w:rsidR="00CE10C4" w:rsidRPr="00C603D4" w:rsidRDefault="00CE10C4" w:rsidP="00AD4DB8">
      <w:pPr>
        <w:pStyle w:val="Heading1"/>
        <w:numPr>
          <w:ilvl w:val="0"/>
          <w:numId w:val="1"/>
        </w:numPr>
      </w:pPr>
      <w:r w:rsidRPr="00C603D4">
        <w:t xml:space="preserve">Purpose of </w:t>
      </w:r>
      <w:r w:rsidR="0004240E" w:rsidRPr="00C603D4">
        <w:t>Application</w:t>
      </w:r>
    </w:p>
    <w:p w:rsidR="006A12A5" w:rsidRPr="00882085" w:rsidRDefault="006A12A5" w:rsidP="00882085">
      <w:pPr>
        <w:jc w:val="both"/>
        <w:rPr>
          <w:rFonts w:ascii="Arial" w:hAnsi="Arial"/>
          <w:sz w:val="22"/>
          <w:szCs w:val="22"/>
        </w:rPr>
      </w:pPr>
    </w:p>
    <w:p w:rsidR="00EF44A0" w:rsidRDefault="00EF44A0" w:rsidP="00F12260">
      <w:pPr>
        <w:pStyle w:val="ListParagraph"/>
        <w:numPr>
          <w:ilvl w:val="1"/>
          <w:numId w:val="1"/>
        </w:numPr>
        <w:jc w:val="both"/>
        <w:rPr>
          <w:rFonts w:ascii="Arial" w:hAnsi="Arial"/>
          <w:sz w:val="22"/>
          <w:szCs w:val="22"/>
        </w:rPr>
      </w:pPr>
      <w:r>
        <w:rPr>
          <w:rFonts w:ascii="Arial" w:hAnsi="Arial"/>
          <w:sz w:val="22"/>
          <w:szCs w:val="22"/>
        </w:rPr>
        <w:t>The mi</w:t>
      </w:r>
      <w:r w:rsidR="00FF2801">
        <w:rPr>
          <w:rFonts w:ascii="Arial" w:hAnsi="Arial"/>
          <w:sz w:val="22"/>
          <w:szCs w:val="22"/>
        </w:rPr>
        <w:t xml:space="preserve">nor submission </w:t>
      </w:r>
      <w:r w:rsidR="002A607B">
        <w:rPr>
          <w:rFonts w:ascii="Arial" w:hAnsi="Arial"/>
          <w:sz w:val="22"/>
          <w:szCs w:val="22"/>
        </w:rPr>
        <w:t>requested an amendment to the restriction wording for the PBS listing of ipilimumab for unresectable stage III or stage IV malignant melanoma</w:t>
      </w:r>
      <w:r w:rsidR="00FA687A">
        <w:rPr>
          <w:rFonts w:ascii="Arial" w:hAnsi="Arial"/>
          <w:sz w:val="22"/>
          <w:szCs w:val="22"/>
        </w:rPr>
        <w:t xml:space="preserve"> from “the treatment must be as monotherapy” to “the treatment must be the sole PBS-subsidised therapy for this condition”</w:t>
      </w:r>
      <w:r w:rsidR="0012503A">
        <w:rPr>
          <w:rFonts w:ascii="Arial" w:hAnsi="Arial"/>
          <w:sz w:val="22"/>
          <w:szCs w:val="22"/>
        </w:rPr>
        <w:t>.</w:t>
      </w:r>
    </w:p>
    <w:p w:rsidR="00EF44A0" w:rsidRPr="00C27B58" w:rsidRDefault="00EF44A0" w:rsidP="00C27B58">
      <w:pPr>
        <w:pStyle w:val="NoSpacing"/>
      </w:pPr>
    </w:p>
    <w:p w:rsidR="00077143" w:rsidRPr="00077143" w:rsidRDefault="006A12A5" w:rsidP="00F12260">
      <w:pPr>
        <w:pStyle w:val="Heading1"/>
        <w:numPr>
          <w:ilvl w:val="0"/>
          <w:numId w:val="1"/>
        </w:numPr>
      </w:pPr>
      <w:r w:rsidRPr="004A2484">
        <w:t>Requested listing</w:t>
      </w:r>
    </w:p>
    <w:p w:rsidR="006A12A5" w:rsidRPr="004B03AB" w:rsidRDefault="006A12A5" w:rsidP="00882085">
      <w:pPr>
        <w:jc w:val="both"/>
        <w:rPr>
          <w:rFonts w:ascii="Arial" w:hAnsi="Arial"/>
          <w:sz w:val="22"/>
          <w:szCs w:val="22"/>
        </w:rPr>
      </w:pPr>
    </w:p>
    <w:p w:rsidR="00826F6D" w:rsidRPr="00077143" w:rsidRDefault="00EF44A0" w:rsidP="00F12260">
      <w:pPr>
        <w:pStyle w:val="ListParagraph"/>
        <w:numPr>
          <w:ilvl w:val="1"/>
          <w:numId w:val="1"/>
        </w:numPr>
        <w:jc w:val="both"/>
        <w:rPr>
          <w:rFonts w:ascii="Arial" w:hAnsi="Arial"/>
          <w:sz w:val="22"/>
          <w:szCs w:val="22"/>
        </w:rPr>
      </w:pPr>
      <w:r w:rsidRPr="00077143">
        <w:rPr>
          <w:rFonts w:ascii="Arial" w:hAnsi="Arial"/>
          <w:sz w:val="22"/>
          <w:szCs w:val="22"/>
        </w:rPr>
        <w:t xml:space="preserve">The submission </w:t>
      </w:r>
      <w:r w:rsidR="00FF2801" w:rsidRPr="00077143">
        <w:rPr>
          <w:rFonts w:ascii="Arial" w:hAnsi="Arial"/>
          <w:sz w:val="22"/>
          <w:szCs w:val="22"/>
        </w:rPr>
        <w:t>requested</w:t>
      </w:r>
      <w:r w:rsidRPr="00077143">
        <w:rPr>
          <w:rFonts w:ascii="Arial" w:hAnsi="Arial"/>
          <w:sz w:val="22"/>
          <w:szCs w:val="22"/>
        </w:rPr>
        <w:t xml:space="preserve"> the following changes to the existing listing</w:t>
      </w:r>
      <w:r w:rsidR="002A607B">
        <w:rPr>
          <w:rFonts w:ascii="Arial" w:hAnsi="Arial"/>
          <w:sz w:val="22"/>
          <w:szCs w:val="22"/>
        </w:rPr>
        <w:t xml:space="preserve">. </w:t>
      </w:r>
      <w:r w:rsidR="002A607B" w:rsidRPr="00132D49">
        <w:rPr>
          <w:rFonts w:ascii="Arial" w:hAnsi="Arial"/>
          <w:sz w:val="22"/>
          <w:szCs w:val="22"/>
        </w:rPr>
        <w:t>An abrid</w:t>
      </w:r>
      <w:r w:rsidR="009905A6" w:rsidRPr="00132D49">
        <w:rPr>
          <w:rFonts w:ascii="Arial" w:hAnsi="Arial"/>
          <w:sz w:val="22"/>
          <w:szCs w:val="22"/>
        </w:rPr>
        <w:t>ged version is presented below, with the submission’s proposed deletion marked in strikethrough and submission’s proposed additions in italics.</w:t>
      </w:r>
      <w:r w:rsidR="009905A6">
        <w:rPr>
          <w:rFonts w:ascii="Arial" w:hAnsi="Arial"/>
          <w:i/>
          <w:sz w:val="22"/>
          <w:szCs w:val="22"/>
        </w:rPr>
        <w:t xml:space="preserve"> </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826F6D" w:rsidRPr="0039782C" w:rsidTr="00893042">
        <w:trPr>
          <w:cantSplit/>
          <w:trHeight w:val="471"/>
          <w:tblHeader/>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2A607B" w:rsidP="00C27B58">
            <w:pPr>
              <w:keepNext/>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417" w:type="dxa"/>
            <w:tcBorders>
              <w:bottom w:val="single" w:sz="4" w:space="0" w:color="auto"/>
            </w:tcBorders>
          </w:tcPr>
          <w:p w:rsidR="00826F6D" w:rsidRPr="0039782C" w:rsidRDefault="00826F6D" w:rsidP="002A607B">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r w:rsidR="002A607B">
              <w:rPr>
                <w:rFonts w:ascii="Arial Narrow" w:hAnsi="Arial Narrow" w:cs="Arial"/>
                <w:b/>
                <w:sz w:val="20"/>
                <w:szCs w:val="20"/>
              </w:rPr>
              <w:t>Amount</w:t>
            </w:r>
          </w:p>
        </w:tc>
        <w:tc>
          <w:tcPr>
            <w:tcW w:w="2268"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99251A">
        <w:trPr>
          <w:cantSplit/>
          <w:trHeight w:val="577"/>
        </w:trPr>
        <w:tc>
          <w:tcPr>
            <w:tcW w:w="3119" w:type="dxa"/>
            <w:gridSpan w:val="2"/>
          </w:tcPr>
          <w:p w:rsidR="00826F6D" w:rsidRPr="00260CE3" w:rsidRDefault="002A607B" w:rsidP="00C27B58">
            <w:pPr>
              <w:keepNext/>
              <w:ind w:left="-108"/>
              <w:jc w:val="both"/>
              <w:rPr>
                <w:rFonts w:ascii="Arial Narrow" w:hAnsi="Arial Narrow" w:cs="Arial"/>
                <w:sz w:val="20"/>
                <w:szCs w:val="20"/>
              </w:rPr>
            </w:pPr>
            <w:r>
              <w:rPr>
                <w:rFonts w:ascii="Arial Narrow" w:hAnsi="Arial Narrow" w:cs="Arial"/>
                <w:smallCaps/>
                <w:sz w:val="20"/>
                <w:szCs w:val="20"/>
              </w:rPr>
              <w:t>IPILIMUMAB</w:t>
            </w:r>
          </w:p>
          <w:p w:rsidR="00826F6D" w:rsidRDefault="002A607B" w:rsidP="00C27B58">
            <w:pPr>
              <w:keepNext/>
              <w:ind w:left="-108"/>
              <w:jc w:val="both"/>
              <w:rPr>
                <w:rFonts w:ascii="Arial Narrow" w:hAnsi="Arial Narrow" w:cs="Arial"/>
                <w:sz w:val="20"/>
                <w:szCs w:val="20"/>
              </w:rPr>
            </w:pPr>
            <w:r>
              <w:rPr>
                <w:rFonts w:ascii="Arial Narrow" w:hAnsi="Arial Narrow" w:cs="Arial"/>
                <w:sz w:val="20"/>
                <w:szCs w:val="20"/>
              </w:rPr>
              <w:t>50</w:t>
            </w:r>
            <w:r w:rsidR="004B03AB">
              <w:rPr>
                <w:rFonts w:ascii="Arial Narrow" w:hAnsi="Arial Narrow" w:cs="Arial"/>
                <w:sz w:val="20"/>
                <w:szCs w:val="20"/>
              </w:rPr>
              <w:t> </w:t>
            </w:r>
            <w:r>
              <w:rPr>
                <w:rFonts w:ascii="Arial Narrow" w:hAnsi="Arial Narrow" w:cs="Arial"/>
                <w:sz w:val="20"/>
                <w:szCs w:val="20"/>
              </w:rPr>
              <w:t>mg/10</w:t>
            </w:r>
            <w:r w:rsidR="004B03AB">
              <w:rPr>
                <w:rFonts w:ascii="Arial Narrow" w:hAnsi="Arial Narrow" w:cs="Arial"/>
                <w:sz w:val="20"/>
                <w:szCs w:val="20"/>
              </w:rPr>
              <w:t> </w:t>
            </w:r>
            <w:r>
              <w:rPr>
                <w:rFonts w:ascii="Arial Narrow" w:hAnsi="Arial Narrow" w:cs="Arial"/>
                <w:sz w:val="20"/>
                <w:szCs w:val="20"/>
              </w:rPr>
              <w:t>mL injection, 10</w:t>
            </w:r>
            <w:r w:rsidR="004B03AB">
              <w:rPr>
                <w:rFonts w:ascii="Arial Narrow" w:hAnsi="Arial Narrow" w:cs="Arial"/>
                <w:sz w:val="20"/>
                <w:szCs w:val="20"/>
              </w:rPr>
              <w:t> </w:t>
            </w:r>
            <w:r>
              <w:rPr>
                <w:rFonts w:ascii="Arial Narrow" w:hAnsi="Arial Narrow" w:cs="Arial"/>
                <w:sz w:val="20"/>
                <w:szCs w:val="20"/>
              </w:rPr>
              <w:t>mL</w:t>
            </w:r>
          </w:p>
          <w:p w:rsidR="002A607B" w:rsidRPr="00260CE3" w:rsidRDefault="004B03AB" w:rsidP="004B03AB">
            <w:pPr>
              <w:keepNext/>
              <w:ind w:left="-108"/>
              <w:jc w:val="both"/>
              <w:rPr>
                <w:rFonts w:ascii="Arial Narrow" w:hAnsi="Arial Narrow" w:cs="Arial"/>
                <w:sz w:val="20"/>
                <w:szCs w:val="20"/>
              </w:rPr>
            </w:pPr>
            <w:r>
              <w:rPr>
                <w:rFonts w:ascii="Arial Narrow" w:hAnsi="Arial Narrow" w:cs="Arial"/>
                <w:sz w:val="20"/>
                <w:szCs w:val="20"/>
              </w:rPr>
              <w:t>200 </w:t>
            </w:r>
            <w:r w:rsidR="002A607B">
              <w:rPr>
                <w:rFonts w:ascii="Arial Narrow" w:hAnsi="Arial Narrow" w:cs="Arial"/>
                <w:sz w:val="20"/>
                <w:szCs w:val="20"/>
              </w:rPr>
              <w:t>mg/40</w:t>
            </w:r>
            <w:r>
              <w:rPr>
                <w:rFonts w:ascii="Arial Narrow" w:hAnsi="Arial Narrow" w:cs="Arial"/>
                <w:sz w:val="20"/>
                <w:szCs w:val="20"/>
              </w:rPr>
              <w:t> </w:t>
            </w:r>
            <w:r w:rsidR="002A607B">
              <w:rPr>
                <w:rFonts w:ascii="Arial Narrow" w:hAnsi="Arial Narrow" w:cs="Arial"/>
                <w:sz w:val="20"/>
                <w:szCs w:val="20"/>
              </w:rPr>
              <w:t>mL injection, 40</w:t>
            </w:r>
            <w:r>
              <w:rPr>
                <w:rFonts w:ascii="Arial Narrow" w:hAnsi="Arial Narrow" w:cs="Arial"/>
                <w:sz w:val="20"/>
                <w:szCs w:val="20"/>
              </w:rPr>
              <w:t> </w:t>
            </w:r>
            <w:r w:rsidR="002A607B">
              <w:rPr>
                <w:rFonts w:ascii="Arial Narrow" w:hAnsi="Arial Narrow" w:cs="Arial"/>
                <w:sz w:val="20"/>
                <w:szCs w:val="20"/>
              </w:rPr>
              <w:t>mL</w:t>
            </w:r>
          </w:p>
        </w:tc>
        <w:tc>
          <w:tcPr>
            <w:tcW w:w="850" w:type="dxa"/>
          </w:tcPr>
          <w:p w:rsidR="00826F6D" w:rsidRPr="00260CE3" w:rsidRDefault="00826F6D" w:rsidP="00C27B58">
            <w:pPr>
              <w:keepNext/>
              <w:ind w:left="-108"/>
              <w:jc w:val="both"/>
              <w:rPr>
                <w:rFonts w:ascii="Arial Narrow" w:hAnsi="Arial Narrow" w:cs="Arial"/>
                <w:sz w:val="20"/>
                <w:szCs w:val="20"/>
              </w:rPr>
            </w:pPr>
          </w:p>
          <w:p w:rsidR="002A607B" w:rsidRPr="00260CE3" w:rsidRDefault="002A607B" w:rsidP="0099251A">
            <w:pPr>
              <w:keepNext/>
              <w:ind w:left="-108"/>
              <w:jc w:val="both"/>
              <w:rPr>
                <w:rFonts w:ascii="Arial Narrow" w:hAnsi="Arial Narrow" w:cs="Arial"/>
                <w:sz w:val="20"/>
                <w:szCs w:val="20"/>
              </w:rPr>
            </w:pPr>
            <w:r>
              <w:rPr>
                <w:rFonts w:ascii="Arial Narrow" w:hAnsi="Arial Narrow" w:cs="Arial"/>
                <w:sz w:val="20"/>
                <w:szCs w:val="20"/>
              </w:rPr>
              <w:t>360</w:t>
            </w:r>
            <w:r w:rsidR="004B03AB">
              <w:rPr>
                <w:rFonts w:ascii="Arial Narrow" w:hAnsi="Arial Narrow" w:cs="Arial"/>
                <w:sz w:val="20"/>
                <w:szCs w:val="20"/>
              </w:rPr>
              <w:t> </w:t>
            </w:r>
            <w:r>
              <w:rPr>
                <w:rFonts w:ascii="Arial Narrow" w:hAnsi="Arial Narrow" w:cs="Arial"/>
                <w:sz w:val="20"/>
                <w:szCs w:val="20"/>
              </w:rPr>
              <w:t>mg</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2A607B" w:rsidP="00C27B58">
            <w:pPr>
              <w:keepNext/>
              <w:ind w:left="-108"/>
              <w:jc w:val="both"/>
              <w:rPr>
                <w:rFonts w:ascii="Arial Narrow" w:hAnsi="Arial Narrow" w:cs="Arial"/>
                <w:sz w:val="20"/>
                <w:szCs w:val="20"/>
              </w:rPr>
            </w:pPr>
            <w:r>
              <w:rPr>
                <w:rFonts w:ascii="Arial Narrow" w:hAnsi="Arial Narrow" w:cs="Arial"/>
                <w:sz w:val="20"/>
                <w:szCs w:val="20"/>
              </w:rPr>
              <w:t>3</w:t>
            </w:r>
          </w:p>
        </w:tc>
        <w:tc>
          <w:tcPr>
            <w:tcW w:w="1417" w:type="dxa"/>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C27B58">
            <w:pPr>
              <w:keepNext/>
              <w:ind w:left="-108"/>
              <w:jc w:val="both"/>
              <w:rPr>
                <w:rFonts w:ascii="Arial Narrow" w:hAnsi="Arial Narrow" w:cs="Arial"/>
                <w:sz w:val="20"/>
                <w:szCs w:val="20"/>
              </w:rPr>
            </w:pPr>
            <w:r w:rsidRPr="00260CE3">
              <w:rPr>
                <w:rFonts w:ascii="Arial Narrow" w:hAnsi="Arial Narrow" w:cs="Arial"/>
                <w:sz w:val="20"/>
                <w:szCs w:val="20"/>
              </w:rPr>
              <w:t>$</w:t>
            </w:r>
            <w:r w:rsidR="002A607B" w:rsidRPr="00372CD7">
              <w:rPr>
                <w:rFonts w:ascii="Arial Narrow" w:hAnsi="Arial Narrow" w:cs="Arial"/>
                <w:sz w:val="20"/>
                <w:szCs w:val="20"/>
              </w:rPr>
              <w:t>48159.70</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2A607B" w:rsidP="00C27B58">
            <w:pPr>
              <w:keepNext/>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2A607B" w:rsidP="00C27B58">
            <w:pPr>
              <w:keepNext/>
              <w:jc w:val="both"/>
              <w:rPr>
                <w:rFonts w:ascii="Arial Narrow" w:hAnsi="Arial Narrow" w:cs="Arial"/>
                <w:sz w:val="20"/>
                <w:szCs w:val="20"/>
              </w:rPr>
            </w:pPr>
            <w:r>
              <w:rPr>
                <w:rFonts w:ascii="Arial Narrow" w:hAnsi="Arial Narrow" w:cs="Arial"/>
                <w:sz w:val="20"/>
                <w:szCs w:val="20"/>
              </w:rPr>
              <w:t>BQ</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4B03AB">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 xml:space="preserve">Section 100 – </w:t>
            </w:r>
            <w:r w:rsidR="002A607B">
              <w:rPr>
                <w:rFonts w:ascii="Arial Narrow" w:hAnsi="Arial Narrow" w:cs="Arial"/>
                <w:sz w:val="20"/>
                <w:szCs w:val="20"/>
              </w:rPr>
              <w:t>Efficient funding of chemotherapy (Public and Private)</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A607B">
              <w:rPr>
                <w:rFonts w:ascii="Arial Narrow" w:hAnsi="Arial Narrow" w:cs="Arial"/>
                <w:sz w:val="20"/>
                <w:szCs w:val="20"/>
              </w:rPr>
              <w:fldChar w:fldCharType="begin">
                <w:ffData>
                  <w:name w:val=""/>
                  <w:enabled/>
                  <w:calcOnExit w:val="0"/>
                  <w:checkBox>
                    <w:sizeAuto/>
                    <w:default w:val="1"/>
                  </w:checkBox>
                </w:ffData>
              </w:fldChar>
            </w:r>
            <w:r w:rsidR="002A607B">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002A607B">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2A607B" w:rsidP="00C27B58">
            <w:pPr>
              <w:rPr>
                <w:rFonts w:ascii="Arial Narrow" w:hAnsi="Arial Narrow" w:cs="Arial"/>
                <w:sz w:val="20"/>
                <w:szCs w:val="20"/>
              </w:rPr>
            </w:pPr>
            <w:r>
              <w:rPr>
                <w:rFonts w:ascii="Arial Narrow" w:hAnsi="Arial Narrow" w:cs="Arial"/>
                <w:sz w:val="20"/>
                <w:szCs w:val="20"/>
              </w:rPr>
              <w:t>Unresectable Stage III or Stage IV malignant melanoma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A607B"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2A607B" w:rsidP="00C27B58">
            <w:pPr>
              <w:rPr>
                <w:rFonts w:ascii="Arial Narrow" w:hAnsi="Arial Narrow" w:cs="Arial"/>
                <w:sz w:val="20"/>
                <w:szCs w:val="20"/>
              </w:rPr>
            </w:pPr>
            <w:r>
              <w:rPr>
                <w:rFonts w:ascii="Arial Narrow" w:hAnsi="Arial Narrow" w:cs="Arial"/>
                <w:sz w:val="20"/>
                <w:szCs w:val="20"/>
              </w:rPr>
              <w:t>Induction treatment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2A607B">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2A607B"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4B03AB">
            <w:pPr>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9905A6" w:rsidRDefault="009905A6" w:rsidP="009905A6">
            <w:pPr>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9905A6" w:rsidRPr="009905A6" w:rsidRDefault="009905A6" w:rsidP="009905A6">
            <w:pPr>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2A607B" w:rsidRDefault="002A607B" w:rsidP="00C27B58">
            <w:pPr>
              <w:rPr>
                <w:rFonts w:ascii="Arial Narrow" w:hAnsi="Arial Narrow" w:cs="Arial"/>
                <w:sz w:val="20"/>
                <w:szCs w:val="20"/>
              </w:rPr>
            </w:pPr>
          </w:p>
          <w:p w:rsidR="002A607B" w:rsidRDefault="002A607B" w:rsidP="00C27B58">
            <w:pPr>
              <w:rPr>
                <w:rFonts w:ascii="Arial Narrow" w:hAnsi="Arial Narrow" w:cs="Arial"/>
                <w:sz w:val="20"/>
                <w:szCs w:val="20"/>
              </w:rPr>
            </w:pPr>
            <w:r>
              <w:rPr>
                <w:rFonts w:ascii="Arial Narrow" w:hAnsi="Arial Narrow" w:cs="Arial"/>
                <w:sz w:val="20"/>
                <w:szCs w:val="20"/>
              </w:rPr>
              <w:t>AND</w:t>
            </w:r>
          </w:p>
          <w:p w:rsidR="002A607B" w:rsidRDefault="002A607B" w:rsidP="00C27B58">
            <w:pPr>
              <w:rPr>
                <w:rFonts w:ascii="Arial Narrow" w:hAnsi="Arial Narrow" w:cs="Arial"/>
                <w:sz w:val="20"/>
                <w:szCs w:val="20"/>
              </w:rPr>
            </w:pPr>
          </w:p>
          <w:p w:rsidR="002A607B" w:rsidRDefault="002A607B" w:rsidP="00C27B58">
            <w:pPr>
              <w:rPr>
                <w:rFonts w:ascii="Arial Narrow" w:hAnsi="Arial Narrow" w:cs="Arial"/>
                <w:sz w:val="20"/>
                <w:szCs w:val="20"/>
              </w:rPr>
            </w:pPr>
            <w:r>
              <w:rPr>
                <w:rFonts w:ascii="Arial Narrow" w:hAnsi="Arial Narrow" w:cs="Arial"/>
                <w:sz w:val="20"/>
                <w:szCs w:val="20"/>
              </w:rPr>
              <w:t xml:space="preserve">Patient must not have received prior treatment with ipilimumab; </w:t>
            </w:r>
          </w:p>
          <w:p w:rsidR="002A607B" w:rsidRDefault="002A607B" w:rsidP="00C27B58">
            <w:pPr>
              <w:rPr>
                <w:rFonts w:ascii="Arial Narrow" w:hAnsi="Arial Narrow" w:cs="Arial"/>
                <w:sz w:val="20"/>
                <w:szCs w:val="20"/>
              </w:rPr>
            </w:pPr>
          </w:p>
          <w:p w:rsidR="002A607B" w:rsidRDefault="002A607B" w:rsidP="00C27B58">
            <w:pPr>
              <w:rPr>
                <w:rFonts w:ascii="Arial Narrow" w:hAnsi="Arial Narrow" w:cs="Arial"/>
                <w:sz w:val="20"/>
                <w:szCs w:val="20"/>
              </w:rPr>
            </w:pPr>
            <w:r>
              <w:rPr>
                <w:rFonts w:ascii="Arial Narrow" w:hAnsi="Arial Narrow" w:cs="Arial"/>
                <w:sz w:val="20"/>
                <w:szCs w:val="20"/>
              </w:rPr>
              <w:t xml:space="preserve">AND </w:t>
            </w:r>
          </w:p>
          <w:p w:rsidR="002A607B" w:rsidRDefault="002A607B" w:rsidP="00C27B58">
            <w:pPr>
              <w:rPr>
                <w:rFonts w:ascii="Arial Narrow" w:hAnsi="Arial Narrow" w:cs="Arial"/>
                <w:sz w:val="20"/>
                <w:szCs w:val="20"/>
              </w:rPr>
            </w:pPr>
          </w:p>
          <w:p w:rsidR="00826F6D" w:rsidRPr="00260CE3" w:rsidRDefault="002A607B" w:rsidP="002A607B">
            <w:pPr>
              <w:rPr>
                <w:rFonts w:ascii="Arial Narrow" w:hAnsi="Arial Narrow" w:cs="Arial"/>
                <w:sz w:val="20"/>
                <w:szCs w:val="20"/>
              </w:rPr>
            </w:pPr>
            <w:r>
              <w:rPr>
                <w:rFonts w:ascii="Arial Narrow" w:hAnsi="Arial Narrow" w:cs="Arial"/>
                <w:sz w:val="20"/>
                <w:szCs w:val="20"/>
              </w:rPr>
              <w:t xml:space="preserve">The treatment must not exceed a total of 4 doses at a maximum dose of 3 mg per kg every 3 weeks. </w:t>
            </w:r>
          </w:p>
        </w:tc>
      </w:tr>
    </w:tbl>
    <w:p w:rsidR="00826F6D" w:rsidRDefault="00826F6D"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2A607B" w:rsidRPr="0039782C" w:rsidTr="00893042">
        <w:trPr>
          <w:cantSplit/>
          <w:trHeight w:val="471"/>
          <w:tblHeader/>
        </w:trPr>
        <w:tc>
          <w:tcPr>
            <w:tcW w:w="3119" w:type="dxa"/>
            <w:gridSpan w:val="2"/>
            <w:tcBorders>
              <w:bottom w:val="single" w:sz="4" w:space="0" w:color="auto"/>
            </w:tcBorders>
          </w:tcPr>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Max.</w:t>
            </w:r>
          </w:p>
          <w:p w:rsidR="002A607B" w:rsidRPr="0039782C" w:rsidRDefault="002A607B" w:rsidP="00893042">
            <w:pPr>
              <w:keepNext/>
              <w:keepLines/>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№.of</w:t>
            </w:r>
          </w:p>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Rpts</w:t>
            </w:r>
          </w:p>
        </w:tc>
        <w:tc>
          <w:tcPr>
            <w:tcW w:w="1417" w:type="dxa"/>
            <w:tcBorders>
              <w:bottom w:val="single" w:sz="4" w:space="0" w:color="auto"/>
            </w:tcBorders>
          </w:tcPr>
          <w:p w:rsidR="002A607B" w:rsidRPr="0039782C" w:rsidRDefault="002A607B"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r>
              <w:rPr>
                <w:rFonts w:ascii="Arial Narrow" w:hAnsi="Arial Narrow" w:cs="Arial"/>
                <w:b/>
                <w:sz w:val="20"/>
                <w:szCs w:val="20"/>
              </w:rPr>
              <w:t>Amount</w:t>
            </w:r>
          </w:p>
        </w:tc>
        <w:tc>
          <w:tcPr>
            <w:tcW w:w="2268" w:type="dxa"/>
            <w:gridSpan w:val="2"/>
            <w:tcBorders>
              <w:bottom w:val="single" w:sz="4" w:space="0" w:color="auto"/>
            </w:tcBorders>
          </w:tcPr>
          <w:p w:rsidR="002A607B" w:rsidRPr="0039782C" w:rsidRDefault="002A607B" w:rsidP="00893042">
            <w:pPr>
              <w:keepNext/>
              <w:keepLines/>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B03AB" w:rsidRPr="00260CE3" w:rsidTr="0099251A">
        <w:trPr>
          <w:cantSplit/>
          <w:trHeight w:val="577"/>
        </w:trPr>
        <w:tc>
          <w:tcPr>
            <w:tcW w:w="3119" w:type="dxa"/>
            <w:gridSpan w:val="2"/>
          </w:tcPr>
          <w:p w:rsidR="004B03AB" w:rsidRPr="00260CE3" w:rsidRDefault="004B03AB" w:rsidP="00893042">
            <w:pPr>
              <w:keepNext/>
              <w:keepLines/>
              <w:ind w:left="-108"/>
              <w:jc w:val="both"/>
              <w:rPr>
                <w:rFonts w:ascii="Arial Narrow" w:hAnsi="Arial Narrow" w:cs="Arial"/>
                <w:sz w:val="20"/>
                <w:szCs w:val="20"/>
              </w:rPr>
            </w:pPr>
            <w:r>
              <w:rPr>
                <w:rFonts w:ascii="Arial Narrow" w:hAnsi="Arial Narrow" w:cs="Arial"/>
                <w:smallCaps/>
                <w:sz w:val="20"/>
                <w:szCs w:val="20"/>
              </w:rPr>
              <w:t>IPILIMUMAB</w:t>
            </w:r>
          </w:p>
          <w:p w:rsidR="004B03AB" w:rsidRDefault="004B03AB" w:rsidP="00893042">
            <w:pPr>
              <w:keepNext/>
              <w:keepLines/>
              <w:ind w:left="-108"/>
              <w:jc w:val="both"/>
              <w:rPr>
                <w:rFonts w:ascii="Arial Narrow" w:hAnsi="Arial Narrow" w:cs="Arial"/>
                <w:sz w:val="20"/>
                <w:szCs w:val="20"/>
              </w:rPr>
            </w:pPr>
            <w:r>
              <w:rPr>
                <w:rFonts w:ascii="Arial Narrow" w:hAnsi="Arial Narrow" w:cs="Arial"/>
                <w:sz w:val="20"/>
                <w:szCs w:val="20"/>
              </w:rPr>
              <w:t>50 mg/10 mL injection, 10 mL</w:t>
            </w:r>
          </w:p>
          <w:p w:rsidR="004B03AB" w:rsidRPr="00260CE3" w:rsidRDefault="004B03AB" w:rsidP="00893042">
            <w:pPr>
              <w:keepNext/>
              <w:keepLines/>
              <w:ind w:left="-108"/>
              <w:jc w:val="both"/>
              <w:rPr>
                <w:rFonts w:ascii="Arial Narrow" w:hAnsi="Arial Narrow" w:cs="Arial"/>
                <w:sz w:val="20"/>
                <w:szCs w:val="20"/>
              </w:rPr>
            </w:pPr>
            <w:r>
              <w:rPr>
                <w:rFonts w:ascii="Arial Narrow" w:hAnsi="Arial Narrow" w:cs="Arial"/>
                <w:sz w:val="20"/>
                <w:szCs w:val="20"/>
              </w:rPr>
              <w:t>200 mg/40 mL injection, 40mL</w:t>
            </w:r>
          </w:p>
        </w:tc>
        <w:tc>
          <w:tcPr>
            <w:tcW w:w="850" w:type="dxa"/>
          </w:tcPr>
          <w:p w:rsidR="004B03AB" w:rsidRPr="00260CE3" w:rsidRDefault="004B03AB" w:rsidP="00893042">
            <w:pPr>
              <w:keepNext/>
              <w:keepLines/>
              <w:ind w:left="-108"/>
              <w:jc w:val="both"/>
              <w:rPr>
                <w:rFonts w:ascii="Arial Narrow" w:hAnsi="Arial Narrow" w:cs="Arial"/>
                <w:sz w:val="20"/>
                <w:szCs w:val="20"/>
              </w:rPr>
            </w:pPr>
          </w:p>
          <w:p w:rsidR="004B03AB" w:rsidRPr="00260CE3" w:rsidRDefault="004B03AB" w:rsidP="00893042">
            <w:pPr>
              <w:keepNext/>
              <w:keepLines/>
              <w:ind w:left="-108"/>
              <w:jc w:val="both"/>
              <w:rPr>
                <w:rFonts w:ascii="Arial Narrow" w:hAnsi="Arial Narrow" w:cs="Arial"/>
                <w:sz w:val="20"/>
                <w:szCs w:val="20"/>
              </w:rPr>
            </w:pPr>
            <w:r>
              <w:rPr>
                <w:rFonts w:ascii="Arial Narrow" w:hAnsi="Arial Narrow" w:cs="Arial"/>
                <w:sz w:val="20"/>
                <w:szCs w:val="20"/>
              </w:rPr>
              <w:t>360 mg</w:t>
            </w:r>
          </w:p>
        </w:tc>
        <w:tc>
          <w:tcPr>
            <w:tcW w:w="709" w:type="dxa"/>
          </w:tcPr>
          <w:p w:rsidR="004B03AB" w:rsidRPr="00260CE3" w:rsidRDefault="004B03AB" w:rsidP="00893042">
            <w:pPr>
              <w:keepNext/>
              <w:keepLines/>
              <w:ind w:left="-108"/>
              <w:jc w:val="both"/>
              <w:rPr>
                <w:rFonts w:ascii="Arial Narrow" w:hAnsi="Arial Narrow" w:cs="Arial"/>
                <w:sz w:val="20"/>
                <w:szCs w:val="20"/>
              </w:rPr>
            </w:pPr>
          </w:p>
          <w:p w:rsidR="004B03AB" w:rsidRPr="00260CE3" w:rsidRDefault="004B03AB" w:rsidP="00893042">
            <w:pPr>
              <w:keepNext/>
              <w:keepLines/>
              <w:ind w:left="-108"/>
              <w:jc w:val="both"/>
              <w:rPr>
                <w:rFonts w:ascii="Arial Narrow" w:hAnsi="Arial Narrow" w:cs="Arial"/>
                <w:sz w:val="20"/>
                <w:szCs w:val="20"/>
              </w:rPr>
            </w:pPr>
            <w:r>
              <w:rPr>
                <w:rFonts w:ascii="Arial Narrow" w:hAnsi="Arial Narrow" w:cs="Arial"/>
                <w:sz w:val="20"/>
                <w:szCs w:val="20"/>
              </w:rPr>
              <w:t>3</w:t>
            </w:r>
          </w:p>
        </w:tc>
        <w:tc>
          <w:tcPr>
            <w:tcW w:w="1417" w:type="dxa"/>
          </w:tcPr>
          <w:p w:rsidR="004B03AB" w:rsidRPr="00260CE3" w:rsidRDefault="004B03AB" w:rsidP="00893042">
            <w:pPr>
              <w:keepNext/>
              <w:keepLines/>
              <w:ind w:left="-108"/>
              <w:jc w:val="both"/>
              <w:rPr>
                <w:rFonts w:ascii="Arial Narrow" w:hAnsi="Arial Narrow" w:cs="Arial"/>
                <w:sz w:val="20"/>
                <w:szCs w:val="20"/>
              </w:rPr>
            </w:pPr>
          </w:p>
          <w:p w:rsidR="004B03AB" w:rsidRPr="00260CE3" w:rsidRDefault="004B03AB" w:rsidP="00893042">
            <w:pPr>
              <w:keepNext/>
              <w:keepLines/>
              <w:ind w:left="-108"/>
              <w:jc w:val="both"/>
              <w:rPr>
                <w:rFonts w:ascii="Arial Narrow" w:hAnsi="Arial Narrow" w:cs="Arial"/>
                <w:sz w:val="20"/>
                <w:szCs w:val="20"/>
              </w:rPr>
            </w:pPr>
            <w:r w:rsidRPr="00260CE3">
              <w:rPr>
                <w:rFonts w:ascii="Arial Narrow" w:hAnsi="Arial Narrow" w:cs="Arial"/>
                <w:sz w:val="20"/>
                <w:szCs w:val="20"/>
              </w:rPr>
              <w:t>$</w:t>
            </w:r>
            <w:r w:rsidRPr="00372CD7">
              <w:rPr>
                <w:rFonts w:ascii="Arial Narrow" w:hAnsi="Arial Narrow" w:cs="Arial"/>
                <w:sz w:val="20"/>
                <w:szCs w:val="20"/>
              </w:rPr>
              <w:t>48159.70</w:t>
            </w:r>
          </w:p>
        </w:tc>
        <w:tc>
          <w:tcPr>
            <w:tcW w:w="1134" w:type="dxa"/>
          </w:tcPr>
          <w:p w:rsidR="004B03AB" w:rsidRDefault="004B03AB" w:rsidP="00893042">
            <w:pPr>
              <w:keepNext/>
              <w:keepLines/>
              <w:jc w:val="both"/>
              <w:rPr>
                <w:rFonts w:ascii="Arial Narrow" w:hAnsi="Arial Narrow" w:cs="Arial"/>
                <w:sz w:val="20"/>
                <w:szCs w:val="20"/>
              </w:rPr>
            </w:pPr>
          </w:p>
          <w:p w:rsidR="004B03AB" w:rsidRPr="00260CE3" w:rsidRDefault="004B03AB" w:rsidP="00893042">
            <w:pPr>
              <w:keepNext/>
              <w:keepLines/>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4B03AB" w:rsidRDefault="004B03AB" w:rsidP="00893042">
            <w:pPr>
              <w:keepNext/>
              <w:keepLines/>
              <w:jc w:val="both"/>
              <w:rPr>
                <w:rFonts w:ascii="Arial Narrow" w:hAnsi="Arial Narrow" w:cs="Arial"/>
                <w:sz w:val="20"/>
                <w:szCs w:val="20"/>
              </w:rPr>
            </w:pPr>
          </w:p>
          <w:p w:rsidR="004B03AB" w:rsidRPr="00260CE3" w:rsidRDefault="004B03AB" w:rsidP="00893042">
            <w:pPr>
              <w:keepNext/>
              <w:keepLines/>
              <w:jc w:val="both"/>
              <w:rPr>
                <w:rFonts w:ascii="Arial Narrow" w:hAnsi="Arial Narrow" w:cs="Arial"/>
                <w:sz w:val="20"/>
                <w:szCs w:val="20"/>
              </w:rPr>
            </w:pPr>
            <w:r>
              <w:rPr>
                <w:rFonts w:ascii="Arial Narrow" w:hAnsi="Arial Narrow" w:cs="Arial"/>
                <w:sz w:val="20"/>
                <w:szCs w:val="20"/>
              </w:rPr>
              <w:t>BQ</w:t>
            </w:r>
          </w:p>
        </w:tc>
      </w:tr>
      <w:tr w:rsidR="004B03AB" w:rsidRPr="00260CE3" w:rsidTr="002A607B">
        <w:trPr>
          <w:cantSplit/>
          <w:trHeight w:val="360"/>
        </w:trPr>
        <w:tc>
          <w:tcPr>
            <w:tcW w:w="8363" w:type="dxa"/>
            <w:gridSpan w:val="7"/>
            <w:tcBorders>
              <w:bottom w:val="single" w:sz="4" w:space="0" w:color="auto"/>
            </w:tcBorders>
          </w:tcPr>
          <w:p w:rsidR="004B03AB" w:rsidRPr="00260CE3" w:rsidRDefault="004B03AB" w:rsidP="00893042">
            <w:pPr>
              <w:keepNext/>
              <w:keepLines/>
              <w:jc w:val="both"/>
              <w:rPr>
                <w:rFonts w:ascii="Arial Narrow" w:hAnsi="Arial Narrow" w:cs="Arial"/>
                <w:sz w:val="20"/>
                <w:szCs w:val="20"/>
              </w:rPr>
            </w:pP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 xml:space="preserve">Efficient funding of chemotherapy (Public and Private) </w:t>
            </w: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B03AB" w:rsidRPr="00260CE3" w:rsidRDefault="004B03AB" w:rsidP="00893042">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rPr>
                <w:rFonts w:ascii="Arial Narrow" w:hAnsi="Arial Narrow" w:cs="Arial"/>
                <w:sz w:val="20"/>
                <w:szCs w:val="20"/>
              </w:rPr>
            </w:pPr>
            <w:r>
              <w:rPr>
                <w:rFonts w:ascii="Arial Narrow" w:hAnsi="Arial Narrow" w:cs="Arial"/>
                <w:sz w:val="20"/>
                <w:szCs w:val="20"/>
              </w:rPr>
              <w:t>Unresectable Stage III or Stage IV malignant melanoma</w:t>
            </w: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A607B" w:rsidRDefault="004B03AB" w:rsidP="00893042">
            <w:pPr>
              <w:keepNext/>
              <w:keepLines/>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rPr>
                <w:rFonts w:ascii="Arial Narrow" w:hAnsi="Arial Narrow" w:cs="Arial"/>
                <w:sz w:val="20"/>
                <w:szCs w:val="20"/>
              </w:rPr>
            </w:pPr>
            <w:r>
              <w:rPr>
                <w:rFonts w:ascii="Arial Narrow" w:hAnsi="Arial Narrow" w:cs="Arial"/>
                <w:sz w:val="20"/>
                <w:szCs w:val="20"/>
              </w:rPr>
              <w:t>Re-induction treatment</w:t>
            </w: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B03AB" w:rsidRPr="00260CE3" w:rsidTr="002A607B">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893042">
            <w:pPr>
              <w:keepNext/>
              <w:keepLines/>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B03AB" w:rsidRDefault="004B03AB" w:rsidP="00893042">
            <w:pPr>
              <w:keepNext/>
              <w:keepLines/>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4B03AB" w:rsidRPr="009905A6" w:rsidRDefault="004B03AB" w:rsidP="00893042">
            <w:pPr>
              <w:keepNext/>
              <w:keepLines/>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4B03AB" w:rsidRDefault="004B03AB" w:rsidP="00893042">
            <w:pPr>
              <w:keepNext/>
              <w:keepLines/>
              <w:rPr>
                <w:rFonts w:ascii="Arial Narrow" w:hAnsi="Arial Narrow" w:cs="Arial"/>
                <w:sz w:val="20"/>
                <w:szCs w:val="20"/>
              </w:rPr>
            </w:pPr>
          </w:p>
          <w:p w:rsidR="004B03AB" w:rsidRDefault="004B03AB" w:rsidP="00893042">
            <w:pPr>
              <w:keepNext/>
              <w:keepLines/>
              <w:rPr>
                <w:rFonts w:ascii="Arial Narrow" w:hAnsi="Arial Narrow" w:cs="Arial"/>
                <w:sz w:val="20"/>
                <w:szCs w:val="20"/>
              </w:rPr>
            </w:pPr>
            <w:r>
              <w:rPr>
                <w:rFonts w:ascii="Arial Narrow" w:hAnsi="Arial Narrow" w:cs="Arial"/>
                <w:sz w:val="20"/>
                <w:szCs w:val="20"/>
              </w:rPr>
              <w:t>AND</w:t>
            </w:r>
          </w:p>
          <w:p w:rsidR="004B03AB" w:rsidRDefault="004B03AB" w:rsidP="00893042">
            <w:pPr>
              <w:keepNext/>
              <w:keepLines/>
              <w:rPr>
                <w:rFonts w:ascii="Arial Narrow" w:hAnsi="Arial Narrow" w:cs="Arial"/>
                <w:sz w:val="20"/>
                <w:szCs w:val="20"/>
              </w:rPr>
            </w:pPr>
          </w:p>
          <w:p w:rsidR="004B03AB" w:rsidRDefault="004B03AB" w:rsidP="00893042">
            <w:pPr>
              <w:keepNext/>
              <w:keepLines/>
              <w:rPr>
                <w:rFonts w:ascii="Arial Narrow" w:hAnsi="Arial Narrow" w:cs="Arial"/>
                <w:sz w:val="20"/>
                <w:szCs w:val="20"/>
              </w:rPr>
            </w:pPr>
            <w:r>
              <w:rPr>
                <w:rFonts w:ascii="Arial Narrow" w:hAnsi="Arial Narrow" w:cs="Arial"/>
                <w:sz w:val="20"/>
                <w:szCs w:val="20"/>
              </w:rPr>
              <w:t xml:space="preserve">Patient must have progressive disease after achieving an initial objective response to the most recent course of ipilimumab treatment (induction or re-induction) </w:t>
            </w:r>
          </w:p>
          <w:p w:rsidR="004B03AB" w:rsidRDefault="004B03AB" w:rsidP="00893042">
            <w:pPr>
              <w:keepNext/>
              <w:keepLines/>
              <w:rPr>
                <w:rFonts w:ascii="Arial Narrow" w:hAnsi="Arial Narrow" w:cs="Arial"/>
                <w:sz w:val="20"/>
                <w:szCs w:val="20"/>
              </w:rPr>
            </w:pPr>
          </w:p>
          <w:p w:rsidR="004B03AB" w:rsidRDefault="004B03AB" w:rsidP="00893042">
            <w:pPr>
              <w:keepNext/>
              <w:keepLines/>
              <w:rPr>
                <w:rFonts w:ascii="Arial Narrow" w:hAnsi="Arial Narrow" w:cs="Arial"/>
                <w:sz w:val="20"/>
                <w:szCs w:val="20"/>
              </w:rPr>
            </w:pPr>
            <w:r>
              <w:rPr>
                <w:rFonts w:ascii="Arial Narrow" w:hAnsi="Arial Narrow" w:cs="Arial"/>
                <w:sz w:val="20"/>
                <w:szCs w:val="20"/>
              </w:rPr>
              <w:t xml:space="preserve">AND </w:t>
            </w:r>
          </w:p>
          <w:p w:rsidR="004B03AB" w:rsidRDefault="004B03AB" w:rsidP="00893042">
            <w:pPr>
              <w:keepNext/>
              <w:keepLines/>
              <w:rPr>
                <w:rFonts w:ascii="Arial Narrow" w:hAnsi="Arial Narrow" w:cs="Arial"/>
                <w:sz w:val="20"/>
                <w:szCs w:val="20"/>
              </w:rPr>
            </w:pPr>
          </w:p>
          <w:p w:rsidR="004B03AB" w:rsidRPr="00260CE3" w:rsidRDefault="004B03AB" w:rsidP="00893042">
            <w:pPr>
              <w:keepNext/>
              <w:keepLines/>
              <w:rPr>
                <w:rFonts w:ascii="Arial Narrow" w:hAnsi="Arial Narrow" w:cs="Arial"/>
                <w:sz w:val="20"/>
                <w:szCs w:val="20"/>
              </w:rPr>
            </w:pPr>
            <w:r>
              <w:rPr>
                <w:rFonts w:ascii="Arial Narrow" w:hAnsi="Arial Narrow" w:cs="Arial"/>
                <w:sz w:val="20"/>
                <w:szCs w:val="20"/>
              </w:rPr>
              <w:t xml:space="preserve">The treatment must not exceed a total of 4 doses at a maximum dose of 3 mg per kg every 3 weeks. </w:t>
            </w:r>
          </w:p>
        </w:tc>
      </w:tr>
    </w:tbl>
    <w:p w:rsidR="002A607B" w:rsidRDefault="002A607B"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9905A6" w:rsidRPr="0039782C" w:rsidTr="00893042">
        <w:trPr>
          <w:cantSplit/>
          <w:trHeight w:val="471"/>
          <w:tblHeader/>
        </w:trPr>
        <w:tc>
          <w:tcPr>
            <w:tcW w:w="3119" w:type="dxa"/>
            <w:gridSpan w:val="2"/>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Max.</w:t>
            </w:r>
          </w:p>
          <w:p w:rsidR="009905A6" w:rsidRPr="0039782C" w:rsidRDefault="009905A6" w:rsidP="007E6C25">
            <w:pPr>
              <w:keepNext/>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№.of</w:t>
            </w:r>
          </w:p>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417"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r>
              <w:rPr>
                <w:rFonts w:ascii="Arial Narrow" w:hAnsi="Arial Narrow" w:cs="Arial"/>
                <w:b/>
                <w:sz w:val="20"/>
                <w:szCs w:val="20"/>
              </w:rPr>
              <w:t>Amount</w:t>
            </w:r>
          </w:p>
        </w:tc>
        <w:tc>
          <w:tcPr>
            <w:tcW w:w="2268" w:type="dxa"/>
            <w:gridSpan w:val="2"/>
            <w:tcBorders>
              <w:bottom w:val="single" w:sz="4" w:space="0" w:color="auto"/>
            </w:tcBorders>
          </w:tcPr>
          <w:p w:rsidR="009905A6" w:rsidRPr="0039782C" w:rsidRDefault="009905A6" w:rsidP="007E6C2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B03AB" w:rsidRPr="00260CE3" w:rsidTr="0099251A">
        <w:trPr>
          <w:cantSplit/>
          <w:trHeight w:val="577"/>
        </w:trPr>
        <w:tc>
          <w:tcPr>
            <w:tcW w:w="3119" w:type="dxa"/>
            <w:gridSpan w:val="2"/>
          </w:tcPr>
          <w:p w:rsidR="004B03AB" w:rsidRPr="00260CE3" w:rsidRDefault="004B03AB" w:rsidP="00A37782">
            <w:pPr>
              <w:keepNext/>
              <w:ind w:left="-108"/>
              <w:jc w:val="both"/>
              <w:rPr>
                <w:rFonts w:ascii="Arial Narrow" w:hAnsi="Arial Narrow" w:cs="Arial"/>
                <w:sz w:val="20"/>
                <w:szCs w:val="20"/>
              </w:rPr>
            </w:pPr>
            <w:r>
              <w:rPr>
                <w:rFonts w:ascii="Arial Narrow" w:hAnsi="Arial Narrow" w:cs="Arial"/>
                <w:smallCaps/>
                <w:sz w:val="20"/>
                <w:szCs w:val="20"/>
              </w:rPr>
              <w:t>IPILIMUMAB</w:t>
            </w:r>
          </w:p>
          <w:p w:rsidR="004B03AB" w:rsidRDefault="004B03AB" w:rsidP="00A37782">
            <w:pPr>
              <w:keepNext/>
              <w:ind w:left="-108"/>
              <w:jc w:val="both"/>
              <w:rPr>
                <w:rFonts w:ascii="Arial Narrow" w:hAnsi="Arial Narrow" w:cs="Arial"/>
                <w:sz w:val="20"/>
                <w:szCs w:val="20"/>
              </w:rPr>
            </w:pPr>
            <w:r>
              <w:rPr>
                <w:rFonts w:ascii="Arial Narrow" w:hAnsi="Arial Narrow" w:cs="Arial"/>
                <w:sz w:val="20"/>
                <w:szCs w:val="20"/>
              </w:rPr>
              <w:t>50 mg/10 mL injection, 10 mL</w:t>
            </w:r>
          </w:p>
          <w:p w:rsidR="004B03AB" w:rsidRPr="00260CE3" w:rsidRDefault="004B03AB" w:rsidP="004B03AB">
            <w:pPr>
              <w:keepNext/>
              <w:ind w:left="-108"/>
              <w:jc w:val="both"/>
              <w:rPr>
                <w:rFonts w:ascii="Arial Narrow" w:hAnsi="Arial Narrow" w:cs="Arial"/>
                <w:sz w:val="20"/>
                <w:szCs w:val="20"/>
              </w:rPr>
            </w:pPr>
            <w:r>
              <w:rPr>
                <w:rFonts w:ascii="Arial Narrow" w:hAnsi="Arial Narrow" w:cs="Arial"/>
                <w:sz w:val="20"/>
                <w:szCs w:val="20"/>
              </w:rPr>
              <w:t>200 mg/40 mL injection, 40 mL</w:t>
            </w:r>
          </w:p>
        </w:tc>
        <w:tc>
          <w:tcPr>
            <w:tcW w:w="850" w:type="dxa"/>
          </w:tcPr>
          <w:p w:rsidR="004B03AB" w:rsidRPr="00260CE3" w:rsidRDefault="004B03AB" w:rsidP="007E6C25">
            <w:pPr>
              <w:keepNext/>
              <w:ind w:left="-108"/>
              <w:jc w:val="both"/>
              <w:rPr>
                <w:rFonts w:ascii="Arial Narrow" w:hAnsi="Arial Narrow" w:cs="Arial"/>
                <w:sz w:val="20"/>
                <w:szCs w:val="20"/>
              </w:rPr>
            </w:pPr>
          </w:p>
          <w:p w:rsidR="004B03AB" w:rsidRPr="00260CE3" w:rsidRDefault="004B03AB" w:rsidP="0099251A">
            <w:pPr>
              <w:keepNext/>
              <w:ind w:left="-108"/>
              <w:jc w:val="both"/>
              <w:rPr>
                <w:rFonts w:ascii="Arial Narrow" w:hAnsi="Arial Narrow" w:cs="Arial"/>
                <w:sz w:val="20"/>
                <w:szCs w:val="20"/>
              </w:rPr>
            </w:pPr>
            <w:r>
              <w:rPr>
                <w:rFonts w:ascii="Arial Narrow" w:hAnsi="Arial Narrow" w:cs="Arial"/>
                <w:sz w:val="20"/>
                <w:szCs w:val="20"/>
              </w:rPr>
              <w:t>360 mg</w:t>
            </w:r>
          </w:p>
        </w:tc>
        <w:tc>
          <w:tcPr>
            <w:tcW w:w="709" w:type="dxa"/>
          </w:tcPr>
          <w:p w:rsidR="004B03AB" w:rsidRPr="00260CE3" w:rsidRDefault="004B03AB" w:rsidP="007E6C25">
            <w:pPr>
              <w:keepNext/>
              <w:ind w:left="-108"/>
              <w:jc w:val="both"/>
              <w:rPr>
                <w:rFonts w:ascii="Arial Narrow" w:hAnsi="Arial Narrow" w:cs="Arial"/>
                <w:sz w:val="20"/>
                <w:szCs w:val="20"/>
              </w:rPr>
            </w:pPr>
          </w:p>
          <w:p w:rsidR="004B03AB" w:rsidRPr="00260CE3" w:rsidRDefault="004B03AB" w:rsidP="007E6C25">
            <w:pPr>
              <w:keepNext/>
              <w:ind w:left="-108"/>
              <w:jc w:val="both"/>
              <w:rPr>
                <w:rFonts w:ascii="Arial Narrow" w:hAnsi="Arial Narrow" w:cs="Arial"/>
                <w:sz w:val="20"/>
                <w:szCs w:val="20"/>
              </w:rPr>
            </w:pPr>
            <w:r>
              <w:rPr>
                <w:rFonts w:ascii="Arial Narrow" w:hAnsi="Arial Narrow" w:cs="Arial"/>
                <w:sz w:val="20"/>
                <w:szCs w:val="20"/>
              </w:rPr>
              <w:t>2</w:t>
            </w:r>
          </w:p>
        </w:tc>
        <w:tc>
          <w:tcPr>
            <w:tcW w:w="1417" w:type="dxa"/>
          </w:tcPr>
          <w:p w:rsidR="004B03AB" w:rsidRPr="00260CE3" w:rsidRDefault="004B03AB" w:rsidP="007E6C25">
            <w:pPr>
              <w:keepNext/>
              <w:ind w:left="-108"/>
              <w:jc w:val="both"/>
              <w:rPr>
                <w:rFonts w:ascii="Arial Narrow" w:hAnsi="Arial Narrow" w:cs="Arial"/>
                <w:sz w:val="20"/>
                <w:szCs w:val="20"/>
              </w:rPr>
            </w:pPr>
          </w:p>
          <w:p w:rsidR="004B03AB" w:rsidRPr="00260CE3" w:rsidRDefault="004B03AB" w:rsidP="007E6C25">
            <w:pPr>
              <w:keepNext/>
              <w:ind w:left="-108"/>
              <w:jc w:val="both"/>
              <w:rPr>
                <w:rFonts w:ascii="Arial Narrow" w:hAnsi="Arial Narrow" w:cs="Arial"/>
                <w:sz w:val="20"/>
                <w:szCs w:val="20"/>
              </w:rPr>
            </w:pPr>
            <w:r w:rsidRPr="00260CE3">
              <w:rPr>
                <w:rFonts w:ascii="Arial Narrow" w:hAnsi="Arial Narrow" w:cs="Arial"/>
                <w:sz w:val="20"/>
                <w:szCs w:val="20"/>
              </w:rPr>
              <w:t>$</w:t>
            </w:r>
            <w:r w:rsidRPr="00372CD7">
              <w:rPr>
                <w:rFonts w:ascii="Arial Narrow" w:hAnsi="Arial Narrow" w:cs="Arial"/>
                <w:sz w:val="20"/>
                <w:szCs w:val="20"/>
              </w:rPr>
              <w:t>48159.70</w:t>
            </w:r>
          </w:p>
        </w:tc>
        <w:tc>
          <w:tcPr>
            <w:tcW w:w="1134" w:type="dxa"/>
          </w:tcPr>
          <w:p w:rsidR="004B03AB" w:rsidRDefault="004B03AB" w:rsidP="007E6C25">
            <w:pPr>
              <w:keepNext/>
              <w:jc w:val="both"/>
              <w:rPr>
                <w:rFonts w:ascii="Arial Narrow" w:hAnsi="Arial Narrow" w:cs="Arial"/>
                <w:sz w:val="20"/>
                <w:szCs w:val="20"/>
              </w:rPr>
            </w:pPr>
          </w:p>
          <w:p w:rsidR="004B03AB" w:rsidRPr="00260CE3" w:rsidRDefault="004B03AB" w:rsidP="007E6C25">
            <w:pPr>
              <w:keepNext/>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4B03AB" w:rsidRDefault="004B03AB" w:rsidP="007E6C25">
            <w:pPr>
              <w:keepNext/>
              <w:jc w:val="both"/>
              <w:rPr>
                <w:rFonts w:ascii="Arial Narrow" w:hAnsi="Arial Narrow" w:cs="Arial"/>
                <w:sz w:val="20"/>
                <w:szCs w:val="20"/>
              </w:rPr>
            </w:pPr>
          </w:p>
          <w:p w:rsidR="004B03AB" w:rsidRPr="00260CE3" w:rsidRDefault="004B03AB" w:rsidP="007E6C25">
            <w:pPr>
              <w:keepNext/>
              <w:jc w:val="both"/>
              <w:rPr>
                <w:rFonts w:ascii="Arial Narrow" w:hAnsi="Arial Narrow" w:cs="Arial"/>
                <w:sz w:val="20"/>
                <w:szCs w:val="20"/>
              </w:rPr>
            </w:pPr>
            <w:r>
              <w:rPr>
                <w:rFonts w:ascii="Arial Narrow" w:hAnsi="Arial Narrow" w:cs="Arial"/>
                <w:sz w:val="20"/>
                <w:szCs w:val="20"/>
              </w:rPr>
              <w:t>BQ</w:t>
            </w:r>
          </w:p>
        </w:tc>
      </w:tr>
      <w:tr w:rsidR="004B03AB" w:rsidRPr="00260CE3" w:rsidTr="007E6C25">
        <w:trPr>
          <w:cantSplit/>
          <w:trHeight w:val="360"/>
        </w:trPr>
        <w:tc>
          <w:tcPr>
            <w:tcW w:w="8363" w:type="dxa"/>
            <w:gridSpan w:val="7"/>
            <w:tcBorders>
              <w:bottom w:val="single" w:sz="4" w:space="0" w:color="auto"/>
            </w:tcBorders>
          </w:tcPr>
          <w:p w:rsidR="004B03AB" w:rsidRPr="00260CE3" w:rsidRDefault="004B03AB" w:rsidP="007E6C25">
            <w:pPr>
              <w:jc w:val="both"/>
              <w:rPr>
                <w:rFonts w:ascii="Arial Narrow" w:hAnsi="Arial Narrow" w:cs="Arial"/>
                <w:sz w:val="20"/>
                <w:szCs w:val="20"/>
              </w:rPr>
            </w:pP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4B03AB">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 xml:space="preserve">Efficient funding of chemotherapy (Public and Private) </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Pr>
                <w:rFonts w:ascii="Arial Narrow" w:hAnsi="Arial Narrow" w:cs="Arial"/>
                <w:sz w:val="20"/>
                <w:szCs w:val="20"/>
              </w:rPr>
              <w:t>Unresectable Stage III or Stage IV malignant melanoma</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A607B" w:rsidRDefault="004B03AB" w:rsidP="007E6C25">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Pr>
                <w:rFonts w:ascii="Arial Narrow" w:hAnsi="Arial Narrow" w:cs="Arial"/>
                <w:sz w:val="20"/>
                <w:szCs w:val="20"/>
              </w:rPr>
              <w:t xml:space="preserve">Completion of induction treatment </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99251A">
            <w:pPr>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B03AB" w:rsidRDefault="004B03AB" w:rsidP="007E6C25">
            <w:pPr>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4B03AB" w:rsidRPr="009905A6" w:rsidRDefault="004B03AB" w:rsidP="007E6C25">
            <w:pPr>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AND</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The treatment must be for completion of induction treatment in a patient who commenced induction treatment with ipilimumab prior to 1 August 2013. </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AND </w:t>
            </w:r>
          </w:p>
          <w:p w:rsidR="004B03AB" w:rsidRDefault="004B03AB" w:rsidP="007E6C25">
            <w:pPr>
              <w:rPr>
                <w:rFonts w:ascii="Arial Narrow" w:hAnsi="Arial Narrow" w:cs="Arial"/>
                <w:sz w:val="20"/>
                <w:szCs w:val="20"/>
              </w:rPr>
            </w:pPr>
          </w:p>
          <w:p w:rsidR="004B03AB" w:rsidRPr="00260CE3" w:rsidRDefault="004B03AB" w:rsidP="007E6C25">
            <w:pPr>
              <w:rPr>
                <w:rFonts w:ascii="Arial Narrow" w:hAnsi="Arial Narrow" w:cs="Arial"/>
                <w:sz w:val="20"/>
                <w:szCs w:val="20"/>
              </w:rPr>
            </w:pPr>
            <w:r>
              <w:rPr>
                <w:rFonts w:ascii="Arial Narrow" w:hAnsi="Arial Narrow" w:cs="Arial"/>
                <w:sz w:val="20"/>
                <w:szCs w:val="20"/>
              </w:rPr>
              <w:t xml:space="preserve">The treatment must not exceed a total of 4 doses (combined PBS-subsidised and non-PBS subsidised) at a maximum dose of 3 mg per kg every 3 weeks. </w:t>
            </w:r>
          </w:p>
        </w:tc>
      </w:tr>
    </w:tbl>
    <w:p w:rsidR="009905A6" w:rsidRDefault="009905A6"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9905A6" w:rsidRPr="0039782C" w:rsidTr="00893042">
        <w:trPr>
          <w:cantSplit/>
          <w:trHeight w:val="471"/>
          <w:tblHeader/>
        </w:trPr>
        <w:tc>
          <w:tcPr>
            <w:tcW w:w="3119" w:type="dxa"/>
            <w:gridSpan w:val="2"/>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Max.</w:t>
            </w:r>
          </w:p>
          <w:p w:rsidR="009905A6" w:rsidRPr="0039782C" w:rsidRDefault="009905A6" w:rsidP="007E6C25">
            <w:pPr>
              <w:keepNext/>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№.of</w:t>
            </w:r>
          </w:p>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417" w:type="dxa"/>
            <w:tcBorders>
              <w:bottom w:val="single" w:sz="4" w:space="0" w:color="auto"/>
            </w:tcBorders>
          </w:tcPr>
          <w:p w:rsidR="009905A6" w:rsidRPr="0039782C" w:rsidRDefault="009905A6" w:rsidP="007E6C25">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r>
              <w:rPr>
                <w:rFonts w:ascii="Arial Narrow" w:hAnsi="Arial Narrow" w:cs="Arial"/>
                <w:b/>
                <w:sz w:val="20"/>
                <w:szCs w:val="20"/>
              </w:rPr>
              <w:t>Amount</w:t>
            </w:r>
          </w:p>
        </w:tc>
        <w:tc>
          <w:tcPr>
            <w:tcW w:w="2268" w:type="dxa"/>
            <w:gridSpan w:val="2"/>
            <w:tcBorders>
              <w:bottom w:val="single" w:sz="4" w:space="0" w:color="auto"/>
            </w:tcBorders>
          </w:tcPr>
          <w:p w:rsidR="009905A6" w:rsidRPr="0039782C" w:rsidRDefault="009905A6" w:rsidP="007E6C2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B03AB" w:rsidRPr="00260CE3" w:rsidTr="0099251A">
        <w:trPr>
          <w:cantSplit/>
          <w:trHeight w:val="577"/>
        </w:trPr>
        <w:tc>
          <w:tcPr>
            <w:tcW w:w="3119" w:type="dxa"/>
            <w:gridSpan w:val="2"/>
          </w:tcPr>
          <w:p w:rsidR="004B03AB" w:rsidRPr="00260CE3" w:rsidRDefault="004B03AB" w:rsidP="00A37782">
            <w:pPr>
              <w:keepNext/>
              <w:ind w:left="-108"/>
              <w:jc w:val="both"/>
              <w:rPr>
                <w:rFonts w:ascii="Arial Narrow" w:hAnsi="Arial Narrow" w:cs="Arial"/>
                <w:sz w:val="20"/>
                <w:szCs w:val="20"/>
              </w:rPr>
            </w:pPr>
            <w:r>
              <w:rPr>
                <w:rFonts w:ascii="Arial Narrow" w:hAnsi="Arial Narrow" w:cs="Arial"/>
                <w:smallCaps/>
                <w:sz w:val="20"/>
                <w:szCs w:val="20"/>
              </w:rPr>
              <w:t>IPILIMUMAB</w:t>
            </w:r>
          </w:p>
          <w:p w:rsidR="004B03AB" w:rsidRDefault="004B03AB" w:rsidP="00A37782">
            <w:pPr>
              <w:keepNext/>
              <w:ind w:left="-108"/>
              <w:jc w:val="both"/>
              <w:rPr>
                <w:rFonts w:ascii="Arial Narrow" w:hAnsi="Arial Narrow" w:cs="Arial"/>
                <w:sz w:val="20"/>
                <w:szCs w:val="20"/>
              </w:rPr>
            </w:pPr>
            <w:r>
              <w:rPr>
                <w:rFonts w:ascii="Arial Narrow" w:hAnsi="Arial Narrow" w:cs="Arial"/>
                <w:sz w:val="20"/>
                <w:szCs w:val="20"/>
              </w:rPr>
              <w:t>50 mg/10 mL injection, 10 mL</w:t>
            </w:r>
          </w:p>
          <w:p w:rsidR="004B03AB" w:rsidRPr="00260CE3" w:rsidRDefault="004B03AB" w:rsidP="00A37782">
            <w:pPr>
              <w:keepNext/>
              <w:ind w:left="-108"/>
              <w:jc w:val="both"/>
              <w:rPr>
                <w:rFonts w:ascii="Arial Narrow" w:hAnsi="Arial Narrow" w:cs="Arial"/>
                <w:sz w:val="20"/>
                <w:szCs w:val="20"/>
              </w:rPr>
            </w:pPr>
            <w:r>
              <w:rPr>
                <w:rFonts w:ascii="Arial Narrow" w:hAnsi="Arial Narrow" w:cs="Arial"/>
                <w:sz w:val="20"/>
                <w:szCs w:val="20"/>
              </w:rPr>
              <w:t>200 mg/40 mL injection, 40 mL</w:t>
            </w:r>
          </w:p>
        </w:tc>
        <w:tc>
          <w:tcPr>
            <w:tcW w:w="850" w:type="dxa"/>
          </w:tcPr>
          <w:p w:rsidR="004B03AB" w:rsidRPr="00260CE3" w:rsidRDefault="004B03AB" w:rsidP="00A37782">
            <w:pPr>
              <w:keepNext/>
              <w:ind w:left="-108"/>
              <w:jc w:val="both"/>
              <w:rPr>
                <w:rFonts w:ascii="Arial Narrow" w:hAnsi="Arial Narrow" w:cs="Arial"/>
                <w:sz w:val="20"/>
                <w:szCs w:val="20"/>
              </w:rPr>
            </w:pPr>
          </w:p>
          <w:p w:rsidR="004B03AB" w:rsidRPr="00260CE3" w:rsidRDefault="004B03AB" w:rsidP="0099251A">
            <w:pPr>
              <w:keepNext/>
              <w:ind w:left="-108"/>
              <w:jc w:val="both"/>
              <w:rPr>
                <w:rFonts w:ascii="Arial Narrow" w:hAnsi="Arial Narrow" w:cs="Arial"/>
                <w:sz w:val="20"/>
                <w:szCs w:val="20"/>
              </w:rPr>
            </w:pPr>
            <w:r>
              <w:rPr>
                <w:rFonts w:ascii="Arial Narrow" w:hAnsi="Arial Narrow" w:cs="Arial"/>
                <w:sz w:val="20"/>
                <w:szCs w:val="20"/>
              </w:rPr>
              <w:t>360 mg</w:t>
            </w:r>
          </w:p>
        </w:tc>
        <w:tc>
          <w:tcPr>
            <w:tcW w:w="709" w:type="dxa"/>
          </w:tcPr>
          <w:p w:rsidR="004B03AB" w:rsidRPr="00260CE3" w:rsidRDefault="004B03AB" w:rsidP="007E6C25">
            <w:pPr>
              <w:keepNext/>
              <w:ind w:left="-108"/>
              <w:jc w:val="both"/>
              <w:rPr>
                <w:rFonts w:ascii="Arial Narrow" w:hAnsi="Arial Narrow" w:cs="Arial"/>
                <w:sz w:val="20"/>
                <w:szCs w:val="20"/>
              </w:rPr>
            </w:pPr>
          </w:p>
          <w:p w:rsidR="004B03AB" w:rsidRPr="00260CE3" w:rsidRDefault="004B03AB" w:rsidP="007E6C25">
            <w:pPr>
              <w:keepNext/>
              <w:ind w:left="-108"/>
              <w:jc w:val="both"/>
              <w:rPr>
                <w:rFonts w:ascii="Arial Narrow" w:hAnsi="Arial Narrow" w:cs="Arial"/>
                <w:sz w:val="20"/>
                <w:szCs w:val="20"/>
              </w:rPr>
            </w:pPr>
            <w:r>
              <w:rPr>
                <w:rFonts w:ascii="Arial Narrow" w:hAnsi="Arial Narrow" w:cs="Arial"/>
                <w:sz w:val="20"/>
                <w:szCs w:val="20"/>
              </w:rPr>
              <w:t>2</w:t>
            </w:r>
          </w:p>
        </w:tc>
        <w:tc>
          <w:tcPr>
            <w:tcW w:w="1417" w:type="dxa"/>
          </w:tcPr>
          <w:p w:rsidR="004B03AB" w:rsidRPr="00260CE3" w:rsidRDefault="004B03AB" w:rsidP="007E6C25">
            <w:pPr>
              <w:keepNext/>
              <w:ind w:left="-108"/>
              <w:jc w:val="both"/>
              <w:rPr>
                <w:rFonts w:ascii="Arial Narrow" w:hAnsi="Arial Narrow" w:cs="Arial"/>
                <w:sz w:val="20"/>
                <w:szCs w:val="20"/>
              </w:rPr>
            </w:pPr>
          </w:p>
          <w:p w:rsidR="004B03AB" w:rsidRPr="00260CE3" w:rsidRDefault="004B03AB" w:rsidP="007E6C25">
            <w:pPr>
              <w:keepNext/>
              <w:ind w:left="-108"/>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48159.70</w:t>
            </w:r>
          </w:p>
        </w:tc>
        <w:tc>
          <w:tcPr>
            <w:tcW w:w="1134" w:type="dxa"/>
          </w:tcPr>
          <w:p w:rsidR="004B03AB" w:rsidRDefault="004B03AB" w:rsidP="007E6C25">
            <w:pPr>
              <w:keepNext/>
              <w:jc w:val="both"/>
              <w:rPr>
                <w:rFonts w:ascii="Arial Narrow" w:hAnsi="Arial Narrow" w:cs="Arial"/>
                <w:sz w:val="20"/>
                <w:szCs w:val="20"/>
              </w:rPr>
            </w:pPr>
          </w:p>
          <w:p w:rsidR="004B03AB" w:rsidRPr="00260CE3" w:rsidRDefault="004B03AB" w:rsidP="007E6C25">
            <w:pPr>
              <w:keepNext/>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4B03AB" w:rsidRDefault="004B03AB" w:rsidP="007E6C25">
            <w:pPr>
              <w:keepNext/>
              <w:jc w:val="both"/>
              <w:rPr>
                <w:rFonts w:ascii="Arial Narrow" w:hAnsi="Arial Narrow" w:cs="Arial"/>
                <w:sz w:val="20"/>
                <w:szCs w:val="20"/>
              </w:rPr>
            </w:pPr>
          </w:p>
          <w:p w:rsidR="004B03AB" w:rsidRPr="00260CE3" w:rsidRDefault="004B03AB" w:rsidP="007E6C25">
            <w:pPr>
              <w:keepNext/>
              <w:jc w:val="both"/>
              <w:rPr>
                <w:rFonts w:ascii="Arial Narrow" w:hAnsi="Arial Narrow" w:cs="Arial"/>
                <w:sz w:val="20"/>
                <w:szCs w:val="20"/>
              </w:rPr>
            </w:pPr>
            <w:r>
              <w:rPr>
                <w:rFonts w:ascii="Arial Narrow" w:hAnsi="Arial Narrow" w:cs="Arial"/>
                <w:sz w:val="20"/>
                <w:szCs w:val="20"/>
              </w:rPr>
              <w:t>BQ</w:t>
            </w:r>
          </w:p>
        </w:tc>
      </w:tr>
      <w:tr w:rsidR="004B03AB" w:rsidRPr="00260CE3" w:rsidTr="007E6C25">
        <w:trPr>
          <w:cantSplit/>
          <w:trHeight w:val="360"/>
        </w:trPr>
        <w:tc>
          <w:tcPr>
            <w:tcW w:w="8363" w:type="dxa"/>
            <w:gridSpan w:val="7"/>
            <w:tcBorders>
              <w:bottom w:val="single" w:sz="4" w:space="0" w:color="auto"/>
            </w:tcBorders>
          </w:tcPr>
          <w:p w:rsidR="004B03AB" w:rsidRPr="00260CE3" w:rsidRDefault="004B03AB" w:rsidP="007E6C25">
            <w:pPr>
              <w:jc w:val="both"/>
              <w:rPr>
                <w:rFonts w:ascii="Arial Narrow" w:hAnsi="Arial Narrow" w:cs="Arial"/>
                <w:sz w:val="20"/>
                <w:szCs w:val="20"/>
              </w:rPr>
            </w:pP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4B03AB">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 xml:space="preserve">Efficient funding of chemotherapy (Public and Private) </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B03AB" w:rsidRPr="00260CE3" w:rsidRDefault="004B03AB" w:rsidP="007E6C2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Pr>
                <w:rFonts w:ascii="Arial Narrow" w:hAnsi="Arial Narrow" w:cs="Arial"/>
                <w:sz w:val="20"/>
                <w:szCs w:val="20"/>
              </w:rPr>
              <w:t>Unresectable Stage III or Stage IV malignant melanoma</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A607B" w:rsidRDefault="004B03AB" w:rsidP="007E6C25">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9905A6">
            <w:pPr>
              <w:rPr>
                <w:rFonts w:ascii="Arial Narrow" w:hAnsi="Arial Narrow" w:cs="Arial"/>
                <w:sz w:val="20"/>
                <w:szCs w:val="20"/>
              </w:rPr>
            </w:pPr>
            <w:r>
              <w:rPr>
                <w:rFonts w:ascii="Arial Narrow" w:hAnsi="Arial Narrow" w:cs="Arial"/>
                <w:sz w:val="20"/>
                <w:szCs w:val="20"/>
              </w:rPr>
              <w:t xml:space="preserve">Completion of re-induction treatment </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7E6C25">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4B03AB" w:rsidRPr="00260CE3" w:rsidRDefault="004B03AB" w:rsidP="007E6C2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B03AB" w:rsidRPr="00260CE3" w:rsidTr="007E6C25">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03AB" w:rsidRPr="00260CE3" w:rsidRDefault="004B03AB" w:rsidP="0099251A">
            <w:pPr>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B03AB" w:rsidRDefault="004B03AB" w:rsidP="009905A6">
            <w:pPr>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4B03AB" w:rsidRPr="009905A6" w:rsidRDefault="004B03AB" w:rsidP="009905A6">
            <w:pPr>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AND</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Patient must have progressive disease after achieving an initial objective response to the most recent course of ipilimumab treatment (induction or re-induction); </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AND </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The treatment must be for completion of re-induction treatment in a patient who commenced re-induction treatment with ipilimumab prior to 1 August 2013; </w:t>
            </w:r>
          </w:p>
          <w:p w:rsidR="004B03AB" w:rsidRDefault="004B03AB" w:rsidP="007E6C25">
            <w:pPr>
              <w:rPr>
                <w:rFonts w:ascii="Arial Narrow" w:hAnsi="Arial Narrow" w:cs="Arial"/>
                <w:sz w:val="20"/>
                <w:szCs w:val="20"/>
              </w:rPr>
            </w:pPr>
          </w:p>
          <w:p w:rsidR="004B03AB" w:rsidRDefault="004B03AB" w:rsidP="007E6C25">
            <w:pPr>
              <w:rPr>
                <w:rFonts w:ascii="Arial Narrow" w:hAnsi="Arial Narrow" w:cs="Arial"/>
                <w:sz w:val="20"/>
                <w:szCs w:val="20"/>
              </w:rPr>
            </w:pPr>
            <w:r>
              <w:rPr>
                <w:rFonts w:ascii="Arial Narrow" w:hAnsi="Arial Narrow" w:cs="Arial"/>
                <w:sz w:val="20"/>
                <w:szCs w:val="20"/>
              </w:rPr>
              <w:t xml:space="preserve">AND </w:t>
            </w:r>
          </w:p>
          <w:p w:rsidR="004B03AB" w:rsidRDefault="004B03AB" w:rsidP="007E6C25">
            <w:pPr>
              <w:rPr>
                <w:rFonts w:ascii="Arial Narrow" w:hAnsi="Arial Narrow" w:cs="Arial"/>
                <w:sz w:val="20"/>
                <w:szCs w:val="20"/>
              </w:rPr>
            </w:pPr>
          </w:p>
          <w:p w:rsidR="004B03AB" w:rsidRPr="00260CE3" w:rsidRDefault="004B03AB" w:rsidP="007E6C25">
            <w:pPr>
              <w:rPr>
                <w:rFonts w:ascii="Arial Narrow" w:hAnsi="Arial Narrow" w:cs="Arial"/>
                <w:sz w:val="20"/>
                <w:szCs w:val="20"/>
              </w:rPr>
            </w:pPr>
            <w:r>
              <w:rPr>
                <w:rFonts w:ascii="Arial Narrow" w:hAnsi="Arial Narrow" w:cs="Arial"/>
                <w:sz w:val="20"/>
                <w:szCs w:val="20"/>
              </w:rPr>
              <w:t xml:space="preserve">The treatment must not exceed a total of 4 doses (combined PBS-subsidised and non-PBS subsidised) at a maximum dose of 3 mg per kg every 3 weeks. </w:t>
            </w:r>
          </w:p>
        </w:tc>
      </w:tr>
    </w:tbl>
    <w:p w:rsidR="009905A6" w:rsidRPr="004B03AB" w:rsidRDefault="009905A6" w:rsidP="004B03AB">
      <w:pPr>
        <w:jc w:val="both"/>
        <w:rPr>
          <w:rFonts w:ascii="Arial" w:hAnsi="Arial"/>
          <w:sz w:val="22"/>
          <w:szCs w:val="22"/>
        </w:rPr>
      </w:pPr>
    </w:p>
    <w:p w:rsidR="00231D5A" w:rsidRDefault="00345029" w:rsidP="00F12260">
      <w:pPr>
        <w:pStyle w:val="ListParagraph"/>
        <w:numPr>
          <w:ilvl w:val="1"/>
          <w:numId w:val="1"/>
        </w:numPr>
        <w:jc w:val="both"/>
        <w:rPr>
          <w:rFonts w:ascii="Arial" w:hAnsi="Arial" w:cs="Arial"/>
          <w:sz w:val="22"/>
        </w:rPr>
      </w:pPr>
      <w:r w:rsidRPr="00345029">
        <w:rPr>
          <w:rFonts w:ascii="Arial" w:hAnsi="Arial" w:cs="Arial"/>
          <w:sz w:val="22"/>
        </w:rPr>
        <w:t>The submission state</w:t>
      </w:r>
      <w:r>
        <w:rPr>
          <w:rFonts w:ascii="Arial" w:hAnsi="Arial" w:cs="Arial"/>
          <w:sz w:val="22"/>
        </w:rPr>
        <w:t>d</w:t>
      </w:r>
      <w:r w:rsidRPr="00345029">
        <w:rPr>
          <w:rFonts w:ascii="Arial" w:hAnsi="Arial" w:cs="Arial"/>
          <w:sz w:val="22"/>
        </w:rPr>
        <w:t xml:space="preserve"> that the proposed change to the restriction wording would be consistent with the current approved wording for nivolumab and pembrolizumab, both </w:t>
      </w:r>
      <w:r w:rsidR="004B03AB">
        <w:rPr>
          <w:rFonts w:ascii="Arial" w:hAnsi="Arial" w:cs="Arial"/>
          <w:sz w:val="22"/>
        </w:rPr>
        <w:t>PBS-</w:t>
      </w:r>
      <w:r w:rsidRPr="00345029">
        <w:rPr>
          <w:rFonts w:ascii="Arial" w:hAnsi="Arial" w:cs="Arial"/>
          <w:sz w:val="22"/>
        </w:rPr>
        <w:t>listed for metastatic melanoma, and would allow the use of ipilimumab through the PBS when used in combination with nivolumab (provided free-of-charge by the sponsor) to enable a commitment to the TGA for a safety study of the combination.</w:t>
      </w:r>
    </w:p>
    <w:p w:rsidR="00231D5A" w:rsidRPr="004B03AB" w:rsidRDefault="00231D5A" w:rsidP="00231D5A">
      <w:pPr>
        <w:jc w:val="both"/>
        <w:rPr>
          <w:rFonts w:ascii="Arial" w:hAnsi="Arial" w:cs="Arial"/>
          <w:sz w:val="22"/>
        </w:rPr>
      </w:pPr>
    </w:p>
    <w:p w:rsidR="007E6C25" w:rsidRPr="00F4366B" w:rsidRDefault="00231D5A" w:rsidP="00F12260">
      <w:pPr>
        <w:pStyle w:val="ListParagraph"/>
        <w:numPr>
          <w:ilvl w:val="1"/>
          <w:numId w:val="1"/>
        </w:numPr>
        <w:jc w:val="both"/>
        <w:rPr>
          <w:rFonts w:ascii="Arial" w:hAnsi="Arial" w:cs="Arial"/>
          <w:sz w:val="22"/>
        </w:rPr>
      </w:pPr>
      <w:r w:rsidRPr="00F4366B">
        <w:rPr>
          <w:rFonts w:ascii="Arial" w:hAnsi="Arial" w:cs="Arial"/>
          <w:sz w:val="22"/>
        </w:rPr>
        <w:t xml:space="preserve">The </w:t>
      </w:r>
      <w:r w:rsidR="008D60E7">
        <w:rPr>
          <w:rFonts w:ascii="Arial" w:hAnsi="Arial" w:cs="Arial"/>
          <w:sz w:val="22"/>
        </w:rPr>
        <w:t>Pre-PBAC response agreed that</w:t>
      </w:r>
      <w:r w:rsidRPr="00F4366B">
        <w:rPr>
          <w:rFonts w:ascii="Arial" w:hAnsi="Arial" w:cs="Arial"/>
          <w:sz w:val="22"/>
        </w:rPr>
        <w:t xml:space="preserve"> the grandfather restrictions c</w:t>
      </w:r>
      <w:r w:rsidR="004B03AB" w:rsidRPr="00F4366B">
        <w:rPr>
          <w:rFonts w:ascii="Arial" w:hAnsi="Arial" w:cs="Arial"/>
          <w:sz w:val="22"/>
        </w:rPr>
        <w:t>ould</w:t>
      </w:r>
      <w:r w:rsidRPr="00F4366B">
        <w:rPr>
          <w:rFonts w:ascii="Arial" w:hAnsi="Arial" w:cs="Arial"/>
          <w:sz w:val="22"/>
        </w:rPr>
        <w:t xml:space="preserve"> be deleted at this time</w:t>
      </w:r>
      <w:r w:rsidR="008D60E7">
        <w:rPr>
          <w:rFonts w:ascii="Arial" w:hAnsi="Arial" w:cs="Arial"/>
          <w:sz w:val="22"/>
        </w:rPr>
        <w:t xml:space="preserve"> as all patients requiring this provision should have now completed their initial treatment course. </w:t>
      </w:r>
    </w:p>
    <w:p w:rsidR="00FA687A" w:rsidRDefault="00FA687A" w:rsidP="00FA687A">
      <w:pPr>
        <w:jc w:val="both"/>
        <w:rPr>
          <w:rFonts w:ascii="Arial" w:hAnsi="Arial" w:cs="Arial"/>
          <w:sz w:val="22"/>
          <w:szCs w:val="22"/>
        </w:rPr>
      </w:pPr>
    </w:p>
    <w:p w:rsidR="00F4366B" w:rsidRPr="0005234D" w:rsidRDefault="00F4366B" w:rsidP="00F4366B">
      <w:pPr>
        <w:ind w:firstLine="720"/>
        <w:rPr>
          <w:rFonts w:ascii="Arial" w:hAnsi="Arial" w:cs="Arial"/>
          <w:bCs/>
          <w:snapToGrid w:val="0"/>
          <w:sz w:val="22"/>
          <w:szCs w:val="22"/>
        </w:rPr>
      </w:pPr>
      <w:r w:rsidRPr="008D60E7">
        <w:rPr>
          <w:rFonts w:ascii="Arial" w:hAnsi="Arial" w:cs="Arial"/>
          <w:bCs/>
          <w:i/>
          <w:snapToGrid w:val="0"/>
          <w:sz w:val="22"/>
          <w:szCs w:val="22"/>
        </w:rPr>
        <w:t xml:space="preserve">For more detail on PBAC’s view, see section </w:t>
      </w:r>
      <w:r w:rsidR="0006534F">
        <w:rPr>
          <w:rFonts w:ascii="Arial" w:hAnsi="Arial" w:cs="Arial"/>
          <w:bCs/>
          <w:i/>
          <w:snapToGrid w:val="0"/>
          <w:sz w:val="22"/>
          <w:szCs w:val="22"/>
        </w:rPr>
        <w:t xml:space="preserve">6 </w:t>
      </w:r>
      <w:r w:rsidRPr="008D60E7">
        <w:rPr>
          <w:rFonts w:ascii="Arial" w:hAnsi="Arial" w:cs="Arial"/>
          <w:bCs/>
          <w:i/>
          <w:snapToGrid w:val="0"/>
          <w:sz w:val="22"/>
          <w:szCs w:val="22"/>
        </w:rPr>
        <w:t>“PBAC outcome”</w:t>
      </w:r>
    </w:p>
    <w:p w:rsidR="004B03AB" w:rsidRPr="004B03AB" w:rsidRDefault="004B03AB" w:rsidP="00FA687A">
      <w:pPr>
        <w:jc w:val="both"/>
        <w:rPr>
          <w:rFonts w:ascii="Arial" w:hAnsi="Arial" w:cs="Arial"/>
          <w:sz w:val="22"/>
          <w:szCs w:val="22"/>
        </w:rPr>
      </w:pPr>
    </w:p>
    <w:p w:rsidR="00CE10C4" w:rsidRPr="00C603D4" w:rsidRDefault="00CE10C4" w:rsidP="00F12260">
      <w:pPr>
        <w:pStyle w:val="Heading1"/>
        <w:numPr>
          <w:ilvl w:val="0"/>
          <w:numId w:val="1"/>
        </w:numPr>
      </w:pPr>
      <w:r w:rsidRPr="00C603D4">
        <w:t>Background</w:t>
      </w:r>
    </w:p>
    <w:p w:rsidR="00C603D4" w:rsidRPr="004B03AB" w:rsidRDefault="00C603D4" w:rsidP="00C603D4">
      <w:pPr>
        <w:jc w:val="both"/>
        <w:rPr>
          <w:rFonts w:ascii="Arial" w:hAnsi="Arial"/>
          <w:sz w:val="22"/>
          <w:szCs w:val="22"/>
        </w:rPr>
      </w:pPr>
    </w:p>
    <w:p w:rsidR="00D162C8" w:rsidRPr="00D162C8" w:rsidRDefault="00F4538C" w:rsidP="00F12260">
      <w:pPr>
        <w:pStyle w:val="ListParagraph"/>
        <w:numPr>
          <w:ilvl w:val="1"/>
          <w:numId w:val="1"/>
        </w:numPr>
        <w:jc w:val="both"/>
        <w:rPr>
          <w:rFonts w:ascii="Arial" w:hAnsi="Arial"/>
          <w:sz w:val="22"/>
          <w:szCs w:val="22"/>
        </w:rPr>
      </w:pPr>
      <w:r w:rsidRPr="00F4538C">
        <w:rPr>
          <w:rFonts w:ascii="Arial" w:hAnsi="Arial"/>
          <w:sz w:val="22"/>
          <w:szCs w:val="22"/>
        </w:rPr>
        <w:t>Ipilimumab</w:t>
      </w:r>
      <w:r w:rsidR="00FA687A">
        <w:rPr>
          <w:rFonts w:ascii="Arial" w:hAnsi="Arial"/>
          <w:sz w:val="22"/>
          <w:szCs w:val="22"/>
        </w:rPr>
        <w:t xml:space="preserve"> is </w:t>
      </w:r>
      <w:r w:rsidR="004B03AB">
        <w:rPr>
          <w:rFonts w:ascii="Arial" w:hAnsi="Arial"/>
          <w:sz w:val="22"/>
          <w:szCs w:val="22"/>
        </w:rPr>
        <w:t xml:space="preserve">registered by the </w:t>
      </w:r>
      <w:r w:rsidR="00FA687A">
        <w:rPr>
          <w:rFonts w:ascii="Arial" w:hAnsi="Arial"/>
          <w:sz w:val="22"/>
          <w:szCs w:val="22"/>
        </w:rPr>
        <w:t>TGA as monotherapy</w:t>
      </w:r>
      <w:r>
        <w:rPr>
          <w:rFonts w:ascii="Arial" w:hAnsi="Arial"/>
          <w:sz w:val="22"/>
          <w:szCs w:val="22"/>
        </w:rPr>
        <w:t xml:space="preserve"> for the treatment of patients with unresectable or metastatic melanoma. </w:t>
      </w:r>
    </w:p>
    <w:p w:rsidR="00F4538C" w:rsidRPr="004B03AB" w:rsidRDefault="00F4538C" w:rsidP="00F4538C">
      <w:pPr>
        <w:jc w:val="both"/>
        <w:rPr>
          <w:rFonts w:ascii="Arial" w:hAnsi="Arial"/>
          <w:sz w:val="22"/>
          <w:szCs w:val="22"/>
        </w:rPr>
      </w:pPr>
    </w:p>
    <w:p w:rsidR="00FA687A" w:rsidRDefault="00345029" w:rsidP="00F12260">
      <w:pPr>
        <w:pStyle w:val="ListParagraph"/>
        <w:numPr>
          <w:ilvl w:val="1"/>
          <w:numId w:val="1"/>
        </w:numPr>
        <w:jc w:val="both"/>
        <w:rPr>
          <w:rFonts w:ascii="Arial" w:hAnsi="Arial"/>
          <w:sz w:val="22"/>
          <w:szCs w:val="22"/>
        </w:rPr>
      </w:pPr>
      <w:r>
        <w:rPr>
          <w:rFonts w:ascii="Arial" w:hAnsi="Arial"/>
          <w:sz w:val="22"/>
          <w:szCs w:val="22"/>
        </w:rPr>
        <w:t xml:space="preserve">Ipilimumab received a positive PBAC recommendation in November 2012 and has been PBS listed for metastatic melanoma as monotherapy since </w:t>
      </w:r>
      <w:r w:rsidR="00231D5A">
        <w:rPr>
          <w:rFonts w:ascii="Arial" w:hAnsi="Arial"/>
          <w:sz w:val="22"/>
          <w:szCs w:val="22"/>
        </w:rPr>
        <w:t xml:space="preserve">1 </w:t>
      </w:r>
      <w:r>
        <w:rPr>
          <w:rFonts w:ascii="Arial" w:hAnsi="Arial"/>
          <w:sz w:val="22"/>
          <w:szCs w:val="22"/>
        </w:rPr>
        <w:t>August 2013.</w:t>
      </w:r>
    </w:p>
    <w:p w:rsidR="00FA687A" w:rsidRPr="004B03AB" w:rsidRDefault="00FA687A" w:rsidP="00FA687A">
      <w:pPr>
        <w:rPr>
          <w:rFonts w:ascii="Arial" w:hAnsi="Arial"/>
          <w:sz w:val="22"/>
          <w:szCs w:val="22"/>
        </w:rPr>
      </w:pPr>
    </w:p>
    <w:p w:rsidR="00D96E12" w:rsidRPr="00F4366B" w:rsidRDefault="00D96E12" w:rsidP="00F12260">
      <w:pPr>
        <w:pStyle w:val="ListParagraph"/>
        <w:numPr>
          <w:ilvl w:val="1"/>
          <w:numId w:val="1"/>
        </w:numPr>
        <w:jc w:val="both"/>
        <w:rPr>
          <w:rFonts w:ascii="Arial" w:hAnsi="Arial"/>
          <w:sz w:val="22"/>
          <w:szCs w:val="22"/>
        </w:rPr>
      </w:pPr>
      <w:r w:rsidRPr="00F4366B">
        <w:rPr>
          <w:rFonts w:ascii="Arial" w:hAnsi="Arial"/>
          <w:sz w:val="22"/>
          <w:szCs w:val="22"/>
        </w:rPr>
        <w:t>In making a positive recommendation, the PBAC considered that a mechanism should be implemented to verify the anticipated overall survival benefits of ipilimumab in real world clinical practice in Australia</w:t>
      </w:r>
      <w:r w:rsidR="0068163A" w:rsidRPr="00F4366B">
        <w:rPr>
          <w:rFonts w:ascii="Arial" w:hAnsi="Arial"/>
          <w:sz w:val="22"/>
          <w:szCs w:val="22"/>
        </w:rPr>
        <w:t>, with the sponsor expected to rebate the cost of difference in performance between observed versus predicted benefits of ipilimumab (</w:t>
      </w:r>
      <w:r w:rsidR="000719D1" w:rsidRPr="00F4366B">
        <w:rPr>
          <w:rFonts w:ascii="Arial" w:hAnsi="Arial"/>
          <w:sz w:val="22"/>
          <w:szCs w:val="22"/>
        </w:rPr>
        <w:t xml:space="preserve">Ipilimumab </w:t>
      </w:r>
      <w:r w:rsidR="0068163A" w:rsidRPr="00F4366B">
        <w:rPr>
          <w:rFonts w:ascii="Arial" w:hAnsi="Arial"/>
          <w:sz w:val="22"/>
          <w:szCs w:val="22"/>
        </w:rPr>
        <w:t xml:space="preserve">Public Summary Document, November 2012). The “Australian Outcomes Program” (AOP) required that data be collected on the outcomes of patients using ipilimumab as monotherapy. These results are required to be submitted in September 2016 for PBAC consideration, and may potentially </w:t>
      </w:r>
      <w:r w:rsidR="0099251A" w:rsidRPr="00F4366B">
        <w:rPr>
          <w:rFonts w:ascii="Arial" w:hAnsi="Arial"/>
          <w:sz w:val="22"/>
          <w:szCs w:val="22"/>
        </w:rPr>
        <w:t>affect</w:t>
      </w:r>
      <w:r w:rsidR="0068163A" w:rsidRPr="00F4366B">
        <w:rPr>
          <w:rFonts w:ascii="Arial" w:hAnsi="Arial"/>
          <w:sz w:val="22"/>
          <w:szCs w:val="22"/>
        </w:rPr>
        <w:t xml:space="preserve"> the cost-effectiveness of ipilimumab. The </w:t>
      </w:r>
      <w:r w:rsidR="008D60E7">
        <w:rPr>
          <w:rFonts w:ascii="Arial" w:hAnsi="Arial"/>
          <w:sz w:val="22"/>
          <w:szCs w:val="22"/>
        </w:rPr>
        <w:t xml:space="preserve">Pre-PBAC response confirmed that </w:t>
      </w:r>
      <w:r w:rsidR="0068163A" w:rsidRPr="00F4366B">
        <w:rPr>
          <w:rFonts w:ascii="Arial" w:hAnsi="Arial"/>
          <w:sz w:val="22"/>
          <w:szCs w:val="22"/>
        </w:rPr>
        <w:t xml:space="preserve">the results of the AOP </w:t>
      </w:r>
      <w:r w:rsidR="00FA687A" w:rsidRPr="00F4366B">
        <w:rPr>
          <w:rFonts w:ascii="Arial" w:hAnsi="Arial"/>
          <w:sz w:val="22"/>
          <w:szCs w:val="22"/>
        </w:rPr>
        <w:t>for</w:t>
      </w:r>
      <w:r w:rsidR="0068163A" w:rsidRPr="00F4366B">
        <w:rPr>
          <w:rFonts w:ascii="Arial" w:hAnsi="Arial"/>
          <w:sz w:val="22"/>
          <w:szCs w:val="22"/>
        </w:rPr>
        <w:t xml:space="preserve"> ipilimumab as monotherapy have been collected and </w:t>
      </w:r>
      <w:r w:rsidR="004B03AB" w:rsidRPr="00F4366B">
        <w:rPr>
          <w:rFonts w:ascii="Arial" w:hAnsi="Arial"/>
          <w:sz w:val="22"/>
          <w:szCs w:val="22"/>
        </w:rPr>
        <w:t xml:space="preserve">so </w:t>
      </w:r>
      <w:r w:rsidR="007C41A6" w:rsidRPr="00F4366B">
        <w:rPr>
          <w:rFonts w:ascii="Arial" w:hAnsi="Arial"/>
          <w:sz w:val="22"/>
          <w:szCs w:val="22"/>
        </w:rPr>
        <w:t>the</w:t>
      </w:r>
      <w:r w:rsidR="0099251A" w:rsidRPr="00F4366B">
        <w:rPr>
          <w:rFonts w:ascii="Arial" w:hAnsi="Arial"/>
          <w:sz w:val="22"/>
          <w:szCs w:val="22"/>
        </w:rPr>
        <w:t>se</w:t>
      </w:r>
      <w:r w:rsidR="007C41A6" w:rsidRPr="00F4366B">
        <w:rPr>
          <w:rFonts w:ascii="Arial" w:hAnsi="Arial"/>
          <w:sz w:val="22"/>
          <w:szCs w:val="22"/>
        </w:rPr>
        <w:t xml:space="preserve"> results </w:t>
      </w:r>
      <w:r w:rsidR="0068163A" w:rsidRPr="00F4366B">
        <w:rPr>
          <w:rFonts w:ascii="Arial" w:hAnsi="Arial"/>
          <w:sz w:val="22"/>
          <w:szCs w:val="22"/>
        </w:rPr>
        <w:t>w</w:t>
      </w:r>
      <w:r w:rsidR="004B03AB" w:rsidRPr="00F4366B">
        <w:rPr>
          <w:rFonts w:ascii="Arial" w:hAnsi="Arial"/>
          <w:sz w:val="22"/>
          <w:szCs w:val="22"/>
        </w:rPr>
        <w:t>ould</w:t>
      </w:r>
      <w:r w:rsidR="0068163A" w:rsidRPr="00F4366B">
        <w:rPr>
          <w:rFonts w:ascii="Arial" w:hAnsi="Arial"/>
          <w:sz w:val="22"/>
          <w:szCs w:val="22"/>
        </w:rPr>
        <w:t xml:space="preserve"> not be </w:t>
      </w:r>
      <w:r w:rsidR="004B03AB" w:rsidRPr="00F4366B">
        <w:rPr>
          <w:rFonts w:ascii="Arial" w:hAnsi="Arial"/>
          <w:sz w:val="22"/>
          <w:szCs w:val="22"/>
        </w:rPr>
        <w:t>affected</w:t>
      </w:r>
      <w:r w:rsidR="0068163A" w:rsidRPr="00F4366B">
        <w:rPr>
          <w:rFonts w:ascii="Arial" w:hAnsi="Arial"/>
          <w:sz w:val="22"/>
          <w:szCs w:val="22"/>
        </w:rPr>
        <w:t xml:space="preserve"> by the </w:t>
      </w:r>
      <w:r w:rsidR="004B03AB" w:rsidRPr="00F4366B">
        <w:rPr>
          <w:rFonts w:ascii="Arial" w:hAnsi="Arial"/>
          <w:sz w:val="22"/>
          <w:szCs w:val="22"/>
        </w:rPr>
        <w:t>requested</w:t>
      </w:r>
      <w:r w:rsidR="0068163A" w:rsidRPr="00F4366B">
        <w:rPr>
          <w:rFonts w:ascii="Arial" w:hAnsi="Arial"/>
          <w:sz w:val="22"/>
          <w:szCs w:val="22"/>
        </w:rPr>
        <w:t xml:space="preserve"> change to </w:t>
      </w:r>
      <w:r w:rsidR="004B03AB" w:rsidRPr="00F4366B">
        <w:rPr>
          <w:rFonts w:ascii="Arial" w:hAnsi="Arial"/>
          <w:sz w:val="22"/>
          <w:szCs w:val="22"/>
        </w:rPr>
        <w:t xml:space="preserve">the </w:t>
      </w:r>
      <w:r w:rsidR="0068163A" w:rsidRPr="00F4366B">
        <w:rPr>
          <w:rFonts w:ascii="Arial" w:hAnsi="Arial"/>
          <w:sz w:val="22"/>
          <w:szCs w:val="22"/>
        </w:rPr>
        <w:t>restriction.</w:t>
      </w:r>
    </w:p>
    <w:p w:rsidR="00345029" w:rsidRPr="00F4366B" w:rsidRDefault="00345029" w:rsidP="00345029">
      <w:pPr>
        <w:rPr>
          <w:rFonts w:ascii="Arial" w:hAnsi="Arial"/>
          <w:sz w:val="22"/>
          <w:szCs w:val="22"/>
        </w:rPr>
      </w:pPr>
    </w:p>
    <w:p w:rsidR="00D162C8" w:rsidRPr="00F4366B" w:rsidRDefault="00D162C8" w:rsidP="00F12260">
      <w:pPr>
        <w:pStyle w:val="ListParagraph"/>
        <w:numPr>
          <w:ilvl w:val="1"/>
          <w:numId w:val="1"/>
        </w:numPr>
        <w:jc w:val="both"/>
        <w:rPr>
          <w:rFonts w:ascii="Arial" w:hAnsi="Arial"/>
          <w:sz w:val="22"/>
          <w:szCs w:val="22"/>
        </w:rPr>
      </w:pPr>
      <w:r w:rsidRPr="00F4366B">
        <w:rPr>
          <w:rFonts w:ascii="Arial" w:hAnsi="Arial"/>
          <w:sz w:val="22"/>
          <w:szCs w:val="22"/>
        </w:rPr>
        <w:t xml:space="preserve">Nivolumab in combination with ipilimumab is registered </w:t>
      </w:r>
      <w:r w:rsidR="004B03AB" w:rsidRPr="00F4366B">
        <w:rPr>
          <w:rFonts w:ascii="Arial" w:hAnsi="Arial"/>
          <w:sz w:val="22"/>
          <w:szCs w:val="22"/>
        </w:rPr>
        <w:t xml:space="preserve">by the TGA </w:t>
      </w:r>
      <w:r w:rsidRPr="00F4366B">
        <w:rPr>
          <w:rFonts w:ascii="Arial" w:hAnsi="Arial"/>
          <w:sz w:val="22"/>
          <w:szCs w:val="22"/>
        </w:rPr>
        <w:t>for use in patients with metastatic melanoma</w:t>
      </w:r>
      <w:r w:rsidR="00FA687A" w:rsidRPr="00F4366B">
        <w:rPr>
          <w:rFonts w:ascii="Arial" w:hAnsi="Arial"/>
          <w:sz w:val="22"/>
          <w:szCs w:val="22"/>
        </w:rPr>
        <w:t xml:space="preserve"> with M1c disease or elevated lactic dehydrogenase</w:t>
      </w:r>
      <w:r w:rsidRPr="00F4366B">
        <w:rPr>
          <w:rFonts w:ascii="Arial" w:hAnsi="Arial"/>
          <w:sz w:val="22"/>
          <w:szCs w:val="22"/>
        </w:rPr>
        <w:t xml:space="preserve">. As part of the risk management plan accompanying the TGA approval of combination therapy, a commitment was made that Australian sites would participate in a global safety study of combination use. The </w:t>
      </w:r>
      <w:r w:rsidR="00FA687A" w:rsidRPr="00F4366B">
        <w:rPr>
          <w:rFonts w:ascii="Arial" w:hAnsi="Arial"/>
          <w:sz w:val="22"/>
          <w:szCs w:val="22"/>
        </w:rPr>
        <w:t>cost of providing</w:t>
      </w:r>
      <w:r w:rsidRPr="00F4366B">
        <w:rPr>
          <w:rFonts w:ascii="Arial" w:hAnsi="Arial"/>
          <w:sz w:val="22"/>
          <w:szCs w:val="22"/>
        </w:rPr>
        <w:t xml:space="preserve"> nivolumab is </w:t>
      </w:r>
      <w:r w:rsidR="00FA687A" w:rsidRPr="00F4366B">
        <w:rPr>
          <w:rFonts w:ascii="Arial" w:hAnsi="Arial"/>
          <w:sz w:val="22"/>
          <w:szCs w:val="22"/>
        </w:rPr>
        <w:t xml:space="preserve">proposed to be covered by the </w:t>
      </w:r>
      <w:r w:rsidR="004B03AB" w:rsidRPr="00F4366B">
        <w:rPr>
          <w:rFonts w:ascii="Arial" w:hAnsi="Arial"/>
          <w:sz w:val="22"/>
          <w:szCs w:val="22"/>
        </w:rPr>
        <w:t>s</w:t>
      </w:r>
      <w:r w:rsidR="00FA687A" w:rsidRPr="00F4366B">
        <w:rPr>
          <w:rFonts w:ascii="Arial" w:hAnsi="Arial"/>
          <w:sz w:val="22"/>
          <w:szCs w:val="22"/>
        </w:rPr>
        <w:t>ponsor</w:t>
      </w:r>
      <w:r w:rsidR="004B03AB" w:rsidRPr="00F4366B">
        <w:rPr>
          <w:rFonts w:ascii="Arial" w:hAnsi="Arial"/>
          <w:sz w:val="22"/>
          <w:szCs w:val="22"/>
        </w:rPr>
        <w:t>.</w:t>
      </w:r>
    </w:p>
    <w:p w:rsidR="00D162C8" w:rsidRPr="00F4366B" w:rsidRDefault="00D162C8" w:rsidP="00D162C8">
      <w:pPr>
        <w:rPr>
          <w:rFonts w:ascii="Arial" w:hAnsi="Arial"/>
          <w:sz w:val="22"/>
          <w:szCs w:val="22"/>
        </w:rPr>
      </w:pPr>
    </w:p>
    <w:p w:rsidR="00345029" w:rsidRPr="00F4366B" w:rsidRDefault="00345029" w:rsidP="008E5016">
      <w:pPr>
        <w:pStyle w:val="ListParagraph"/>
        <w:numPr>
          <w:ilvl w:val="1"/>
          <w:numId w:val="1"/>
        </w:numPr>
        <w:jc w:val="both"/>
        <w:rPr>
          <w:rFonts w:ascii="Arial" w:hAnsi="Arial"/>
          <w:sz w:val="22"/>
          <w:szCs w:val="22"/>
        </w:rPr>
      </w:pPr>
      <w:r w:rsidRPr="00F4366B">
        <w:rPr>
          <w:rFonts w:ascii="Arial" w:hAnsi="Arial"/>
          <w:sz w:val="22"/>
          <w:szCs w:val="22"/>
        </w:rPr>
        <w:t xml:space="preserve">A major submission for nivolumab in combination with ipilimumab was rejected by the PBAC at the November 2015 meeting. </w:t>
      </w:r>
      <w:r w:rsidR="000719D1" w:rsidRPr="00F4366B">
        <w:rPr>
          <w:rFonts w:ascii="Arial" w:hAnsi="Arial"/>
          <w:sz w:val="22"/>
          <w:szCs w:val="22"/>
        </w:rPr>
        <w:t>In making this recommendation, the PBAC noted that the use of combination immunotherapy was associated with a modest improvement in PFS</w:t>
      </w:r>
      <w:r w:rsidR="004B03AB" w:rsidRPr="00F4366B">
        <w:rPr>
          <w:rFonts w:ascii="Arial" w:hAnsi="Arial"/>
          <w:sz w:val="22"/>
          <w:szCs w:val="22"/>
        </w:rPr>
        <w:t>,</w:t>
      </w:r>
      <w:r w:rsidR="000719D1" w:rsidRPr="00F4366B">
        <w:rPr>
          <w:rFonts w:ascii="Arial" w:hAnsi="Arial"/>
          <w:sz w:val="22"/>
          <w:szCs w:val="22"/>
        </w:rPr>
        <w:t xml:space="preserve"> but a substantial increase in adverse events. The net clinical benefit of combination treatment was therefore uncertain. The PBAC noted that there were no statistically significant differences in OS between combination nivolumab and ipilimumab treatment, and either pembrolizumab or ipilimumab monotherapy</w:t>
      </w:r>
      <w:r w:rsidR="008E5016" w:rsidRPr="00F4366B">
        <w:rPr>
          <w:rFonts w:ascii="Arial" w:hAnsi="Arial"/>
          <w:sz w:val="22"/>
          <w:szCs w:val="22"/>
        </w:rPr>
        <w:t>, and no OS data yet officially reported comparing the combination with nivolumab monotherapy</w:t>
      </w:r>
      <w:r w:rsidR="000719D1" w:rsidRPr="00F4366B">
        <w:rPr>
          <w:rFonts w:ascii="Arial" w:hAnsi="Arial"/>
          <w:sz w:val="22"/>
          <w:szCs w:val="22"/>
        </w:rPr>
        <w:t xml:space="preserve"> (Nivolumab with Ipilimumab Public Summary Document, November 2015).</w:t>
      </w:r>
    </w:p>
    <w:p w:rsidR="006E7157" w:rsidRPr="00F4366B" w:rsidRDefault="006E7157" w:rsidP="0094720F">
      <w:pPr>
        <w:rPr>
          <w:rFonts w:ascii="Arial" w:hAnsi="Arial"/>
          <w:sz w:val="22"/>
          <w:szCs w:val="22"/>
        </w:rPr>
      </w:pPr>
    </w:p>
    <w:p w:rsidR="006E7157" w:rsidRPr="00F4366B" w:rsidRDefault="006E7157" w:rsidP="00F12260">
      <w:pPr>
        <w:pStyle w:val="ListParagraph"/>
        <w:numPr>
          <w:ilvl w:val="1"/>
          <w:numId w:val="1"/>
        </w:numPr>
        <w:jc w:val="both"/>
        <w:rPr>
          <w:rFonts w:ascii="Arial" w:hAnsi="Arial"/>
          <w:sz w:val="22"/>
          <w:szCs w:val="22"/>
        </w:rPr>
      </w:pPr>
      <w:r w:rsidRPr="00F4366B">
        <w:rPr>
          <w:rFonts w:ascii="Arial" w:hAnsi="Arial"/>
          <w:sz w:val="22"/>
          <w:szCs w:val="22"/>
        </w:rPr>
        <w:t>In April 2016, the Medical Oncology Group of Australia alerted its members to serious adverse events of fatal myocarditis, myositis and rhabdomyolysis in patients recei</w:t>
      </w:r>
      <w:r w:rsidR="008E5016" w:rsidRPr="00F4366B">
        <w:rPr>
          <w:rFonts w:ascii="Arial" w:hAnsi="Arial"/>
          <w:sz w:val="22"/>
          <w:szCs w:val="22"/>
        </w:rPr>
        <w:t>v</w:t>
      </w:r>
      <w:r w:rsidRPr="00F4366B">
        <w:rPr>
          <w:rFonts w:ascii="Arial" w:hAnsi="Arial"/>
          <w:sz w:val="22"/>
          <w:szCs w:val="22"/>
        </w:rPr>
        <w:t>ing ipilimumab and nivolumab.</w:t>
      </w:r>
      <w:r w:rsidR="0094720F" w:rsidRPr="00F4366B">
        <w:rPr>
          <w:rFonts w:ascii="Arial" w:hAnsi="Arial"/>
          <w:sz w:val="22"/>
          <w:szCs w:val="22"/>
        </w:rPr>
        <w:t xml:space="preserve">  A link with </w:t>
      </w:r>
      <w:r w:rsidR="008E5016" w:rsidRPr="00F4366B">
        <w:rPr>
          <w:rFonts w:ascii="Arial" w:hAnsi="Arial"/>
          <w:sz w:val="22"/>
          <w:szCs w:val="22"/>
        </w:rPr>
        <w:t xml:space="preserve">the </w:t>
      </w:r>
      <w:r w:rsidR="0094720F" w:rsidRPr="00F4366B">
        <w:rPr>
          <w:rFonts w:ascii="Arial" w:hAnsi="Arial"/>
          <w:sz w:val="22"/>
          <w:szCs w:val="22"/>
        </w:rPr>
        <w:t>influenza vaccine was also suspected, and the sponsor was reported to be collecting and analysing further data.</w:t>
      </w:r>
    </w:p>
    <w:p w:rsidR="004B03AB" w:rsidRPr="004B03AB" w:rsidRDefault="004B03AB" w:rsidP="00882085">
      <w:pPr>
        <w:jc w:val="both"/>
        <w:rPr>
          <w:rFonts w:ascii="Arial" w:hAnsi="Arial"/>
          <w:sz w:val="22"/>
          <w:szCs w:val="22"/>
        </w:rPr>
      </w:pPr>
    </w:p>
    <w:p w:rsidR="00CE10C4" w:rsidRPr="00C603D4" w:rsidRDefault="004B03AB" w:rsidP="00F12260">
      <w:pPr>
        <w:pStyle w:val="Heading1"/>
        <w:numPr>
          <w:ilvl w:val="0"/>
          <w:numId w:val="1"/>
        </w:numPr>
      </w:pPr>
      <w:r>
        <w:t>Current situation</w:t>
      </w:r>
    </w:p>
    <w:p w:rsidR="00CE10C4" w:rsidRPr="00882085" w:rsidRDefault="00CE10C4" w:rsidP="00882085">
      <w:pPr>
        <w:jc w:val="both"/>
        <w:rPr>
          <w:rFonts w:ascii="Arial" w:hAnsi="Arial"/>
          <w:sz w:val="22"/>
          <w:szCs w:val="22"/>
        </w:rPr>
      </w:pPr>
    </w:p>
    <w:p w:rsidR="00E91E5A" w:rsidRDefault="00E91E5A" w:rsidP="00F12260">
      <w:pPr>
        <w:pStyle w:val="ListParagraph"/>
        <w:numPr>
          <w:ilvl w:val="1"/>
          <w:numId w:val="1"/>
        </w:numPr>
        <w:jc w:val="both"/>
        <w:rPr>
          <w:rFonts w:ascii="Arial" w:hAnsi="Arial"/>
          <w:sz w:val="22"/>
          <w:szCs w:val="22"/>
        </w:rPr>
      </w:pPr>
      <w:r>
        <w:rPr>
          <w:rFonts w:ascii="Arial" w:hAnsi="Arial"/>
          <w:sz w:val="22"/>
          <w:szCs w:val="22"/>
        </w:rPr>
        <w:t>The submission stated that an alternative scenario, whereby ipilimumab is provided by the sponsor at no cost and nivolumab is claimed</w:t>
      </w:r>
      <w:r w:rsidR="00FA687A">
        <w:rPr>
          <w:rFonts w:ascii="Arial" w:hAnsi="Arial"/>
          <w:sz w:val="22"/>
          <w:szCs w:val="22"/>
        </w:rPr>
        <w:t xml:space="preserve"> through the PBS is problematic, and would impact</w:t>
      </w:r>
      <w:r>
        <w:rPr>
          <w:rFonts w:ascii="Arial" w:hAnsi="Arial"/>
          <w:sz w:val="22"/>
          <w:szCs w:val="22"/>
        </w:rPr>
        <w:t xml:space="preserve"> upon the current cap arrangement</w:t>
      </w:r>
      <w:r w:rsidR="00FA687A">
        <w:rPr>
          <w:rFonts w:ascii="Arial" w:hAnsi="Arial"/>
          <w:sz w:val="22"/>
          <w:szCs w:val="22"/>
        </w:rPr>
        <w:t>s for PD-1 inhibitors and make</w:t>
      </w:r>
      <w:r>
        <w:rPr>
          <w:rFonts w:ascii="Arial" w:hAnsi="Arial"/>
          <w:sz w:val="22"/>
          <w:szCs w:val="22"/>
        </w:rPr>
        <w:t xml:space="preserve"> it diff</w:t>
      </w:r>
      <w:r w:rsidR="0099251A">
        <w:rPr>
          <w:rFonts w:ascii="Arial" w:hAnsi="Arial"/>
          <w:sz w:val="22"/>
          <w:szCs w:val="22"/>
        </w:rPr>
        <w:t>icult to track monotherapy use.</w:t>
      </w:r>
    </w:p>
    <w:p w:rsidR="00D162C8" w:rsidRPr="00F4366B" w:rsidRDefault="00D162C8" w:rsidP="00D162C8">
      <w:pPr>
        <w:jc w:val="both"/>
        <w:rPr>
          <w:rFonts w:ascii="Arial" w:hAnsi="Arial"/>
          <w:sz w:val="22"/>
          <w:szCs w:val="22"/>
        </w:rPr>
      </w:pPr>
    </w:p>
    <w:p w:rsidR="00D162C8" w:rsidRPr="00F4366B" w:rsidRDefault="00D162C8" w:rsidP="00F12260">
      <w:pPr>
        <w:pStyle w:val="ListParagraph"/>
        <w:numPr>
          <w:ilvl w:val="1"/>
          <w:numId w:val="1"/>
        </w:numPr>
        <w:jc w:val="both"/>
        <w:rPr>
          <w:rFonts w:ascii="Arial" w:hAnsi="Arial"/>
          <w:sz w:val="22"/>
          <w:szCs w:val="22"/>
        </w:rPr>
      </w:pPr>
      <w:r w:rsidRPr="00F4366B">
        <w:rPr>
          <w:rFonts w:ascii="Arial" w:hAnsi="Arial"/>
          <w:sz w:val="22"/>
          <w:szCs w:val="22"/>
        </w:rPr>
        <w:t xml:space="preserve">There is a cap in place for </w:t>
      </w:r>
      <w:r w:rsidR="00925F85" w:rsidRPr="00F4366B">
        <w:rPr>
          <w:rFonts w:ascii="Arial" w:hAnsi="Arial"/>
          <w:sz w:val="22"/>
          <w:szCs w:val="22"/>
        </w:rPr>
        <w:t>ipilimumab;</w:t>
      </w:r>
      <w:r w:rsidRPr="00F4366B">
        <w:rPr>
          <w:rFonts w:ascii="Arial" w:hAnsi="Arial"/>
          <w:sz w:val="22"/>
          <w:szCs w:val="22"/>
        </w:rPr>
        <w:t xml:space="preserve"> </w:t>
      </w:r>
      <w:r w:rsidR="00C037CE">
        <w:rPr>
          <w:rFonts w:ascii="Arial" w:hAnsi="Arial"/>
          <w:noProof/>
          <w:color w:val="000000"/>
          <w:sz w:val="22"/>
          <w:szCs w:val="22"/>
          <w:highlight w:val="black"/>
        </w:rPr>
        <w:t>'''''''''''''''''' '''''''' '''''''' '''''''''''''' ''''''''''' '''''''''''''''''''''''</w:t>
      </w:r>
      <w:r w:rsidRPr="00F4366B">
        <w:rPr>
          <w:rFonts w:ascii="Arial" w:hAnsi="Arial"/>
          <w:sz w:val="22"/>
          <w:szCs w:val="22"/>
        </w:rPr>
        <w:t xml:space="preserve">. The expenditure for ipilimumab has reduced </w:t>
      </w:r>
      <w:r w:rsidR="00FA687A" w:rsidRPr="00F4366B">
        <w:rPr>
          <w:rFonts w:ascii="Arial" w:hAnsi="Arial"/>
          <w:sz w:val="22"/>
          <w:szCs w:val="22"/>
        </w:rPr>
        <w:t>significantly</w:t>
      </w:r>
      <w:r w:rsidRPr="00F4366B">
        <w:rPr>
          <w:rFonts w:ascii="Arial" w:hAnsi="Arial"/>
          <w:sz w:val="22"/>
          <w:szCs w:val="22"/>
        </w:rPr>
        <w:t xml:space="preserve"> in the </w:t>
      </w:r>
      <w:r w:rsidR="00D96E12" w:rsidRPr="00F4366B">
        <w:rPr>
          <w:rFonts w:ascii="Arial" w:hAnsi="Arial"/>
          <w:sz w:val="22"/>
          <w:szCs w:val="22"/>
        </w:rPr>
        <w:t>last 9 months, likely due to listing of PD</w:t>
      </w:r>
      <w:r w:rsidR="007C41A6" w:rsidRPr="00F4366B">
        <w:rPr>
          <w:rFonts w:ascii="Arial" w:hAnsi="Arial"/>
          <w:sz w:val="22"/>
          <w:szCs w:val="22"/>
        </w:rPr>
        <w:t>-</w:t>
      </w:r>
      <w:r w:rsidR="00D96E12" w:rsidRPr="00F4366B">
        <w:rPr>
          <w:rFonts w:ascii="Arial" w:hAnsi="Arial"/>
          <w:sz w:val="22"/>
          <w:szCs w:val="22"/>
        </w:rPr>
        <w:t xml:space="preserve">1 inhibitors pembrolizumab and nivolumab. </w:t>
      </w:r>
      <w:r w:rsidR="00FA687A" w:rsidRPr="00F4366B">
        <w:rPr>
          <w:rFonts w:ascii="Arial" w:hAnsi="Arial"/>
          <w:sz w:val="22"/>
          <w:szCs w:val="22"/>
        </w:rPr>
        <w:t>In the first two years of listing, ipilimumab expenditure</w:t>
      </w:r>
      <w:r w:rsidR="0099251A" w:rsidRPr="00F4366B">
        <w:rPr>
          <w:rFonts w:ascii="Arial" w:hAnsi="Arial"/>
          <w:sz w:val="22"/>
          <w:szCs w:val="22"/>
        </w:rPr>
        <w:t xml:space="preserve"> was </w:t>
      </w:r>
      <w:r w:rsidR="00C037CE">
        <w:rPr>
          <w:rFonts w:ascii="Arial" w:hAnsi="Arial"/>
          <w:noProof/>
          <w:color w:val="000000"/>
          <w:sz w:val="22"/>
          <w:szCs w:val="22"/>
          <w:highlight w:val="black"/>
        </w:rPr>
        <w:t>''''''''''</w:t>
      </w:r>
      <w:r w:rsidR="0099251A" w:rsidRPr="00F4366B">
        <w:rPr>
          <w:rFonts w:ascii="Arial" w:hAnsi="Arial"/>
          <w:sz w:val="22"/>
          <w:szCs w:val="22"/>
        </w:rPr>
        <w:t xml:space="preserve"> $</w:t>
      </w:r>
      <w:r w:rsidR="00C037CE">
        <w:rPr>
          <w:rFonts w:ascii="Arial" w:hAnsi="Arial"/>
          <w:noProof/>
          <w:color w:val="000000"/>
          <w:sz w:val="22"/>
          <w:szCs w:val="22"/>
          <w:highlight w:val="black"/>
        </w:rPr>
        <w:t>''''''''''''''''''''''''</w:t>
      </w:r>
      <w:r w:rsidR="0099251A" w:rsidRPr="00F4366B">
        <w:rPr>
          <w:rFonts w:ascii="Arial" w:hAnsi="Arial"/>
          <w:sz w:val="22"/>
          <w:szCs w:val="22"/>
        </w:rPr>
        <w:t xml:space="preserve"> and $</w:t>
      </w:r>
      <w:r w:rsidR="00C037CE">
        <w:rPr>
          <w:rFonts w:ascii="Arial" w:hAnsi="Arial"/>
          <w:noProof/>
          <w:color w:val="000000"/>
          <w:sz w:val="22"/>
          <w:szCs w:val="22"/>
          <w:highlight w:val="black"/>
        </w:rPr>
        <w:t>'''''''''''''''''''''''</w:t>
      </w:r>
      <w:r w:rsidR="00FA687A" w:rsidRPr="00F4366B">
        <w:rPr>
          <w:rFonts w:ascii="Arial" w:hAnsi="Arial"/>
          <w:sz w:val="22"/>
          <w:szCs w:val="22"/>
        </w:rPr>
        <w:t xml:space="preserve"> respectively, while the projected expenditure in year 3 is around $</w:t>
      </w:r>
      <w:r w:rsidR="00C037CE">
        <w:rPr>
          <w:rFonts w:ascii="Arial" w:hAnsi="Arial"/>
          <w:noProof/>
          <w:color w:val="000000"/>
          <w:sz w:val="22"/>
          <w:szCs w:val="22"/>
          <w:highlight w:val="black"/>
        </w:rPr>
        <w:t>'''''''''''''''''''</w:t>
      </w:r>
      <w:r w:rsidR="0099251A" w:rsidRPr="00F4366B">
        <w:rPr>
          <w:rFonts w:ascii="Arial" w:hAnsi="Arial"/>
          <w:sz w:val="22"/>
          <w:szCs w:val="22"/>
        </w:rPr>
        <w:t>.</w:t>
      </w:r>
    </w:p>
    <w:p w:rsidR="0068163A" w:rsidRPr="0099251A" w:rsidRDefault="0068163A" w:rsidP="0099251A">
      <w:pPr>
        <w:jc w:val="both"/>
        <w:rPr>
          <w:rFonts w:ascii="Arial" w:hAnsi="Arial"/>
          <w:sz w:val="22"/>
          <w:szCs w:val="22"/>
        </w:rPr>
      </w:pPr>
    </w:p>
    <w:p w:rsidR="000719D1" w:rsidRPr="000719D1" w:rsidRDefault="0068163A" w:rsidP="00F12260">
      <w:pPr>
        <w:pStyle w:val="ListParagraph"/>
        <w:numPr>
          <w:ilvl w:val="1"/>
          <w:numId w:val="1"/>
        </w:numPr>
        <w:jc w:val="both"/>
        <w:rPr>
          <w:rFonts w:ascii="Arial" w:hAnsi="Arial"/>
          <w:i/>
          <w:sz w:val="22"/>
          <w:szCs w:val="22"/>
        </w:rPr>
      </w:pPr>
      <w:r>
        <w:rPr>
          <w:rFonts w:ascii="Arial" w:hAnsi="Arial"/>
          <w:sz w:val="22"/>
          <w:szCs w:val="22"/>
        </w:rPr>
        <w:t>The submission stated that other combination studies are underway with ipilimumab in metastatic melanoma.</w:t>
      </w:r>
    </w:p>
    <w:p w:rsidR="00C35996" w:rsidRPr="0099251A" w:rsidRDefault="00C35996" w:rsidP="00882085">
      <w:pPr>
        <w:jc w:val="both"/>
        <w:rPr>
          <w:rFonts w:ascii="Arial" w:hAnsi="Arial"/>
          <w:sz w:val="22"/>
          <w:szCs w:val="22"/>
        </w:rPr>
      </w:pPr>
    </w:p>
    <w:p w:rsidR="006A12A5" w:rsidRPr="00F4366B" w:rsidRDefault="000719D1" w:rsidP="00F12260">
      <w:pPr>
        <w:pStyle w:val="ListParagraph"/>
        <w:numPr>
          <w:ilvl w:val="1"/>
          <w:numId w:val="1"/>
        </w:numPr>
        <w:jc w:val="both"/>
        <w:rPr>
          <w:rFonts w:ascii="Arial" w:hAnsi="Arial"/>
          <w:sz w:val="22"/>
          <w:szCs w:val="22"/>
        </w:rPr>
      </w:pPr>
      <w:r w:rsidRPr="00F4366B">
        <w:rPr>
          <w:rFonts w:ascii="Arial" w:hAnsi="Arial"/>
          <w:sz w:val="22"/>
          <w:szCs w:val="22"/>
        </w:rPr>
        <w:t xml:space="preserve">The current </w:t>
      </w:r>
      <w:r w:rsidR="00E15AA2">
        <w:rPr>
          <w:rFonts w:ascii="Arial" w:hAnsi="Arial"/>
          <w:sz w:val="22"/>
          <w:szCs w:val="22"/>
        </w:rPr>
        <w:t>S</w:t>
      </w:r>
      <w:r w:rsidR="00E15AA2" w:rsidRPr="00F4366B">
        <w:rPr>
          <w:rFonts w:ascii="Arial" w:hAnsi="Arial"/>
          <w:sz w:val="22"/>
          <w:szCs w:val="22"/>
        </w:rPr>
        <w:t xml:space="preserve">pecial </w:t>
      </w:r>
      <w:r w:rsidR="00E15AA2">
        <w:rPr>
          <w:rFonts w:ascii="Arial" w:hAnsi="Arial"/>
          <w:sz w:val="22"/>
          <w:szCs w:val="22"/>
        </w:rPr>
        <w:t>P</w:t>
      </w:r>
      <w:r w:rsidR="00E15AA2" w:rsidRPr="00F4366B">
        <w:rPr>
          <w:rFonts w:ascii="Arial" w:hAnsi="Arial"/>
          <w:sz w:val="22"/>
          <w:szCs w:val="22"/>
        </w:rPr>
        <w:t xml:space="preserve">ricing </w:t>
      </w:r>
      <w:r w:rsidR="00E15AA2">
        <w:rPr>
          <w:rFonts w:ascii="Arial" w:hAnsi="Arial"/>
          <w:sz w:val="22"/>
          <w:szCs w:val="22"/>
        </w:rPr>
        <w:t>A</w:t>
      </w:r>
      <w:r w:rsidR="00E15AA2" w:rsidRPr="00F4366B">
        <w:rPr>
          <w:rFonts w:ascii="Arial" w:hAnsi="Arial"/>
          <w:sz w:val="22"/>
          <w:szCs w:val="22"/>
        </w:rPr>
        <w:t xml:space="preserve">rrangement </w:t>
      </w:r>
      <w:r w:rsidRPr="00F4366B">
        <w:rPr>
          <w:rFonts w:ascii="Arial" w:hAnsi="Arial"/>
          <w:sz w:val="22"/>
          <w:szCs w:val="22"/>
        </w:rPr>
        <w:t xml:space="preserve">rebate is designed to achieve cost-effectiveness for ipilimumab as monotherapy. </w:t>
      </w:r>
      <w:r w:rsidR="00963C51">
        <w:rPr>
          <w:rFonts w:ascii="Arial" w:hAnsi="Arial"/>
          <w:sz w:val="22"/>
          <w:szCs w:val="22"/>
        </w:rPr>
        <w:t>The Pre-PBAC response stated that a price reduction was not warranted to continue to maintain cost-effectiveness.</w:t>
      </w:r>
    </w:p>
    <w:p w:rsidR="0094720F" w:rsidRPr="00F4366B" w:rsidRDefault="0094720F" w:rsidP="0094720F">
      <w:pPr>
        <w:rPr>
          <w:rFonts w:ascii="Arial" w:hAnsi="Arial"/>
          <w:sz w:val="22"/>
          <w:szCs w:val="22"/>
        </w:rPr>
      </w:pPr>
    </w:p>
    <w:p w:rsidR="0094720F" w:rsidRPr="00F4366B" w:rsidRDefault="0094720F" w:rsidP="00F12260">
      <w:pPr>
        <w:pStyle w:val="ListParagraph"/>
        <w:numPr>
          <w:ilvl w:val="1"/>
          <w:numId w:val="1"/>
        </w:numPr>
        <w:jc w:val="both"/>
        <w:rPr>
          <w:rFonts w:ascii="Arial" w:hAnsi="Arial"/>
          <w:sz w:val="22"/>
          <w:szCs w:val="22"/>
        </w:rPr>
      </w:pPr>
      <w:r w:rsidRPr="00F4366B">
        <w:rPr>
          <w:rFonts w:ascii="Arial" w:hAnsi="Arial"/>
          <w:sz w:val="22"/>
          <w:szCs w:val="22"/>
        </w:rPr>
        <w:t>Agreeing to this request would be likely to increase the number of patients for whom a grandfathering clause would need to be considered in the event that the combination of nivolumab and ipilimumab is subsequently PBS-</w:t>
      </w:r>
      <w:r w:rsidR="00B01447" w:rsidRPr="00F4366B">
        <w:rPr>
          <w:rFonts w:ascii="Arial" w:hAnsi="Arial"/>
          <w:sz w:val="22"/>
          <w:szCs w:val="22"/>
        </w:rPr>
        <w:t>subsidised</w:t>
      </w:r>
      <w:r w:rsidRPr="00F4366B">
        <w:rPr>
          <w:rFonts w:ascii="Arial" w:hAnsi="Arial"/>
          <w:sz w:val="22"/>
          <w:szCs w:val="22"/>
        </w:rPr>
        <w:t>.</w:t>
      </w:r>
    </w:p>
    <w:p w:rsidR="008A1956" w:rsidRDefault="008A1956" w:rsidP="00882085">
      <w:pPr>
        <w:pStyle w:val="Header"/>
        <w:tabs>
          <w:tab w:val="clear" w:pos="4153"/>
          <w:tab w:val="clear" w:pos="8306"/>
        </w:tabs>
        <w:jc w:val="both"/>
        <w:rPr>
          <w:rFonts w:ascii="Arial" w:hAnsi="Arial"/>
          <w:sz w:val="22"/>
          <w:szCs w:val="22"/>
        </w:rPr>
      </w:pPr>
    </w:p>
    <w:p w:rsidR="00F4366B" w:rsidRPr="00727E25" w:rsidRDefault="00F4366B" w:rsidP="00F4366B">
      <w:pPr>
        <w:ind w:firstLine="720"/>
        <w:rPr>
          <w:rFonts w:ascii="Arial" w:hAnsi="Arial" w:cs="Arial"/>
          <w:bCs/>
          <w:snapToGrid w:val="0"/>
          <w:sz w:val="22"/>
          <w:szCs w:val="22"/>
        </w:rPr>
      </w:pPr>
      <w:r w:rsidRPr="00132D49">
        <w:rPr>
          <w:rFonts w:ascii="Arial" w:hAnsi="Arial" w:cs="Arial"/>
          <w:bCs/>
          <w:i/>
          <w:snapToGrid w:val="0"/>
          <w:sz w:val="22"/>
          <w:szCs w:val="22"/>
        </w:rPr>
        <w:t>For more deta</w:t>
      </w:r>
      <w:r w:rsidR="00132D49">
        <w:rPr>
          <w:rFonts w:ascii="Arial" w:hAnsi="Arial" w:cs="Arial"/>
          <w:bCs/>
          <w:i/>
          <w:snapToGrid w:val="0"/>
          <w:sz w:val="22"/>
          <w:szCs w:val="22"/>
        </w:rPr>
        <w:t xml:space="preserve">il on PBAC’s view, see section </w:t>
      </w:r>
      <w:r w:rsidR="0006534F">
        <w:rPr>
          <w:rFonts w:ascii="Arial" w:hAnsi="Arial" w:cs="Arial"/>
          <w:bCs/>
          <w:i/>
          <w:snapToGrid w:val="0"/>
          <w:sz w:val="22"/>
          <w:szCs w:val="22"/>
        </w:rPr>
        <w:t>6</w:t>
      </w:r>
      <w:r w:rsidRPr="00132D49">
        <w:rPr>
          <w:rFonts w:ascii="Arial" w:hAnsi="Arial" w:cs="Arial"/>
          <w:bCs/>
          <w:i/>
          <w:snapToGrid w:val="0"/>
          <w:sz w:val="22"/>
          <w:szCs w:val="22"/>
        </w:rPr>
        <w:t xml:space="preserve"> “PBAC outcome”</w:t>
      </w:r>
    </w:p>
    <w:p w:rsidR="0006534F" w:rsidRPr="00727E25" w:rsidRDefault="0006534F" w:rsidP="00882085">
      <w:pPr>
        <w:pStyle w:val="Header"/>
        <w:tabs>
          <w:tab w:val="clear" w:pos="4153"/>
          <w:tab w:val="clear" w:pos="8306"/>
        </w:tabs>
        <w:jc w:val="both"/>
        <w:rPr>
          <w:rFonts w:ascii="Arial" w:hAnsi="Arial"/>
          <w:sz w:val="22"/>
          <w:szCs w:val="22"/>
        </w:rPr>
      </w:pPr>
    </w:p>
    <w:p w:rsidR="00FB0156" w:rsidRPr="00925F85" w:rsidRDefault="00FB0156" w:rsidP="00925F85">
      <w:pPr>
        <w:pStyle w:val="Heading1"/>
        <w:numPr>
          <w:ilvl w:val="0"/>
          <w:numId w:val="1"/>
        </w:numPr>
      </w:pPr>
      <w:r w:rsidRPr="00925F85">
        <w:t>Consideration of the evidence</w:t>
      </w:r>
    </w:p>
    <w:p w:rsidR="00FB0156" w:rsidRDefault="00FB0156" w:rsidP="00FB0156">
      <w:pPr>
        <w:widowControl w:val="0"/>
        <w:ind w:left="720"/>
        <w:jc w:val="both"/>
        <w:rPr>
          <w:rFonts w:ascii="Arial" w:hAnsi="Arial" w:cs="Arial"/>
          <w:b/>
          <w:bCs/>
          <w:snapToGrid w:val="0"/>
          <w:sz w:val="22"/>
          <w:szCs w:val="20"/>
        </w:rPr>
      </w:pPr>
    </w:p>
    <w:p w:rsidR="00FB0156" w:rsidRPr="0006534F" w:rsidRDefault="00FB0156" w:rsidP="00925F85">
      <w:pPr>
        <w:pStyle w:val="Heading2"/>
        <w:rPr>
          <w:snapToGrid w:val="0"/>
        </w:rPr>
      </w:pPr>
      <w:r w:rsidRPr="0006534F">
        <w:rPr>
          <w:snapToGrid w:val="0"/>
        </w:rPr>
        <w:t>Sponsor hearing</w:t>
      </w:r>
    </w:p>
    <w:p w:rsidR="00FB0156" w:rsidRPr="00FB0156" w:rsidRDefault="00FB0156" w:rsidP="00FB0156">
      <w:pPr>
        <w:rPr>
          <w:rFonts w:ascii="Arial" w:hAnsi="Arial" w:cs="Arial"/>
          <w:b/>
          <w:bCs/>
          <w:snapToGrid w:val="0"/>
          <w:sz w:val="22"/>
          <w:szCs w:val="22"/>
        </w:rPr>
      </w:pPr>
    </w:p>
    <w:p w:rsidR="00FB0156" w:rsidRPr="00FB0156" w:rsidRDefault="00FB0156" w:rsidP="00FB0156">
      <w:pPr>
        <w:numPr>
          <w:ilvl w:val="1"/>
          <w:numId w:val="1"/>
        </w:numPr>
        <w:spacing w:after="120"/>
        <w:rPr>
          <w:rFonts w:ascii="Arial" w:hAnsi="Arial" w:cs="Arial"/>
          <w:bCs/>
          <w:snapToGrid w:val="0"/>
          <w:sz w:val="22"/>
          <w:szCs w:val="22"/>
        </w:rPr>
      </w:pPr>
      <w:r w:rsidRPr="00FB0156">
        <w:rPr>
          <w:rFonts w:ascii="Arial" w:hAnsi="Arial" w:cs="Arial"/>
          <w:bCs/>
          <w:snapToGrid w:val="0"/>
          <w:sz w:val="22"/>
          <w:szCs w:val="22"/>
        </w:rPr>
        <w:t>There was no hearing for this item as it was a minor submission.</w:t>
      </w:r>
    </w:p>
    <w:p w:rsidR="00FB0156" w:rsidRPr="00FB0156" w:rsidRDefault="00FB0156" w:rsidP="00FB0156">
      <w:pPr>
        <w:rPr>
          <w:rFonts w:ascii="Arial" w:hAnsi="Arial" w:cs="Arial"/>
          <w:bCs/>
          <w:snapToGrid w:val="0"/>
          <w:sz w:val="22"/>
          <w:szCs w:val="22"/>
        </w:rPr>
      </w:pPr>
    </w:p>
    <w:p w:rsidR="00FB0156" w:rsidRPr="0006534F" w:rsidRDefault="00FB0156" w:rsidP="00925F85">
      <w:pPr>
        <w:pStyle w:val="Heading2"/>
        <w:rPr>
          <w:snapToGrid w:val="0"/>
        </w:rPr>
      </w:pPr>
      <w:r w:rsidRPr="0006534F">
        <w:rPr>
          <w:snapToGrid w:val="0"/>
        </w:rPr>
        <w:t>Consumer comments</w:t>
      </w:r>
    </w:p>
    <w:p w:rsidR="00FB0156" w:rsidRPr="00FB0156" w:rsidRDefault="00FB0156" w:rsidP="00FB0156">
      <w:pPr>
        <w:rPr>
          <w:rFonts w:ascii="Arial" w:hAnsi="Arial" w:cs="Arial"/>
          <w:bCs/>
          <w:snapToGrid w:val="0"/>
          <w:sz w:val="22"/>
          <w:szCs w:val="22"/>
        </w:rPr>
      </w:pPr>
    </w:p>
    <w:p w:rsidR="00FB0156" w:rsidRPr="006B2A0F" w:rsidRDefault="00FB0156" w:rsidP="0006534F">
      <w:pPr>
        <w:numPr>
          <w:ilvl w:val="1"/>
          <w:numId w:val="1"/>
        </w:numPr>
        <w:spacing w:after="120"/>
        <w:jc w:val="both"/>
        <w:rPr>
          <w:rFonts w:ascii="Arial" w:hAnsi="Arial" w:cs="Arial"/>
          <w:bCs/>
          <w:snapToGrid w:val="0"/>
          <w:sz w:val="22"/>
          <w:szCs w:val="22"/>
        </w:rPr>
      </w:pPr>
      <w:r w:rsidRPr="006B2A0F">
        <w:rPr>
          <w:rFonts w:ascii="Arial" w:hAnsi="Arial" w:cs="Arial"/>
          <w:bCs/>
          <w:snapToGrid w:val="0"/>
          <w:sz w:val="22"/>
          <w:szCs w:val="22"/>
        </w:rPr>
        <w:t xml:space="preserve">The PBAC noted and welcomed the </w:t>
      </w:r>
      <w:r w:rsidR="006B2A0F" w:rsidRPr="006B2A0F">
        <w:rPr>
          <w:rFonts w:ascii="Arial" w:hAnsi="Arial" w:cs="Arial"/>
          <w:bCs/>
          <w:snapToGrid w:val="0"/>
          <w:sz w:val="22"/>
          <w:szCs w:val="22"/>
        </w:rPr>
        <w:t>input</w:t>
      </w:r>
      <w:r w:rsidRPr="006B2A0F">
        <w:rPr>
          <w:rFonts w:ascii="Arial" w:hAnsi="Arial" w:cs="Arial"/>
          <w:bCs/>
          <w:snapToGrid w:val="0"/>
          <w:sz w:val="22"/>
          <w:szCs w:val="22"/>
        </w:rPr>
        <w:t xml:space="preserve"> from </w:t>
      </w:r>
      <w:r w:rsidR="0006534F">
        <w:rPr>
          <w:rFonts w:ascii="Arial" w:hAnsi="Arial" w:cs="Arial"/>
          <w:bCs/>
          <w:snapToGrid w:val="0"/>
          <w:sz w:val="22"/>
          <w:szCs w:val="22"/>
        </w:rPr>
        <w:t>one</w:t>
      </w:r>
      <w:r w:rsidRPr="006B2A0F">
        <w:rPr>
          <w:rFonts w:ascii="Arial" w:hAnsi="Arial" w:cs="Arial"/>
          <w:bCs/>
          <w:snapToGrid w:val="0"/>
          <w:sz w:val="22"/>
          <w:szCs w:val="22"/>
        </w:rPr>
        <w:t xml:space="preserve"> health professional </w:t>
      </w:r>
      <w:r w:rsidR="006B2A0F" w:rsidRPr="006B2A0F">
        <w:rPr>
          <w:rFonts w:ascii="Arial" w:hAnsi="Arial" w:cs="Arial"/>
          <w:bCs/>
          <w:snapToGrid w:val="0"/>
          <w:sz w:val="22"/>
          <w:szCs w:val="22"/>
        </w:rPr>
        <w:t xml:space="preserve">via the Consumer Comments facility on the PBS website, </w:t>
      </w:r>
      <w:r w:rsidR="0006534F">
        <w:rPr>
          <w:rFonts w:ascii="Arial" w:hAnsi="Arial" w:cs="Arial"/>
          <w:bCs/>
          <w:snapToGrid w:val="0"/>
          <w:sz w:val="22"/>
          <w:szCs w:val="22"/>
        </w:rPr>
        <w:t>supporting the proposed change in restriction wording</w:t>
      </w:r>
      <w:r w:rsidRPr="006B2A0F">
        <w:rPr>
          <w:rFonts w:ascii="Arial" w:hAnsi="Arial" w:cs="Arial"/>
          <w:bCs/>
          <w:snapToGrid w:val="0"/>
          <w:sz w:val="22"/>
          <w:szCs w:val="22"/>
        </w:rPr>
        <w:t xml:space="preserve">. </w:t>
      </w:r>
    </w:p>
    <w:p w:rsidR="0006534F" w:rsidRDefault="0006534F">
      <w:pPr>
        <w:rPr>
          <w:rFonts w:ascii="Arial" w:hAnsi="Arial" w:cs="Arial"/>
          <w:b/>
          <w:bCs/>
          <w:snapToGrid w:val="0"/>
          <w:sz w:val="22"/>
          <w:szCs w:val="20"/>
        </w:rPr>
      </w:pPr>
    </w:p>
    <w:p w:rsidR="00AE3E00" w:rsidRPr="00925F85" w:rsidRDefault="00AE3E00" w:rsidP="00925F85">
      <w:pPr>
        <w:pStyle w:val="Heading1"/>
        <w:numPr>
          <w:ilvl w:val="0"/>
          <w:numId w:val="1"/>
        </w:numPr>
      </w:pPr>
      <w:r w:rsidRPr="00925F85">
        <w:t>PBAC Outcome</w:t>
      </w:r>
    </w:p>
    <w:p w:rsidR="00AE3E00" w:rsidRPr="00132D49" w:rsidRDefault="00AE3E00" w:rsidP="00AE3E00">
      <w:pPr>
        <w:widowControl w:val="0"/>
        <w:jc w:val="both"/>
        <w:rPr>
          <w:rFonts w:ascii="Arial" w:hAnsi="Arial" w:cs="Arial"/>
          <w:b/>
          <w:bCs/>
          <w:snapToGrid w:val="0"/>
          <w:sz w:val="22"/>
          <w:szCs w:val="20"/>
          <w:lang w:val="en-GB"/>
        </w:rPr>
      </w:pPr>
    </w:p>
    <w:p w:rsidR="00132D49" w:rsidRPr="007A704A" w:rsidRDefault="00132D49" w:rsidP="00132D49">
      <w:pPr>
        <w:widowControl w:val="0"/>
        <w:numPr>
          <w:ilvl w:val="1"/>
          <w:numId w:val="1"/>
        </w:numPr>
        <w:jc w:val="both"/>
        <w:rPr>
          <w:rFonts w:ascii="Arial" w:hAnsi="Arial" w:cs="Arial"/>
          <w:snapToGrid w:val="0"/>
          <w:sz w:val="22"/>
          <w:szCs w:val="20"/>
        </w:rPr>
      </w:pPr>
      <w:r>
        <w:rPr>
          <w:rFonts w:ascii="Arial" w:hAnsi="Arial" w:cs="Arial"/>
          <w:snapToGrid w:val="0"/>
          <w:sz w:val="22"/>
          <w:szCs w:val="20"/>
        </w:rPr>
        <w:t>The PBAC recommended</w:t>
      </w:r>
      <w:r w:rsidRPr="007A704A">
        <w:rPr>
          <w:rFonts w:ascii="Arial" w:hAnsi="Arial" w:cs="Arial"/>
          <w:snapToGrid w:val="0"/>
          <w:sz w:val="22"/>
          <w:szCs w:val="20"/>
        </w:rPr>
        <w:t xml:space="preserve"> the </w:t>
      </w:r>
      <w:r>
        <w:rPr>
          <w:rFonts w:ascii="Arial" w:hAnsi="Arial" w:cs="Arial"/>
          <w:snapToGrid w:val="0"/>
          <w:sz w:val="22"/>
          <w:szCs w:val="20"/>
        </w:rPr>
        <w:t xml:space="preserve">PBS </w:t>
      </w:r>
      <w:r w:rsidRPr="007A704A">
        <w:rPr>
          <w:rFonts w:ascii="Arial" w:hAnsi="Arial" w:cs="Arial"/>
          <w:snapToGrid w:val="0"/>
          <w:sz w:val="22"/>
          <w:szCs w:val="20"/>
        </w:rPr>
        <w:t>res</w:t>
      </w:r>
      <w:r>
        <w:rPr>
          <w:rFonts w:ascii="Arial" w:hAnsi="Arial" w:cs="Arial"/>
          <w:snapToGrid w:val="0"/>
          <w:sz w:val="22"/>
          <w:szCs w:val="20"/>
        </w:rPr>
        <w:t>triction for ipilimumab for the treatment of unresectable stage III or stage IV malignant melanoma be amended</w:t>
      </w:r>
      <w:r w:rsidRPr="007A704A">
        <w:rPr>
          <w:rFonts w:ascii="Arial" w:hAnsi="Arial" w:cs="Arial"/>
          <w:snapToGrid w:val="0"/>
          <w:sz w:val="22"/>
          <w:szCs w:val="20"/>
        </w:rPr>
        <w:t xml:space="preserve"> </w:t>
      </w:r>
      <w:r>
        <w:rPr>
          <w:rFonts w:ascii="Arial" w:hAnsi="Arial" w:cs="Arial"/>
          <w:snapToGrid w:val="0"/>
          <w:sz w:val="22"/>
          <w:szCs w:val="20"/>
        </w:rPr>
        <w:t>to read “</w:t>
      </w:r>
      <w:r w:rsidRPr="007A704A">
        <w:rPr>
          <w:rFonts w:ascii="Arial" w:hAnsi="Arial" w:cs="Arial"/>
          <w:i/>
          <w:snapToGrid w:val="0"/>
          <w:sz w:val="22"/>
          <w:szCs w:val="20"/>
        </w:rPr>
        <w:t>The treatment must be the sole PBS-subsidised therapy for this condition</w:t>
      </w:r>
      <w:r>
        <w:rPr>
          <w:rFonts w:ascii="Arial" w:hAnsi="Arial" w:cs="Arial"/>
          <w:i/>
          <w:snapToGrid w:val="0"/>
          <w:sz w:val="22"/>
          <w:szCs w:val="20"/>
        </w:rPr>
        <w:t>”,</w:t>
      </w:r>
      <w:r w:rsidRPr="007A704A">
        <w:rPr>
          <w:rFonts w:ascii="Arial" w:hAnsi="Arial" w:cs="Arial"/>
          <w:snapToGrid w:val="0"/>
          <w:sz w:val="22"/>
          <w:szCs w:val="20"/>
        </w:rPr>
        <w:t xml:space="preserve"> on the basis that it would remain as a</w:t>
      </w:r>
      <w:r>
        <w:rPr>
          <w:rFonts w:ascii="Arial" w:hAnsi="Arial" w:cs="Arial"/>
          <w:snapToGrid w:val="0"/>
          <w:sz w:val="22"/>
          <w:szCs w:val="20"/>
        </w:rPr>
        <w:t>n</w:t>
      </w:r>
      <w:r w:rsidRPr="007A704A">
        <w:rPr>
          <w:rFonts w:ascii="Arial" w:hAnsi="Arial" w:cs="Arial"/>
          <w:snapToGrid w:val="0"/>
          <w:sz w:val="22"/>
          <w:szCs w:val="20"/>
        </w:rPr>
        <w:t xml:space="preserve"> Authority Required (STREAMLINED) listing only under special arrangements under Section 100 Efficient Funding of Chemotherapy.</w:t>
      </w:r>
    </w:p>
    <w:p w:rsidR="00AE3E00" w:rsidRPr="00132D49" w:rsidRDefault="00AE3E00" w:rsidP="00AE3E00">
      <w:pPr>
        <w:widowControl w:val="0"/>
        <w:jc w:val="both"/>
        <w:rPr>
          <w:rFonts w:ascii="Arial" w:hAnsi="Arial" w:cs="Arial"/>
          <w:bCs/>
          <w:snapToGrid w:val="0"/>
          <w:sz w:val="22"/>
          <w:szCs w:val="20"/>
          <w:lang w:val="en-GB"/>
        </w:rPr>
      </w:pPr>
    </w:p>
    <w:p w:rsidR="00A37782" w:rsidRPr="00132D49" w:rsidRDefault="00A37782" w:rsidP="00AE3E00">
      <w:pPr>
        <w:widowControl w:val="0"/>
        <w:numPr>
          <w:ilvl w:val="1"/>
          <w:numId w:val="1"/>
        </w:numPr>
        <w:jc w:val="both"/>
        <w:rPr>
          <w:rFonts w:ascii="Arial" w:hAnsi="Arial" w:cs="Arial"/>
          <w:bCs/>
          <w:snapToGrid w:val="0"/>
          <w:sz w:val="22"/>
          <w:szCs w:val="20"/>
          <w:lang w:val="en-GB"/>
        </w:rPr>
      </w:pPr>
      <w:r w:rsidRPr="00132D49">
        <w:rPr>
          <w:rFonts w:ascii="Arial" w:hAnsi="Arial" w:cs="Arial"/>
          <w:bCs/>
          <w:snapToGrid w:val="0"/>
          <w:sz w:val="22"/>
          <w:szCs w:val="20"/>
          <w:lang w:val="en-GB"/>
        </w:rPr>
        <w:t xml:space="preserve">The PBAC </w:t>
      </w:r>
      <w:r w:rsidR="008D60E7">
        <w:rPr>
          <w:rFonts w:ascii="Arial" w:hAnsi="Arial" w:cs="Arial"/>
          <w:bCs/>
          <w:snapToGrid w:val="0"/>
          <w:sz w:val="22"/>
          <w:szCs w:val="20"/>
          <w:lang w:val="en-GB"/>
        </w:rPr>
        <w:t>additionally</w:t>
      </w:r>
      <w:r w:rsidR="00132D49">
        <w:rPr>
          <w:rFonts w:ascii="Arial" w:hAnsi="Arial" w:cs="Arial"/>
          <w:bCs/>
          <w:snapToGrid w:val="0"/>
          <w:sz w:val="22"/>
          <w:szCs w:val="20"/>
          <w:lang w:val="en-GB"/>
        </w:rPr>
        <w:t xml:space="preserve"> </w:t>
      </w:r>
      <w:r w:rsidRPr="00132D49">
        <w:rPr>
          <w:rFonts w:ascii="Arial" w:hAnsi="Arial" w:cs="Arial"/>
          <w:bCs/>
          <w:snapToGrid w:val="0"/>
          <w:sz w:val="22"/>
          <w:szCs w:val="20"/>
          <w:lang w:val="en-GB"/>
        </w:rPr>
        <w:t xml:space="preserve">recommended the </w:t>
      </w:r>
      <w:r w:rsidR="00132D49">
        <w:rPr>
          <w:rFonts w:ascii="Arial" w:hAnsi="Arial" w:cs="Arial"/>
          <w:bCs/>
          <w:snapToGrid w:val="0"/>
          <w:sz w:val="22"/>
          <w:szCs w:val="20"/>
          <w:lang w:val="en-GB"/>
        </w:rPr>
        <w:t xml:space="preserve">removal of the </w:t>
      </w:r>
      <w:r w:rsidRPr="00132D49">
        <w:rPr>
          <w:rFonts w:ascii="Arial" w:hAnsi="Arial" w:cs="Arial"/>
          <w:bCs/>
          <w:snapToGrid w:val="0"/>
          <w:sz w:val="22"/>
          <w:szCs w:val="20"/>
          <w:lang w:val="en-GB"/>
        </w:rPr>
        <w:t>grandfathering restriction for ipilimumab</w:t>
      </w:r>
      <w:r w:rsidR="00963C51">
        <w:rPr>
          <w:rFonts w:ascii="Arial" w:hAnsi="Arial" w:cs="Arial"/>
          <w:bCs/>
          <w:snapToGrid w:val="0"/>
          <w:sz w:val="22"/>
          <w:szCs w:val="20"/>
          <w:lang w:val="en-GB"/>
        </w:rPr>
        <w:t xml:space="preserve"> at this time</w:t>
      </w:r>
      <w:r w:rsidRPr="00132D49">
        <w:rPr>
          <w:rFonts w:ascii="Arial" w:hAnsi="Arial" w:cs="Arial"/>
          <w:bCs/>
          <w:snapToGrid w:val="0"/>
          <w:sz w:val="22"/>
          <w:szCs w:val="20"/>
          <w:lang w:val="en-GB"/>
        </w:rPr>
        <w:t>.</w:t>
      </w:r>
    </w:p>
    <w:p w:rsidR="00AE3E00" w:rsidRPr="00132D49" w:rsidRDefault="00AE3E00" w:rsidP="00AE3E00">
      <w:pPr>
        <w:widowControl w:val="0"/>
        <w:jc w:val="both"/>
        <w:rPr>
          <w:rFonts w:ascii="Arial" w:hAnsi="Arial" w:cs="Arial"/>
          <w:bCs/>
          <w:snapToGrid w:val="0"/>
          <w:sz w:val="22"/>
          <w:szCs w:val="20"/>
          <w:lang w:val="en-GB"/>
        </w:rPr>
      </w:pPr>
    </w:p>
    <w:p w:rsidR="00AE3E00" w:rsidRDefault="00AE3E00" w:rsidP="00AE3E00">
      <w:pPr>
        <w:widowControl w:val="0"/>
        <w:numPr>
          <w:ilvl w:val="1"/>
          <w:numId w:val="1"/>
        </w:numPr>
        <w:jc w:val="both"/>
        <w:rPr>
          <w:rFonts w:ascii="Arial" w:hAnsi="Arial" w:cs="Arial"/>
          <w:bCs/>
          <w:snapToGrid w:val="0"/>
          <w:sz w:val="22"/>
          <w:szCs w:val="20"/>
          <w:lang w:val="en-GB"/>
        </w:rPr>
      </w:pPr>
      <w:r w:rsidRPr="00132D49">
        <w:rPr>
          <w:rFonts w:ascii="Arial" w:hAnsi="Arial" w:cs="Arial"/>
          <w:bCs/>
          <w:snapToGrid w:val="0"/>
          <w:sz w:val="22"/>
          <w:szCs w:val="20"/>
          <w:lang w:val="en-GB"/>
        </w:rPr>
        <w:t xml:space="preserve">The PBAC </w:t>
      </w:r>
      <w:r w:rsidR="007A704A">
        <w:rPr>
          <w:rFonts w:ascii="Arial" w:hAnsi="Arial" w:cs="Arial"/>
          <w:bCs/>
          <w:snapToGrid w:val="0"/>
          <w:sz w:val="22"/>
          <w:szCs w:val="20"/>
          <w:lang w:val="en-GB"/>
        </w:rPr>
        <w:t>was</w:t>
      </w:r>
      <w:r w:rsidR="007A704A" w:rsidRPr="00132D49">
        <w:rPr>
          <w:rFonts w:ascii="Arial" w:hAnsi="Arial" w:cs="Arial"/>
          <w:bCs/>
          <w:snapToGrid w:val="0"/>
          <w:sz w:val="22"/>
          <w:szCs w:val="20"/>
          <w:lang w:val="en-GB"/>
        </w:rPr>
        <w:t xml:space="preserve"> </w:t>
      </w:r>
      <w:r w:rsidRPr="00132D49">
        <w:rPr>
          <w:rFonts w:ascii="Arial" w:hAnsi="Arial" w:cs="Arial"/>
          <w:bCs/>
          <w:snapToGrid w:val="0"/>
          <w:sz w:val="22"/>
          <w:szCs w:val="20"/>
          <w:lang w:val="en-GB"/>
        </w:rPr>
        <w:t xml:space="preserve">satisfied that </w:t>
      </w:r>
      <w:r w:rsidR="00205EFA" w:rsidRPr="00132D49">
        <w:rPr>
          <w:rFonts w:ascii="Arial" w:hAnsi="Arial" w:cs="Arial"/>
          <w:bCs/>
          <w:snapToGrid w:val="0"/>
          <w:sz w:val="22"/>
          <w:szCs w:val="20"/>
          <w:lang w:val="en-GB"/>
        </w:rPr>
        <w:t xml:space="preserve">the proposed change in restriction is consistent with other PBS listed agents currently available for the treatment of </w:t>
      </w:r>
      <w:r w:rsidR="00923F14" w:rsidRPr="00727E25">
        <w:rPr>
          <w:rFonts w:ascii="Arial" w:hAnsi="Arial"/>
          <w:sz w:val="22"/>
          <w:szCs w:val="22"/>
        </w:rPr>
        <w:t>unresectable stage III or stage IV malignant melanoma</w:t>
      </w:r>
      <w:r w:rsidRPr="00132D49">
        <w:rPr>
          <w:rFonts w:ascii="Arial" w:hAnsi="Arial" w:cs="Arial"/>
          <w:bCs/>
          <w:snapToGrid w:val="0"/>
          <w:sz w:val="22"/>
          <w:szCs w:val="20"/>
          <w:lang w:val="en-GB"/>
        </w:rPr>
        <w:t>.</w:t>
      </w:r>
    </w:p>
    <w:p w:rsidR="00132D49" w:rsidRPr="00132D49" w:rsidRDefault="00132D49" w:rsidP="00132D49">
      <w:pPr>
        <w:widowControl w:val="0"/>
        <w:jc w:val="both"/>
        <w:rPr>
          <w:rFonts w:ascii="Arial" w:hAnsi="Arial" w:cs="Arial"/>
          <w:bCs/>
          <w:snapToGrid w:val="0"/>
          <w:sz w:val="22"/>
          <w:szCs w:val="20"/>
          <w:lang w:val="en-GB"/>
        </w:rPr>
      </w:pPr>
    </w:p>
    <w:p w:rsidR="00AE3E00" w:rsidRPr="00132D49" w:rsidRDefault="0080187E" w:rsidP="00AE3E00">
      <w:pPr>
        <w:widowControl w:val="0"/>
        <w:numPr>
          <w:ilvl w:val="1"/>
          <w:numId w:val="1"/>
        </w:numPr>
        <w:jc w:val="both"/>
        <w:rPr>
          <w:rFonts w:ascii="Arial" w:hAnsi="Arial" w:cs="Arial"/>
          <w:bCs/>
          <w:snapToGrid w:val="0"/>
          <w:sz w:val="22"/>
          <w:szCs w:val="20"/>
          <w:lang w:val="en-GB"/>
        </w:rPr>
      </w:pPr>
      <w:r w:rsidRPr="00727E25">
        <w:rPr>
          <w:rFonts w:ascii="Arial" w:hAnsi="Arial"/>
          <w:sz w:val="22"/>
          <w:szCs w:val="22"/>
        </w:rPr>
        <w:t xml:space="preserve">The PBAC noted that the </w:t>
      </w:r>
      <w:r w:rsidR="009F3831">
        <w:rPr>
          <w:rFonts w:ascii="Arial" w:hAnsi="Arial"/>
          <w:sz w:val="22"/>
          <w:szCs w:val="22"/>
        </w:rPr>
        <w:t>change in</w:t>
      </w:r>
      <w:r w:rsidRPr="00727E25">
        <w:rPr>
          <w:rFonts w:ascii="Arial" w:hAnsi="Arial"/>
          <w:sz w:val="22"/>
          <w:szCs w:val="22"/>
        </w:rPr>
        <w:t xml:space="preserve"> restriction wording </w:t>
      </w:r>
      <w:r w:rsidR="009F3831">
        <w:rPr>
          <w:rFonts w:ascii="Arial" w:hAnsi="Arial"/>
          <w:sz w:val="22"/>
          <w:szCs w:val="22"/>
        </w:rPr>
        <w:t>was not likely to increase</w:t>
      </w:r>
      <w:r w:rsidRPr="00727E25">
        <w:rPr>
          <w:rFonts w:ascii="Arial" w:hAnsi="Arial"/>
          <w:sz w:val="22"/>
          <w:szCs w:val="22"/>
        </w:rPr>
        <w:t xml:space="preserve"> </w:t>
      </w:r>
      <w:r w:rsidR="004348FE" w:rsidRPr="00727E25">
        <w:rPr>
          <w:rFonts w:ascii="Arial" w:hAnsi="Arial"/>
          <w:sz w:val="22"/>
          <w:szCs w:val="22"/>
        </w:rPr>
        <w:t xml:space="preserve">concomitant </w:t>
      </w:r>
      <w:r w:rsidRPr="00727E25">
        <w:rPr>
          <w:rFonts w:ascii="Arial" w:hAnsi="Arial"/>
          <w:sz w:val="22"/>
          <w:szCs w:val="22"/>
        </w:rPr>
        <w:t xml:space="preserve">multiple PBS listed agents for the treatment of malignant melanoma.  However, </w:t>
      </w:r>
      <w:r w:rsidR="004348FE" w:rsidRPr="00727E25">
        <w:rPr>
          <w:rFonts w:ascii="Arial" w:hAnsi="Arial"/>
          <w:sz w:val="22"/>
          <w:szCs w:val="22"/>
        </w:rPr>
        <w:t xml:space="preserve">the PBAC also noted that as patients </w:t>
      </w:r>
      <w:r w:rsidR="009F3831">
        <w:rPr>
          <w:rFonts w:ascii="Arial" w:hAnsi="Arial"/>
          <w:sz w:val="22"/>
          <w:szCs w:val="22"/>
        </w:rPr>
        <w:t>may</w:t>
      </w:r>
      <w:r w:rsidR="004348FE" w:rsidRPr="00727E25">
        <w:rPr>
          <w:rFonts w:ascii="Arial" w:hAnsi="Arial"/>
          <w:sz w:val="22"/>
          <w:szCs w:val="22"/>
        </w:rPr>
        <w:t xml:space="preserve"> access non-PBS therapy concomitantly with </w:t>
      </w:r>
      <w:r w:rsidR="00963C51">
        <w:rPr>
          <w:rFonts w:ascii="Arial" w:hAnsi="Arial"/>
          <w:sz w:val="22"/>
          <w:szCs w:val="22"/>
        </w:rPr>
        <w:t xml:space="preserve">PBS-subsidised </w:t>
      </w:r>
      <w:r w:rsidR="004348FE" w:rsidRPr="00727E25">
        <w:rPr>
          <w:rFonts w:ascii="Arial" w:hAnsi="Arial"/>
          <w:sz w:val="22"/>
          <w:szCs w:val="22"/>
        </w:rPr>
        <w:t>ipilimumab, this may change the level of utilisation of ipilimumab.</w:t>
      </w:r>
    </w:p>
    <w:p w:rsidR="00AE3E00" w:rsidRPr="00132D49" w:rsidRDefault="00AE3E00" w:rsidP="00AE3E00">
      <w:pPr>
        <w:widowControl w:val="0"/>
        <w:jc w:val="both"/>
        <w:rPr>
          <w:rFonts w:ascii="Arial" w:hAnsi="Arial" w:cs="Arial"/>
          <w:bCs/>
          <w:snapToGrid w:val="0"/>
          <w:sz w:val="22"/>
          <w:szCs w:val="20"/>
          <w:lang w:val="en-GB"/>
        </w:rPr>
      </w:pPr>
    </w:p>
    <w:p w:rsidR="00AE3E00" w:rsidRPr="00132D49" w:rsidRDefault="004348FE" w:rsidP="00AE3E00">
      <w:pPr>
        <w:widowControl w:val="0"/>
        <w:numPr>
          <w:ilvl w:val="1"/>
          <w:numId w:val="1"/>
        </w:numPr>
        <w:jc w:val="both"/>
        <w:rPr>
          <w:rFonts w:ascii="Arial" w:hAnsi="Arial" w:cs="Arial"/>
          <w:bCs/>
          <w:snapToGrid w:val="0"/>
          <w:sz w:val="22"/>
          <w:szCs w:val="20"/>
          <w:lang w:val="en-GB"/>
        </w:rPr>
      </w:pPr>
      <w:r w:rsidRPr="00132D49">
        <w:rPr>
          <w:rFonts w:ascii="Arial" w:hAnsi="Arial" w:cs="Arial"/>
          <w:bCs/>
          <w:snapToGrid w:val="0"/>
          <w:sz w:val="22"/>
          <w:szCs w:val="20"/>
          <w:lang w:val="en-GB"/>
        </w:rPr>
        <w:t xml:space="preserve">As the </w:t>
      </w:r>
      <w:r w:rsidR="00963C51">
        <w:rPr>
          <w:rFonts w:ascii="Arial" w:hAnsi="Arial" w:cs="Arial"/>
          <w:bCs/>
          <w:snapToGrid w:val="0"/>
          <w:sz w:val="22"/>
          <w:szCs w:val="20"/>
          <w:lang w:val="en-GB"/>
        </w:rPr>
        <w:t>submission did</w:t>
      </w:r>
      <w:r w:rsidRPr="00132D49">
        <w:rPr>
          <w:rFonts w:ascii="Arial" w:hAnsi="Arial" w:cs="Arial"/>
          <w:bCs/>
          <w:snapToGrid w:val="0"/>
          <w:sz w:val="22"/>
          <w:szCs w:val="20"/>
          <w:lang w:val="en-GB"/>
        </w:rPr>
        <w:t xml:space="preserve"> not provided estimates of cost, the PBAC advised that </w:t>
      </w:r>
      <w:r w:rsidR="00A37782" w:rsidRPr="00132D49">
        <w:rPr>
          <w:rFonts w:ascii="Arial" w:hAnsi="Arial" w:cs="Arial"/>
          <w:bCs/>
          <w:snapToGrid w:val="0"/>
          <w:sz w:val="22"/>
          <w:szCs w:val="20"/>
          <w:lang w:val="en-GB"/>
        </w:rPr>
        <w:t xml:space="preserve">the Department should work with the sponsor to determine the likely financial impact of the proposed change </w:t>
      </w:r>
      <w:r w:rsidR="00E15AA2">
        <w:rPr>
          <w:rFonts w:ascii="Arial" w:hAnsi="Arial" w:cs="Arial"/>
          <w:bCs/>
          <w:snapToGrid w:val="0"/>
          <w:sz w:val="22"/>
          <w:szCs w:val="20"/>
          <w:lang w:val="en-GB"/>
        </w:rPr>
        <w:t xml:space="preserve">over the forward estimates </w:t>
      </w:r>
      <w:r w:rsidR="00727E25" w:rsidRPr="00132D49">
        <w:rPr>
          <w:rFonts w:ascii="Arial" w:hAnsi="Arial" w:cs="Arial"/>
          <w:bCs/>
          <w:snapToGrid w:val="0"/>
          <w:sz w:val="22"/>
          <w:szCs w:val="20"/>
          <w:lang w:val="en-GB"/>
        </w:rPr>
        <w:t xml:space="preserve">to ensure that </w:t>
      </w:r>
      <w:r w:rsidR="00E15AA2">
        <w:rPr>
          <w:rFonts w:ascii="Arial" w:hAnsi="Arial" w:cs="Arial"/>
          <w:bCs/>
          <w:snapToGrid w:val="0"/>
          <w:sz w:val="22"/>
          <w:szCs w:val="20"/>
          <w:lang w:val="en-GB"/>
        </w:rPr>
        <w:t xml:space="preserve">it does not have a financial impact for the </w:t>
      </w:r>
      <w:r w:rsidR="00A37782" w:rsidRPr="00132D49">
        <w:rPr>
          <w:rFonts w:ascii="Arial" w:hAnsi="Arial" w:cs="Arial"/>
          <w:bCs/>
          <w:snapToGrid w:val="0"/>
          <w:sz w:val="22"/>
          <w:szCs w:val="20"/>
          <w:lang w:val="en-GB"/>
        </w:rPr>
        <w:t>Government</w:t>
      </w:r>
      <w:r w:rsidR="00AE3E00" w:rsidRPr="00132D49">
        <w:rPr>
          <w:rFonts w:ascii="Arial" w:hAnsi="Arial" w:cs="Arial"/>
          <w:bCs/>
          <w:snapToGrid w:val="0"/>
          <w:sz w:val="22"/>
          <w:szCs w:val="20"/>
          <w:lang w:val="en-GB"/>
        </w:rPr>
        <w:t xml:space="preserve">. </w:t>
      </w:r>
    </w:p>
    <w:p w:rsidR="00AE3E00" w:rsidRPr="00132D49" w:rsidRDefault="00AE3E00" w:rsidP="00AE3E00">
      <w:pPr>
        <w:widowControl w:val="0"/>
        <w:jc w:val="both"/>
        <w:rPr>
          <w:rFonts w:ascii="Arial" w:hAnsi="Arial" w:cs="Arial"/>
          <w:bCs/>
          <w:snapToGrid w:val="0"/>
          <w:sz w:val="22"/>
          <w:szCs w:val="20"/>
          <w:lang w:val="en-GB"/>
        </w:rPr>
      </w:pPr>
    </w:p>
    <w:p w:rsidR="00AE3E00" w:rsidRPr="00925F85" w:rsidRDefault="00AE3E00" w:rsidP="00925F85">
      <w:pPr>
        <w:pStyle w:val="Heading2"/>
        <w:rPr>
          <w:i w:val="0"/>
          <w:snapToGrid w:val="0"/>
          <w:lang w:val="en-GB"/>
        </w:rPr>
      </w:pPr>
      <w:r w:rsidRPr="00925F85">
        <w:rPr>
          <w:i w:val="0"/>
          <w:snapToGrid w:val="0"/>
          <w:lang w:val="en-GB"/>
        </w:rPr>
        <w:t>Outcome:</w:t>
      </w:r>
    </w:p>
    <w:p w:rsidR="00AE3E00" w:rsidRPr="00132D49" w:rsidRDefault="00AE3E00" w:rsidP="00AE3E00">
      <w:pPr>
        <w:widowControl w:val="0"/>
        <w:jc w:val="both"/>
        <w:rPr>
          <w:rFonts w:ascii="Arial" w:hAnsi="Arial" w:cs="Arial"/>
          <w:bCs/>
          <w:snapToGrid w:val="0"/>
          <w:sz w:val="22"/>
          <w:szCs w:val="20"/>
          <w:lang w:val="en-GB"/>
        </w:rPr>
      </w:pPr>
      <w:r w:rsidRPr="00132D49">
        <w:rPr>
          <w:rFonts w:ascii="Arial" w:hAnsi="Arial" w:cs="Arial"/>
          <w:bCs/>
          <w:snapToGrid w:val="0"/>
          <w:sz w:val="22"/>
          <w:szCs w:val="20"/>
          <w:lang w:val="en-GB"/>
        </w:rPr>
        <w:t xml:space="preserve">Recommended </w:t>
      </w:r>
    </w:p>
    <w:p w:rsidR="00AE3E00" w:rsidRPr="00132D49" w:rsidRDefault="00AE3E00" w:rsidP="00AE3E00">
      <w:pPr>
        <w:widowControl w:val="0"/>
        <w:jc w:val="both"/>
        <w:rPr>
          <w:rFonts w:ascii="Arial" w:hAnsi="Arial" w:cs="Arial"/>
          <w:b/>
          <w:bCs/>
          <w:snapToGrid w:val="0"/>
          <w:sz w:val="22"/>
          <w:szCs w:val="20"/>
        </w:rPr>
      </w:pPr>
    </w:p>
    <w:p w:rsidR="00AE3E00" w:rsidRPr="00925F85" w:rsidRDefault="00AE3E00" w:rsidP="00925F85">
      <w:pPr>
        <w:pStyle w:val="Heading1"/>
        <w:numPr>
          <w:ilvl w:val="0"/>
          <w:numId w:val="1"/>
        </w:numPr>
      </w:pPr>
      <w:r w:rsidRPr="00925F85">
        <w:t>Recommended listing</w:t>
      </w:r>
    </w:p>
    <w:p w:rsidR="00AE3E00" w:rsidRPr="00963C51" w:rsidRDefault="00AE3E00" w:rsidP="00AE3E00">
      <w:pPr>
        <w:widowControl w:val="0"/>
        <w:jc w:val="both"/>
        <w:rPr>
          <w:rFonts w:ascii="Arial" w:hAnsi="Arial" w:cs="Arial"/>
          <w:b/>
          <w:bCs/>
          <w:i/>
          <w:snapToGrid w:val="0"/>
          <w:sz w:val="22"/>
          <w:szCs w:val="20"/>
          <w:lang w:val="en-GB"/>
        </w:rPr>
      </w:pPr>
    </w:p>
    <w:p w:rsidR="00AE3E00" w:rsidRPr="00963C51" w:rsidRDefault="00AE3E00" w:rsidP="00132D49">
      <w:pPr>
        <w:widowControl w:val="0"/>
        <w:numPr>
          <w:ilvl w:val="1"/>
          <w:numId w:val="1"/>
        </w:numPr>
        <w:jc w:val="both"/>
        <w:rPr>
          <w:rFonts w:ascii="Arial" w:hAnsi="Arial" w:cs="Arial"/>
          <w:bCs/>
          <w:snapToGrid w:val="0"/>
          <w:sz w:val="22"/>
          <w:szCs w:val="20"/>
        </w:rPr>
      </w:pPr>
      <w:r w:rsidRPr="00963C51">
        <w:rPr>
          <w:rFonts w:ascii="Arial" w:hAnsi="Arial" w:cs="Arial"/>
          <w:bCs/>
          <w:snapToGrid w:val="0"/>
          <w:sz w:val="22"/>
          <w:szCs w:val="20"/>
        </w:rPr>
        <w:t>Amend existing listing as follows:</w:t>
      </w:r>
    </w:p>
    <w:p w:rsidR="00037B91" w:rsidRPr="0069654D" w:rsidRDefault="00037B91" w:rsidP="00132D49">
      <w:pPr>
        <w:widowControl w:val="0"/>
        <w:ind w:left="720"/>
        <w:jc w:val="both"/>
        <w:rPr>
          <w:rFonts w:ascii="Arial" w:hAnsi="Arial" w:cs="Arial"/>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1134"/>
        <w:gridCol w:w="1417"/>
      </w:tblGrid>
      <w:tr w:rsidR="00037B91" w:rsidRPr="0039782C" w:rsidTr="00893042">
        <w:trPr>
          <w:gridAfter w:val="1"/>
          <w:wAfter w:w="1417" w:type="dxa"/>
          <w:cantSplit/>
          <w:trHeight w:val="471"/>
          <w:tblHeader/>
        </w:trPr>
        <w:tc>
          <w:tcPr>
            <w:tcW w:w="3119" w:type="dxa"/>
            <w:gridSpan w:val="2"/>
            <w:tcBorders>
              <w:bottom w:val="single" w:sz="4" w:space="0" w:color="auto"/>
            </w:tcBorders>
          </w:tcPr>
          <w:p w:rsidR="00037B91" w:rsidRPr="00132D49" w:rsidRDefault="00037B91" w:rsidP="00132D49">
            <w:pPr>
              <w:keepNext/>
              <w:jc w:val="both"/>
              <w:rPr>
                <w:rFonts w:ascii="Arial Narrow" w:hAnsi="Arial Narrow" w:cs="Arial"/>
                <w:b/>
                <w:sz w:val="20"/>
                <w:szCs w:val="20"/>
              </w:rPr>
            </w:pPr>
            <w:r w:rsidRPr="00132D49">
              <w:rPr>
                <w:rFonts w:ascii="Arial Narrow" w:hAnsi="Arial Narrow" w:cs="Arial"/>
                <w:b/>
                <w:sz w:val="20"/>
                <w:szCs w:val="20"/>
              </w:rPr>
              <w:t>Name, Restriction,</w:t>
            </w:r>
          </w:p>
          <w:p w:rsidR="00037B91" w:rsidRPr="00132D49" w:rsidRDefault="00037B91" w:rsidP="00132D49">
            <w:pPr>
              <w:keepNext/>
              <w:jc w:val="both"/>
              <w:rPr>
                <w:rFonts w:ascii="Arial Narrow" w:hAnsi="Arial Narrow" w:cs="Arial"/>
                <w:b/>
                <w:sz w:val="20"/>
                <w:szCs w:val="20"/>
              </w:rPr>
            </w:pPr>
            <w:r w:rsidRPr="00132D49">
              <w:rPr>
                <w:rFonts w:ascii="Arial Narrow" w:hAnsi="Arial Narrow" w:cs="Arial"/>
                <w:b/>
                <w:sz w:val="20"/>
                <w:szCs w:val="20"/>
              </w:rPr>
              <w:t>Manner of administration and form</w:t>
            </w:r>
          </w:p>
        </w:tc>
        <w:tc>
          <w:tcPr>
            <w:tcW w:w="850" w:type="dxa"/>
            <w:tcBorders>
              <w:bottom w:val="single" w:sz="4" w:space="0" w:color="auto"/>
            </w:tcBorders>
          </w:tcPr>
          <w:p w:rsidR="00037B91" w:rsidRPr="0039782C" w:rsidRDefault="00037B91" w:rsidP="00132D49">
            <w:pPr>
              <w:keepNext/>
              <w:ind w:left="-108"/>
              <w:jc w:val="both"/>
              <w:rPr>
                <w:rFonts w:ascii="Arial Narrow" w:hAnsi="Arial Narrow" w:cs="Arial"/>
                <w:b/>
                <w:sz w:val="20"/>
                <w:szCs w:val="20"/>
              </w:rPr>
            </w:pPr>
            <w:r w:rsidRPr="0039782C">
              <w:rPr>
                <w:rFonts w:ascii="Arial Narrow" w:hAnsi="Arial Narrow" w:cs="Arial"/>
                <w:b/>
                <w:sz w:val="20"/>
                <w:szCs w:val="20"/>
              </w:rPr>
              <w:t>Max.</w:t>
            </w:r>
          </w:p>
          <w:p w:rsidR="00037B91" w:rsidRPr="0039782C" w:rsidRDefault="00037B91" w:rsidP="00132D49">
            <w:pPr>
              <w:keepNext/>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037B91" w:rsidRPr="0039782C" w:rsidRDefault="00037B91" w:rsidP="00132D49">
            <w:pPr>
              <w:keepNext/>
              <w:ind w:left="-108"/>
              <w:jc w:val="both"/>
              <w:rPr>
                <w:rFonts w:ascii="Arial Narrow" w:hAnsi="Arial Narrow" w:cs="Arial"/>
                <w:b/>
                <w:sz w:val="20"/>
                <w:szCs w:val="20"/>
              </w:rPr>
            </w:pPr>
            <w:r w:rsidRPr="0039782C">
              <w:rPr>
                <w:rFonts w:ascii="Arial Narrow" w:hAnsi="Arial Narrow" w:cs="Arial"/>
                <w:b/>
                <w:sz w:val="20"/>
                <w:szCs w:val="20"/>
              </w:rPr>
              <w:t>№.of</w:t>
            </w:r>
          </w:p>
          <w:p w:rsidR="00037B91" w:rsidRPr="0039782C" w:rsidRDefault="00037B91" w:rsidP="00132D49">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268" w:type="dxa"/>
            <w:gridSpan w:val="2"/>
            <w:tcBorders>
              <w:bottom w:val="single" w:sz="4" w:space="0" w:color="auto"/>
            </w:tcBorders>
          </w:tcPr>
          <w:p w:rsidR="00037B91" w:rsidRPr="0039782C" w:rsidRDefault="00037B91" w:rsidP="00132D4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37B91" w:rsidRPr="00260CE3" w:rsidTr="00132D49">
        <w:trPr>
          <w:gridAfter w:val="1"/>
          <w:wAfter w:w="1417" w:type="dxa"/>
          <w:cantSplit/>
          <w:trHeight w:val="577"/>
        </w:trPr>
        <w:tc>
          <w:tcPr>
            <w:tcW w:w="3119" w:type="dxa"/>
            <w:gridSpan w:val="2"/>
          </w:tcPr>
          <w:p w:rsidR="00037B91" w:rsidRPr="00260CE3" w:rsidRDefault="00037B91" w:rsidP="00132D49">
            <w:pPr>
              <w:keepNext/>
              <w:ind w:left="-108"/>
              <w:jc w:val="both"/>
              <w:rPr>
                <w:rFonts w:ascii="Arial Narrow" w:hAnsi="Arial Narrow" w:cs="Arial"/>
                <w:sz w:val="20"/>
                <w:szCs w:val="20"/>
              </w:rPr>
            </w:pPr>
            <w:r>
              <w:rPr>
                <w:rFonts w:ascii="Arial Narrow" w:hAnsi="Arial Narrow" w:cs="Arial"/>
                <w:smallCaps/>
                <w:sz w:val="20"/>
                <w:szCs w:val="20"/>
              </w:rPr>
              <w:t>IPILIMUMAB</w:t>
            </w:r>
          </w:p>
          <w:p w:rsidR="00037B91" w:rsidRDefault="00037B91" w:rsidP="00132D49">
            <w:pPr>
              <w:keepNext/>
              <w:ind w:left="-108"/>
              <w:jc w:val="both"/>
              <w:rPr>
                <w:rFonts w:ascii="Arial Narrow" w:hAnsi="Arial Narrow" w:cs="Arial"/>
                <w:sz w:val="20"/>
                <w:szCs w:val="20"/>
              </w:rPr>
            </w:pPr>
            <w:r>
              <w:rPr>
                <w:rFonts w:ascii="Arial Narrow" w:hAnsi="Arial Narrow" w:cs="Arial"/>
                <w:sz w:val="20"/>
                <w:szCs w:val="20"/>
              </w:rPr>
              <w:t>50 mg/10 mL injection, 10 mL</w:t>
            </w:r>
          </w:p>
          <w:p w:rsidR="00037B91" w:rsidRPr="00260CE3" w:rsidRDefault="00037B91" w:rsidP="00132D49">
            <w:pPr>
              <w:keepNext/>
              <w:ind w:left="-108"/>
              <w:jc w:val="both"/>
              <w:rPr>
                <w:rFonts w:ascii="Arial Narrow" w:hAnsi="Arial Narrow" w:cs="Arial"/>
                <w:sz w:val="20"/>
                <w:szCs w:val="20"/>
              </w:rPr>
            </w:pPr>
            <w:r>
              <w:rPr>
                <w:rFonts w:ascii="Arial Narrow" w:hAnsi="Arial Narrow" w:cs="Arial"/>
                <w:sz w:val="20"/>
                <w:szCs w:val="20"/>
              </w:rPr>
              <w:t>200 mg/40 mL injection, 40 mL</w:t>
            </w:r>
          </w:p>
        </w:tc>
        <w:tc>
          <w:tcPr>
            <w:tcW w:w="850" w:type="dxa"/>
          </w:tcPr>
          <w:p w:rsidR="00037B91" w:rsidRPr="00260CE3" w:rsidRDefault="00037B91" w:rsidP="00132D49">
            <w:pPr>
              <w:keepNext/>
              <w:ind w:left="-108"/>
              <w:jc w:val="both"/>
              <w:rPr>
                <w:rFonts w:ascii="Arial Narrow" w:hAnsi="Arial Narrow" w:cs="Arial"/>
                <w:sz w:val="20"/>
                <w:szCs w:val="20"/>
              </w:rPr>
            </w:pPr>
          </w:p>
          <w:p w:rsidR="00037B91" w:rsidRPr="00260CE3" w:rsidRDefault="00037B91" w:rsidP="00132D49">
            <w:pPr>
              <w:keepNext/>
              <w:ind w:left="-108"/>
              <w:jc w:val="both"/>
              <w:rPr>
                <w:rFonts w:ascii="Arial Narrow" w:hAnsi="Arial Narrow" w:cs="Arial"/>
                <w:sz w:val="20"/>
                <w:szCs w:val="20"/>
              </w:rPr>
            </w:pPr>
            <w:r>
              <w:rPr>
                <w:rFonts w:ascii="Arial Narrow" w:hAnsi="Arial Narrow" w:cs="Arial"/>
                <w:sz w:val="20"/>
                <w:szCs w:val="20"/>
              </w:rPr>
              <w:t>360 mg</w:t>
            </w:r>
          </w:p>
        </w:tc>
        <w:tc>
          <w:tcPr>
            <w:tcW w:w="709" w:type="dxa"/>
          </w:tcPr>
          <w:p w:rsidR="00037B91" w:rsidRPr="00260CE3" w:rsidRDefault="00037B91" w:rsidP="00132D49">
            <w:pPr>
              <w:keepNext/>
              <w:ind w:left="-108"/>
              <w:jc w:val="both"/>
              <w:rPr>
                <w:rFonts w:ascii="Arial Narrow" w:hAnsi="Arial Narrow" w:cs="Arial"/>
                <w:sz w:val="20"/>
                <w:szCs w:val="20"/>
              </w:rPr>
            </w:pPr>
          </w:p>
          <w:p w:rsidR="00037B91" w:rsidRPr="00260CE3" w:rsidRDefault="00037B91" w:rsidP="00132D49">
            <w:pPr>
              <w:keepNext/>
              <w:ind w:left="-108"/>
              <w:jc w:val="both"/>
              <w:rPr>
                <w:rFonts w:ascii="Arial Narrow" w:hAnsi="Arial Narrow" w:cs="Arial"/>
                <w:sz w:val="20"/>
                <w:szCs w:val="20"/>
              </w:rPr>
            </w:pPr>
            <w:r>
              <w:rPr>
                <w:rFonts w:ascii="Arial Narrow" w:hAnsi="Arial Narrow" w:cs="Arial"/>
                <w:sz w:val="20"/>
                <w:szCs w:val="20"/>
              </w:rPr>
              <w:t>3</w:t>
            </w:r>
          </w:p>
        </w:tc>
        <w:tc>
          <w:tcPr>
            <w:tcW w:w="1134" w:type="dxa"/>
          </w:tcPr>
          <w:p w:rsidR="00037B91" w:rsidRDefault="00037B91" w:rsidP="00132D49">
            <w:pPr>
              <w:keepNext/>
              <w:jc w:val="both"/>
              <w:rPr>
                <w:rFonts w:ascii="Arial Narrow" w:hAnsi="Arial Narrow" w:cs="Arial"/>
                <w:sz w:val="20"/>
                <w:szCs w:val="20"/>
              </w:rPr>
            </w:pPr>
          </w:p>
          <w:p w:rsidR="00037B91" w:rsidRPr="00260CE3" w:rsidRDefault="00037B91" w:rsidP="00132D49">
            <w:pPr>
              <w:keepNext/>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037B91" w:rsidRDefault="00037B91" w:rsidP="00132D49">
            <w:pPr>
              <w:keepNext/>
              <w:jc w:val="both"/>
              <w:rPr>
                <w:rFonts w:ascii="Arial Narrow" w:hAnsi="Arial Narrow" w:cs="Arial"/>
                <w:sz w:val="20"/>
                <w:szCs w:val="20"/>
              </w:rPr>
            </w:pPr>
          </w:p>
          <w:p w:rsidR="00037B91" w:rsidRPr="00260CE3" w:rsidRDefault="00037B91" w:rsidP="00132D49">
            <w:pPr>
              <w:keepNext/>
              <w:jc w:val="both"/>
              <w:rPr>
                <w:rFonts w:ascii="Arial Narrow" w:hAnsi="Arial Narrow" w:cs="Arial"/>
                <w:sz w:val="20"/>
                <w:szCs w:val="20"/>
              </w:rPr>
            </w:pPr>
            <w:r>
              <w:rPr>
                <w:rFonts w:ascii="Arial Narrow" w:hAnsi="Arial Narrow" w:cs="Arial"/>
                <w:sz w:val="20"/>
                <w:szCs w:val="20"/>
              </w:rPr>
              <w:t>BQ</w:t>
            </w:r>
          </w:p>
        </w:tc>
      </w:tr>
      <w:tr w:rsidR="00037B91" w:rsidRPr="00260CE3" w:rsidTr="00132D49">
        <w:trPr>
          <w:cantSplit/>
          <w:trHeight w:val="360"/>
        </w:trPr>
        <w:tc>
          <w:tcPr>
            <w:tcW w:w="8363" w:type="dxa"/>
            <w:gridSpan w:val="7"/>
            <w:tcBorders>
              <w:bottom w:val="single" w:sz="4" w:space="0" w:color="auto"/>
            </w:tcBorders>
          </w:tcPr>
          <w:p w:rsidR="00037B91" w:rsidRPr="00260CE3" w:rsidRDefault="00037B91" w:rsidP="00132D49">
            <w:pPr>
              <w:jc w:val="both"/>
              <w:rPr>
                <w:rFonts w:ascii="Arial Narrow" w:hAnsi="Arial Narrow" w:cs="Arial"/>
                <w:sz w:val="20"/>
                <w:szCs w:val="20"/>
              </w:rPr>
            </w:pP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132D49">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132D49">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Efficient funding of chemotherapy (Public and Private)</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132D4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132D4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37B91" w:rsidRPr="00260CE3" w:rsidRDefault="00037B91" w:rsidP="00132D4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132D4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132D49">
            <w:pPr>
              <w:rPr>
                <w:rFonts w:ascii="Arial Narrow" w:hAnsi="Arial Narrow" w:cs="Arial"/>
                <w:sz w:val="20"/>
                <w:szCs w:val="20"/>
              </w:rPr>
            </w:pPr>
            <w:r>
              <w:rPr>
                <w:rFonts w:ascii="Arial Narrow" w:hAnsi="Arial Narrow" w:cs="Arial"/>
                <w:sz w:val="20"/>
                <w:szCs w:val="20"/>
              </w:rPr>
              <w:t>Unresectable Stage III or Stage IV malignant melanoma</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A607B" w:rsidRDefault="00037B91" w:rsidP="00132D49">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132D49">
            <w:pPr>
              <w:rPr>
                <w:rFonts w:ascii="Arial Narrow" w:hAnsi="Arial Narrow" w:cs="Arial"/>
                <w:sz w:val="20"/>
                <w:szCs w:val="20"/>
              </w:rPr>
            </w:pPr>
            <w:r>
              <w:rPr>
                <w:rFonts w:ascii="Arial Narrow" w:hAnsi="Arial Narrow" w:cs="Arial"/>
                <w:sz w:val="20"/>
                <w:szCs w:val="20"/>
              </w:rPr>
              <w:t>Induction treatment</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132D49">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132D4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132D49">
            <w:pPr>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037B91" w:rsidRDefault="00037B91" w:rsidP="00132D49">
            <w:pPr>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037B91" w:rsidRPr="009905A6" w:rsidRDefault="00037B91" w:rsidP="00132D49">
            <w:pPr>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037B91" w:rsidRDefault="00037B91" w:rsidP="00132D49">
            <w:pPr>
              <w:rPr>
                <w:rFonts w:ascii="Arial Narrow" w:hAnsi="Arial Narrow" w:cs="Arial"/>
                <w:sz w:val="20"/>
                <w:szCs w:val="20"/>
              </w:rPr>
            </w:pPr>
          </w:p>
          <w:p w:rsidR="00037B91" w:rsidRDefault="00037B91" w:rsidP="00132D49">
            <w:pPr>
              <w:rPr>
                <w:rFonts w:ascii="Arial Narrow" w:hAnsi="Arial Narrow" w:cs="Arial"/>
                <w:sz w:val="20"/>
                <w:szCs w:val="20"/>
              </w:rPr>
            </w:pPr>
            <w:r>
              <w:rPr>
                <w:rFonts w:ascii="Arial Narrow" w:hAnsi="Arial Narrow" w:cs="Arial"/>
                <w:sz w:val="20"/>
                <w:szCs w:val="20"/>
              </w:rPr>
              <w:t>AND</w:t>
            </w:r>
          </w:p>
          <w:p w:rsidR="00037B91" w:rsidRDefault="00037B91" w:rsidP="00132D49">
            <w:pPr>
              <w:rPr>
                <w:rFonts w:ascii="Arial Narrow" w:hAnsi="Arial Narrow" w:cs="Arial"/>
                <w:sz w:val="20"/>
                <w:szCs w:val="20"/>
              </w:rPr>
            </w:pPr>
          </w:p>
          <w:p w:rsidR="00037B91" w:rsidRDefault="00037B91" w:rsidP="00132D49">
            <w:pPr>
              <w:rPr>
                <w:rFonts w:ascii="Arial Narrow" w:hAnsi="Arial Narrow" w:cs="Arial"/>
                <w:sz w:val="20"/>
                <w:szCs w:val="20"/>
              </w:rPr>
            </w:pPr>
            <w:r>
              <w:rPr>
                <w:rFonts w:ascii="Arial Narrow" w:hAnsi="Arial Narrow" w:cs="Arial"/>
                <w:sz w:val="20"/>
                <w:szCs w:val="20"/>
              </w:rPr>
              <w:t xml:space="preserve">Patient must not have received prior treatment with ipilimumab; </w:t>
            </w:r>
          </w:p>
          <w:p w:rsidR="00037B91" w:rsidRDefault="00037B91" w:rsidP="00132D49">
            <w:pPr>
              <w:rPr>
                <w:rFonts w:ascii="Arial Narrow" w:hAnsi="Arial Narrow" w:cs="Arial"/>
                <w:sz w:val="20"/>
                <w:szCs w:val="20"/>
              </w:rPr>
            </w:pPr>
          </w:p>
          <w:p w:rsidR="00037B91" w:rsidRDefault="00037B91" w:rsidP="00132D49">
            <w:pPr>
              <w:rPr>
                <w:rFonts w:ascii="Arial Narrow" w:hAnsi="Arial Narrow" w:cs="Arial"/>
                <w:sz w:val="20"/>
                <w:szCs w:val="20"/>
              </w:rPr>
            </w:pPr>
            <w:r>
              <w:rPr>
                <w:rFonts w:ascii="Arial Narrow" w:hAnsi="Arial Narrow" w:cs="Arial"/>
                <w:sz w:val="20"/>
                <w:szCs w:val="20"/>
              </w:rPr>
              <w:t xml:space="preserve">AND </w:t>
            </w:r>
          </w:p>
          <w:p w:rsidR="00037B91" w:rsidRDefault="00037B91" w:rsidP="00132D49">
            <w:pPr>
              <w:rPr>
                <w:rFonts w:ascii="Arial Narrow" w:hAnsi="Arial Narrow" w:cs="Arial"/>
                <w:sz w:val="20"/>
                <w:szCs w:val="20"/>
              </w:rPr>
            </w:pPr>
          </w:p>
          <w:p w:rsidR="00037B91" w:rsidRPr="00260CE3" w:rsidRDefault="00037B91" w:rsidP="00132D49">
            <w:pPr>
              <w:rPr>
                <w:rFonts w:ascii="Arial Narrow" w:hAnsi="Arial Narrow" w:cs="Arial"/>
                <w:sz w:val="20"/>
                <w:szCs w:val="20"/>
              </w:rPr>
            </w:pPr>
            <w:r>
              <w:rPr>
                <w:rFonts w:ascii="Arial Narrow" w:hAnsi="Arial Narrow" w:cs="Arial"/>
                <w:sz w:val="20"/>
                <w:szCs w:val="20"/>
              </w:rPr>
              <w:t xml:space="preserve">The treatment must not exceed a total of 4 doses at a maximum dose of 3 mg per kg every 3 weeks. </w:t>
            </w:r>
          </w:p>
        </w:tc>
      </w:tr>
    </w:tbl>
    <w:p w:rsidR="00037B91" w:rsidRDefault="00037B91" w:rsidP="00037B91">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1134"/>
        <w:gridCol w:w="1417"/>
      </w:tblGrid>
      <w:tr w:rsidR="00037B91" w:rsidRPr="0039782C" w:rsidTr="00893042">
        <w:trPr>
          <w:gridAfter w:val="1"/>
          <w:wAfter w:w="1417" w:type="dxa"/>
          <w:cantSplit/>
          <w:trHeight w:val="471"/>
          <w:tblHeader/>
        </w:trPr>
        <w:tc>
          <w:tcPr>
            <w:tcW w:w="3119" w:type="dxa"/>
            <w:gridSpan w:val="2"/>
            <w:tcBorders>
              <w:bottom w:val="single" w:sz="4" w:space="0" w:color="auto"/>
            </w:tcBorders>
          </w:tcPr>
          <w:p w:rsidR="00037B91" w:rsidRPr="0039782C" w:rsidRDefault="00037B91"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Name, Restriction,</w:t>
            </w:r>
          </w:p>
          <w:p w:rsidR="00037B91" w:rsidRPr="0039782C" w:rsidRDefault="00037B91"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037B91" w:rsidRPr="0039782C" w:rsidRDefault="00037B91"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Max.</w:t>
            </w:r>
          </w:p>
          <w:p w:rsidR="00037B91" w:rsidRPr="0039782C" w:rsidRDefault="00037B91" w:rsidP="00893042">
            <w:pPr>
              <w:keepNext/>
              <w:keepLines/>
              <w:ind w:left="-108"/>
              <w:jc w:val="both"/>
              <w:rPr>
                <w:rFonts w:ascii="Arial Narrow" w:hAnsi="Arial Narrow" w:cs="Arial"/>
                <w:b/>
                <w:sz w:val="20"/>
                <w:szCs w:val="20"/>
              </w:rPr>
            </w:pPr>
            <w:r>
              <w:rPr>
                <w:rFonts w:ascii="Arial Narrow" w:hAnsi="Arial Narrow" w:cs="Arial"/>
                <w:b/>
                <w:sz w:val="20"/>
                <w:szCs w:val="20"/>
              </w:rPr>
              <w:t>Amount</w:t>
            </w:r>
          </w:p>
        </w:tc>
        <w:tc>
          <w:tcPr>
            <w:tcW w:w="709" w:type="dxa"/>
            <w:tcBorders>
              <w:bottom w:val="single" w:sz="4" w:space="0" w:color="auto"/>
            </w:tcBorders>
          </w:tcPr>
          <w:p w:rsidR="00037B91" w:rsidRPr="0039782C" w:rsidRDefault="00037B91"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№.of</w:t>
            </w:r>
          </w:p>
          <w:p w:rsidR="00037B91" w:rsidRPr="0039782C" w:rsidRDefault="00037B91" w:rsidP="00893042">
            <w:pPr>
              <w:keepNext/>
              <w:keepLines/>
              <w:ind w:left="-108"/>
              <w:jc w:val="both"/>
              <w:rPr>
                <w:rFonts w:ascii="Arial Narrow" w:hAnsi="Arial Narrow" w:cs="Arial"/>
                <w:b/>
                <w:sz w:val="20"/>
                <w:szCs w:val="20"/>
              </w:rPr>
            </w:pPr>
            <w:r w:rsidRPr="0039782C">
              <w:rPr>
                <w:rFonts w:ascii="Arial Narrow" w:hAnsi="Arial Narrow" w:cs="Arial"/>
                <w:b/>
                <w:sz w:val="20"/>
                <w:szCs w:val="20"/>
              </w:rPr>
              <w:t>Rpts</w:t>
            </w:r>
          </w:p>
        </w:tc>
        <w:tc>
          <w:tcPr>
            <w:tcW w:w="2268" w:type="dxa"/>
            <w:gridSpan w:val="2"/>
            <w:tcBorders>
              <w:bottom w:val="single" w:sz="4" w:space="0" w:color="auto"/>
            </w:tcBorders>
          </w:tcPr>
          <w:p w:rsidR="00037B91" w:rsidRPr="0039782C" w:rsidRDefault="00037B91" w:rsidP="00893042">
            <w:pPr>
              <w:keepNext/>
              <w:keepLines/>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37B91" w:rsidRPr="00260CE3" w:rsidTr="00132D49">
        <w:trPr>
          <w:gridAfter w:val="1"/>
          <w:wAfter w:w="1417" w:type="dxa"/>
          <w:cantSplit/>
          <w:trHeight w:val="577"/>
        </w:trPr>
        <w:tc>
          <w:tcPr>
            <w:tcW w:w="3119" w:type="dxa"/>
            <w:gridSpan w:val="2"/>
          </w:tcPr>
          <w:p w:rsidR="00037B91" w:rsidRPr="00260CE3" w:rsidRDefault="00037B91" w:rsidP="00893042">
            <w:pPr>
              <w:keepNext/>
              <w:keepLines/>
              <w:ind w:left="-108"/>
              <w:jc w:val="both"/>
              <w:rPr>
                <w:rFonts w:ascii="Arial Narrow" w:hAnsi="Arial Narrow" w:cs="Arial"/>
                <w:sz w:val="20"/>
                <w:szCs w:val="20"/>
              </w:rPr>
            </w:pPr>
            <w:r>
              <w:rPr>
                <w:rFonts w:ascii="Arial Narrow" w:hAnsi="Arial Narrow" w:cs="Arial"/>
                <w:smallCaps/>
                <w:sz w:val="20"/>
                <w:szCs w:val="20"/>
              </w:rPr>
              <w:t>IPILIMUMAB</w:t>
            </w:r>
          </w:p>
          <w:p w:rsidR="00037B91" w:rsidRDefault="00037B91" w:rsidP="00893042">
            <w:pPr>
              <w:keepNext/>
              <w:keepLines/>
              <w:ind w:left="-108"/>
              <w:jc w:val="both"/>
              <w:rPr>
                <w:rFonts w:ascii="Arial Narrow" w:hAnsi="Arial Narrow" w:cs="Arial"/>
                <w:sz w:val="20"/>
                <w:szCs w:val="20"/>
              </w:rPr>
            </w:pPr>
            <w:r>
              <w:rPr>
                <w:rFonts w:ascii="Arial Narrow" w:hAnsi="Arial Narrow" w:cs="Arial"/>
                <w:sz w:val="20"/>
                <w:szCs w:val="20"/>
              </w:rPr>
              <w:t>50 mg/10 mL injection, 10 mL</w:t>
            </w:r>
          </w:p>
          <w:p w:rsidR="00037B91" w:rsidRPr="00260CE3" w:rsidRDefault="00037B91" w:rsidP="00893042">
            <w:pPr>
              <w:keepNext/>
              <w:keepLines/>
              <w:ind w:left="-108"/>
              <w:jc w:val="both"/>
              <w:rPr>
                <w:rFonts w:ascii="Arial Narrow" w:hAnsi="Arial Narrow" w:cs="Arial"/>
                <w:sz w:val="20"/>
                <w:szCs w:val="20"/>
              </w:rPr>
            </w:pPr>
            <w:r>
              <w:rPr>
                <w:rFonts w:ascii="Arial Narrow" w:hAnsi="Arial Narrow" w:cs="Arial"/>
                <w:sz w:val="20"/>
                <w:szCs w:val="20"/>
              </w:rPr>
              <w:t>200 mg/40 mL injection, 40mL</w:t>
            </w:r>
          </w:p>
        </w:tc>
        <w:tc>
          <w:tcPr>
            <w:tcW w:w="850" w:type="dxa"/>
          </w:tcPr>
          <w:p w:rsidR="00037B91" w:rsidRPr="00260CE3" w:rsidRDefault="00037B91" w:rsidP="00893042">
            <w:pPr>
              <w:keepNext/>
              <w:keepLines/>
              <w:ind w:left="-108"/>
              <w:jc w:val="both"/>
              <w:rPr>
                <w:rFonts w:ascii="Arial Narrow" w:hAnsi="Arial Narrow" w:cs="Arial"/>
                <w:sz w:val="20"/>
                <w:szCs w:val="20"/>
              </w:rPr>
            </w:pPr>
          </w:p>
          <w:p w:rsidR="00037B91" w:rsidRPr="00260CE3" w:rsidRDefault="00037B91" w:rsidP="00893042">
            <w:pPr>
              <w:keepNext/>
              <w:keepLines/>
              <w:ind w:left="-108"/>
              <w:jc w:val="both"/>
              <w:rPr>
                <w:rFonts w:ascii="Arial Narrow" w:hAnsi="Arial Narrow" w:cs="Arial"/>
                <w:sz w:val="20"/>
                <w:szCs w:val="20"/>
              </w:rPr>
            </w:pPr>
            <w:r>
              <w:rPr>
                <w:rFonts w:ascii="Arial Narrow" w:hAnsi="Arial Narrow" w:cs="Arial"/>
                <w:sz w:val="20"/>
                <w:szCs w:val="20"/>
              </w:rPr>
              <w:t>360 mg</w:t>
            </w:r>
          </w:p>
        </w:tc>
        <w:tc>
          <w:tcPr>
            <w:tcW w:w="709" w:type="dxa"/>
          </w:tcPr>
          <w:p w:rsidR="00037B91" w:rsidRPr="00260CE3" w:rsidRDefault="00037B91" w:rsidP="00893042">
            <w:pPr>
              <w:keepNext/>
              <w:keepLines/>
              <w:ind w:left="-108"/>
              <w:jc w:val="both"/>
              <w:rPr>
                <w:rFonts w:ascii="Arial Narrow" w:hAnsi="Arial Narrow" w:cs="Arial"/>
                <w:sz w:val="20"/>
                <w:szCs w:val="20"/>
              </w:rPr>
            </w:pPr>
          </w:p>
          <w:p w:rsidR="00037B91" w:rsidRPr="00260CE3" w:rsidRDefault="00037B91" w:rsidP="00893042">
            <w:pPr>
              <w:keepNext/>
              <w:keepLines/>
              <w:ind w:left="-108"/>
              <w:jc w:val="both"/>
              <w:rPr>
                <w:rFonts w:ascii="Arial Narrow" w:hAnsi="Arial Narrow" w:cs="Arial"/>
                <w:sz w:val="20"/>
                <w:szCs w:val="20"/>
              </w:rPr>
            </w:pPr>
            <w:r>
              <w:rPr>
                <w:rFonts w:ascii="Arial Narrow" w:hAnsi="Arial Narrow" w:cs="Arial"/>
                <w:sz w:val="20"/>
                <w:szCs w:val="20"/>
              </w:rPr>
              <w:t>3</w:t>
            </w:r>
          </w:p>
        </w:tc>
        <w:tc>
          <w:tcPr>
            <w:tcW w:w="1134" w:type="dxa"/>
          </w:tcPr>
          <w:p w:rsidR="00037B91" w:rsidRDefault="00037B91" w:rsidP="00893042">
            <w:pPr>
              <w:keepNext/>
              <w:keepLines/>
              <w:jc w:val="both"/>
              <w:rPr>
                <w:rFonts w:ascii="Arial Narrow" w:hAnsi="Arial Narrow" w:cs="Arial"/>
                <w:sz w:val="20"/>
                <w:szCs w:val="20"/>
              </w:rPr>
            </w:pPr>
          </w:p>
          <w:p w:rsidR="00037B91" w:rsidRPr="00260CE3" w:rsidRDefault="00037B91" w:rsidP="00893042">
            <w:pPr>
              <w:keepNext/>
              <w:keepLines/>
              <w:jc w:val="both"/>
              <w:rPr>
                <w:rFonts w:ascii="Arial Narrow" w:hAnsi="Arial Narrow" w:cs="Arial"/>
                <w:sz w:val="20"/>
                <w:szCs w:val="20"/>
              </w:rPr>
            </w:pPr>
            <w:r>
              <w:rPr>
                <w:rFonts w:ascii="Arial Narrow" w:hAnsi="Arial Narrow" w:cs="Arial"/>
                <w:sz w:val="20"/>
                <w:szCs w:val="20"/>
              </w:rPr>
              <w:t>Yervoy</w:t>
            </w:r>
            <w:r w:rsidRPr="002A607B">
              <w:rPr>
                <w:rFonts w:ascii="Arial Narrow" w:hAnsi="Arial Narrow" w:cs="Arial"/>
                <w:sz w:val="20"/>
                <w:szCs w:val="20"/>
                <w:vertAlign w:val="superscript"/>
              </w:rPr>
              <w:t>®</w:t>
            </w:r>
          </w:p>
        </w:tc>
        <w:tc>
          <w:tcPr>
            <w:tcW w:w="1134" w:type="dxa"/>
          </w:tcPr>
          <w:p w:rsidR="00037B91" w:rsidRDefault="00037B91" w:rsidP="00893042">
            <w:pPr>
              <w:keepNext/>
              <w:keepLines/>
              <w:jc w:val="both"/>
              <w:rPr>
                <w:rFonts w:ascii="Arial Narrow" w:hAnsi="Arial Narrow" w:cs="Arial"/>
                <w:sz w:val="20"/>
                <w:szCs w:val="20"/>
              </w:rPr>
            </w:pPr>
          </w:p>
          <w:p w:rsidR="00037B91" w:rsidRPr="00260CE3" w:rsidRDefault="00037B91" w:rsidP="00893042">
            <w:pPr>
              <w:keepNext/>
              <w:keepLines/>
              <w:jc w:val="both"/>
              <w:rPr>
                <w:rFonts w:ascii="Arial Narrow" w:hAnsi="Arial Narrow" w:cs="Arial"/>
                <w:sz w:val="20"/>
                <w:szCs w:val="20"/>
              </w:rPr>
            </w:pPr>
            <w:r>
              <w:rPr>
                <w:rFonts w:ascii="Arial Narrow" w:hAnsi="Arial Narrow" w:cs="Arial"/>
                <w:sz w:val="20"/>
                <w:szCs w:val="20"/>
              </w:rPr>
              <w:t>BQ</w:t>
            </w:r>
          </w:p>
        </w:tc>
      </w:tr>
      <w:tr w:rsidR="00037B91" w:rsidRPr="00260CE3" w:rsidTr="00132D49">
        <w:trPr>
          <w:cantSplit/>
          <w:trHeight w:val="360"/>
        </w:trPr>
        <w:tc>
          <w:tcPr>
            <w:tcW w:w="8363" w:type="dxa"/>
            <w:gridSpan w:val="7"/>
            <w:tcBorders>
              <w:bottom w:val="single" w:sz="4" w:space="0" w:color="auto"/>
            </w:tcBorders>
          </w:tcPr>
          <w:p w:rsidR="00037B91" w:rsidRPr="00260CE3" w:rsidRDefault="00037B91" w:rsidP="00893042">
            <w:pPr>
              <w:keepNext/>
              <w:keepLines/>
              <w:jc w:val="both"/>
              <w:rPr>
                <w:rFonts w:ascii="Arial Narrow" w:hAnsi="Arial Narrow" w:cs="Arial"/>
                <w:sz w:val="20"/>
                <w:szCs w:val="20"/>
              </w:rPr>
            </w:pP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 xml:space="preserve">Efficient funding of chemotherapy (Public and Private) </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37B91" w:rsidRPr="00260CE3" w:rsidRDefault="00037B91" w:rsidP="00893042">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rPr>
                <w:rFonts w:ascii="Arial Narrow" w:hAnsi="Arial Narrow" w:cs="Arial"/>
                <w:sz w:val="20"/>
                <w:szCs w:val="20"/>
              </w:rPr>
            </w:pPr>
            <w:r>
              <w:rPr>
                <w:rFonts w:ascii="Arial Narrow" w:hAnsi="Arial Narrow" w:cs="Arial"/>
                <w:sz w:val="20"/>
                <w:szCs w:val="20"/>
              </w:rPr>
              <w:t>Unresectable Stage III or Stage IV malignant melanoma</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A607B" w:rsidRDefault="00037B91" w:rsidP="00893042">
            <w:pPr>
              <w:keepNext/>
              <w:keepLines/>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rPr>
                <w:rFonts w:ascii="Arial Narrow" w:hAnsi="Arial Narrow" w:cs="Arial"/>
                <w:sz w:val="20"/>
                <w:szCs w:val="20"/>
              </w:rPr>
            </w:pPr>
            <w:r>
              <w:rPr>
                <w:rFonts w:ascii="Arial Narrow" w:hAnsi="Arial Narrow" w:cs="Arial"/>
                <w:sz w:val="20"/>
                <w:szCs w:val="20"/>
              </w:rPr>
              <w:t>Re-induction treatment</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037B91" w:rsidRPr="00260CE3"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260CE3" w:rsidRDefault="00037B91" w:rsidP="00893042">
            <w:pPr>
              <w:keepNext/>
              <w:keepLines/>
              <w:jc w:val="both"/>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037B91" w:rsidRDefault="00037B91" w:rsidP="00893042">
            <w:pPr>
              <w:keepNext/>
              <w:keepLines/>
              <w:rPr>
                <w:rFonts w:ascii="Arial Narrow" w:hAnsi="Arial Narrow" w:cs="Arial"/>
                <w:strike/>
                <w:sz w:val="20"/>
                <w:szCs w:val="20"/>
              </w:rPr>
            </w:pPr>
            <w:r w:rsidRPr="009905A6">
              <w:rPr>
                <w:rFonts w:ascii="Arial Narrow" w:hAnsi="Arial Narrow" w:cs="Arial"/>
                <w:strike/>
                <w:sz w:val="20"/>
                <w:szCs w:val="20"/>
              </w:rPr>
              <w:t xml:space="preserve">The treatment must be as monotherapy; </w:t>
            </w:r>
          </w:p>
          <w:p w:rsidR="00037B91" w:rsidRPr="009905A6" w:rsidRDefault="00037B91" w:rsidP="00893042">
            <w:pPr>
              <w:keepNext/>
              <w:keepLines/>
              <w:rPr>
                <w:rFonts w:ascii="Arial Narrow" w:hAnsi="Arial Narrow" w:cs="Arial"/>
                <w:i/>
                <w:sz w:val="20"/>
                <w:szCs w:val="20"/>
              </w:rPr>
            </w:pPr>
            <w:r>
              <w:rPr>
                <w:rFonts w:ascii="Arial Narrow" w:hAnsi="Arial Narrow" w:cs="Arial"/>
                <w:i/>
                <w:sz w:val="20"/>
                <w:szCs w:val="20"/>
              </w:rPr>
              <w:t>The treatment must be the sole PBS-subsidised therapy for this condition;</w:t>
            </w:r>
          </w:p>
          <w:p w:rsidR="00037B91" w:rsidRDefault="00037B91" w:rsidP="00893042">
            <w:pPr>
              <w:keepNext/>
              <w:keepLines/>
              <w:rPr>
                <w:rFonts w:ascii="Arial Narrow" w:hAnsi="Arial Narrow" w:cs="Arial"/>
                <w:sz w:val="20"/>
                <w:szCs w:val="20"/>
              </w:rPr>
            </w:pPr>
          </w:p>
          <w:p w:rsidR="00037B91" w:rsidRDefault="00037B91" w:rsidP="00893042">
            <w:pPr>
              <w:keepNext/>
              <w:keepLines/>
              <w:rPr>
                <w:rFonts w:ascii="Arial Narrow" w:hAnsi="Arial Narrow" w:cs="Arial"/>
                <w:sz w:val="20"/>
                <w:szCs w:val="20"/>
              </w:rPr>
            </w:pPr>
            <w:r>
              <w:rPr>
                <w:rFonts w:ascii="Arial Narrow" w:hAnsi="Arial Narrow" w:cs="Arial"/>
                <w:sz w:val="20"/>
                <w:szCs w:val="20"/>
              </w:rPr>
              <w:t>AND</w:t>
            </w:r>
          </w:p>
          <w:p w:rsidR="00037B91" w:rsidRDefault="00037B91" w:rsidP="00893042">
            <w:pPr>
              <w:keepNext/>
              <w:keepLines/>
              <w:rPr>
                <w:rFonts w:ascii="Arial Narrow" w:hAnsi="Arial Narrow" w:cs="Arial"/>
                <w:sz w:val="20"/>
                <w:szCs w:val="20"/>
              </w:rPr>
            </w:pPr>
          </w:p>
          <w:p w:rsidR="00037B91" w:rsidRDefault="00037B91" w:rsidP="00893042">
            <w:pPr>
              <w:keepNext/>
              <w:keepLines/>
              <w:rPr>
                <w:rFonts w:ascii="Arial Narrow" w:hAnsi="Arial Narrow" w:cs="Arial"/>
                <w:sz w:val="20"/>
                <w:szCs w:val="20"/>
              </w:rPr>
            </w:pPr>
            <w:r>
              <w:rPr>
                <w:rFonts w:ascii="Arial Narrow" w:hAnsi="Arial Narrow" w:cs="Arial"/>
                <w:sz w:val="20"/>
                <w:szCs w:val="20"/>
              </w:rPr>
              <w:t xml:space="preserve">Patient must have progressive disease after achieving an initial objective response to the most recent course of ipilimumab treatment (induction or re-induction) </w:t>
            </w:r>
          </w:p>
          <w:p w:rsidR="00037B91" w:rsidRDefault="00037B91" w:rsidP="00893042">
            <w:pPr>
              <w:keepNext/>
              <w:keepLines/>
              <w:rPr>
                <w:rFonts w:ascii="Arial Narrow" w:hAnsi="Arial Narrow" w:cs="Arial"/>
                <w:sz w:val="20"/>
                <w:szCs w:val="20"/>
              </w:rPr>
            </w:pPr>
          </w:p>
          <w:p w:rsidR="00037B91" w:rsidRDefault="00037B91" w:rsidP="00893042">
            <w:pPr>
              <w:keepNext/>
              <w:keepLines/>
              <w:rPr>
                <w:rFonts w:ascii="Arial Narrow" w:hAnsi="Arial Narrow" w:cs="Arial"/>
                <w:sz w:val="20"/>
                <w:szCs w:val="20"/>
              </w:rPr>
            </w:pPr>
            <w:r>
              <w:rPr>
                <w:rFonts w:ascii="Arial Narrow" w:hAnsi="Arial Narrow" w:cs="Arial"/>
                <w:sz w:val="20"/>
                <w:szCs w:val="20"/>
              </w:rPr>
              <w:t xml:space="preserve">AND </w:t>
            </w:r>
          </w:p>
          <w:p w:rsidR="00037B91" w:rsidRDefault="00037B91" w:rsidP="00893042">
            <w:pPr>
              <w:keepNext/>
              <w:keepLines/>
              <w:rPr>
                <w:rFonts w:ascii="Arial Narrow" w:hAnsi="Arial Narrow" w:cs="Arial"/>
                <w:sz w:val="20"/>
                <w:szCs w:val="20"/>
              </w:rPr>
            </w:pPr>
          </w:p>
          <w:p w:rsidR="00037B91" w:rsidRPr="00260CE3" w:rsidRDefault="00037B91" w:rsidP="00893042">
            <w:pPr>
              <w:keepNext/>
              <w:keepLines/>
              <w:rPr>
                <w:rFonts w:ascii="Arial Narrow" w:hAnsi="Arial Narrow" w:cs="Arial"/>
                <w:sz w:val="20"/>
                <w:szCs w:val="20"/>
              </w:rPr>
            </w:pPr>
            <w:r>
              <w:rPr>
                <w:rFonts w:ascii="Arial Narrow" w:hAnsi="Arial Narrow" w:cs="Arial"/>
                <w:sz w:val="20"/>
                <w:szCs w:val="20"/>
              </w:rPr>
              <w:t xml:space="preserve">The treatment must not exceed a total of 4 doses at a maximum dose of 3 mg per kg every 3 weeks. </w:t>
            </w:r>
          </w:p>
        </w:tc>
      </w:tr>
    </w:tbl>
    <w:p w:rsidR="00037B91" w:rsidRDefault="00037B91" w:rsidP="00AE3E00">
      <w:pPr>
        <w:widowControl w:val="0"/>
        <w:jc w:val="both"/>
        <w:rPr>
          <w:rFonts w:ascii="Arial" w:hAnsi="Arial" w:cs="Arial"/>
          <w:bCs/>
          <w:snapToGrid w:val="0"/>
          <w:sz w:val="22"/>
          <w:szCs w:val="20"/>
          <w:highlight w:val="yellow"/>
        </w:rPr>
      </w:pPr>
    </w:p>
    <w:p w:rsidR="00AE3E00" w:rsidRPr="00963C51" w:rsidRDefault="00AE3E00" w:rsidP="00893042">
      <w:pPr>
        <w:keepNext/>
        <w:keepLines/>
        <w:widowControl w:val="0"/>
        <w:jc w:val="both"/>
        <w:rPr>
          <w:rFonts w:ascii="Arial" w:hAnsi="Arial" w:cs="Arial"/>
          <w:bCs/>
          <w:snapToGrid w:val="0"/>
          <w:sz w:val="22"/>
          <w:szCs w:val="20"/>
        </w:rPr>
      </w:pPr>
      <w:r w:rsidRPr="00963C51">
        <w:rPr>
          <w:rFonts w:ascii="Arial" w:hAnsi="Arial" w:cs="Arial"/>
          <w:bCs/>
          <w:snapToGrid w:val="0"/>
          <w:sz w:val="22"/>
          <w:szCs w:val="20"/>
        </w:rPr>
        <w:t>Delete:</w:t>
      </w:r>
    </w:p>
    <w:p w:rsidR="00037B91" w:rsidRDefault="00037B91" w:rsidP="00893042">
      <w:pPr>
        <w:keepNext/>
        <w:keepLines/>
        <w:widowControl w:val="0"/>
        <w:jc w:val="both"/>
        <w:rPr>
          <w:rFonts w:ascii="Arial" w:hAnsi="Arial" w:cs="Arial"/>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037B91" w:rsidRPr="0006534F" w:rsidTr="00893042">
        <w:trPr>
          <w:cantSplit/>
          <w:trHeight w:val="471"/>
          <w:tblHeader/>
        </w:trPr>
        <w:tc>
          <w:tcPr>
            <w:tcW w:w="3119" w:type="dxa"/>
            <w:gridSpan w:val="2"/>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Name, Restriction,</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Manner of administration and form</w:t>
            </w:r>
          </w:p>
        </w:tc>
        <w:tc>
          <w:tcPr>
            <w:tcW w:w="850"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Max.</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Amount</w:t>
            </w:r>
          </w:p>
        </w:tc>
        <w:tc>
          <w:tcPr>
            <w:tcW w:w="709"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№.of</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Rpts</w:t>
            </w:r>
          </w:p>
        </w:tc>
        <w:tc>
          <w:tcPr>
            <w:tcW w:w="1417"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Dispensed Price for Max. Amount</w:t>
            </w:r>
          </w:p>
        </w:tc>
        <w:tc>
          <w:tcPr>
            <w:tcW w:w="2268" w:type="dxa"/>
            <w:gridSpan w:val="2"/>
            <w:tcBorders>
              <w:bottom w:val="single" w:sz="4" w:space="0" w:color="auto"/>
            </w:tcBorders>
          </w:tcPr>
          <w:p w:rsidR="00037B91" w:rsidRPr="0006534F" w:rsidRDefault="00037B91" w:rsidP="00893042">
            <w:pPr>
              <w:keepNext/>
              <w:keepLines/>
              <w:jc w:val="both"/>
              <w:rPr>
                <w:rFonts w:ascii="Arial Narrow" w:hAnsi="Arial Narrow" w:cs="Arial"/>
                <w:b/>
                <w:sz w:val="20"/>
                <w:szCs w:val="20"/>
                <w:lang w:val="fr-FR"/>
              </w:rPr>
            </w:pPr>
            <w:r w:rsidRPr="0006534F">
              <w:rPr>
                <w:rFonts w:ascii="Arial Narrow" w:hAnsi="Arial Narrow" w:cs="Arial"/>
                <w:b/>
                <w:sz w:val="20"/>
                <w:szCs w:val="20"/>
              </w:rPr>
              <w:t>Proprietary Name and Manufacturer</w:t>
            </w:r>
          </w:p>
        </w:tc>
      </w:tr>
      <w:tr w:rsidR="00037B91" w:rsidRPr="0006534F" w:rsidTr="00132D49">
        <w:trPr>
          <w:cantSplit/>
          <w:trHeight w:val="577"/>
        </w:trPr>
        <w:tc>
          <w:tcPr>
            <w:tcW w:w="3119" w:type="dxa"/>
            <w:gridSpan w:val="2"/>
          </w:tcPr>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mallCaps/>
                <w:sz w:val="20"/>
                <w:szCs w:val="20"/>
              </w:rPr>
              <w:t>IPILIMUMAB</w:t>
            </w: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50 mg/10 mL injection, 10 mL</w:t>
            </w: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200 mg/40 mL injection, 40 mL</w:t>
            </w:r>
          </w:p>
        </w:tc>
        <w:tc>
          <w:tcPr>
            <w:tcW w:w="850"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360 mg</w:t>
            </w:r>
          </w:p>
        </w:tc>
        <w:tc>
          <w:tcPr>
            <w:tcW w:w="709"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2</w:t>
            </w:r>
          </w:p>
        </w:tc>
        <w:tc>
          <w:tcPr>
            <w:tcW w:w="1417"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$48159.70</w:t>
            </w:r>
          </w:p>
        </w:tc>
        <w:tc>
          <w:tcPr>
            <w:tcW w:w="1134" w:type="dxa"/>
          </w:tcPr>
          <w:p w:rsidR="00037B91" w:rsidRPr="0006534F" w:rsidRDefault="00037B91" w:rsidP="00893042">
            <w:pPr>
              <w:keepNext/>
              <w:keepLines/>
              <w:jc w:val="both"/>
              <w:rPr>
                <w:rFonts w:ascii="Arial Narrow" w:hAnsi="Arial Narrow" w:cs="Arial"/>
                <w:sz w:val="20"/>
                <w:szCs w:val="20"/>
              </w:rPr>
            </w:pPr>
          </w:p>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sz w:val="20"/>
                <w:szCs w:val="20"/>
              </w:rPr>
              <w:t>Yervoy</w:t>
            </w:r>
            <w:r w:rsidRPr="0006534F">
              <w:rPr>
                <w:rFonts w:ascii="Arial Narrow" w:hAnsi="Arial Narrow" w:cs="Arial"/>
                <w:sz w:val="20"/>
                <w:szCs w:val="20"/>
                <w:vertAlign w:val="superscript"/>
              </w:rPr>
              <w:t>®</w:t>
            </w:r>
          </w:p>
        </w:tc>
        <w:tc>
          <w:tcPr>
            <w:tcW w:w="1134" w:type="dxa"/>
          </w:tcPr>
          <w:p w:rsidR="00037B91" w:rsidRPr="0006534F" w:rsidRDefault="00037B91" w:rsidP="00893042">
            <w:pPr>
              <w:keepNext/>
              <w:keepLines/>
              <w:jc w:val="both"/>
              <w:rPr>
                <w:rFonts w:ascii="Arial Narrow" w:hAnsi="Arial Narrow" w:cs="Arial"/>
                <w:sz w:val="20"/>
                <w:szCs w:val="20"/>
              </w:rPr>
            </w:pPr>
          </w:p>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sz w:val="20"/>
                <w:szCs w:val="20"/>
              </w:rPr>
              <w:t>BQ</w:t>
            </w:r>
          </w:p>
        </w:tc>
      </w:tr>
      <w:tr w:rsidR="00037B91" w:rsidRPr="0006534F" w:rsidTr="00132D49">
        <w:trPr>
          <w:cantSplit/>
          <w:trHeight w:val="360"/>
        </w:trPr>
        <w:tc>
          <w:tcPr>
            <w:tcW w:w="8363" w:type="dxa"/>
            <w:gridSpan w:val="7"/>
            <w:tcBorders>
              <w:bottom w:val="single" w:sz="4" w:space="0" w:color="auto"/>
            </w:tcBorders>
          </w:tcPr>
          <w:p w:rsidR="00037B91" w:rsidRPr="0006534F" w:rsidRDefault="00037B91" w:rsidP="00893042">
            <w:pPr>
              <w:keepNext/>
              <w:keepLines/>
              <w:jc w:val="both"/>
              <w:rPr>
                <w:rFonts w:ascii="Arial Narrow" w:hAnsi="Arial Narrow" w:cs="Arial"/>
                <w:sz w:val="20"/>
                <w:szCs w:val="20"/>
              </w:rPr>
            </w:pP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Section 100 – Efficient funding of chemotherapy (Public and Private) </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1"/>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Dental  </w:t>
            </w:r>
            <w:r w:rsidRPr="0006534F">
              <w:rPr>
                <w:rFonts w:ascii="Arial Narrow" w:hAnsi="Arial Narrow" w:cs="Arial"/>
                <w:sz w:val="20"/>
                <w:szCs w:val="20"/>
              </w:rPr>
              <w:fldChar w:fldCharType="begin">
                <w:ffData>
                  <w:name w:val=""/>
                  <w:enabled/>
                  <w:calcOnExit w:val="0"/>
                  <w:checkBox>
                    <w:sizeAuto/>
                    <w:default w:val="1"/>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Medical Practitioners  </w:t>
            </w:r>
            <w:r w:rsidRPr="0006534F">
              <w:rPr>
                <w:rFonts w:ascii="Arial Narrow" w:hAnsi="Arial Narrow" w:cs="Arial"/>
                <w:sz w:val="20"/>
                <w:szCs w:val="20"/>
              </w:rPr>
              <w:fldChar w:fldCharType="begin">
                <w:ffData>
                  <w:name w:val="Check3"/>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Nurse practitioners  </w:t>
            </w:r>
            <w:r w:rsidRPr="0006534F">
              <w:rPr>
                <w:rFonts w:ascii="Arial Narrow" w:hAnsi="Arial Narrow" w:cs="Arial"/>
                <w:sz w:val="20"/>
                <w:szCs w:val="20"/>
              </w:rPr>
              <w:fldChar w:fldCharType="begin">
                <w:ffData>
                  <w:name w:val=""/>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Optometrists</w:t>
            </w: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5"/>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Midwives</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Unresectable Stage III or Stage IV malignant melanoma</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Completion of induction treatment </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b/>
                <w:sz w:val="20"/>
                <w:szCs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5"/>
                  <w:enabled/>
                  <w:calcOnExit w:val="0"/>
                  <w:checkBox>
                    <w:sizeAuto/>
                    <w:default w:val="1"/>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Streamlined</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be as monotherapy;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AND</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be for completion of induction treatment in a patient who commenced induction treatment with ipilimumab prior to 1 August 2013.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AND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not exceed a total of 4 doses (combined PBS-subsidised and non-PBS subsidised) at a maximum dose of 3 mg per kg every 3 weeks. </w:t>
            </w:r>
          </w:p>
        </w:tc>
      </w:tr>
    </w:tbl>
    <w:p w:rsidR="00037B91" w:rsidRPr="0006534F" w:rsidRDefault="00037B91" w:rsidP="00037B91">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417"/>
        <w:gridCol w:w="1134"/>
        <w:gridCol w:w="1134"/>
      </w:tblGrid>
      <w:tr w:rsidR="00037B91" w:rsidRPr="0006534F" w:rsidTr="00893042">
        <w:trPr>
          <w:cantSplit/>
          <w:trHeight w:val="471"/>
          <w:tblHeader/>
        </w:trPr>
        <w:tc>
          <w:tcPr>
            <w:tcW w:w="3119" w:type="dxa"/>
            <w:gridSpan w:val="2"/>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Name, Restriction,</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Manner of administration and form</w:t>
            </w:r>
          </w:p>
        </w:tc>
        <w:tc>
          <w:tcPr>
            <w:tcW w:w="850"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Max.</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Amount</w:t>
            </w:r>
          </w:p>
        </w:tc>
        <w:tc>
          <w:tcPr>
            <w:tcW w:w="709"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№.of</w:t>
            </w:r>
          </w:p>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Rpts</w:t>
            </w:r>
          </w:p>
        </w:tc>
        <w:tc>
          <w:tcPr>
            <w:tcW w:w="1417" w:type="dxa"/>
            <w:tcBorders>
              <w:bottom w:val="single" w:sz="4" w:space="0" w:color="auto"/>
            </w:tcBorders>
          </w:tcPr>
          <w:p w:rsidR="00037B91" w:rsidRPr="0006534F" w:rsidRDefault="00037B91" w:rsidP="00893042">
            <w:pPr>
              <w:keepNext/>
              <w:keepLines/>
              <w:ind w:left="-108"/>
              <w:jc w:val="both"/>
              <w:rPr>
                <w:rFonts w:ascii="Arial Narrow" w:hAnsi="Arial Narrow" w:cs="Arial"/>
                <w:b/>
                <w:sz w:val="20"/>
                <w:szCs w:val="20"/>
              </w:rPr>
            </w:pPr>
            <w:r w:rsidRPr="0006534F">
              <w:rPr>
                <w:rFonts w:ascii="Arial Narrow" w:hAnsi="Arial Narrow" w:cs="Arial"/>
                <w:b/>
                <w:sz w:val="20"/>
                <w:szCs w:val="20"/>
              </w:rPr>
              <w:t>Dispensed Price for Max. Amount</w:t>
            </w:r>
          </w:p>
        </w:tc>
        <w:tc>
          <w:tcPr>
            <w:tcW w:w="2268" w:type="dxa"/>
            <w:gridSpan w:val="2"/>
            <w:tcBorders>
              <w:bottom w:val="single" w:sz="4" w:space="0" w:color="auto"/>
            </w:tcBorders>
          </w:tcPr>
          <w:p w:rsidR="00037B91" w:rsidRPr="0006534F" w:rsidRDefault="00037B91" w:rsidP="00893042">
            <w:pPr>
              <w:keepNext/>
              <w:keepLines/>
              <w:jc w:val="both"/>
              <w:rPr>
                <w:rFonts w:ascii="Arial Narrow" w:hAnsi="Arial Narrow" w:cs="Arial"/>
                <w:b/>
                <w:sz w:val="20"/>
                <w:szCs w:val="20"/>
                <w:lang w:val="fr-FR"/>
              </w:rPr>
            </w:pPr>
            <w:r w:rsidRPr="0006534F">
              <w:rPr>
                <w:rFonts w:ascii="Arial Narrow" w:hAnsi="Arial Narrow" w:cs="Arial"/>
                <w:b/>
                <w:sz w:val="20"/>
                <w:szCs w:val="20"/>
              </w:rPr>
              <w:t>Proprietary Name and Manufacturer</w:t>
            </w:r>
          </w:p>
        </w:tc>
      </w:tr>
      <w:tr w:rsidR="00037B91" w:rsidRPr="0006534F" w:rsidTr="00132D49">
        <w:trPr>
          <w:cantSplit/>
          <w:trHeight w:val="577"/>
        </w:trPr>
        <w:tc>
          <w:tcPr>
            <w:tcW w:w="3119" w:type="dxa"/>
            <w:gridSpan w:val="2"/>
          </w:tcPr>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mallCaps/>
                <w:sz w:val="20"/>
                <w:szCs w:val="20"/>
              </w:rPr>
              <w:t>IPILIMUMAB</w:t>
            </w: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50 mg/10 mL injection, 10 mL</w:t>
            </w: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200 mg/40 mL injection, 40 mL</w:t>
            </w:r>
          </w:p>
        </w:tc>
        <w:tc>
          <w:tcPr>
            <w:tcW w:w="850"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360 mg</w:t>
            </w:r>
          </w:p>
        </w:tc>
        <w:tc>
          <w:tcPr>
            <w:tcW w:w="709"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2</w:t>
            </w:r>
          </w:p>
        </w:tc>
        <w:tc>
          <w:tcPr>
            <w:tcW w:w="1417" w:type="dxa"/>
          </w:tcPr>
          <w:p w:rsidR="00037B91" w:rsidRPr="0006534F" w:rsidRDefault="00037B91" w:rsidP="00893042">
            <w:pPr>
              <w:keepNext/>
              <w:keepLines/>
              <w:ind w:left="-108"/>
              <w:jc w:val="both"/>
              <w:rPr>
                <w:rFonts w:ascii="Arial Narrow" w:hAnsi="Arial Narrow" w:cs="Arial"/>
                <w:sz w:val="20"/>
                <w:szCs w:val="20"/>
              </w:rPr>
            </w:pPr>
          </w:p>
          <w:p w:rsidR="00037B91" w:rsidRPr="0006534F" w:rsidRDefault="00037B91" w:rsidP="00893042">
            <w:pPr>
              <w:keepNext/>
              <w:keepLines/>
              <w:ind w:left="-108"/>
              <w:jc w:val="both"/>
              <w:rPr>
                <w:rFonts w:ascii="Arial Narrow" w:hAnsi="Arial Narrow" w:cs="Arial"/>
                <w:sz w:val="20"/>
                <w:szCs w:val="20"/>
              </w:rPr>
            </w:pPr>
            <w:r w:rsidRPr="0006534F">
              <w:rPr>
                <w:rFonts w:ascii="Arial Narrow" w:hAnsi="Arial Narrow" w:cs="Arial"/>
                <w:sz w:val="20"/>
                <w:szCs w:val="20"/>
              </w:rPr>
              <w:t>$48159.70</w:t>
            </w:r>
          </w:p>
        </w:tc>
        <w:tc>
          <w:tcPr>
            <w:tcW w:w="1134" w:type="dxa"/>
          </w:tcPr>
          <w:p w:rsidR="00037B91" w:rsidRPr="0006534F" w:rsidRDefault="00037B91" w:rsidP="00893042">
            <w:pPr>
              <w:keepNext/>
              <w:keepLines/>
              <w:jc w:val="both"/>
              <w:rPr>
                <w:rFonts w:ascii="Arial Narrow" w:hAnsi="Arial Narrow" w:cs="Arial"/>
                <w:sz w:val="20"/>
                <w:szCs w:val="20"/>
              </w:rPr>
            </w:pPr>
          </w:p>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sz w:val="20"/>
                <w:szCs w:val="20"/>
              </w:rPr>
              <w:t>Yervoy</w:t>
            </w:r>
            <w:r w:rsidRPr="0006534F">
              <w:rPr>
                <w:rFonts w:ascii="Arial Narrow" w:hAnsi="Arial Narrow" w:cs="Arial"/>
                <w:sz w:val="20"/>
                <w:szCs w:val="20"/>
                <w:vertAlign w:val="superscript"/>
              </w:rPr>
              <w:t>®</w:t>
            </w:r>
          </w:p>
        </w:tc>
        <w:tc>
          <w:tcPr>
            <w:tcW w:w="1134" w:type="dxa"/>
          </w:tcPr>
          <w:p w:rsidR="00037B91" w:rsidRPr="0006534F" w:rsidRDefault="00037B91" w:rsidP="00893042">
            <w:pPr>
              <w:keepNext/>
              <w:keepLines/>
              <w:jc w:val="both"/>
              <w:rPr>
                <w:rFonts w:ascii="Arial Narrow" w:hAnsi="Arial Narrow" w:cs="Arial"/>
                <w:sz w:val="20"/>
                <w:szCs w:val="20"/>
              </w:rPr>
            </w:pPr>
          </w:p>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sz w:val="20"/>
                <w:szCs w:val="20"/>
              </w:rPr>
              <w:t>BQ</w:t>
            </w:r>
          </w:p>
        </w:tc>
      </w:tr>
      <w:tr w:rsidR="00037B91" w:rsidRPr="0006534F" w:rsidTr="00132D49">
        <w:trPr>
          <w:cantSplit/>
          <w:trHeight w:val="360"/>
        </w:trPr>
        <w:tc>
          <w:tcPr>
            <w:tcW w:w="8363" w:type="dxa"/>
            <w:gridSpan w:val="7"/>
            <w:tcBorders>
              <w:bottom w:val="single" w:sz="4" w:space="0" w:color="auto"/>
            </w:tcBorders>
          </w:tcPr>
          <w:p w:rsidR="00037B91" w:rsidRPr="0006534F" w:rsidRDefault="00037B91" w:rsidP="00893042">
            <w:pPr>
              <w:keepNext/>
              <w:keepLines/>
              <w:jc w:val="both"/>
              <w:rPr>
                <w:rFonts w:ascii="Arial Narrow" w:hAnsi="Arial Narrow" w:cs="Arial"/>
                <w:sz w:val="20"/>
                <w:szCs w:val="20"/>
              </w:rPr>
            </w:pP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Section 100 – Efficient funding of chemotherapy (Public and Private) </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1"/>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Dental  </w:t>
            </w:r>
            <w:r w:rsidRPr="0006534F">
              <w:rPr>
                <w:rFonts w:ascii="Arial Narrow" w:hAnsi="Arial Narrow" w:cs="Arial"/>
                <w:sz w:val="20"/>
                <w:szCs w:val="20"/>
              </w:rPr>
              <w:fldChar w:fldCharType="begin">
                <w:ffData>
                  <w:name w:val=""/>
                  <w:enabled/>
                  <w:calcOnExit w:val="0"/>
                  <w:checkBox>
                    <w:sizeAuto/>
                    <w:default w:val="1"/>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Medical Practitioners  </w:t>
            </w:r>
            <w:r w:rsidRPr="0006534F">
              <w:rPr>
                <w:rFonts w:ascii="Arial Narrow" w:hAnsi="Arial Narrow" w:cs="Arial"/>
                <w:sz w:val="20"/>
                <w:szCs w:val="20"/>
              </w:rPr>
              <w:fldChar w:fldCharType="begin">
                <w:ffData>
                  <w:name w:val="Check3"/>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 xml:space="preserve">Nurse practitioners  </w:t>
            </w:r>
            <w:r w:rsidRPr="0006534F">
              <w:rPr>
                <w:rFonts w:ascii="Arial Narrow" w:hAnsi="Arial Narrow" w:cs="Arial"/>
                <w:sz w:val="20"/>
                <w:szCs w:val="20"/>
              </w:rPr>
              <w:fldChar w:fldCharType="begin">
                <w:ffData>
                  <w:name w:val=""/>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Optometrists</w:t>
            </w: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5"/>
                  <w:enabled/>
                  <w:calcOnExit w:val="0"/>
                  <w:checkBox>
                    <w:sizeAuto/>
                    <w:default w:val="0"/>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Midwives</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Unresectable Stage III or Stage IV malignant melanoma</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b/>
                <w:sz w:val="20"/>
                <w:szCs w:val="20"/>
              </w:rPr>
            </w:pPr>
            <w:r w:rsidRPr="0006534F">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Completion of re-induction treatment </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b/>
                <w:sz w:val="20"/>
                <w:szCs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fldChar w:fldCharType="begin">
                <w:ffData>
                  <w:name w:val="Check5"/>
                  <w:enabled/>
                  <w:calcOnExit w:val="0"/>
                  <w:checkBox>
                    <w:sizeAuto/>
                    <w:default w:val="1"/>
                  </w:checkBox>
                </w:ffData>
              </w:fldChar>
            </w:r>
            <w:r w:rsidRPr="0006534F">
              <w:rPr>
                <w:rFonts w:ascii="Arial Narrow" w:hAnsi="Arial Narrow" w:cs="Arial"/>
                <w:sz w:val="20"/>
                <w:szCs w:val="20"/>
              </w:rPr>
              <w:instrText xml:space="preserve"> FORMCHECKBOX </w:instrText>
            </w:r>
            <w:r w:rsidR="00FC32F6">
              <w:rPr>
                <w:rFonts w:ascii="Arial Narrow" w:hAnsi="Arial Narrow" w:cs="Arial"/>
                <w:sz w:val="20"/>
                <w:szCs w:val="20"/>
              </w:rPr>
            </w:r>
            <w:r w:rsidR="00FC32F6">
              <w:rPr>
                <w:rFonts w:ascii="Arial Narrow" w:hAnsi="Arial Narrow" w:cs="Arial"/>
                <w:sz w:val="20"/>
                <w:szCs w:val="20"/>
              </w:rPr>
              <w:fldChar w:fldCharType="separate"/>
            </w:r>
            <w:r w:rsidRPr="0006534F">
              <w:rPr>
                <w:rFonts w:ascii="Arial Narrow" w:hAnsi="Arial Narrow" w:cs="Arial"/>
                <w:sz w:val="20"/>
                <w:szCs w:val="20"/>
              </w:rPr>
              <w:fldChar w:fldCharType="end"/>
            </w:r>
            <w:r w:rsidRPr="0006534F">
              <w:rPr>
                <w:rFonts w:ascii="Arial Narrow" w:hAnsi="Arial Narrow" w:cs="Arial"/>
                <w:sz w:val="20"/>
                <w:szCs w:val="20"/>
              </w:rPr>
              <w:t>Streamlined</w:t>
            </w:r>
          </w:p>
        </w:tc>
      </w:tr>
      <w:tr w:rsidR="00037B91" w:rsidRPr="0006534F" w:rsidTr="00132D49">
        <w:trPr>
          <w:cantSplit/>
          <w:trHeight w:val="360"/>
        </w:trPr>
        <w:tc>
          <w:tcPr>
            <w:tcW w:w="1985" w:type="dxa"/>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jc w:val="both"/>
              <w:rPr>
                <w:rFonts w:ascii="Arial Narrow" w:hAnsi="Arial Narrow" w:cs="Arial"/>
                <w:sz w:val="20"/>
                <w:szCs w:val="20"/>
              </w:rPr>
            </w:pPr>
            <w:r w:rsidRPr="0006534F">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be as monotherapy;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AND</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Patient must have progressive disease after achieving an initial objective response to the most recent course of ipilimumab treatment (induction or re-induction);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AND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be for completion of re-induction treatment in a patient who commenced re-induction treatment with ipilimumab prior to 1 August 2013;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AND </w:t>
            </w:r>
          </w:p>
          <w:p w:rsidR="00037B91" w:rsidRPr="0006534F" w:rsidRDefault="00037B91" w:rsidP="00893042">
            <w:pPr>
              <w:keepNext/>
              <w:keepLines/>
              <w:rPr>
                <w:rFonts w:ascii="Arial Narrow" w:hAnsi="Arial Narrow" w:cs="Arial"/>
                <w:sz w:val="20"/>
                <w:szCs w:val="20"/>
              </w:rPr>
            </w:pPr>
          </w:p>
          <w:p w:rsidR="00037B91" w:rsidRPr="0006534F" w:rsidRDefault="00037B91" w:rsidP="00893042">
            <w:pPr>
              <w:keepNext/>
              <w:keepLines/>
              <w:rPr>
                <w:rFonts w:ascii="Arial Narrow" w:hAnsi="Arial Narrow" w:cs="Arial"/>
                <w:sz w:val="20"/>
                <w:szCs w:val="20"/>
              </w:rPr>
            </w:pPr>
            <w:r w:rsidRPr="0006534F">
              <w:rPr>
                <w:rFonts w:ascii="Arial Narrow" w:hAnsi="Arial Narrow" w:cs="Arial"/>
                <w:sz w:val="20"/>
                <w:szCs w:val="20"/>
              </w:rPr>
              <w:t xml:space="preserve">The treatment must not exceed a total of 4 doses (combined PBS-subsidised and non-PBS subsidised) at a maximum dose of 3 mg per kg every 3 weeks. </w:t>
            </w:r>
          </w:p>
        </w:tc>
      </w:tr>
    </w:tbl>
    <w:p w:rsidR="00AE3E00" w:rsidRPr="0069654D" w:rsidRDefault="00AE3E00" w:rsidP="00AE3E00">
      <w:pPr>
        <w:widowControl w:val="0"/>
        <w:jc w:val="both"/>
        <w:rPr>
          <w:rFonts w:ascii="Arial" w:hAnsi="Arial" w:cs="Arial"/>
          <w:b/>
          <w:bCs/>
          <w:snapToGrid w:val="0"/>
          <w:sz w:val="22"/>
          <w:szCs w:val="20"/>
          <w:highlight w:val="yellow"/>
        </w:rPr>
      </w:pPr>
    </w:p>
    <w:p w:rsidR="00372CD7" w:rsidRPr="00925F85" w:rsidRDefault="00372CD7" w:rsidP="00925F85">
      <w:pPr>
        <w:pStyle w:val="Heading1"/>
        <w:numPr>
          <w:ilvl w:val="0"/>
          <w:numId w:val="1"/>
        </w:numPr>
      </w:pPr>
      <w:r w:rsidRPr="00925F85">
        <w:t>Context for Decision</w:t>
      </w:r>
    </w:p>
    <w:p w:rsidR="00372CD7" w:rsidRPr="007930A9" w:rsidRDefault="00372CD7" w:rsidP="00372CD7">
      <w:pPr>
        <w:widowControl w:val="0"/>
        <w:ind w:left="720"/>
        <w:jc w:val="both"/>
        <w:rPr>
          <w:rFonts w:ascii="Arial" w:hAnsi="Arial" w:cs="Arial"/>
          <w:bCs/>
          <w:snapToGrid w:val="0"/>
          <w:sz w:val="22"/>
          <w:szCs w:val="20"/>
          <w:lang w:eastAsia="en-US"/>
        </w:rPr>
      </w:pPr>
    </w:p>
    <w:p w:rsidR="00372CD7" w:rsidRPr="007930A9" w:rsidRDefault="00372CD7" w:rsidP="00372CD7">
      <w:pPr>
        <w:widowControl w:val="0"/>
        <w:ind w:left="720"/>
        <w:jc w:val="both"/>
        <w:rPr>
          <w:rFonts w:ascii="Arial" w:hAnsi="Arial" w:cs="Arial"/>
          <w:bCs/>
          <w:snapToGrid w:val="0"/>
          <w:sz w:val="22"/>
          <w:szCs w:val="20"/>
          <w:lang w:eastAsia="en-US"/>
        </w:rPr>
      </w:pPr>
      <w:r w:rsidRPr="007930A9">
        <w:rPr>
          <w:rFonts w:ascii="Arial" w:hAnsi="Arial" w:cs="Arial"/>
          <w:bCs/>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72CD7" w:rsidRPr="007930A9" w:rsidRDefault="00372CD7" w:rsidP="00372CD7">
      <w:pPr>
        <w:widowControl w:val="0"/>
        <w:ind w:left="720"/>
        <w:jc w:val="both"/>
        <w:rPr>
          <w:rFonts w:ascii="Arial" w:hAnsi="Arial" w:cs="Arial"/>
          <w:bCs/>
          <w:snapToGrid w:val="0"/>
          <w:sz w:val="22"/>
          <w:szCs w:val="20"/>
          <w:lang w:eastAsia="en-US"/>
        </w:rPr>
      </w:pPr>
    </w:p>
    <w:p w:rsidR="00372CD7" w:rsidRPr="00AD4DB8" w:rsidRDefault="00372CD7" w:rsidP="00AD4DB8">
      <w:pPr>
        <w:pStyle w:val="Heading1"/>
        <w:numPr>
          <w:ilvl w:val="0"/>
          <w:numId w:val="1"/>
        </w:numPr>
      </w:pPr>
      <w:r w:rsidRPr="00AD4DB8">
        <w:t>Sponsor’s Comment</w:t>
      </w:r>
      <w:r w:rsidRPr="00AD4DB8">
        <w:tab/>
      </w:r>
    </w:p>
    <w:p w:rsidR="00372CD7" w:rsidRPr="007930A9" w:rsidRDefault="00372CD7" w:rsidP="00372CD7">
      <w:pPr>
        <w:widowControl w:val="0"/>
        <w:ind w:left="720"/>
        <w:jc w:val="both"/>
        <w:rPr>
          <w:rFonts w:ascii="Arial" w:hAnsi="Arial" w:cs="Arial"/>
          <w:bCs/>
          <w:snapToGrid w:val="0"/>
          <w:sz w:val="22"/>
          <w:szCs w:val="20"/>
          <w:highlight w:val="yellow"/>
          <w:lang w:eastAsia="en-US"/>
        </w:rPr>
      </w:pPr>
    </w:p>
    <w:p w:rsidR="00372CD7" w:rsidRPr="007930A9" w:rsidRDefault="00372CD7" w:rsidP="00372CD7">
      <w:pPr>
        <w:widowControl w:val="0"/>
        <w:ind w:left="720"/>
        <w:jc w:val="both"/>
        <w:rPr>
          <w:rFonts w:ascii="Arial" w:hAnsi="Arial" w:cs="Arial"/>
          <w:bCs/>
          <w:snapToGrid w:val="0"/>
          <w:sz w:val="22"/>
          <w:szCs w:val="20"/>
          <w:lang w:eastAsia="en-US"/>
        </w:rPr>
      </w:pPr>
      <w:r w:rsidRPr="007930A9">
        <w:rPr>
          <w:rFonts w:ascii="Arial" w:hAnsi="Arial" w:cs="Arial"/>
          <w:bCs/>
          <w:snapToGrid w:val="0"/>
          <w:sz w:val="22"/>
          <w:szCs w:val="20"/>
          <w:lang w:eastAsia="en-US"/>
        </w:rPr>
        <w:t>The sponsor had no comment.</w:t>
      </w:r>
    </w:p>
    <w:sectPr w:rsidR="00372CD7" w:rsidRPr="007930A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CE" w:rsidRDefault="00C037CE">
      <w:r>
        <w:separator/>
      </w:r>
    </w:p>
    <w:p w:rsidR="00C037CE" w:rsidRDefault="00C037CE"/>
  </w:endnote>
  <w:endnote w:type="continuationSeparator" w:id="0">
    <w:p w:rsidR="00C037CE" w:rsidRDefault="00C037CE">
      <w:r>
        <w:continuationSeparator/>
      </w:r>
    </w:p>
    <w:p w:rsidR="00C037CE" w:rsidRDefault="00C0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5F85" w:rsidTr="005A3173">
      <w:trPr>
        <w:trHeight w:val="151"/>
      </w:trPr>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5F85" w:rsidRPr="005A3173" w:rsidRDefault="00925F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r>
    <w:tr w:rsidR="00925F85" w:rsidTr="005A3173">
      <w:trPr>
        <w:trHeight w:val="150"/>
      </w:trPr>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0" w:type="auto"/>
          <w:vMerge/>
          <w:vAlign w:val="center"/>
          <w:hideMark/>
        </w:tcPr>
        <w:p w:rsidR="00925F85" w:rsidRPr="005A3173" w:rsidRDefault="00925F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r>
  </w:tbl>
  <w:p w:rsidR="00925F85" w:rsidRDefault="00925F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F85" w:rsidRDefault="00925F85">
    <w:pPr>
      <w:pStyle w:val="Footer"/>
    </w:pPr>
  </w:p>
  <w:p w:rsidR="00925F85" w:rsidRDefault="00925F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871022403"/>
      <w:docPartObj>
        <w:docPartGallery w:val="Page Numbers (Bottom of Page)"/>
        <w:docPartUnique/>
      </w:docPartObj>
    </w:sdtPr>
    <w:sdtEndPr>
      <w:rPr>
        <w:noProof/>
      </w:rPr>
    </w:sdtEndPr>
    <w:sdtContent>
      <w:p w:rsidR="00925F85" w:rsidRPr="00F4366B" w:rsidRDefault="00925F85">
        <w:pPr>
          <w:pStyle w:val="Footer"/>
          <w:jc w:val="center"/>
          <w:rPr>
            <w:rFonts w:ascii="Arial" w:hAnsi="Arial" w:cs="Arial"/>
            <w:sz w:val="22"/>
            <w:szCs w:val="22"/>
          </w:rPr>
        </w:pPr>
        <w:r w:rsidRPr="00F4366B">
          <w:rPr>
            <w:rFonts w:ascii="Arial" w:hAnsi="Arial" w:cs="Arial"/>
            <w:sz w:val="22"/>
            <w:szCs w:val="22"/>
          </w:rPr>
          <w:fldChar w:fldCharType="begin"/>
        </w:r>
        <w:r w:rsidRPr="00F4366B">
          <w:rPr>
            <w:rFonts w:ascii="Arial" w:hAnsi="Arial" w:cs="Arial"/>
            <w:sz w:val="22"/>
            <w:szCs w:val="22"/>
          </w:rPr>
          <w:instrText xml:space="preserve"> PAGE   \* MERGEFORMAT </w:instrText>
        </w:r>
        <w:r w:rsidRPr="00F4366B">
          <w:rPr>
            <w:rFonts w:ascii="Arial" w:hAnsi="Arial" w:cs="Arial"/>
            <w:sz w:val="22"/>
            <w:szCs w:val="22"/>
          </w:rPr>
          <w:fldChar w:fldCharType="separate"/>
        </w:r>
        <w:r w:rsidR="00FC32F6">
          <w:rPr>
            <w:rFonts w:ascii="Arial" w:hAnsi="Arial" w:cs="Arial"/>
            <w:noProof/>
            <w:sz w:val="22"/>
            <w:szCs w:val="22"/>
          </w:rPr>
          <w:t>1</w:t>
        </w:r>
        <w:r w:rsidRPr="00F4366B">
          <w:rPr>
            <w:rFonts w:ascii="Arial" w:hAnsi="Arial" w:cs="Arial"/>
            <w:noProof/>
            <w:sz w:val="22"/>
            <w:szCs w:val="22"/>
          </w:rPr>
          <w:fldChar w:fldCharType="end"/>
        </w:r>
      </w:p>
    </w:sdtContent>
  </w:sdt>
  <w:p w:rsidR="00925F85" w:rsidRDefault="00925F85"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25F85" w:rsidTr="005A3173">
      <w:trPr>
        <w:trHeight w:val="151"/>
      </w:trPr>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5F85" w:rsidRPr="005A3173" w:rsidRDefault="00925F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r>
    <w:tr w:rsidR="00925F85" w:rsidTr="005A3173">
      <w:trPr>
        <w:trHeight w:val="150"/>
      </w:trPr>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0" w:type="auto"/>
          <w:vMerge/>
          <w:vAlign w:val="center"/>
          <w:hideMark/>
        </w:tcPr>
        <w:p w:rsidR="00925F85" w:rsidRPr="005A3173" w:rsidRDefault="00925F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5F85" w:rsidTr="005A3173">
      <w:trPr>
        <w:trHeight w:val="151"/>
      </w:trPr>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5F85" w:rsidRPr="005A3173" w:rsidRDefault="00925F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5F85" w:rsidRPr="005A3173" w:rsidRDefault="00925F85" w:rsidP="005A3173">
          <w:pPr>
            <w:pStyle w:val="Header"/>
            <w:spacing w:line="276" w:lineRule="auto"/>
            <w:rPr>
              <w:rFonts w:ascii="Calibri" w:eastAsia="MS Gothic" w:hAnsi="Calibri"/>
              <w:b/>
              <w:bCs/>
              <w:color w:val="4F81BD"/>
            </w:rPr>
          </w:pPr>
        </w:p>
      </w:tc>
    </w:tr>
    <w:tr w:rsidR="00925F85" w:rsidTr="005A3173">
      <w:trPr>
        <w:trHeight w:val="150"/>
      </w:trPr>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c>
        <w:tcPr>
          <w:tcW w:w="0" w:type="auto"/>
          <w:vMerge/>
          <w:vAlign w:val="center"/>
          <w:hideMark/>
        </w:tcPr>
        <w:p w:rsidR="00925F85" w:rsidRPr="005A3173" w:rsidRDefault="00925F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5F85" w:rsidRPr="005A3173" w:rsidRDefault="00925F85" w:rsidP="005A3173">
          <w:pPr>
            <w:pStyle w:val="Header"/>
            <w:spacing w:line="276" w:lineRule="auto"/>
            <w:rPr>
              <w:rFonts w:ascii="Calibri" w:eastAsia="MS Gothic" w:hAnsi="Calibri"/>
              <w:b/>
              <w:bCs/>
              <w:color w:val="4F81BD"/>
            </w:rPr>
          </w:pPr>
        </w:p>
      </w:tc>
    </w:tr>
  </w:tbl>
  <w:p w:rsidR="00925F85" w:rsidRPr="007C0F57" w:rsidRDefault="00925F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25F85" w:rsidRPr="007C0F57" w:rsidRDefault="00925F85" w:rsidP="007C0F57">
    <w:pPr>
      <w:pStyle w:val="Footer"/>
      <w:jc w:val="center"/>
      <w:rPr>
        <w:b/>
        <w:i/>
        <w:sz w:val="20"/>
        <w:szCs w:val="20"/>
      </w:rPr>
    </w:pPr>
    <w:r w:rsidRPr="007C0F57">
      <w:rPr>
        <w:b/>
        <w:i/>
        <w:sz w:val="20"/>
        <w:szCs w:val="20"/>
      </w:rPr>
      <w:t>Commercial-in-Confidence</w:t>
    </w:r>
  </w:p>
  <w:p w:rsidR="00925F85" w:rsidRDefault="00925F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CE" w:rsidRDefault="00C037CE">
      <w:r>
        <w:separator/>
      </w:r>
    </w:p>
    <w:p w:rsidR="00C037CE" w:rsidRDefault="00C037CE"/>
  </w:footnote>
  <w:footnote w:type="continuationSeparator" w:id="0">
    <w:p w:rsidR="00C037CE" w:rsidRDefault="00C037CE">
      <w:r>
        <w:continuationSeparator/>
      </w:r>
    </w:p>
    <w:p w:rsidR="00C037CE" w:rsidRDefault="00C037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5F85" w:rsidRPr="008E0D90" w:rsidTr="00A06225">
      <w:trPr>
        <w:trHeight w:val="151"/>
      </w:trPr>
      <w:tc>
        <w:tcPr>
          <w:tcW w:w="2389" w:type="pct"/>
          <w:tcBorders>
            <w:top w:val="nil"/>
            <w:left w:val="nil"/>
            <w:bottom w:val="single" w:sz="4" w:space="0" w:color="4F81BD"/>
            <w:right w:val="nil"/>
          </w:tcBorders>
        </w:tcPr>
        <w:p w:rsidR="00925F85" w:rsidRPr="00A06225" w:rsidRDefault="00925F85">
          <w:pPr>
            <w:pStyle w:val="Header"/>
            <w:spacing w:line="276" w:lineRule="auto"/>
            <w:rPr>
              <w:rFonts w:ascii="Cambria" w:eastAsia="MS Gothic" w:hAnsi="Cambria"/>
              <w:b/>
              <w:bCs/>
              <w:color w:val="4F81BD"/>
            </w:rPr>
          </w:pPr>
        </w:p>
      </w:tc>
      <w:tc>
        <w:tcPr>
          <w:tcW w:w="333" w:type="pct"/>
          <w:vMerge w:val="restart"/>
          <w:noWrap/>
          <w:vAlign w:val="center"/>
          <w:hideMark/>
        </w:tcPr>
        <w:p w:rsidR="00925F85" w:rsidRPr="00A06225" w:rsidRDefault="00925F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25F85" w:rsidRPr="00A06225" w:rsidRDefault="00925F85">
          <w:pPr>
            <w:pStyle w:val="Header"/>
            <w:spacing w:line="276" w:lineRule="auto"/>
            <w:rPr>
              <w:rFonts w:ascii="Cambria" w:eastAsia="MS Gothic" w:hAnsi="Cambria"/>
              <w:b/>
              <w:bCs/>
              <w:color w:val="4F81BD"/>
            </w:rPr>
          </w:pPr>
        </w:p>
      </w:tc>
    </w:tr>
    <w:tr w:rsidR="00925F85" w:rsidRPr="008E0D90" w:rsidTr="00A06225">
      <w:trPr>
        <w:trHeight w:val="150"/>
      </w:trPr>
      <w:tc>
        <w:tcPr>
          <w:tcW w:w="2389" w:type="pct"/>
          <w:tcBorders>
            <w:top w:val="single" w:sz="4" w:space="0" w:color="4F81BD"/>
            <w:left w:val="nil"/>
            <w:bottom w:val="nil"/>
            <w:right w:val="nil"/>
          </w:tcBorders>
        </w:tcPr>
        <w:p w:rsidR="00925F85" w:rsidRPr="00A06225" w:rsidRDefault="00925F85">
          <w:pPr>
            <w:pStyle w:val="Header"/>
            <w:spacing w:line="276" w:lineRule="auto"/>
            <w:rPr>
              <w:rFonts w:ascii="Cambria" w:eastAsia="MS Gothic" w:hAnsi="Cambria"/>
              <w:b/>
              <w:bCs/>
              <w:color w:val="4F81BD"/>
            </w:rPr>
          </w:pPr>
        </w:p>
      </w:tc>
      <w:tc>
        <w:tcPr>
          <w:tcW w:w="0" w:type="auto"/>
          <w:vMerge/>
          <w:vAlign w:val="center"/>
          <w:hideMark/>
        </w:tcPr>
        <w:p w:rsidR="00925F85" w:rsidRPr="00A06225" w:rsidRDefault="00925F85">
          <w:pPr>
            <w:rPr>
              <w:rFonts w:ascii="Cambria" w:hAnsi="Cambria"/>
              <w:color w:val="4F81BD"/>
              <w:sz w:val="22"/>
              <w:szCs w:val="22"/>
            </w:rPr>
          </w:pPr>
        </w:p>
      </w:tc>
      <w:tc>
        <w:tcPr>
          <w:tcW w:w="2278" w:type="pct"/>
          <w:tcBorders>
            <w:top w:val="single" w:sz="4" w:space="0" w:color="4F81BD"/>
            <w:left w:val="nil"/>
            <w:bottom w:val="nil"/>
            <w:right w:val="nil"/>
          </w:tcBorders>
        </w:tcPr>
        <w:p w:rsidR="00925F85" w:rsidRPr="00A06225" w:rsidRDefault="00925F85">
          <w:pPr>
            <w:pStyle w:val="Header"/>
            <w:spacing w:line="276" w:lineRule="auto"/>
            <w:rPr>
              <w:rFonts w:ascii="Cambria" w:eastAsia="MS Gothic" w:hAnsi="Cambria"/>
              <w:b/>
              <w:bCs/>
              <w:color w:val="4F81BD"/>
            </w:rPr>
          </w:pPr>
        </w:p>
      </w:tc>
    </w:tr>
  </w:tbl>
  <w:p w:rsidR="00925F85" w:rsidRDefault="00925F85">
    <w:pPr>
      <w:pStyle w:val="Header"/>
    </w:pPr>
  </w:p>
  <w:p w:rsidR="00925F85" w:rsidRDefault="00925F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85" w:rsidRPr="00DF217D" w:rsidRDefault="00925F85" w:rsidP="00F4366B">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925F85" w:rsidRDefault="00925F8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00" w:rsidRDefault="009A2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DDD075D"/>
    <w:multiLevelType w:val="hybridMultilevel"/>
    <w:tmpl w:val="128E47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9826899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num>
  <w:num w:numId="4">
    <w:abstractNumId w:val="5"/>
  </w:num>
  <w:num w:numId="5">
    <w:abstractNumId w:val="6"/>
  </w:num>
  <w:num w:numId="6">
    <w:abstractNumId w:val="3"/>
  </w:num>
  <w:num w:numId="7">
    <w:abstractNumId w:val="2"/>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7B91"/>
    <w:rsid w:val="000421A1"/>
    <w:rsid w:val="0004240E"/>
    <w:rsid w:val="00045E26"/>
    <w:rsid w:val="0005023F"/>
    <w:rsid w:val="000514B5"/>
    <w:rsid w:val="00060E64"/>
    <w:rsid w:val="0006534F"/>
    <w:rsid w:val="00066755"/>
    <w:rsid w:val="000719D1"/>
    <w:rsid w:val="00077143"/>
    <w:rsid w:val="000969AD"/>
    <w:rsid w:val="000B558D"/>
    <w:rsid w:val="000C6996"/>
    <w:rsid w:val="000D23BA"/>
    <w:rsid w:val="000D5903"/>
    <w:rsid w:val="000E681E"/>
    <w:rsid w:val="000F4E6A"/>
    <w:rsid w:val="000F61A1"/>
    <w:rsid w:val="001107BF"/>
    <w:rsid w:val="0012417C"/>
    <w:rsid w:val="0012503A"/>
    <w:rsid w:val="00132D49"/>
    <w:rsid w:val="00142395"/>
    <w:rsid w:val="00142714"/>
    <w:rsid w:val="001452ED"/>
    <w:rsid w:val="001830CE"/>
    <w:rsid w:val="0018643B"/>
    <w:rsid w:val="00196307"/>
    <w:rsid w:val="001B017F"/>
    <w:rsid w:val="001B5129"/>
    <w:rsid w:val="001C1195"/>
    <w:rsid w:val="00205EFA"/>
    <w:rsid w:val="00213CFB"/>
    <w:rsid w:val="00220F9F"/>
    <w:rsid w:val="002261B1"/>
    <w:rsid w:val="00231D5A"/>
    <w:rsid w:val="00253926"/>
    <w:rsid w:val="00271BA1"/>
    <w:rsid w:val="00277505"/>
    <w:rsid w:val="0029458F"/>
    <w:rsid w:val="002A104C"/>
    <w:rsid w:val="002A4960"/>
    <w:rsid w:val="002A607B"/>
    <w:rsid w:val="002B1AE6"/>
    <w:rsid w:val="002B30F8"/>
    <w:rsid w:val="002C212F"/>
    <w:rsid w:val="002E3153"/>
    <w:rsid w:val="002E72CA"/>
    <w:rsid w:val="00326E79"/>
    <w:rsid w:val="003367EF"/>
    <w:rsid w:val="00341AE4"/>
    <w:rsid w:val="00345029"/>
    <w:rsid w:val="00372CD7"/>
    <w:rsid w:val="003872CF"/>
    <w:rsid w:val="0039782C"/>
    <w:rsid w:val="003A5B4A"/>
    <w:rsid w:val="003B23C5"/>
    <w:rsid w:val="003B2A75"/>
    <w:rsid w:val="003D4AC4"/>
    <w:rsid w:val="003D63B7"/>
    <w:rsid w:val="003E468B"/>
    <w:rsid w:val="003F5C8C"/>
    <w:rsid w:val="004348FE"/>
    <w:rsid w:val="004465BD"/>
    <w:rsid w:val="00466ADA"/>
    <w:rsid w:val="00476245"/>
    <w:rsid w:val="00485940"/>
    <w:rsid w:val="004A2484"/>
    <w:rsid w:val="004A5A85"/>
    <w:rsid w:val="004A704B"/>
    <w:rsid w:val="004B03AB"/>
    <w:rsid w:val="004B5640"/>
    <w:rsid w:val="004C1BD7"/>
    <w:rsid w:val="004C691D"/>
    <w:rsid w:val="004E692D"/>
    <w:rsid w:val="00500135"/>
    <w:rsid w:val="00501554"/>
    <w:rsid w:val="00514CD7"/>
    <w:rsid w:val="005319B2"/>
    <w:rsid w:val="00532C74"/>
    <w:rsid w:val="00534E2E"/>
    <w:rsid w:val="00544552"/>
    <w:rsid w:val="005631F0"/>
    <w:rsid w:val="00581932"/>
    <w:rsid w:val="005963BB"/>
    <w:rsid w:val="005A3173"/>
    <w:rsid w:val="005A3223"/>
    <w:rsid w:val="005A3DA3"/>
    <w:rsid w:val="005A52C4"/>
    <w:rsid w:val="005B1364"/>
    <w:rsid w:val="005B157D"/>
    <w:rsid w:val="005D03AB"/>
    <w:rsid w:val="005D5017"/>
    <w:rsid w:val="00601A91"/>
    <w:rsid w:val="00602BA3"/>
    <w:rsid w:val="00614159"/>
    <w:rsid w:val="00617C00"/>
    <w:rsid w:val="006263BF"/>
    <w:rsid w:val="0062748A"/>
    <w:rsid w:val="00630A2C"/>
    <w:rsid w:val="00651169"/>
    <w:rsid w:val="00653D69"/>
    <w:rsid w:val="00670A76"/>
    <w:rsid w:val="006711AA"/>
    <w:rsid w:val="00672B57"/>
    <w:rsid w:val="00675622"/>
    <w:rsid w:val="0068163A"/>
    <w:rsid w:val="006906DB"/>
    <w:rsid w:val="006A12A5"/>
    <w:rsid w:val="006B0D94"/>
    <w:rsid w:val="006B2A0F"/>
    <w:rsid w:val="006B485D"/>
    <w:rsid w:val="006C708E"/>
    <w:rsid w:val="006D6EC7"/>
    <w:rsid w:val="006E7157"/>
    <w:rsid w:val="006F5125"/>
    <w:rsid w:val="007174BB"/>
    <w:rsid w:val="00727E25"/>
    <w:rsid w:val="0076420C"/>
    <w:rsid w:val="00774D31"/>
    <w:rsid w:val="007753C2"/>
    <w:rsid w:val="007838B8"/>
    <w:rsid w:val="007A704A"/>
    <w:rsid w:val="007B4C8A"/>
    <w:rsid w:val="007C0F57"/>
    <w:rsid w:val="007C40B6"/>
    <w:rsid w:val="007C41A6"/>
    <w:rsid w:val="007C729F"/>
    <w:rsid w:val="007E1D28"/>
    <w:rsid w:val="007E36F7"/>
    <w:rsid w:val="007E6C25"/>
    <w:rsid w:val="007F2641"/>
    <w:rsid w:val="007F7C36"/>
    <w:rsid w:val="0080187E"/>
    <w:rsid w:val="00806796"/>
    <w:rsid w:val="00807151"/>
    <w:rsid w:val="008151D6"/>
    <w:rsid w:val="00826F6D"/>
    <w:rsid w:val="00856DDD"/>
    <w:rsid w:val="00863E68"/>
    <w:rsid w:val="00882085"/>
    <w:rsid w:val="00883188"/>
    <w:rsid w:val="00893042"/>
    <w:rsid w:val="00897D58"/>
    <w:rsid w:val="008A1956"/>
    <w:rsid w:val="008A4937"/>
    <w:rsid w:val="008D1B5C"/>
    <w:rsid w:val="008D3C82"/>
    <w:rsid w:val="008D447E"/>
    <w:rsid w:val="008D60E7"/>
    <w:rsid w:val="008D7A41"/>
    <w:rsid w:val="008E3680"/>
    <w:rsid w:val="008E5016"/>
    <w:rsid w:val="008E5870"/>
    <w:rsid w:val="008F1434"/>
    <w:rsid w:val="008F7355"/>
    <w:rsid w:val="009067B7"/>
    <w:rsid w:val="00923F14"/>
    <w:rsid w:val="00925F85"/>
    <w:rsid w:val="00930937"/>
    <w:rsid w:val="00933E6C"/>
    <w:rsid w:val="00942160"/>
    <w:rsid w:val="0094720F"/>
    <w:rsid w:val="009602C5"/>
    <w:rsid w:val="00963C51"/>
    <w:rsid w:val="00974C21"/>
    <w:rsid w:val="009905A6"/>
    <w:rsid w:val="0099251A"/>
    <w:rsid w:val="00992641"/>
    <w:rsid w:val="009A2D00"/>
    <w:rsid w:val="009B0F67"/>
    <w:rsid w:val="009C703C"/>
    <w:rsid w:val="009D3CAA"/>
    <w:rsid w:val="009F3831"/>
    <w:rsid w:val="009F4E46"/>
    <w:rsid w:val="009F5B65"/>
    <w:rsid w:val="009F5F2E"/>
    <w:rsid w:val="009F61DC"/>
    <w:rsid w:val="00A06225"/>
    <w:rsid w:val="00A128E6"/>
    <w:rsid w:val="00A37782"/>
    <w:rsid w:val="00A37C8D"/>
    <w:rsid w:val="00A5273B"/>
    <w:rsid w:val="00A53A9D"/>
    <w:rsid w:val="00A55FEE"/>
    <w:rsid w:val="00A62C1A"/>
    <w:rsid w:val="00A6426D"/>
    <w:rsid w:val="00A70622"/>
    <w:rsid w:val="00A70977"/>
    <w:rsid w:val="00A72C48"/>
    <w:rsid w:val="00A8390C"/>
    <w:rsid w:val="00A928BD"/>
    <w:rsid w:val="00AA4D1C"/>
    <w:rsid w:val="00AC193C"/>
    <w:rsid w:val="00AC5206"/>
    <w:rsid w:val="00AD4DB8"/>
    <w:rsid w:val="00AE11A5"/>
    <w:rsid w:val="00AE13E2"/>
    <w:rsid w:val="00AE3E00"/>
    <w:rsid w:val="00AF68CC"/>
    <w:rsid w:val="00B01447"/>
    <w:rsid w:val="00B1059E"/>
    <w:rsid w:val="00B205AA"/>
    <w:rsid w:val="00B22E84"/>
    <w:rsid w:val="00B25F75"/>
    <w:rsid w:val="00B43E90"/>
    <w:rsid w:val="00B4485C"/>
    <w:rsid w:val="00B467DC"/>
    <w:rsid w:val="00B5432A"/>
    <w:rsid w:val="00B56118"/>
    <w:rsid w:val="00B6773F"/>
    <w:rsid w:val="00B801BA"/>
    <w:rsid w:val="00BB69F5"/>
    <w:rsid w:val="00BB7EC3"/>
    <w:rsid w:val="00BC4B9A"/>
    <w:rsid w:val="00BD784C"/>
    <w:rsid w:val="00BF4CB6"/>
    <w:rsid w:val="00C00DA7"/>
    <w:rsid w:val="00C037CE"/>
    <w:rsid w:val="00C12768"/>
    <w:rsid w:val="00C27B58"/>
    <w:rsid w:val="00C35996"/>
    <w:rsid w:val="00C5342C"/>
    <w:rsid w:val="00C603D4"/>
    <w:rsid w:val="00C6256A"/>
    <w:rsid w:val="00C84D99"/>
    <w:rsid w:val="00C91449"/>
    <w:rsid w:val="00C92D10"/>
    <w:rsid w:val="00CE10C4"/>
    <w:rsid w:val="00CE27B5"/>
    <w:rsid w:val="00CF5016"/>
    <w:rsid w:val="00D0321E"/>
    <w:rsid w:val="00D04285"/>
    <w:rsid w:val="00D1455A"/>
    <w:rsid w:val="00D162C8"/>
    <w:rsid w:val="00D3138B"/>
    <w:rsid w:val="00D3280C"/>
    <w:rsid w:val="00D3406A"/>
    <w:rsid w:val="00D469B2"/>
    <w:rsid w:val="00D741EB"/>
    <w:rsid w:val="00D84934"/>
    <w:rsid w:val="00D91271"/>
    <w:rsid w:val="00D96E12"/>
    <w:rsid w:val="00DA2CB5"/>
    <w:rsid w:val="00DA4BAC"/>
    <w:rsid w:val="00DE6D27"/>
    <w:rsid w:val="00DF217D"/>
    <w:rsid w:val="00DF26A7"/>
    <w:rsid w:val="00E0184A"/>
    <w:rsid w:val="00E15AA2"/>
    <w:rsid w:val="00E164B3"/>
    <w:rsid w:val="00E16910"/>
    <w:rsid w:val="00E65E54"/>
    <w:rsid w:val="00E80155"/>
    <w:rsid w:val="00E848C0"/>
    <w:rsid w:val="00E91B96"/>
    <w:rsid w:val="00E91E5A"/>
    <w:rsid w:val="00E941A1"/>
    <w:rsid w:val="00E95CE3"/>
    <w:rsid w:val="00EA2825"/>
    <w:rsid w:val="00EB5088"/>
    <w:rsid w:val="00ED1644"/>
    <w:rsid w:val="00ED2593"/>
    <w:rsid w:val="00EF44A0"/>
    <w:rsid w:val="00EF4FED"/>
    <w:rsid w:val="00F050BD"/>
    <w:rsid w:val="00F05657"/>
    <w:rsid w:val="00F12260"/>
    <w:rsid w:val="00F25578"/>
    <w:rsid w:val="00F258E5"/>
    <w:rsid w:val="00F300BC"/>
    <w:rsid w:val="00F3334E"/>
    <w:rsid w:val="00F43460"/>
    <w:rsid w:val="00F4366B"/>
    <w:rsid w:val="00F4538C"/>
    <w:rsid w:val="00F50EC4"/>
    <w:rsid w:val="00F57A6D"/>
    <w:rsid w:val="00F638CC"/>
    <w:rsid w:val="00F64CC1"/>
    <w:rsid w:val="00F8247A"/>
    <w:rsid w:val="00F9629A"/>
    <w:rsid w:val="00FA5883"/>
    <w:rsid w:val="00FA6055"/>
    <w:rsid w:val="00FA687A"/>
    <w:rsid w:val="00FB0156"/>
    <w:rsid w:val="00FB322F"/>
    <w:rsid w:val="00FB442F"/>
    <w:rsid w:val="00FC1115"/>
    <w:rsid w:val="00FC1929"/>
    <w:rsid w:val="00FC32F6"/>
    <w:rsid w:val="00FC3B24"/>
    <w:rsid w:val="00FC5B46"/>
    <w:rsid w:val="00FE0E94"/>
    <w:rsid w:val="00FE623D"/>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7B4C8A"/>
    <w:pPr>
      <w:ind w:left="720" w:hanging="720"/>
    </w:pPr>
    <w:rPr>
      <w:rFonts w:ascii="Arial" w:hAnsi="Arial" w:cs="Arial"/>
      <w:b/>
      <w:snapToGrid w:val="0"/>
      <w:sz w:val="22"/>
      <w:szCs w:val="22"/>
      <w:lang w:eastAsia="en-US"/>
    </w:rPr>
  </w:style>
  <w:style w:type="character" w:styleId="IntenseReference">
    <w:name w:val="Intense Reference"/>
    <w:basedOn w:val="DefaultParagraphFont"/>
    <w:uiPriority w:val="32"/>
    <w:rsid w:val="00AE3E00"/>
    <w:rPr>
      <w:b/>
      <w:bCs/>
      <w:smallCaps/>
      <w:color w:val="C0504D" w:themeColor="accent2"/>
      <w:spacing w:val="5"/>
      <w:u w:val="single"/>
    </w:rPr>
  </w:style>
  <w:style w:type="paragraph" w:styleId="Revision">
    <w:name w:val="Revision"/>
    <w:hidden/>
    <w:uiPriority w:val="71"/>
    <w:rsid w:val="00132D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7B4C8A"/>
    <w:pPr>
      <w:ind w:left="720" w:hanging="720"/>
    </w:pPr>
    <w:rPr>
      <w:rFonts w:ascii="Arial" w:hAnsi="Arial" w:cs="Arial"/>
      <w:b/>
      <w:snapToGrid w:val="0"/>
      <w:sz w:val="22"/>
      <w:szCs w:val="22"/>
      <w:lang w:eastAsia="en-US"/>
    </w:rPr>
  </w:style>
  <w:style w:type="character" w:styleId="IntenseReference">
    <w:name w:val="Intense Reference"/>
    <w:basedOn w:val="DefaultParagraphFont"/>
    <w:uiPriority w:val="32"/>
    <w:rsid w:val="00AE3E00"/>
    <w:rPr>
      <w:b/>
      <w:bCs/>
      <w:smallCaps/>
      <w:color w:val="C0504D" w:themeColor="accent2"/>
      <w:spacing w:val="5"/>
      <w:u w:val="single"/>
    </w:rPr>
  </w:style>
  <w:style w:type="paragraph" w:styleId="Revision">
    <w:name w:val="Revision"/>
    <w:hidden/>
    <w:uiPriority w:val="71"/>
    <w:rsid w:val="00132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C302-345D-4C07-A107-FA2F9A76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2323</Words>
  <Characters>14201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2016-09-20T02:22:00Z</dcterms:created>
  <dcterms:modified xsi:type="dcterms:W3CDTF">2016-09-20T02:24:00Z</dcterms:modified>
</cp:coreProperties>
</file>