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B7" w:rsidRDefault="009067B7" w:rsidP="002C0027"/>
    <w:p w:rsidR="00C27B58" w:rsidRPr="00024CD0" w:rsidRDefault="00FD3390" w:rsidP="00024CD0">
      <w:pPr>
        <w:pStyle w:val="Title"/>
      </w:pPr>
      <w:r>
        <w:t>5.20</w:t>
      </w:r>
      <w:r w:rsidR="007C0F57" w:rsidRPr="006D6EC7">
        <w:tab/>
      </w:r>
      <w:r w:rsidRPr="00024CD0">
        <w:t>LEUPRORELIN AND BICALUTAMIDE</w:t>
      </w:r>
    </w:p>
    <w:p w:rsidR="006302B3" w:rsidRPr="00024CD0" w:rsidRDefault="006302B3" w:rsidP="00024CD0">
      <w:pPr>
        <w:pStyle w:val="Title"/>
        <w:ind w:left="709"/>
      </w:pPr>
      <w:r w:rsidRPr="00024CD0">
        <w:t xml:space="preserve">Pack containing 1 suspension for subcutaneous injection (modified release) containing </w:t>
      </w:r>
      <w:proofErr w:type="spellStart"/>
      <w:r w:rsidRPr="00024CD0">
        <w:t>leuprorelin</w:t>
      </w:r>
      <w:proofErr w:type="spellEnd"/>
      <w:r w:rsidRPr="00024CD0">
        <w:t xml:space="preserve"> acetate 7.5 mg, injection set and 28 tablets </w:t>
      </w:r>
      <w:proofErr w:type="spellStart"/>
      <w:r w:rsidRPr="00024CD0">
        <w:t>bicalutamide</w:t>
      </w:r>
      <w:proofErr w:type="spellEnd"/>
      <w:r w:rsidRPr="00024CD0">
        <w:t xml:space="preserve"> 50 mg</w:t>
      </w:r>
    </w:p>
    <w:p w:rsidR="006302B3" w:rsidRPr="00024CD0" w:rsidRDefault="006302B3" w:rsidP="00024CD0">
      <w:pPr>
        <w:pStyle w:val="Title"/>
        <w:ind w:left="709"/>
      </w:pPr>
      <w:r w:rsidRPr="00024CD0">
        <w:t xml:space="preserve">Pack containing 1 suspension for subcutaneous injection (modified release) containing </w:t>
      </w:r>
      <w:proofErr w:type="spellStart"/>
      <w:r w:rsidRPr="00024CD0">
        <w:t>leuprorelin</w:t>
      </w:r>
      <w:proofErr w:type="spellEnd"/>
      <w:r w:rsidRPr="00024CD0">
        <w:t xml:space="preserve"> acetate 22.5 mg, injection set and 28 tablets </w:t>
      </w:r>
      <w:proofErr w:type="spellStart"/>
      <w:r w:rsidRPr="00024CD0">
        <w:t>bicalutamide</w:t>
      </w:r>
      <w:proofErr w:type="spellEnd"/>
      <w:r w:rsidRPr="00024CD0">
        <w:t xml:space="preserve"> 50 mg</w:t>
      </w:r>
    </w:p>
    <w:p w:rsidR="006302B3" w:rsidRPr="00024CD0" w:rsidRDefault="006302B3" w:rsidP="00024CD0">
      <w:pPr>
        <w:pStyle w:val="Title"/>
        <w:ind w:left="709"/>
      </w:pPr>
      <w:r w:rsidRPr="00024CD0">
        <w:t xml:space="preserve">Pack containing 1 suspension for subcutaneous injection (modified release) containing </w:t>
      </w:r>
      <w:proofErr w:type="spellStart"/>
      <w:r w:rsidRPr="00024CD0">
        <w:t>leuprorelin</w:t>
      </w:r>
      <w:proofErr w:type="spellEnd"/>
      <w:r w:rsidRPr="00024CD0">
        <w:t xml:space="preserve"> acetate 22.5 mg, injection set and 84 tablets </w:t>
      </w:r>
      <w:proofErr w:type="spellStart"/>
      <w:r w:rsidRPr="00024CD0">
        <w:t>bicalutamide</w:t>
      </w:r>
      <w:proofErr w:type="spellEnd"/>
      <w:r w:rsidRPr="00024CD0">
        <w:t xml:space="preserve"> 50 mg</w:t>
      </w:r>
    </w:p>
    <w:p w:rsidR="00D3280C" w:rsidRPr="00024CD0" w:rsidRDefault="00AA3BA9" w:rsidP="00024CD0">
      <w:pPr>
        <w:pStyle w:val="Title"/>
        <w:ind w:left="709"/>
      </w:pPr>
      <w:proofErr w:type="spellStart"/>
      <w:r w:rsidRPr="00024CD0">
        <w:t>Bi</w:t>
      </w:r>
      <w:proofErr w:type="spellEnd"/>
      <w:r w:rsidRPr="00024CD0">
        <w:t xml:space="preserve"> ELIGARD</w:t>
      </w:r>
      <w:r w:rsidR="005B1174" w:rsidRPr="00024CD0">
        <w:t xml:space="preserve"> CP</w:t>
      </w:r>
      <w:r w:rsidR="0004240E" w:rsidRPr="00024CD0">
        <w:t>®</w:t>
      </w:r>
      <w:r w:rsidRPr="00024CD0">
        <w:t xml:space="preserve"> </w:t>
      </w:r>
      <w:proofErr w:type="spellStart"/>
      <w:r w:rsidRPr="00024CD0">
        <w:t>Tolmar</w:t>
      </w:r>
      <w:proofErr w:type="spellEnd"/>
      <w:r w:rsidRPr="00024CD0">
        <w:t> Australia Pty Ltd</w:t>
      </w:r>
    </w:p>
    <w:p w:rsidR="00C27B58" w:rsidRDefault="00C27B58" w:rsidP="00C27B58">
      <w:pPr>
        <w:pStyle w:val="NoSpacing"/>
      </w:pPr>
    </w:p>
    <w:p w:rsidR="00CE10C4" w:rsidRPr="00024CD0" w:rsidRDefault="00CE10C4" w:rsidP="00024CD0">
      <w:pPr>
        <w:pStyle w:val="Heading1"/>
      </w:pPr>
      <w:r w:rsidRPr="00024CD0">
        <w:t xml:space="preserve">Purpose of </w:t>
      </w:r>
      <w:r w:rsidR="0004240E" w:rsidRPr="00024CD0">
        <w:t>Application</w:t>
      </w:r>
    </w:p>
    <w:p w:rsidR="006A12A5" w:rsidRPr="00882085" w:rsidRDefault="006A12A5" w:rsidP="00882085">
      <w:pPr>
        <w:jc w:val="both"/>
        <w:rPr>
          <w:rFonts w:ascii="Arial" w:hAnsi="Arial"/>
          <w:sz w:val="22"/>
          <w:szCs w:val="22"/>
        </w:rPr>
      </w:pPr>
    </w:p>
    <w:p w:rsidR="00FD3390" w:rsidRPr="00AA3BA9" w:rsidRDefault="00EF44A0" w:rsidP="00727EB7">
      <w:pPr>
        <w:pStyle w:val="ListParagraph"/>
        <w:numPr>
          <w:ilvl w:val="1"/>
          <w:numId w:val="1"/>
        </w:numPr>
        <w:jc w:val="both"/>
        <w:rPr>
          <w:rFonts w:ascii="Arial" w:hAnsi="Arial"/>
          <w:b/>
          <w:sz w:val="22"/>
          <w:szCs w:val="22"/>
        </w:rPr>
      </w:pPr>
      <w:r>
        <w:rPr>
          <w:rFonts w:ascii="Arial" w:hAnsi="Arial"/>
          <w:sz w:val="22"/>
          <w:szCs w:val="22"/>
        </w:rPr>
        <w:t>The mi</w:t>
      </w:r>
      <w:r w:rsidR="00FF2801">
        <w:rPr>
          <w:rFonts w:ascii="Arial" w:hAnsi="Arial"/>
          <w:sz w:val="22"/>
          <w:szCs w:val="22"/>
        </w:rPr>
        <w:t>nor submission requested</w:t>
      </w:r>
      <w:r w:rsidR="00AA3BA9">
        <w:rPr>
          <w:rFonts w:ascii="Arial" w:hAnsi="Arial"/>
          <w:sz w:val="22"/>
          <w:szCs w:val="22"/>
        </w:rPr>
        <w:t xml:space="preserve"> an Authority Required (STREAMLINED) </w:t>
      </w:r>
      <w:r>
        <w:rPr>
          <w:rFonts w:ascii="Arial" w:hAnsi="Arial"/>
          <w:sz w:val="22"/>
          <w:szCs w:val="22"/>
        </w:rPr>
        <w:t>listing</w:t>
      </w:r>
      <w:r w:rsidR="00AA3BA9">
        <w:rPr>
          <w:rFonts w:ascii="Arial" w:hAnsi="Arial"/>
          <w:sz w:val="22"/>
          <w:szCs w:val="22"/>
        </w:rPr>
        <w:t xml:space="preserve"> of a new combination pack containing </w:t>
      </w:r>
      <w:proofErr w:type="spellStart"/>
      <w:r w:rsidR="00AA3BA9">
        <w:rPr>
          <w:rFonts w:ascii="Arial" w:hAnsi="Arial"/>
          <w:sz w:val="22"/>
          <w:szCs w:val="22"/>
        </w:rPr>
        <w:t>leuprorelin</w:t>
      </w:r>
      <w:proofErr w:type="spellEnd"/>
      <w:r w:rsidR="00AA3BA9">
        <w:rPr>
          <w:rFonts w:ascii="Arial" w:hAnsi="Arial"/>
          <w:sz w:val="22"/>
          <w:szCs w:val="22"/>
        </w:rPr>
        <w:t xml:space="preserve"> acetate modified release injection and </w:t>
      </w:r>
      <w:proofErr w:type="spellStart"/>
      <w:r w:rsidR="00AA3BA9">
        <w:rPr>
          <w:rFonts w:ascii="Arial" w:hAnsi="Arial"/>
          <w:sz w:val="22"/>
          <w:szCs w:val="22"/>
        </w:rPr>
        <w:t>bicalutamide</w:t>
      </w:r>
      <w:proofErr w:type="spellEnd"/>
      <w:r w:rsidR="00AA3BA9">
        <w:rPr>
          <w:rFonts w:ascii="Arial" w:hAnsi="Arial"/>
          <w:sz w:val="22"/>
          <w:szCs w:val="22"/>
        </w:rPr>
        <w:t xml:space="preserve"> for the treatment of metastatic (Stage D) carcinoma of the prostate. </w:t>
      </w:r>
    </w:p>
    <w:p w:rsidR="00AA3BA9" w:rsidRPr="00AA3BA9" w:rsidRDefault="00AA3BA9" w:rsidP="00727EB7">
      <w:pPr>
        <w:jc w:val="both"/>
        <w:rPr>
          <w:rFonts w:ascii="Arial" w:hAnsi="Arial"/>
          <w:b/>
          <w:sz w:val="22"/>
          <w:szCs w:val="22"/>
        </w:rPr>
      </w:pPr>
    </w:p>
    <w:p w:rsidR="00F9629A" w:rsidRPr="00AA3BA9" w:rsidRDefault="00AA3BA9" w:rsidP="00727EB7">
      <w:pPr>
        <w:pStyle w:val="ListParagraph"/>
        <w:numPr>
          <w:ilvl w:val="1"/>
          <w:numId w:val="1"/>
        </w:numPr>
        <w:jc w:val="both"/>
        <w:rPr>
          <w:rFonts w:ascii="Arial" w:hAnsi="Arial"/>
          <w:b/>
          <w:sz w:val="22"/>
          <w:szCs w:val="22"/>
        </w:rPr>
      </w:pPr>
      <w:proofErr w:type="spellStart"/>
      <w:r>
        <w:rPr>
          <w:rFonts w:ascii="Arial" w:hAnsi="Arial"/>
          <w:sz w:val="22"/>
          <w:szCs w:val="22"/>
        </w:rPr>
        <w:t>Leuprorelin</w:t>
      </w:r>
      <w:proofErr w:type="spellEnd"/>
      <w:r>
        <w:rPr>
          <w:rFonts w:ascii="Arial" w:hAnsi="Arial"/>
          <w:sz w:val="22"/>
          <w:szCs w:val="22"/>
        </w:rPr>
        <w:t xml:space="preserve"> (</w:t>
      </w:r>
      <w:proofErr w:type="spellStart"/>
      <w:r>
        <w:rPr>
          <w:rFonts w:ascii="Arial" w:hAnsi="Arial"/>
          <w:sz w:val="22"/>
          <w:szCs w:val="22"/>
        </w:rPr>
        <w:t>Eligard</w:t>
      </w:r>
      <w:proofErr w:type="spellEnd"/>
      <w:r>
        <w:rPr>
          <w:rFonts w:ascii="Arial" w:hAnsi="Arial" w:cs="Arial"/>
          <w:sz w:val="22"/>
          <w:szCs w:val="22"/>
          <w:vertAlign w:val="superscript"/>
        </w:rPr>
        <w:t>®</w:t>
      </w:r>
      <w:r>
        <w:rPr>
          <w:rFonts w:ascii="Arial" w:hAnsi="Arial"/>
          <w:sz w:val="22"/>
          <w:szCs w:val="22"/>
        </w:rPr>
        <w:t xml:space="preserve">) and </w:t>
      </w:r>
      <w:proofErr w:type="spellStart"/>
      <w:r>
        <w:rPr>
          <w:rFonts w:ascii="Arial" w:hAnsi="Arial"/>
          <w:sz w:val="22"/>
          <w:szCs w:val="22"/>
        </w:rPr>
        <w:t>bicalutamide</w:t>
      </w:r>
      <w:proofErr w:type="spellEnd"/>
      <w:r w:rsidR="00F936B5">
        <w:rPr>
          <w:rFonts w:ascii="Arial" w:hAnsi="Arial"/>
          <w:sz w:val="22"/>
          <w:szCs w:val="22"/>
        </w:rPr>
        <w:t xml:space="preserve"> (various brands)</w:t>
      </w:r>
      <w:r w:rsidR="002D454B">
        <w:rPr>
          <w:rFonts w:ascii="Arial" w:hAnsi="Arial"/>
          <w:sz w:val="22"/>
          <w:szCs w:val="22"/>
        </w:rPr>
        <w:t xml:space="preserve"> </w:t>
      </w:r>
      <w:r>
        <w:rPr>
          <w:rFonts w:ascii="Arial" w:hAnsi="Arial"/>
          <w:sz w:val="22"/>
          <w:szCs w:val="22"/>
        </w:rPr>
        <w:t xml:space="preserve">are currently PBS listed for </w:t>
      </w:r>
      <w:r w:rsidR="00F72EA2">
        <w:rPr>
          <w:rFonts w:ascii="Arial" w:hAnsi="Arial"/>
          <w:sz w:val="22"/>
          <w:szCs w:val="22"/>
        </w:rPr>
        <w:t>the same</w:t>
      </w:r>
      <w:r>
        <w:rPr>
          <w:rFonts w:ascii="Arial" w:hAnsi="Arial"/>
          <w:sz w:val="22"/>
          <w:szCs w:val="22"/>
        </w:rPr>
        <w:t xml:space="preserve"> indication, and are able to be </w:t>
      </w:r>
      <w:r w:rsidR="002D454B">
        <w:rPr>
          <w:rFonts w:ascii="Arial" w:hAnsi="Arial"/>
          <w:sz w:val="22"/>
          <w:szCs w:val="22"/>
        </w:rPr>
        <w:t>co-</w:t>
      </w:r>
      <w:r>
        <w:rPr>
          <w:rFonts w:ascii="Arial" w:hAnsi="Arial"/>
          <w:sz w:val="22"/>
          <w:szCs w:val="22"/>
        </w:rPr>
        <w:t>prescribed.</w:t>
      </w:r>
    </w:p>
    <w:p w:rsidR="00EF44A0" w:rsidRPr="00C27B58" w:rsidRDefault="00EF44A0" w:rsidP="00727EB7">
      <w:pPr>
        <w:pStyle w:val="NoSpacing"/>
      </w:pPr>
    </w:p>
    <w:p w:rsidR="008B3041" w:rsidRDefault="00392083" w:rsidP="00024CD0">
      <w:pPr>
        <w:pStyle w:val="Heading1"/>
      </w:pPr>
      <w:r w:rsidRPr="00392083">
        <w:t xml:space="preserve">Requested listing </w:t>
      </w:r>
    </w:p>
    <w:p w:rsidR="008B3041" w:rsidRPr="008B3041" w:rsidRDefault="008B3041" w:rsidP="008B3041"/>
    <w:p w:rsidR="002E1B1B" w:rsidRPr="00024CD0" w:rsidRDefault="00EF44A0" w:rsidP="008B3041">
      <w:pPr>
        <w:pStyle w:val="Heading1"/>
        <w:numPr>
          <w:ilvl w:val="0"/>
          <w:numId w:val="0"/>
        </w:numPr>
        <w:ind w:left="643"/>
      </w:pPr>
      <w:r w:rsidRPr="00024CD0">
        <w:rPr>
          <w:b w:val="0"/>
        </w:rPr>
        <w:t xml:space="preserve">The submission </w:t>
      </w:r>
      <w:r w:rsidR="00FF2801" w:rsidRPr="00024CD0">
        <w:rPr>
          <w:b w:val="0"/>
        </w:rPr>
        <w:t>requested</w:t>
      </w:r>
      <w:r w:rsidRPr="00024CD0">
        <w:rPr>
          <w:b w:val="0"/>
        </w:rPr>
        <w:t xml:space="preserve"> the following </w:t>
      </w:r>
      <w:r w:rsidR="0076420C" w:rsidRPr="00024CD0">
        <w:rPr>
          <w:b w:val="0"/>
        </w:rPr>
        <w:t xml:space="preserve">new </w:t>
      </w:r>
      <w:r w:rsidR="00E51BB0" w:rsidRPr="00024CD0">
        <w:rPr>
          <w:b w:val="0"/>
        </w:rPr>
        <w:t xml:space="preserve">listings of three </w:t>
      </w:r>
      <w:proofErr w:type="spellStart"/>
      <w:r w:rsidR="00E51BB0" w:rsidRPr="00024CD0">
        <w:rPr>
          <w:b w:val="0"/>
        </w:rPr>
        <w:t>leuprorelin</w:t>
      </w:r>
      <w:proofErr w:type="spellEnd"/>
      <w:r w:rsidR="00E51BB0" w:rsidRPr="00024CD0">
        <w:rPr>
          <w:b w:val="0"/>
        </w:rPr>
        <w:t xml:space="preserve"> and </w:t>
      </w:r>
      <w:proofErr w:type="spellStart"/>
      <w:r w:rsidR="00E51BB0" w:rsidRPr="00024CD0">
        <w:rPr>
          <w:b w:val="0"/>
        </w:rPr>
        <w:t>bicalutamide</w:t>
      </w:r>
      <w:proofErr w:type="spellEnd"/>
      <w:r w:rsidR="008E3507" w:rsidRPr="00024CD0">
        <w:rPr>
          <w:b w:val="0"/>
        </w:rPr>
        <w:t xml:space="preserve"> (LEU/BIC)</w:t>
      </w:r>
      <w:r w:rsidR="00E51BB0" w:rsidRPr="00024CD0">
        <w:rPr>
          <w:b w:val="0"/>
        </w:rPr>
        <w:t xml:space="preserve"> combination packs.</w:t>
      </w:r>
      <w:r w:rsidR="00E51BB0" w:rsidRPr="00024CD0">
        <w:t xml:space="preserve"> </w:t>
      </w:r>
    </w:p>
    <w:p w:rsidR="002E1B1B" w:rsidRPr="002E1B1B" w:rsidRDefault="002E1B1B" w:rsidP="00343C45">
      <w:pPr>
        <w:pageBreakBefore/>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985"/>
        <w:gridCol w:w="1134"/>
        <w:gridCol w:w="850"/>
        <w:gridCol w:w="709"/>
        <w:gridCol w:w="1276"/>
        <w:gridCol w:w="1417"/>
        <w:gridCol w:w="1134"/>
      </w:tblGrid>
      <w:tr w:rsidR="00826F6D" w:rsidRPr="0039782C" w:rsidTr="002E1B1B">
        <w:trPr>
          <w:cantSplit/>
          <w:trHeight w:val="471"/>
        </w:trPr>
        <w:tc>
          <w:tcPr>
            <w:tcW w:w="3119" w:type="dxa"/>
            <w:gridSpan w:val="2"/>
            <w:tcBorders>
              <w:bottom w:val="single" w:sz="4" w:space="0" w:color="auto"/>
            </w:tcBorders>
          </w:tcPr>
          <w:p w:rsidR="00826F6D" w:rsidRPr="0039782C" w:rsidRDefault="002E1B1B" w:rsidP="00C27B58">
            <w:pPr>
              <w:keepNext/>
              <w:ind w:left="-108"/>
              <w:jc w:val="both"/>
              <w:rPr>
                <w:rFonts w:ascii="Arial Narrow" w:hAnsi="Arial Narrow" w:cs="Arial"/>
                <w:b/>
                <w:sz w:val="20"/>
                <w:szCs w:val="20"/>
              </w:rPr>
            </w:pPr>
            <w:r>
              <w:rPr>
                <w:rFonts w:ascii="Arial" w:hAnsi="Arial"/>
                <w:sz w:val="22"/>
                <w:szCs w:val="22"/>
              </w:rPr>
              <w:br w:type="page"/>
            </w:r>
            <w:r w:rsidR="00826F6D"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2551"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2E1B1B">
        <w:trPr>
          <w:cantSplit/>
          <w:trHeight w:val="577"/>
        </w:trPr>
        <w:tc>
          <w:tcPr>
            <w:tcW w:w="3119" w:type="dxa"/>
            <w:gridSpan w:val="2"/>
          </w:tcPr>
          <w:p w:rsidR="00380102" w:rsidRDefault="00380102" w:rsidP="002E1B1B">
            <w:pPr>
              <w:keepNext/>
              <w:ind w:left="-108"/>
              <w:jc w:val="both"/>
              <w:rPr>
                <w:rFonts w:ascii="Arial Narrow" w:hAnsi="Arial Narrow" w:cs="Arial"/>
                <w:smallCaps/>
                <w:sz w:val="20"/>
                <w:szCs w:val="20"/>
              </w:rPr>
            </w:pPr>
            <w:r>
              <w:rPr>
                <w:rFonts w:ascii="Arial Narrow" w:hAnsi="Arial Narrow" w:cs="Arial"/>
                <w:smallCaps/>
                <w:sz w:val="20"/>
                <w:szCs w:val="20"/>
              </w:rPr>
              <w:t>LEUPRORELIN AND BICALUTAMIDE</w:t>
            </w:r>
          </w:p>
          <w:p w:rsidR="00826F6D" w:rsidRPr="002E1B1B" w:rsidRDefault="002E1B1B" w:rsidP="002E1B1B">
            <w:pPr>
              <w:keepNext/>
              <w:ind w:left="-108"/>
              <w:jc w:val="both"/>
              <w:rPr>
                <w:rFonts w:ascii="Arial" w:hAnsi="Arial" w:cs="Arial"/>
                <w:sz w:val="20"/>
                <w:szCs w:val="20"/>
              </w:rPr>
            </w:pPr>
            <w:proofErr w:type="spellStart"/>
            <w:r w:rsidRPr="00380102">
              <w:rPr>
                <w:rFonts w:ascii="Arial Narrow" w:hAnsi="Arial Narrow" w:cs="Arial"/>
                <w:sz w:val="20"/>
                <w:szCs w:val="20"/>
              </w:rPr>
              <w:t>leuprorelin</w:t>
            </w:r>
            <w:proofErr w:type="spellEnd"/>
            <w:r w:rsidRPr="00380102">
              <w:rPr>
                <w:rFonts w:ascii="Arial Narrow" w:hAnsi="Arial Narrow" w:cs="Arial"/>
                <w:sz w:val="20"/>
                <w:szCs w:val="20"/>
              </w:rPr>
              <w:t xml:space="preserve"> acetate 7.5 mg injection: modified release [1 syringe] (&amp;) inert substance diluent [1 syringe], (&amp;) </w:t>
            </w:r>
            <w:proofErr w:type="spellStart"/>
            <w:r w:rsidRPr="00380102">
              <w:rPr>
                <w:rFonts w:ascii="Arial Narrow" w:hAnsi="Arial Narrow" w:cs="Arial"/>
                <w:sz w:val="20"/>
                <w:szCs w:val="20"/>
              </w:rPr>
              <w:t>bicalutamide</w:t>
            </w:r>
            <w:proofErr w:type="spellEnd"/>
            <w:r w:rsidRPr="00380102">
              <w:rPr>
                <w:rFonts w:ascii="Arial Narrow" w:hAnsi="Arial Narrow" w:cs="Arial"/>
                <w:sz w:val="20"/>
                <w:szCs w:val="20"/>
              </w:rPr>
              <w:t xml:space="preserve"> 50 mg tablet [28 tablets], 1 pack</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2E1B1B" w:rsidP="002E1B1B">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826F6D" w:rsidRPr="00260CE3" w:rsidRDefault="00826F6D" w:rsidP="00C27B58">
            <w:pPr>
              <w:keepNext/>
              <w:ind w:left="-108"/>
              <w:jc w:val="both"/>
              <w:rPr>
                <w:rFonts w:ascii="Arial Narrow" w:hAnsi="Arial Narrow" w:cs="Arial"/>
                <w:sz w:val="20"/>
                <w:szCs w:val="20"/>
              </w:rPr>
            </w:pPr>
          </w:p>
          <w:p w:rsidR="00826F6D" w:rsidRPr="00260CE3" w:rsidRDefault="002E1B1B" w:rsidP="00C27B58">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826F6D" w:rsidRPr="00260CE3" w:rsidRDefault="00826F6D" w:rsidP="00C27B58">
            <w:pPr>
              <w:keepNext/>
              <w:ind w:left="-108"/>
              <w:jc w:val="both"/>
              <w:rPr>
                <w:rFonts w:ascii="Arial Narrow" w:hAnsi="Arial Narrow" w:cs="Arial"/>
                <w:sz w:val="20"/>
                <w:szCs w:val="20"/>
              </w:rPr>
            </w:pPr>
          </w:p>
          <w:p w:rsidR="00826F6D" w:rsidRPr="00260CE3" w:rsidRDefault="002E1B1B" w:rsidP="00C27B58">
            <w:pPr>
              <w:keepNext/>
              <w:ind w:left="-108"/>
              <w:jc w:val="both"/>
              <w:rPr>
                <w:rFonts w:ascii="Arial Narrow" w:hAnsi="Arial Narrow" w:cs="Arial"/>
                <w:sz w:val="20"/>
                <w:szCs w:val="20"/>
              </w:rPr>
            </w:pPr>
            <w:r>
              <w:rPr>
                <w:rFonts w:ascii="Arial Narrow" w:hAnsi="Arial Narrow" w:cs="Arial"/>
                <w:sz w:val="20"/>
                <w:szCs w:val="20"/>
              </w:rPr>
              <w:t>$</w:t>
            </w:r>
            <w:r w:rsidR="00892BF0">
              <w:rPr>
                <w:rFonts w:ascii="Arial Narrow" w:hAnsi="Arial Narrow" w:cs="Arial"/>
                <w:noProof/>
                <w:color w:val="000000"/>
                <w:sz w:val="20"/>
                <w:szCs w:val="20"/>
                <w:highlight w:val="black"/>
              </w:rPr>
              <w:t>'''''''''''''''''</w:t>
            </w:r>
          </w:p>
        </w:tc>
        <w:tc>
          <w:tcPr>
            <w:tcW w:w="1417" w:type="dxa"/>
          </w:tcPr>
          <w:p w:rsidR="00C27B58" w:rsidRDefault="00C27B58" w:rsidP="00C27B58">
            <w:pPr>
              <w:keepNext/>
              <w:jc w:val="both"/>
              <w:rPr>
                <w:rFonts w:ascii="Arial Narrow" w:hAnsi="Arial Narrow" w:cs="Arial"/>
                <w:sz w:val="20"/>
                <w:szCs w:val="20"/>
              </w:rPr>
            </w:pPr>
          </w:p>
          <w:p w:rsidR="00826F6D" w:rsidRPr="00260CE3" w:rsidRDefault="002E1B1B" w:rsidP="00C27B58">
            <w:pPr>
              <w:keepNext/>
              <w:jc w:val="both"/>
              <w:rPr>
                <w:rFonts w:ascii="Arial Narrow" w:hAnsi="Arial Narrow" w:cs="Arial"/>
                <w:sz w:val="20"/>
                <w:szCs w:val="20"/>
              </w:rPr>
            </w:pPr>
            <w:proofErr w:type="spellStart"/>
            <w:r>
              <w:rPr>
                <w:rFonts w:ascii="Arial" w:hAnsi="Arial"/>
                <w:smallCaps/>
                <w:sz w:val="20"/>
                <w:szCs w:val="20"/>
              </w:rPr>
              <w:t>Bi</w:t>
            </w:r>
            <w:proofErr w:type="spellEnd"/>
            <w:r>
              <w:rPr>
                <w:rFonts w:ascii="Arial" w:hAnsi="Arial"/>
                <w:smallCaps/>
                <w:sz w:val="20"/>
                <w:szCs w:val="20"/>
              </w:rPr>
              <w:t xml:space="preserve"> ELIGARD </w:t>
            </w:r>
            <w:r>
              <w:rPr>
                <w:rFonts w:ascii="Arial" w:hAnsi="Arial"/>
                <w:sz w:val="20"/>
              </w:rPr>
              <w:t>CP®</w:t>
            </w:r>
          </w:p>
        </w:tc>
        <w:tc>
          <w:tcPr>
            <w:tcW w:w="1134" w:type="dxa"/>
          </w:tcPr>
          <w:p w:rsidR="00C27B58" w:rsidRDefault="00C27B58" w:rsidP="00C27B58">
            <w:pPr>
              <w:keepNext/>
              <w:jc w:val="both"/>
              <w:rPr>
                <w:rFonts w:ascii="Arial Narrow" w:hAnsi="Arial Narrow" w:cs="Arial"/>
                <w:sz w:val="20"/>
                <w:szCs w:val="20"/>
              </w:rPr>
            </w:pPr>
          </w:p>
          <w:p w:rsidR="00826F6D" w:rsidRPr="00260CE3" w:rsidRDefault="002E1B1B" w:rsidP="00C27B58">
            <w:pPr>
              <w:keepNext/>
              <w:jc w:val="both"/>
              <w:rPr>
                <w:rFonts w:ascii="Arial Narrow" w:hAnsi="Arial Narrow" w:cs="Arial"/>
                <w:sz w:val="20"/>
                <w:szCs w:val="20"/>
              </w:rPr>
            </w:pPr>
            <w:proofErr w:type="spellStart"/>
            <w:r w:rsidRPr="009278D1">
              <w:rPr>
                <w:rFonts w:ascii="Arial" w:hAnsi="Arial"/>
                <w:sz w:val="20"/>
              </w:rPr>
              <w:t>Tolmar</w:t>
            </w:r>
            <w:proofErr w:type="spellEnd"/>
            <w:r w:rsidRPr="009278D1">
              <w:rPr>
                <w:rFonts w:ascii="Arial" w:hAnsi="Arial"/>
                <w:sz w:val="20"/>
              </w:rPr>
              <w:t xml:space="preserve"> Australia Pty Ltd</w:t>
            </w:r>
            <w:r>
              <w:rPr>
                <w:rFonts w:ascii="Arial" w:hAnsi="Arial"/>
                <w:sz w:val="20"/>
              </w:rPr>
              <w:t xml:space="preserve"> (TL)</w:t>
            </w:r>
          </w:p>
        </w:tc>
      </w:tr>
      <w:tr w:rsidR="00826F6D" w:rsidRPr="00260CE3" w:rsidTr="002E1B1B">
        <w:trPr>
          <w:cantSplit/>
          <w:trHeight w:val="360"/>
        </w:trPr>
        <w:tc>
          <w:tcPr>
            <w:tcW w:w="8505"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2E1B1B">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392083" w:rsidRDefault="00826F6D" w:rsidP="00C27B58">
            <w:pPr>
              <w:jc w:val="both"/>
              <w:rPr>
                <w:rFonts w:ascii="Arial Narrow" w:hAnsi="Arial Narrow" w:cs="Arial"/>
                <w:b/>
                <w:sz w:val="20"/>
                <w:szCs w:val="20"/>
              </w:rPr>
            </w:pPr>
            <w:r w:rsidRPr="00392083">
              <w:rPr>
                <w:rFonts w:ascii="Arial Narrow" w:hAnsi="Arial Narrow" w:cs="Arial"/>
                <w:b/>
                <w:sz w:val="20"/>
                <w:szCs w:val="20"/>
              </w:rPr>
              <w:t xml:space="preserve">Category / </w:t>
            </w:r>
          </w:p>
          <w:p w:rsidR="00826F6D" w:rsidRPr="00392083" w:rsidRDefault="00826F6D" w:rsidP="00C27B58">
            <w:pPr>
              <w:jc w:val="both"/>
              <w:rPr>
                <w:rFonts w:ascii="Arial Narrow" w:hAnsi="Arial Narrow" w:cs="Arial"/>
                <w:b/>
                <w:sz w:val="20"/>
                <w:szCs w:val="20"/>
              </w:rPr>
            </w:pPr>
            <w:r w:rsidRPr="00392083">
              <w:rPr>
                <w:rFonts w:ascii="Arial Narrow" w:hAnsi="Arial Narrow" w:cs="Arial"/>
                <w:b/>
                <w:sz w:val="20"/>
                <w:szCs w:val="20"/>
              </w:rPr>
              <w:t>Program</w:t>
            </w:r>
          </w:p>
        </w:tc>
        <w:tc>
          <w:tcPr>
            <w:tcW w:w="6520" w:type="dxa"/>
            <w:gridSpan w:val="6"/>
            <w:tcBorders>
              <w:top w:val="single" w:sz="4" w:space="0" w:color="auto"/>
              <w:left w:val="single" w:sz="4" w:space="0" w:color="auto"/>
              <w:bottom w:val="single" w:sz="4" w:space="0" w:color="auto"/>
              <w:right w:val="single" w:sz="4" w:space="0" w:color="auto"/>
            </w:tcBorders>
          </w:tcPr>
          <w:p w:rsidR="00826F6D" w:rsidRPr="00392083" w:rsidRDefault="00826F6D" w:rsidP="00C27B58">
            <w:pPr>
              <w:rPr>
                <w:rFonts w:ascii="Arial Narrow" w:hAnsi="Arial Narrow" w:cs="Arial"/>
                <w:sz w:val="20"/>
                <w:szCs w:val="20"/>
              </w:rPr>
            </w:pPr>
            <w:r w:rsidRPr="00392083">
              <w:rPr>
                <w:rFonts w:ascii="Arial Narrow" w:hAnsi="Arial Narrow" w:cs="Arial"/>
                <w:sz w:val="20"/>
                <w:szCs w:val="20"/>
              </w:rPr>
              <w:t>GENERAL – General Schedule (Code GE)</w:t>
            </w:r>
          </w:p>
          <w:p w:rsidR="00826F6D" w:rsidRPr="00392083" w:rsidRDefault="00826F6D" w:rsidP="00C27B58">
            <w:pPr>
              <w:rPr>
                <w:rFonts w:ascii="Arial Narrow" w:hAnsi="Arial Narrow" w:cs="Arial"/>
                <w:sz w:val="20"/>
                <w:szCs w:val="20"/>
              </w:rPr>
            </w:pPr>
          </w:p>
        </w:tc>
      </w:tr>
      <w:tr w:rsidR="00826F6D" w:rsidRPr="00260CE3" w:rsidTr="002E1B1B">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392083" w:rsidRDefault="00826F6D" w:rsidP="00C27B58">
            <w:pPr>
              <w:jc w:val="both"/>
              <w:rPr>
                <w:rFonts w:ascii="Arial Narrow" w:hAnsi="Arial Narrow" w:cs="Arial"/>
                <w:b/>
                <w:sz w:val="20"/>
                <w:szCs w:val="20"/>
              </w:rPr>
            </w:pPr>
            <w:r w:rsidRPr="00392083">
              <w:rPr>
                <w:rFonts w:ascii="Arial Narrow" w:hAnsi="Arial Narrow" w:cs="Arial"/>
                <w:b/>
                <w:sz w:val="20"/>
                <w:szCs w:val="20"/>
              </w:rPr>
              <w:t>Prescriber type:</w:t>
            </w:r>
          </w:p>
        </w:tc>
        <w:tc>
          <w:tcPr>
            <w:tcW w:w="6520" w:type="dxa"/>
            <w:gridSpan w:val="6"/>
            <w:tcBorders>
              <w:top w:val="single" w:sz="4" w:space="0" w:color="auto"/>
              <w:left w:val="single" w:sz="4" w:space="0" w:color="auto"/>
              <w:bottom w:val="single" w:sz="4" w:space="0" w:color="auto"/>
              <w:right w:val="single" w:sz="4" w:space="0" w:color="auto"/>
            </w:tcBorders>
          </w:tcPr>
          <w:p w:rsidR="00826F6D" w:rsidRPr="00392083" w:rsidRDefault="00826F6D" w:rsidP="00C27B58">
            <w:pPr>
              <w:rPr>
                <w:rFonts w:ascii="Arial Narrow" w:hAnsi="Arial Narrow" w:cs="Arial"/>
                <w:sz w:val="20"/>
                <w:szCs w:val="20"/>
              </w:rPr>
            </w:pPr>
            <w:r w:rsidRPr="00392083">
              <w:rPr>
                <w:rFonts w:ascii="Arial Narrow" w:hAnsi="Arial Narrow" w:cs="Arial"/>
                <w:sz w:val="20"/>
                <w:szCs w:val="20"/>
              </w:rPr>
              <w:fldChar w:fldCharType="begin">
                <w:ffData>
                  <w:name w:val="Check1"/>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 xml:space="preserve">Dental  </w:t>
            </w:r>
            <w:r w:rsidR="0077749E" w:rsidRPr="00392083">
              <w:rPr>
                <w:rFonts w:ascii="Arial Narrow" w:hAnsi="Arial Narrow" w:cs="Arial"/>
                <w:sz w:val="20"/>
                <w:szCs w:val="20"/>
              </w:rPr>
              <w:fldChar w:fldCharType="begin">
                <w:ffData>
                  <w:name w:val=""/>
                  <w:enabled/>
                  <w:calcOnExit w:val="0"/>
                  <w:checkBox>
                    <w:sizeAuto/>
                    <w:default w:val="1"/>
                  </w:checkBox>
                </w:ffData>
              </w:fldChar>
            </w:r>
            <w:r w:rsidR="0077749E"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0077749E" w:rsidRPr="00392083">
              <w:rPr>
                <w:rFonts w:ascii="Arial Narrow" w:hAnsi="Arial Narrow" w:cs="Arial"/>
                <w:sz w:val="20"/>
                <w:szCs w:val="20"/>
              </w:rPr>
              <w:fldChar w:fldCharType="end"/>
            </w:r>
            <w:r w:rsidRPr="00392083">
              <w:rPr>
                <w:rFonts w:ascii="Arial Narrow" w:hAnsi="Arial Narrow" w:cs="Arial"/>
                <w:sz w:val="20"/>
                <w:szCs w:val="20"/>
              </w:rPr>
              <w:t xml:space="preserve">Medical Practitioners  </w:t>
            </w:r>
            <w:r w:rsidRPr="00392083">
              <w:rPr>
                <w:rFonts w:ascii="Arial Narrow" w:hAnsi="Arial Narrow" w:cs="Arial"/>
                <w:sz w:val="20"/>
                <w:szCs w:val="20"/>
              </w:rPr>
              <w:fldChar w:fldCharType="begin">
                <w:ffData>
                  <w:name w:val="Check3"/>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 xml:space="preserve">Nurse practitioners  </w:t>
            </w:r>
            <w:r w:rsidRPr="00392083">
              <w:rPr>
                <w:rFonts w:ascii="Arial Narrow" w:hAnsi="Arial Narrow" w:cs="Arial"/>
                <w:sz w:val="20"/>
                <w:szCs w:val="20"/>
              </w:rPr>
              <w:fldChar w:fldCharType="begin">
                <w:ffData>
                  <w:name w:val=""/>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Optometrists</w:t>
            </w:r>
          </w:p>
          <w:p w:rsidR="00826F6D" w:rsidRPr="00392083" w:rsidRDefault="00826F6D" w:rsidP="00C27B58">
            <w:pPr>
              <w:rPr>
                <w:rFonts w:ascii="Arial Narrow" w:hAnsi="Arial Narrow" w:cs="Arial"/>
                <w:sz w:val="20"/>
                <w:szCs w:val="20"/>
              </w:rPr>
            </w:pPr>
            <w:r w:rsidRPr="00392083">
              <w:rPr>
                <w:rFonts w:ascii="Arial Narrow" w:hAnsi="Arial Narrow" w:cs="Arial"/>
                <w:sz w:val="20"/>
                <w:szCs w:val="20"/>
              </w:rPr>
              <w:fldChar w:fldCharType="begin">
                <w:ffData>
                  <w:name w:val="Check5"/>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Midwives</w:t>
            </w:r>
          </w:p>
        </w:tc>
      </w:tr>
      <w:tr w:rsidR="00AA3BA9" w:rsidRPr="00260CE3" w:rsidTr="002E1B1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A3BA9" w:rsidRPr="00392083" w:rsidRDefault="00AA3BA9" w:rsidP="00C27B58">
            <w:pPr>
              <w:jc w:val="both"/>
              <w:rPr>
                <w:rFonts w:ascii="Arial Narrow" w:hAnsi="Arial Narrow" w:cs="Arial"/>
                <w:b/>
                <w:sz w:val="20"/>
                <w:szCs w:val="20"/>
              </w:rPr>
            </w:pPr>
            <w:r w:rsidRPr="00392083">
              <w:rPr>
                <w:rFonts w:ascii="Arial Narrow" w:hAnsi="Arial Narrow" w:cs="Arial"/>
                <w:b/>
                <w:sz w:val="20"/>
                <w:szCs w:val="20"/>
              </w:rPr>
              <w:t>Condition:</w:t>
            </w:r>
          </w:p>
        </w:tc>
        <w:tc>
          <w:tcPr>
            <w:tcW w:w="6520" w:type="dxa"/>
            <w:gridSpan w:val="6"/>
            <w:tcBorders>
              <w:top w:val="single" w:sz="4" w:space="0" w:color="auto"/>
              <w:left w:val="single" w:sz="4" w:space="0" w:color="auto"/>
              <w:bottom w:val="single" w:sz="4" w:space="0" w:color="auto"/>
              <w:right w:val="single" w:sz="4" w:space="0" w:color="auto"/>
            </w:tcBorders>
          </w:tcPr>
          <w:p w:rsidR="00AA3BA9" w:rsidRPr="00392083" w:rsidRDefault="00AA3BA9" w:rsidP="0077749E">
            <w:pPr>
              <w:tabs>
                <w:tab w:val="left" w:pos="990"/>
              </w:tabs>
              <w:rPr>
                <w:rFonts w:ascii="Arial Narrow" w:hAnsi="Arial Narrow"/>
                <w:sz w:val="20"/>
              </w:rPr>
            </w:pPr>
            <w:r w:rsidRPr="00392083">
              <w:rPr>
                <w:rFonts w:ascii="Arial Narrow" w:hAnsi="Arial Narrow"/>
                <w:sz w:val="20"/>
              </w:rPr>
              <w:t>Carcinoma of the prostate</w:t>
            </w:r>
          </w:p>
        </w:tc>
      </w:tr>
      <w:tr w:rsidR="00AA3BA9" w:rsidRPr="00260CE3" w:rsidTr="00392083">
        <w:trPr>
          <w:cantSplit/>
          <w:trHeight w:val="309"/>
        </w:trPr>
        <w:tc>
          <w:tcPr>
            <w:tcW w:w="1985" w:type="dxa"/>
            <w:tcBorders>
              <w:top w:val="single" w:sz="4" w:space="0" w:color="auto"/>
              <w:left w:val="single" w:sz="4" w:space="0" w:color="auto"/>
              <w:bottom w:val="single" w:sz="4" w:space="0" w:color="auto"/>
              <w:right w:val="single" w:sz="4" w:space="0" w:color="auto"/>
            </w:tcBorders>
          </w:tcPr>
          <w:p w:rsidR="00AA3BA9" w:rsidRPr="00392083" w:rsidRDefault="00AA3BA9" w:rsidP="00C27B58">
            <w:pPr>
              <w:jc w:val="both"/>
              <w:rPr>
                <w:rFonts w:ascii="Arial Narrow" w:hAnsi="Arial Narrow" w:cs="Arial"/>
                <w:b/>
                <w:sz w:val="20"/>
                <w:szCs w:val="20"/>
              </w:rPr>
            </w:pPr>
            <w:r w:rsidRPr="00392083">
              <w:rPr>
                <w:rFonts w:ascii="Arial Narrow" w:hAnsi="Arial Narrow" w:cs="Arial"/>
                <w:b/>
                <w:sz w:val="20"/>
                <w:szCs w:val="20"/>
              </w:rPr>
              <w:t>PBS Indication:</w:t>
            </w:r>
          </w:p>
        </w:tc>
        <w:tc>
          <w:tcPr>
            <w:tcW w:w="6520" w:type="dxa"/>
            <w:gridSpan w:val="6"/>
            <w:tcBorders>
              <w:top w:val="single" w:sz="4" w:space="0" w:color="auto"/>
              <w:left w:val="single" w:sz="4" w:space="0" w:color="auto"/>
              <w:bottom w:val="single" w:sz="4" w:space="0" w:color="auto"/>
              <w:right w:val="single" w:sz="4" w:space="0" w:color="auto"/>
            </w:tcBorders>
          </w:tcPr>
          <w:p w:rsidR="00AA3BA9" w:rsidRPr="00392083" w:rsidRDefault="00AA3BA9" w:rsidP="0077749E">
            <w:pPr>
              <w:tabs>
                <w:tab w:val="left" w:pos="990"/>
              </w:tabs>
              <w:rPr>
                <w:rFonts w:ascii="Arial Narrow" w:hAnsi="Arial Narrow"/>
                <w:sz w:val="20"/>
              </w:rPr>
            </w:pPr>
            <w:r w:rsidRPr="00392083">
              <w:rPr>
                <w:rFonts w:ascii="Arial Narrow" w:hAnsi="Arial Narrow"/>
                <w:sz w:val="20"/>
              </w:rPr>
              <w:t>Carcinoma of the prostate</w:t>
            </w:r>
          </w:p>
        </w:tc>
      </w:tr>
      <w:tr w:rsidR="00AA3BA9" w:rsidRPr="00260CE3" w:rsidTr="002E1B1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A3BA9" w:rsidRPr="00392083" w:rsidRDefault="00AA3BA9" w:rsidP="00C27B58">
            <w:pPr>
              <w:jc w:val="both"/>
              <w:rPr>
                <w:rFonts w:ascii="Arial Narrow" w:hAnsi="Arial Narrow" w:cs="Arial"/>
                <w:b/>
                <w:sz w:val="20"/>
                <w:szCs w:val="20"/>
              </w:rPr>
            </w:pPr>
            <w:r w:rsidRPr="00392083">
              <w:rPr>
                <w:rFonts w:ascii="Arial Narrow" w:hAnsi="Arial Narrow" w:cs="Arial"/>
                <w:b/>
                <w:sz w:val="20"/>
                <w:szCs w:val="20"/>
              </w:rPr>
              <w:t>Restriction Level / Method:</w:t>
            </w:r>
          </w:p>
          <w:p w:rsidR="00AA3BA9" w:rsidRPr="00392083" w:rsidRDefault="00AA3BA9" w:rsidP="00C27B58">
            <w:pPr>
              <w:rPr>
                <w:rFonts w:ascii="Arial Narrow" w:hAnsi="Arial Narrow" w:cs="Arial"/>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AA3BA9" w:rsidRPr="00392083" w:rsidRDefault="00AA3BA9"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Check1"/>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Restricted benefit</w:t>
            </w:r>
          </w:p>
          <w:p w:rsidR="00AA3BA9" w:rsidRPr="00392083" w:rsidRDefault="00AA3BA9"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Authority Required - In Writing</w:t>
            </w:r>
          </w:p>
          <w:p w:rsidR="00AA3BA9" w:rsidRPr="00392083" w:rsidRDefault="00AA3BA9"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Check3"/>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Authority Required - Telephone</w:t>
            </w:r>
          </w:p>
          <w:p w:rsidR="00AA3BA9" w:rsidRPr="00392083" w:rsidRDefault="00AA3BA9"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Authority Required – Emergency</w:t>
            </w:r>
          </w:p>
          <w:p w:rsidR="00AA3BA9" w:rsidRPr="00392083" w:rsidRDefault="00AA3BA9"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Check5"/>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Authority Required - Electronic</w:t>
            </w:r>
          </w:p>
          <w:p w:rsidR="00AA3BA9" w:rsidRPr="00392083" w:rsidRDefault="00AA3BA9" w:rsidP="0077749E">
            <w:pPr>
              <w:spacing w:line="360" w:lineRule="auto"/>
              <w:rPr>
                <w:rFonts w:ascii="Arial Narrow" w:hAnsi="Arial Narrow"/>
                <w:sz w:val="20"/>
              </w:rPr>
            </w:pPr>
            <w:r w:rsidRPr="00392083">
              <w:rPr>
                <w:rFonts w:ascii="Arial Narrow" w:hAnsi="Arial Narrow" w:cs="Arial"/>
                <w:sz w:val="20"/>
                <w:szCs w:val="20"/>
              </w:rPr>
              <w:fldChar w:fldCharType="begin">
                <w:ffData>
                  <w:name w:val="Check5"/>
                  <w:enabled/>
                  <w:calcOnExit w:val="0"/>
                  <w:checkBox>
                    <w:sizeAuto/>
                    <w:default w:val="1"/>
                  </w:checkBox>
                </w:ffData>
              </w:fldChar>
            </w:r>
            <w:bookmarkStart w:id="0" w:name="Check5"/>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bookmarkEnd w:id="0"/>
            <w:r w:rsidRPr="00392083">
              <w:rPr>
                <w:rFonts w:ascii="Arial Narrow" w:hAnsi="Arial Narrow" w:cs="Arial"/>
                <w:sz w:val="20"/>
                <w:szCs w:val="20"/>
              </w:rPr>
              <w:t>Streamlined</w:t>
            </w:r>
          </w:p>
        </w:tc>
      </w:tr>
      <w:tr w:rsidR="00AA3BA9" w:rsidRPr="00260CE3" w:rsidTr="002E1B1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A3BA9" w:rsidRPr="00392083" w:rsidRDefault="00AA3BA9" w:rsidP="00C27B58">
            <w:pPr>
              <w:jc w:val="both"/>
              <w:rPr>
                <w:rFonts w:ascii="Arial Narrow" w:hAnsi="Arial Narrow" w:cs="Arial"/>
                <w:b/>
                <w:sz w:val="20"/>
                <w:szCs w:val="20"/>
              </w:rPr>
            </w:pPr>
            <w:r w:rsidRPr="00392083">
              <w:rPr>
                <w:rFonts w:ascii="Arial Narrow" w:hAnsi="Arial Narrow" w:cs="Arial"/>
                <w:b/>
                <w:sz w:val="20"/>
                <w:szCs w:val="20"/>
              </w:rPr>
              <w:t>Clinical criteria:</w:t>
            </w:r>
          </w:p>
          <w:p w:rsidR="00AA3BA9" w:rsidRPr="00392083" w:rsidRDefault="00AA3BA9" w:rsidP="00C27B58">
            <w:pPr>
              <w:jc w:val="both"/>
              <w:rPr>
                <w:rFonts w:ascii="Arial Narrow" w:hAnsi="Arial Narrow" w:cs="Arial"/>
                <w:i/>
                <w:sz w:val="20"/>
                <w:szCs w:val="20"/>
              </w:rPr>
            </w:pPr>
          </w:p>
          <w:p w:rsidR="00AA3BA9" w:rsidRPr="00392083" w:rsidRDefault="00AA3BA9" w:rsidP="00AA3BA9">
            <w:pPr>
              <w:jc w:val="both"/>
              <w:rPr>
                <w:rFonts w:ascii="Arial Narrow" w:hAnsi="Arial Narrow" w:cs="Arial"/>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AA3BA9" w:rsidRPr="00392083" w:rsidRDefault="00AA3BA9" w:rsidP="0077749E">
            <w:pPr>
              <w:tabs>
                <w:tab w:val="left" w:pos="990"/>
              </w:tabs>
              <w:rPr>
                <w:rFonts w:ascii="Arial Narrow" w:hAnsi="Arial Narrow"/>
                <w:sz w:val="20"/>
              </w:rPr>
            </w:pPr>
            <w:r w:rsidRPr="00392083">
              <w:rPr>
                <w:rFonts w:ascii="Arial Narrow" w:hAnsi="Arial Narrow"/>
                <w:sz w:val="20"/>
              </w:rPr>
              <w:t>The condition must be metastatic (stage D),</w:t>
            </w:r>
          </w:p>
          <w:p w:rsidR="00AA3BA9" w:rsidRPr="00392083" w:rsidRDefault="00AA3BA9" w:rsidP="0077749E">
            <w:pPr>
              <w:tabs>
                <w:tab w:val="left" w:pos="990"/>
              </w:tabs>
              <w:rPr>
                <w:rFonts w:ascii="Arial Narrow" w:hAnsi="Arial Narrow"/>
                <w:sz w:val="20"/>
              </w:rPr>
            </w:pPr>
          </w:p>
          <w:p w:rsidR="00AA3BA9" w:rsidRPr="00392083" w:rsidRDefault="00AA3BA9" w:rsidP="0077749E">
            <w:pPr>
              <w:tabs>
                <w:tab w:val="left" w:pos="990"/>
              </w:tabs>
              <w:rPr>
                <w:rFonts w:ascii="Arial Narrow" w:hAnsi="Arial Narrow"/>
                <w:sz w:val="20"/>
              </w:rPr>
            </w:pPr>
            <w:r w:rsidRPr="00392083">
              <w:rPr>
                <w:rFonts w:ascii="Arial Narrow" w:hAnsi="Arial Narrow"/>
                <w:sz w:val="20"/>
              </w:rPr>
              <w:t>AND</w:t>
            </w:r>
          </w:p>
          <w:p w:rsidR="00AA3BA9" w:rsidRPr="00392083" w:rsidRDefault="00AA3BA9" w:rsidP="0077749E">
            <w:pPr>
              <w:tabs>
                <w:tab w:val="left" w:pos="990"/>
              </w:tabs>
              <w:rPr>
                <w:rFonts w:ascii="Arial Narrow" w:hAnsi="Arial Narrow"/>
                <w:sz w:val="20"/>
              </w:rPr>
            </w:pPr>
          </w:p>
          <w:p w:rsidR="00AA3BA9" w:rsidRPr="00392083" w:rsidRDefault="00AA3BA9" w:rsidP="0077749E">
            <w:pPr>
              <w:tabs>
                <w:tab w:val="left" w:pos="990"/>
              </w:tabs>
              <w:rPr>
                <w:rFonts w:ascii="Arial Narrow" w:hAnsi="Arial Narrow"/>
                <w:sz w:val="20"/>
              </w:rPr>
            </w:pPr>
            <w:r w:rsidRPr="00392083">
              <w:rPr>
                <w:rFonts w:ascii="Arial Narrow" w:hAnsi="Arial Narrow"/>
                <w:sz w:val="20"/>
              </w:rPr>
              <w:t xml:space="preserve">Patient must require a combination of an </w:t>
            </w:r>
            <w:proofErr w:type="spellStart"/>
            <w:r w:rsidRPr="00392083">
              <w:rPr>
                <w:rFonts w:ascii="Arial Narrow" w:hAnsi="Arial Narrow"/>
                <w:sz w:val="20"/>
              </w:rPr>
              <w:t>antiandrogen</w:t>
            </w:r>
            <w:proofErr w:type="spellEnd"/>
            <w:r w:rsidRPr="00392083">
              <w:rPr>
                <w:rFonts w:ascii="Arial Narrow" w:hAnsi="Arial Narrow"/>
                <w:sz w:val="20"/>
              </w:rPr>
              <w:t xml:space="preserve"> and a </w:t>
            </w:r>
            <w:proofErr w:type="spellStart"/>
            <w:r w:rsidRPr="00392083">
              <w:rPr>
                <w:rFonts w:ascii="Arial Narrow" w:hAnsi="Arial Narrow"/>
                <w:sz w:val="20"/>
              </w:rPr>
              <w:t>GnRH</w:t>
            </w:r>
            <w:proofErr w:type="spellEnd"/>
            <w:r w:rsidRPr="00392083">
              <w:rPr>
                <w:rFonts w:ascii="Arial Narrow" w:hAnsi="Arial Narrow"/>
                <w:sz w:val="20"/>
              </w:rPr>
              <w:t xml:space="preserve"> (LH-RH) agonist.</w:t>
            </w:r>
          </w:p>
        </w:tc>
      </w:tr>
      <w:tr w:rsidR="00AA3BA9" w:rsidRPr="00260CE3" w:rsidTr="002E1B1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A3BA9" w:rsidRPr="00392083" w:rsidRDefault="00AA3BA9" w:rsidP="00C27B58">
            <w:pPr>
              <w:jc w:val="both"/>
              <w:rPr>
                <w:rFonts w:ascii="Arial Narrow" w:hAnsi="Arial Narrow" w:cs="Arial"/>
                <w:b/>
                <w:sz w:val="20"/>
                <w:szCs w:val="20"/>
              </w:rPr>
            </w:pPr>
            <w:r w:rsidRPr="00392083">
              <w:rPr>
                <w:rFonts w:ascii="Arial Narrow" w:hAnsi="Arial Narrow" w:cs="Arial"/>
                <w:b/>
                <w:sz w:val="20"/>
                <w:szCs w:val="20"/>
              </w:rPr>
              <w:t>Administrative Advice</w:t>
            </w:r>
          </w:p>
          <w:p w:rsidR="00AA3BA9" w:rsidRPr="00392083" w:rsidRDefault="00AA3BA9" w:rsidP="00C27B58">
            <w:pPr>
              <w:jc w:val="both"/>
              <w:rPr>
                <w:rFonts w:ascii="Arial Narrow" w:hAnsi="Arial Narrow" w:cs="Arial"/>
                <w:i/>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AA3BA9" w:rsidRPr="00392083" w:rsidRDefault="00AA3BA9" w:rsidP="0077749E">
            <w:pPr>
              <w:tabs>
                <w:tab w:val="left" w:pos="990"/>
              </w:tabs>
              <w:rPr>
                <w:rFonts w:ascii="Arial Narrow" w:hAnsi="Arial Narrow"/>
                <w:b/>
                <w:sz w:val="20"/>
                <w:u w:val="single"/>
              </w:rPr>
            </w:pPr>
            <w:r w:rsidRPr="00392083">
              <w:rPr>
                <w:rFonts w:ascii="Arial Narrow" w:hAnsi="Arial Narrow"/>
                <w:b/>
                <w:sz w:val="20"/>
                <w:u w:val="single"/>
              </w:rPr>
              <w:t>Note</w:t>
            </w:r>
          </w:p>
          <w:p w:rsidR="00AA3BA9" w:rsidRPr="00392083" w:rsidRDefault="00AA3BA9" w:rsidP="0077749E">
            <w:pPr>
              <w:tabs>
                <w:tab w:val="left" w:pos="990"/>
              </w:tabs>
              <w:rPr>
                <w:rFonts w:ascii="Arial Narrow" w:hAnsi="Arial Narrow"/>
                <w:sz w:val="20"/>
              </w:rPr>
            </w:pPr>
            <w:r w:rsidRPr="00392083">
              <w:rPr>
                <w:rFonts w:ascii="Arial Narrow" w:hAnsi="Arial Narrow"/>
                <w:sz w:val="20"/>
              </w:rPr>
              <w:t>No increase in the maximum quantity or number of units may be authorised.</w:t>
            </w:r>
          </w:p>
          <w:p w:rsidR="00AA3BA9" w:rsidRPr="00392083" w:rsidRDefault="00AA3BA9" w:rsidP="0077749E">
            <w:pPr>
              <w:tabs>
                <w:tab w:val="left" w:pos="990"/>
              </w:tabs>
              <w:rPr>
                <w:rFonts w:ascii="Arial Narrow" w:hAnsi="Arial Narrow"/>
                <w:sz w:val="20"/>
              </w:rPr>
            </w:pPr>
          </w:p>
          <w:p w:rsidR="00AA3BA9" w:rsidRPr="00392083" w:rsidRDefault="00AA3BA9" w:rsidP="0077749E">
            <w:pPr>
              <w:tabs>
                <w:tab w:val="left" w:pos="990"/>
              </w:tabs>
              <w:rPr>
                <w:rFonts w:ascii="Arial Narrow" w:hAnsi="Arial Narrow"/>
                <w:b/>
                <w:sz w:val="20"/>
                <w:u w:val="single"/>
              </w:rPr>
            </w:pPr>
            <w:r w:rsidRPr="00392083">
              <w:rPr>
                <w:rFonts w:ascii="Arial Narrow" w:hAnsi="Arial Narrow"/>
                <w:b/>
                <w:sz w:val="20"/>
                <w:u w:val="single"/>
              </w:rPr>
              <w:t>Note</w:t>
            </w:r>
          </w:p>
          <w:p w:rsidR="00AA3BA9" w:rsidRPr="00392083" w:rsidRDefault="00AA3BA9" w:rsidP="0077749E">
            <w:pPr>
              <w:tabs>
                <w:tab w:val="left" w:pos="990"/>
              </w:tabs>
              <w:rPr>
                <w:rFonts w:ascii="Arial Narrow" w:hAnsi="Arial Narrow"/>
                <w:sz w:val="20"/>
              </w:rPr>
            </w:pPr>
            <w:r w:rsidRPr="00392083">
              <w:rPr>
                <w:rFonts w:ascii="Arial Narrow" w:hAnsi="Arial Narrow"/>
                <w:sz w:val="20"/>
              </w:rPr>
              <w:t>No increase in the maximum number of repeats may be authorised.</w:t>
            </w:r>
          </w:p>
        </w:tc>
      </w:tr>
    </w:tbl>
    <w:p w:rsidR="00C249E4" w:rsidRDefault="00C249E4" w:rsidP="00826F6D">
      <w:pPr>
        <w:pStyle w:val="ListParagraph"/>
        <w:jc w:val="both"/>
        <w:rPr>
          <w:rFonts w:ascii="Arial" w:hAnsi="Arial"/>
          <w:sz w:val="22"/>
          <w:szCs w:val="22"/>
        </w:rPr>
      </w:pPr>
    </w:p>
    <w:p w:rsidR="00C249E4" w:rsidRDefault="00C249E4">
      <w:pPr>
        <w:rPr>
          <w:rFonts w:ascii="Arial" w:hAnsi="Arial"/>
          <w:sz w:val="22"/>
          <w:szCs w:val="22"/>
        </w:rPr>
      </w:pPr>
      <w:r>
        <w:rPr>
          <w:rFonts w:ascii="Arial" w:hAnsi="Arial"/>
          <w:sz w:val="22"/>
          <w:szCs w:val="22"/>
        </w:rPr>
        <w:br w:type="page"/>
      </w:r>
    </w:p>
    <w:p w:rsidR="00826F6D" w:rsidRDefault="00826F6D" w:rsidP="00826F6D">
      <w:pPr>
        <w:pStyle w:val="ListParagraph"/>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985"/>
        <w:gridCol w:w="1134"/>
        <w:gridCol w:w="850"/>
        <w:gridCol w:w="709"/>
        <w:gridCol w:w="1276"/>
        <w:gridCol w:w="1417"/>
        <w:gridCol w:w="1134"/>
      </w:tblGrid>
      <w:tr w:rsidR="002E1B1B" w:rsidRPr="0039782C" w:rsidTr="0077749E">
        <w:trPr>
          <w:cantSplit/>
          <w:trHeight w:val="471"/>
        </w:trPr>
        <w:tc>
          <w:tcPr>
            <w:tcW w:w="3119" w:type="dxa"/>
            <w:gridSpan w:val="2"/>
            <w:tcBorders>
              <w:bottom w:val="single" w:sz="4" w:space="0" w:color="auto"/>
            </w:tcBorders>
          </w:tcPr>
          <w:p w:rsidR="002E1B1B" w:rsidRPr="0039782C" w:rsidRDefault="002E1B1B" w:rsidP="0077749E">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2E1B1B" w:rsidRPr="0039782C" w:rsidRDefault="002E1B1B" w:rsidP="0077749E">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2E1B1B" w:rsidRPr="0039782C" w:rsidRDefault="002E1B1B" w:rsidP="0077749E">
            <w:pPr>
              <w:keepNext/>
              <w:ind w:left="-108"/>
              <w:jc w:val="both"/>
              <w:rPr>
                <w:rFonts w:ascii="Arial Narrow" w:hAnsi="Arial Narrow" w:cs="Arial"/>
                <w:b/>
                <w:sz w:val="20"/>
                <w:szCs w:val="20"/>
              </w:rPr>
            </w:pPr>
            <w:r w:rsidRPr="0039782C">
              <w:rPr>
                <w:rFonts w:ascii="Arial Narrow" w:hAnsi="Arial Narrow" w:cs="Arial"/>
                <w:b/>
                <w:sz w:val="20"/>
                <w:szCs w:val="20"/>
              </w:rPr>
              <w:t>Max.</w:t>
            </w:r>
          </w:p>
          <w:p w:rsidR="002E1B1B" w:rsidRPr="0039782C" w:rsidRDefault="002E1B1B" w:rsidP="0077749E">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2E1B1B" w:rsidRPr="0039782C" w:rsidRDefault="002E1B1B" w:rsidP="0077749E">
            <w:pPr>
              <w:keepNext/>
              <w:ind w:left="-108"/>
              <w:jc w:val="both"/>
              <w:rPr>
                <w:rFonts w:ascii="Arial Narrow" w:hAnsi="Arial Narrow" w:cs="Arial"/>
                <w:b/>
                <w:sz w:val="20"/>
                <w:szCs w:val="20"/>
              </w:rPr>
            </w:pPr>
            <w:r w:rsidRPr="0039782C">
              <w:rPr>
                <w:rFonts w:ascii="Arial Narrow" w:hAnsi="Arial Narrow" w:cs="Arial"/>
                <w:b/>
                <w:sz w:val="20"/>
                <w:szCs w:val="20"/>
              </w:rPr>
              <w:t>№.of</w:t>
            </w:r>
          </w:p>
          <w:p w:rsidR="002E1B1B" w:rsidRPr="0039782C" w:rsidRDefault="002E1B1B" w:rsidP="0077749E">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276" w:type="dxa"/>
            <w:tcBorders>
              <w:bottom w:val="single" w:sz="4" w:space="0" w:color="auto"/>
            </w:tcBorders>
          </w:tcPr>
          <w:p w:rsidR="002E1B1B" w:rsidRPr="0039782C" w:rsidRDefault="002E1B1B" w:rsidP="0077749E">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2551" w:type="dxa"/>
            <w:gridSpan w:val="2"/>
            <w:tcBorders>
              <w:bottom w:val="single" w:sz="4" w:space="0" w:color="auto"/>
            </w:tcBorders>
          </w:tcPr>
          <w:p w:rsidR="002E1B1B" w:rsidRPr="0039782C" w:rsidRDefault="002E1B1B" w:rsidP="0077749E">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2E1B1B" w:rsidRPr="00260CE3" w:rsidTr="0077749E">
        <w:trPr>
          <w:cantSplit/>
          <w:trHeight w:val="577"/>
        </w:trPr>
        <w:tc>
          <w:tcPr>
            <w:tcW w:w="3119" w:type="dxa"/>
            <w:gridSpan w:val="2"/>
          </w:tcPr>
          <w:p w:rsidR="002E1B1B" w:rsidRPr="002E1B1B" w:rsidRDefault="00380102" w:rsidP="002E1B1B">
            <w:pPr>
              <w:keepNext/>
              <w:ind w:left="-108"/>
              <w:jc w:val="both"/>
              <w:rPr>
                <w:rFonts w:ascii="Arial Narrow" w:hAnsi="Arial Narrow" w:cs="Arial"/>
                <w:smallCaps/>
                <w:sz w:val="20"/>
                <w:szCs w:val="20"/>
              </w:rPr>
            </w:pPr>
            <w:r>
              <w:rPr>
                <w:rFonts w:ascii="Arial Narrow" w:hAnsi="Arial Narrow" w:cs="Arial"/>
                <w:smallCaps/>
                <w:sz w:val="20"/>
                <w:szCs w:val="20"/>
              </w:rPr>
              <w:t>LEUPRORELIN AND BICALUTAMIDE</w:t>
            </w:r>
          </w:p>
          <w:p w:rsidR="002E1B1B" w:rsidRPr="002E1B1B" w:rsidRDefault="002E1B1B" w:rsidP="002E1B1B">
            <w:pPr>
              <w:keepNext/>
              <w:ind w:left="-108"/>
              <w:jc w:val="both"/>
              <w:rPr>
                <w:rFonts w:ascii="Arial" w:hAnsi="Arial" w:cs="Arial"/>
                <w:sz w:val="20"/>
                <w:szCs w:val="20"/>
              </w:rPr>
            </w:pPr>
            <w:proofErr w:type="spellStart"/>
            <w:r w:rsidRPr="00380102">
              <w:rPr>
                <w:rFonts w:ascii="Arial Narrow" w:hAnsi="Arial Narrow" w:cs="Arial"/>
                <w:sz w:val="20"/>
                <w:szCs w:val="20"/>
              </w:rPr>
              <w:t>leuprorelin</w:t>
            </w:r>
            <w:proofErr w:type="spellEnd"/>
            <w:r w:rsidRPr="00380102">
              <w:rPr>
                <w:rFonts w:ascii="Arial Narrow" w:hAnsi="Arial Narrow" w:cs="Arial"/>
                <w:sz w:val="20"/>
                <w:szCs w:val="20"/>
              </w:rPr>
              <w:t xml:space="preserve"> acetate 22.5 mg injection: modified release [1 syringe] (&amp;) inert substance diluent [1 syringe], (&amp;) </w:t>
            </w:r>
            <w:proofErr w:type="spellStart"/>
            <w:r w:rsidRPr="00380102">
              <w:rPr>
                <w:rFonts w:ascii="Arial Narrow" w:hAnsi="Arial Narrow" w:cs="Arial"/>
                <w:sz w:val="20"/>
                <w:szCs w:val="20"/>
              </w:rPr>
              <w:t>bicalutamide</w:t>
            </w:r>
            <w:proofErr w:type="spellEnd"/>
            <w:r w:rsidRPr="00380102">
              <w:rPr>
                <w:rFonts w:ascii="Arial Narrow" w:hAnsi="Arial Narrow" w:cs="Arial"/>
                <w:sz w:val="20"/>
                <w:szCs w:val="20"/>
              </w:rPr>
              <w:t xml:space="preserve"> 50 mg tablet [28 tablets], 1 pack</w:t>
            </w:r>
          </w:p>
        </w:tc>
        <w:tc>
          <w:tcPr>
            <w:tcW w:w="850" w:type="dxa"/>
          </w:tcPr>
          <w:p w:rsidR="002E1B1B" w:rsidRPr="00260CE3" w:rsidRDefault="002E1B1B" w:rsidP="0077749E">
            <w:pPr>
              <w:keepNext/>
              <w:ind w:left="-108"/>
              <w:jc w:val="both"/>
              <w:rPr>
                <w:rFonts w:ascii="Arial Narrow" w:hAnsi="Arial Narrow" w:cs="Arial"/>
                <w:sz w:val="20"/>
                <w:szCs w:val="20"/>
              </w:rPr>
            </w:pPr>
          </w:p>
          <w:p w:rsidR="002E1B1B" w:rsidRPr="00260CE3" w:rsidRDefault="002E1B1B" w:rsidP="0077749E">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2E1B1B" w:rsidRPr="00260CE3" w:rsidRDefault="002E1B1B" w:rsidP="0077749E">
            <w:pPr>
              <w:keepNext/>
              <w:ind w:left="-108"/>
              <w:jc w:val="both"/>
              <w:rPr>
                <w:rFonts w:ascii="Arial Narrow" w:hAnsi="Arial Narrow" w:cs="Arial"/>
                <w:sz w:val="20"/>
                <w:szCs w:val="20"/>
              </w:rPr>
            </w:pPr>
          </w:p>
          <w:p w:rsidR="002E1B1B" w:rsidRPr="00260CE3" w:rsidRDefault="002E1B1B" w:rsidP="0077749E">
            <w:pPr>
              <w:keepNext/>
              <w:ind w:left="-108"/>
              <w:jc w:val="both"/>
              <w:rPr>
                <w:rFonts w:ascii="Arial Narrow" w:hAnsi="Arial Narrow" w:cs="Arial"/>
                <w:sz w:val="20"/>
                <w:szCs w:val="20"/>
              </w:rPr>
            </w:pPr>
            <w:r>
              <w:rPr>
                <w:rFonts w:ascii="Arial Narrow" w:hAnsi="Arial Narrow" w:cs="Arial"/>
                <w:sz w:val="20"/>
                <w:szCs w:val="20"/>
              </w:rPr>
              <w:t>0</w:t>
            </w:r>
          </w:p>
        </w:tc>
        <w:tc>
          <w:tcPr>
            <w:tcW w:w="1276" w:type="dxa"/>
          </w:tcPr>
          <w:p w:rsidR="002E1B1B" w:rsidRPr="00260CE3" w:rsidRDefault="002E1B1B" w:rsidP="0077749E">
            <w:pPr>
              <w:keepNext/>
              <w:ind w:left="-108"/>
              <w:jc w:val="both"/>
              <w:rPr>
                <w:rFonts w:ascii="Arial Narrow" w:hAnsi="Arial Narrow" w:cs="Arial"/>
                <w:sz w:val="20"/>
                <w:szCs w:val="20"/>
              </w:rPr>
            </w:pPr>
          </w:p>
          <w:p w:rsidR="002E1B1B" w:rsidRPr="00260CE3" w:rsidRDefault="002E1B1B" w:rsidP="0077749E">
            <w:pPr>
              <w:keepNext/>
              <w:ind w:left="-108"/>
              <w:jc w:val="both"/>
              <w:rPr>
                <w:rFonts w:ascii="Arial Narrow" w:hAnsi="Arial Narrow" w:cs="Arial"/>
                <w:sz w:val="20"/>
                <w:szCs w:val="20"/>
              </w:rPr>
            </w:pPr>
            <w:r>
              <w:rPr>
                <w:rFonts w:ascii="Arial Narrow" w:hAnsi="Arial Narrow" w:cs="Arial"/>
                <w:sz w:val="20"/>
                <w:szCs w:val="20"/>
              </w:rPr>
              <w:t>$</w:t>
            </w:r>
            <w:r w:rsidR="00892BF0">
              <w:rPr>
                <w:rFonts w:ascii="Arial Narrow" w:hAnsi="Arial Narrow" w:cs="Arial"/>
                <w:noProof/>
                <w:color w:val="000000"/>
                <w:sz w:val="20"/>
                <w:szCs w:val="20"/>
                <w:highlight w:val="black"/>
              </w:rPr>
              <w:t>''''''''''''''''''''''</w:t>
            </w:r>
          </w:p>
        </w:tc>
        <w:tc>
          <w:tcPr>
            <w:tcW w:w="1417" w:type="dxa"/>
          </w:tcPr>
          <w:p w:rsidR="002E1B1B" w:rsidRDefault="002E1B1B" w:rsidP="0077749E">
            <w:pPr>
              <w:keepNext/>
              <w:jc w:val="both"/>
              <w:rPr>
                <w:rFonts w:ascii="Arial Narrow" w:hAnsi="Arial Narrow" w:cs="Arial"/>
                <w:sz w:val="20"/>
                <w:szCs w:val="20"/>
              </w:rPr>
            </w:pPr>
          </w:p>
          <w:p w:rsidR="002E1B1B" w:rsidRPr="00260CE3" w:rsidRDefault="002E1B1B" w:rsidP="0077749E">
            <w:pPr>
              <w:keepNext/>
              <w:jc w:val="both"/>
              <w:rPr>
                <w:rFonts w:ascii="Arial Narrow" w:hAnsi="Arial Narrow" w:cs="Arial"/>
                <w:sz w:val="20"/>
                <w:szCs w:val="20"/>
              </w:rPr>
            </w:pPr>
            <w:proofErr w:type="spellStart"/>
            <w:r>
              <w:rPr>
                <w:rFonts w:ascii="Arial" w:hAnsi="Arial"/>
                <w:smallCaps/>
                <w:sz w:val="20"/>
                <w:szCs w:val="20"/>
              </w:rPr>
              <w:t>Bi</w:t>
            </w:r>
            <w:proofErr w:type="spellEnd"/>
            <w:r>
              <w:rPr>
                <w:rFonts w:ascii="Arial" w:hAnsi="Arial"/>
                <w:smallCaps/>
                <w:sz w:val="20"/>
                <w:szCs w:val="20"/>
              </w:rPr>
              <w:t xml:space="preserve"> ELIGARD </w:t>
            </w:r>
            <w:r>
              <w:rPr>
                <w:rFonts w:ascii="Arial" w:hAnsi="Arial"/>
                <w:sz w:val="20"/>
              </w:rPr>
              <w:t>CP®</w:t>
            </w:r>
          </w:p>
        </w:tc>
        <w:tc>
          <w:tcPr>
            <w:tcW w:w="1134" w:type="dxa"/>
          </w:tcPr>
          <w:p w:rsidR="002E1B1B" w:rsidRDefault="002E1B1B" w:rsidP="0077749E">
            <w:pPr>
              <w:keepNext/>
              <w:jc w:val="both"/>
              <w:rPr>
                <w:rFonts w:ascii="Arial Narrow" w:hAnsi="Arial Narrow" w:cs="Arial"/>
                <w:sz w:val="20"/>
                <w:szCs w:val="20"/>
              </w:rPr>
            </w:pPr>
          </w:p>
          <w:p w:rsidR="002E1B1B" w:rsidRPr="00260CE3" w:rsidRDefault="002E1B1B" w:rsidP="0077749E">
            <w:pPr>
              <w:keepNext/>
              <w:jc w:val="both"/>
              <w:rPr>
                <w:rFonts w:ascii="Arial Narrow" w:hAnsi="Arial Narrow" w:cs="Arial"/>
                <w:sz w:val="20"/>
                <w:szCs w:val="20"/>
              </w:rPr>
            </w:pPr>
            <w:proofErr w:type="spellStart"/>
            <w:r w:rsidRPr="009278D1">
              <w:rPr>
                <w:rFonts w:ascii="Arial" w:hAnsi="Arial"/>
                <w:sz w:val="20"/>
              </w:rPr>
              <w:t>Tolmar</w:t>
            </w:r>
            <w:proofErr w:type="spellEnd"/>
            <w:r w:rsidRPr="009278D1">
              <w:rPr>
                <w:rFonts w:ascii="Arial" w:hAnsi="Arial"/>
                <w:sz w:val="20"/>
              </w:rPr>
              <w:t xml:space="preserve"> Australia Pty Ltd</w:t>
            </w:r>
            <w:r>
              <w:rPr>
                <w:rFonts w:ascii="Arial" w:hAnsi="Arial"/>
                <w:sz w:val="20"/>
              </w:rPr>
              <w:t xml:space="preserve"> (TL)</w:t>
            </w:r>
          </w:p>
        </w:tc>
      </w:tr>
      <w:tr w:rsidR="002E1B1B" w:rsidRPr="00260CE3" w:rsidTr="0077749E">
        <w:trPr>
          <w:cantSplit/>
          <w:trHeight w:val="360"/>
        </w:trPr>
        <w:tc>
          <w:tcPr>
            <w:tcW w:w="8505" w:type="dxa"/>
            <w:gridSpan w:val="7"/>
            <w:tcBorders>
              <w:bottom w:val="single" w:sz="4" w:space="0" w:color="auto"/>
            </w:tcBorders>
          </w:tcPr>
          <w:p w:rsidR="002E1B1B" w:rsidRPr="00260CE3" w:rsidRDefault="002E1B1B" w:rsidP="0077749E">
            <w:pPr>
              <w:jc w:val="both"/>
              <w:rPr>
                <w:rFonts w:ascii="Arial Narrow" w:hAnsi="Arial Narrow" w:cs="Arial"/>
                <w:sz w:val="20"/>
                <w:szCs w:val="20"/>
              </w:rPr>
            </w:pPr>
          </w:p>
        </w:tc>
      </w:tr>
      <w:tr w:rsidR="002E1B1B" w:rsidRPr="00260CE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 xml:space="preserve">Category / </w:t>
            </w:r>
          </w:p>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Program</w:t>
            </w: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rPr>
                <w:rFonts w:ascii="Arial Narrow" w:hAnsi="Arial Narrow" w:cs="Arial"/>
                <w:sz w:val="20"/>
                <w:szCs w:val="20"/>
              </w:rPr>
            </w:pPr>
            <w:r w:rsidRPr="00392083">
              <w:rPr>
                <w:rFonts w:ascii="Arial Narrow" w:hAnsi="Arial Narrow" w:cs="Arial"/>
                <w:sz w:val="20"/>
                <w:szCs w:val="20"/>
              </w:rPr>
              <w:t>GENERAL – General Schedule (Code GE)</w:t>
            </w:r>
          </w:p>
          <w:p w:rsidR="002E1B1B" w:rsidRPr="00392083" w:rsidRDefault="002E1B1B" w:rsidP="0077749E">
            <w:pPr>
              <w:rPr>
                <w:rFonts w:ascii="Arial Narrow" w:hAnsi="Arial Narrow" w:cs="Arial"/>
                <w:sz w:val="20"/>
                <w:szCs w:val="20"/>
              </w:rPr>
            </w:pPr>
          </w:p>
        </w:tc>
      </w:tr>
      <w:tr w:rsidR="002E1B1B" w:rsidRPr="00260CE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Prescriber type:</w:t>
            </w: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rPr>
                <w:rFonts w:ascii="Arial Narrow" w:hAnsi="Arial Narrow" w:cs="Arial"/>
                <w:sz w:val="20"/>
                <w:szCs w:val="20"/>
              </w:rPr>
            </w:pPr>
            <w:r w:rsidRPr="00392083">
              <w:rPr>
                <w:rFonts w:ascii="Arial Narrow" w:hAnsi="Arial Narrow" w:cs="Arial"/>
                <w:sz w:val="20"/>
                <w:szCs w:val="20"/>
              </w:rPr>
              <w:fldChar w:fldCharType="begin">
                <w:ffData>
                  <w:name w:val="Check1"/>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 xml:space="preserve">Dental  </w:t>
            </w:r>
            <w:r w:rsidR="0077749E" w:rsidRPr="00392083">
              <w:rPr>
                <w:rFonts w:ascii="Arial Narrow" w:hAnsi="Arial Narrow" w:cs="Arial"/>
                <w:sz w:val="20"/>
                <w:szCs w:val="20"/>
              </w:rPr>
              <w:fldChar w:fldCharType="begin">
                <w:ffData>
                  <w:name w:val=""/>
                  <w:enabled/>
                  <w:calcOnExit w:val="0"/>
                  <w:checkBox>
                    <w:sizeAuto/>
                    <w:default w:val="1"/>
                  </w:checkBox>
                </w:ffData>
              </w:fldChar>
            </w:r>
            <w:r w:rsidR="0077749E"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0077749E" w:rsidRPr="00392083">
              <w:rPr>
                <w:rFonts w:ascii="Arial Narrow" w:hAnsi="Arial Narrow" w:cs="Arial"/>
                <w:sz w:val="20"/>
                <w:szCs w:val="20"/>
              </w:rPr>
              <w:fldChar w:fldCharType="end"/>
            </w:r>
            <w:r w:rsidRPr="00392083">
              <w:rPr>
                <w:rFonts w:ascii="Arial Narrow" w:hAnsi="Arial Narrow" w:cs="Arial"/>
                <w:sz w:val="20"/>
                <w:szCs w:val="20"/>
              </w:rPr>
              <w:t xml:space="preserve">Medical Practitioners  </w:t>
            </w:r>
            <w:r w:rsidRPr="00392083">
              <w:rPr>
                <w:rFonts w:ascii="Arial Narrow" w:hAnsi="Arial Narrow" w:cs="Arial"/>
                <w:sz w:val="20"/>
                <w:szCs w:val="20"/>
              </w:rPr>
              <w:fldChar w:fldCharType="begin">
                <w:ffData>
                  <w:name w:val="Check3"/>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 xml:space="preserve">Nurse practitioners  </w:t>
            </w:r>
            <w:r w:rsidRPr="00392083">
              <w:rPr>
                <w:rFonts w:ascii="Arial Narrow" w:hAnsi="Arial Narrow" w:cs="Arial"/>
                <w:sz w:val="20"/>
                <w:szCs w:val="20"/>
              </w:rPr>
              <w:fldChar w:fldCharType="begin">
                <w:ffData>
                  <w:name w:val=""/>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Optometrists</w:t>
            </w:r>
          </w:p>
          <w:p w:rsidR="002E1B1B" w:rsidRPr="00392083" w:rsidRDefault="002E1B1B" w:rsidP="0077749E">
            <w:pPr>
              <w:rPr>
                <w:rFonts w:ascii="Arial Narrow" w:hAnsi="Arial Narrow" w:cs="Arial"/>
                <w:sz w:val="20"/>
                <w:szCs w:val="20"/>
              </w:rPr>
            </w:pPr>
            <w:r w:rsidRPr="00392083">
              <w:rPr>
                <w:rFonts w:ascii="Arial Narrow" w:hAnsi="Arial Narrow" w:cs="Arial"/>
                <w:sz w:val="20"/>
                <w:szCs w:val="20"/>
              </w:rPr>
              <w:fldChar w:fldCharType="begin">
                <w:ffData>
                  <w:name w:val="Check5"/>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Midwives</w:t>
            </w:r>
          </w:p>
        </w:tc>
      </w:tr>
      <w:tr w:rsidR="002E1B1B" w:rsidRPr="00260CE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Condition:</w:t>
            </w: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tabs>
                <w:tab w:val="left" w:pos="990"/>
              </w:tabs>
              <w:rPr>
                <w:rFonts w:ascii="Arial Narrow" w:hAnsi="Arial Narrow"/>
                <w:sz w:val="20"/>
              </w:rPr>
            </w:pPr>
            <w:r w:rsidRPr="00392083">
              <w:rPr>
                <w:rFonts w:ascii="Arial Narrow" w:hAnsi="Arial Narrow"/>
                <w:sz w:val="20"/>
              </w:rPr>
              <w:t>Carcinoma of the prostate</w:t>
            </w:r>
          </w:p>
        </w:tc>
      </w:tr>
      <w:tr w:rsidR="002E1B1B" w:rsidRPr="00260CE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PBS Indication:</w:t>
            </w: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tabs>
                <w:tab w:val="left" w:pos="990"/>
              </w:tabs>
              <w:rPr>
                <w:rFonts w:ascii="Arial Narrow" w:hAnsi="Arial Narrow"/>
                <w:sz w:val="20"/>
              </w:rPr>
            </w:pPr>
            <w:r w:rsidRPr="00392083">
              <w:rPr>
                <w:rFonts w:ascii="Arial Narrow" w:hAnsi="Arial Narrow"/>
                <w:sz w:val="20"/>
              </w:rPr>
              <w:t>Carcinoma of the prostate</w:t>
            </w:r>
          </w:p>
        </w:tc>
      </w:tr>
      <w:tr w:rsidR="002E1B1B" w:rsidRPr="00260CE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Restriction Level / Method:</w:t>
            </w:r>
          </w:p>
          <w:p w:rsidR="002E1B1B" w:rsidRPr="00392083" w:rsidRDefault="002E1B1B" w:rsidP="0077749E">
            <w:pPr>
              <w:rPr>
                <w:rFonts w:ascii="Arial Narrow" w:hAnsi="Arial Narrow" w:cs="Arial"/>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Check1"/>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Restricted benefit</w:t>
            </w:r>
          </w:p>
          <w:p w:rsidR="002E1B1B" w:rsidRPr="00392083" w:rsidRDefault="002E1B1B"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Authority Required - In Writing</w:t>
            </w:r>
          </w:p>
          <w:p w:rsidR="002E1B1B" w:rsidRPr="00392083" w:rsidRDefault="002E1B1B"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Check3"/>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Authority Required - Telephone</w:t>
            </w:r>
          </w:p>
          <w:p w:rsidR="002E1B1B" w:rsidRPr="00392083" w:rsidRDefault="002E1B1B"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Authority Required – Emergency</w:t>
            </w:r>
          </w:p>
          <w:p w:rsidR="002E1B1B" w:rsidRPr="00392083" w:rsidRDefault="002E1B1B"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Check5"/>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Authority Required - Electronic</w:t>
            </w:r>
          </w:p>
          <w:p w:rsidR="002E1B1B" w:rsidRPr="00392083" w:rsidRDefault="002E1B1B" w:rsidP="0077749E">
            <w:pPr>
              <w:spacing w:line="360" w:lineRule="auto"/>
              <w:rPr>
                <w:rFonts w:ascii="Arial Narrow" w:hAnsi="Arial Narrow"/>
                <w:sz w:val="20"/>
              </w:rPr>
            </w:pPr>
            <w:r w:rsidRPr="00392083">
              <w:rPr>
                <w:rFonts w:ascii="Arial Narrow" w:hAnsi="Arial Narrow" w:cs="Arial"/>
                <w:sz w:val="20"/>
                <w:szCs w:val="20"/>
              </w:rPr>
              <w:fldChar w:fldCharType="begin">
                <w:ffData>
                  <w:name w:val="Check5"/>
                  <w:enabled/>
                  <w:calcOnExit w:val="0"/>
                  <w:checkBox>
                    <w:sizeAuto/>
                    <w:default w:val="1"/>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Streamlined</w:t>
            </w:r>
          </w:p>
        </w:tc>
      </w:tr>
      <w:tr w:rsidR="002E1B1B" w:rsidRPr="00260CE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Clinical criteria:</w:t>
            </w:r>
          </w:p>
          <w:p w:rsidR="002E1B1B" w:rsidRPr="00392083" w:rsidRDefault="002E1B1B" w:rsidP="0077749E">
            <w:pPr>
              <w:jc w:val="both"/>
              <w:rPr>
                <w:rFonts w:ascii="Arial Narrow" w:hAnsi="Arial Narrow" w:cs="Arial"/>
                <w:i/>
                <w:sz w:val="20"/>
                <w:szCs w:val="20"/>
              </w:rPr>
            </w:pPr>
          </w:p>
          <w:p w:rsidR="002E1B1B" w:rsidRPr="00392083" w:rsidRDefault="002E1B1B" w:rsidP="0077749E">
            <w:pPr>
              <w:jc w:val="both"/>
              <w:rPr>
                <w:rFonts w:ascii="Arial Narrow" w:hAnsi="Arial Narrow" w:cs="Arial"/>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tabs>
                <w:tab w:val="left" w:pos="990"/>
              </w:tabs>
              <w:rPr>
                <w:rFonts w:ascii="Arial Narrow" w:hAnsi="Arial Narrow"/>
                <w:sz w:val="20"/>
              </w:rPr>
            </w:pPr>
            <w:r w:rsidRPr="00392083">
              <w:rPr>
                <w:rFonts w:ascii="Arial Narrow" w:hAnsi="Arial Narrow"/>
                <w:sz w:val="20"/>
              </w:rPr>
              <w:t>The condition must be metastatic (stage D),</w:t>
            </w:r>
          </w:p>
          <w:p w:rsidR="002E1B1B" w:rsidRPr="00392083" w:rsidRDefault="002E1B1B" w:rsidP="0077749E">
            <w:pPr>
              <w:tabs>
                <w:tab w:val="left" w:pos="990"/>
              </w:tabs>
              <w:rPr>
                <w:rFonts w:ascii="Arial Narrow" w:hAnsi="Arial Narrow"/>
                <w:sz w:val="20"/>
              </w:rPr>
            </w:pPr>
          </w:p>
          <w:p w:rsidR="002E1B1B" w:rsidRPr="00392083" w:rsidRDefault="002E1B1B" w:rsidP="0077749E">
            <w:pPr>
              <w:tabs>
                <w:tab w:val="left" w:pos="990"/>
              </w:tabs>
              <w:rPr>
                <w:rFonts w:ascii="Arial Narrow" w:hAnsi="Arial Narrow"/>
                <w:sz w:val="20"/>
              </w:rPr>
            </w:pPr>
            <w:r w:rsidRPr="00392083">
              <w:rPr>
                <w:rFonts w:ascii="Arial Narrow" w:hAnsi="Arial Narrow"/>
                <w:sz w:val="20"/>
              </w:rPr>
              <w:t>AND</w:t>
            </w:r>
          </w:p>
          <w:p w:rsidR="002E1B1B" w:rsidRPr="00392083" w:rsidRDefault="002E1B1B" w:rsidP="0077749E">
            <w:pPr>
              <w:tabs>
                <w:tab w:val="left" w:pos="990"/>
              </w:tabs>
              <w:rPr>
                <w:rFonts w:ascii="Arial Narrow" w:hAnsi="Arial Narrow"/>
                <w:sz w:val="20"/>
              </w:rPr>
            </w:pPr>
          </w:p>
          <w:p w:rsidR="002E1B1B" w:rsidRPr="00392083" w:rsidRDefault="002E1B1B" w:rsidP="0077749E">
            <w:pPr>
              <w:tabs>
                <w:tab w:val="left" w:pos="990"/>
              </w:tabs>
              <w:rPr>
                <w:rFonts w:ascii="Arial Narrow" w:hAnsi="Arial Narrow"/>
                <w:sz w:val="20"/>
              </w:rPr>
            </w:pPr>
            <w:r w:rsidRPr="00392083">
              <w:rPr>
                <w:rFonts w:ascii="Arial Narrow" w:hAnsi="Arial Narrow"/>
                <w:sz w:val="20"/>
              </w:rPr>
              <w:t xml:space="preserve">Patient must require a combination of an </w:t>
            </w:r>
            <w:proofErr w:type="spellStart"/>
            <w:r w:rsidRPr="00392083">
              <w:rPr>
                <w:rFonts w:ascii="Arial Narrow" w:hAnsi="Arial Narrow"/>
                <w:sz w:val="20"/>
              </w:rPr>
              <w:t>antiandrogen</w:t>
            </w:r>
            <w:proofErr w:type="spellEnd"/>
            <w:r w:rsidRPr="00392083">
              <w:rPr>
                <w:rFonts w:ascii="Arial Narrow" w:hAnsi="Arial Narrow"/>
                <w:sz w:val="20"/>
              </w:rPr>
              <w:t xml:space="preserve"> and a </w:t>
            </w:r>
            <w:proofErr w:type="spellStart"/>
            <w:r w:rsidRPr="00392083">
              <w:rPr>
                <w:rFonts w:ascii="Arial Narrow" w:hAnsi="Arial Narrow"/>
                <w:sz w:val="20"/>
              </w:rPr>
              <w:t>GnRH</w:t>
            </w:r>
            <w:proofErr w:type="spellEnd"/>
            <w:r w:rsidRPr="00392083">
              <w:rPr>
                <w:rFonts w:ascii="Arial Narrow" w:hAnsi="Arial Narrow"/>
                <w:sz w:val="20"/>
              </w:rPr>
              <w:t xml:space="preserve"> (LH-RH) agonist.</w:t>
            </w:r>
          </w:p>
        </w:tc>
      </w:tr>
      <w:tr w:rsidR="002E1B1B" w:rsidRPr="00260CE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Administrative Advice</w:t>
            </w:r>
          </w:p>
          <w:p w:rsidR="002E1B1B" w:rsidRPr="00392083" w:rsidRDefault="002E1B1B" w:rsidP="0077749E">
            <w:pPr>
              <w:jc w:val="both"/>
              <w:rPr>
                <w:rFonts w:ascii="Arial Narrow" w:hAnsi="Arial Narrow" w:cs="Arial"/>
                <w:i/>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tabs>
                <w:tab w:val="left" w:pos="990"/>
              </w:tabs>
              <w:rPr>
                <w:rFonts w:ascii="Arial Narrow" w:hAnsi="Arial Narrow"/>
                <w:b/>
                <w:sz w:val="20"/>
                <w:u w:val="single"/>
              </w:rPr>
            </w:pPr>
            <w:r w:rsidRPr="00392083">
              <w:rPr>
                <w:rFonts w:ascii="Arial Narrow" w:hAnsi="Arial Narrow"/>
                <w:b/>
                <w:sz w:val="20"/>
                <w:u w:val="single"/>
              </w:rPr>
              <w:t>Note</w:t>
            </w:r>
          </w:p>
          <w:p w:rsidR="002E1B1B" w:rsidRPr="00392083" w:rsidRDefault="002E1B1B" w:rsidP="0077749E">
            <w:pPr>
              <w:tabs>
                <w:tab w:val="left" w:pos="990"/>
              </w:tabs>
              <w:rPr>
                <w:rFonts w:ascii="Arial Narrow" w:hAnsi="Arial Narrow"/>
                <w:sz w:val="20"/>
              </w:rPr>
            </w:pPr>
            <w:r w:rsidRPr="00392083">
              <w:rPr>
                <w:rFonts w:ascii="Arial Narrow" w:hAnsi="Arial Narrow"/>
                <w:sz w:val="20"/>
              </w:rPr>
              <w:t>No increase in the maximum quantity or number of units may be authorised.</w:t>
            </w:r>
          </w:p>
          <w:p w:rsidR="002E1B1B" w:rsidRPr="00392083" w:rsidRDefault="002E1B1B" w:rsidP="0077749E">
            <w:pPr>
              <w:tabs>
                <w:tab w:val="left" w:pos="990"/>
              </w:tabs>
              <w:rPr>
                <w:rFonts w:ascii="Arial Narrow" w:hAnsi="Arial Narrow"/>
                <w:sz w:val="20"/>
              </w:rPr>
            </w:pPr>
          </w:p>
          <w:p w:rsidR="002E1B1B" w:rsidRPr="00392083" w:rsidRDefault="002E1B1B" w:rsidP="0077749E">
            <w:pPr>
              <w:tabs>
                <w:tab w:val="left" w:pos="990"/>
              </w:tabs>
              <w:rPr>
                <w:rFonts w:ascii="Arial Narrow" w:hAnsi="Arial Narrow"/>
                <w:b/>
                <w:sz w:val="20"/>
                <w:u w:val="single"/>
              </w:rPr>
            </w:pPr>
            <w:r w:rsidRPr="00392083">
              <w:rPr>
                <w:rFonts w:ascii="Arial Narrow" w:hAnsi="Arial Narrow"/>
                <w:b/>
                <w:sz w:val="20"/>
                <w:u w:val="single"/>
              </w:rPr>
              <w:t>Note</w:t>
            </w:r>
          </w:p>
          <w:p w:rsidR="002E1B1B" w:rsidRPr="00392083" w:rsidRDefault="002E1B1B" w:rsidP="0077749E">
            <w:pPr>
              <w:tabs>
                <w:tab w:val="left" w:pos="990"/>
              </w:tabs>
              <w:rPr>
                <w:rFonts w:ascii="Arial Narrow" w:hAnsi="Arial Narrow"/>
                <w:sz w:val="20"/>
              </w:rPr>
            </w:pPr>
            <w:r w:rsidRPr="00392083">
              <w:rPr>
                <w:rFonts w:ascii="Arial Narrow" w:hAnsi="Arial Narrow"/>
                <w:sz w:val="20"/>
              </w:rPr>
              <w:t>No increase in the maximum number of repeats may be authorised.</w:t>
            </w:r>
          </w:p>
        </w:tc>
      </w:tr>
    </w:tbl>
    <w:p w:rsidR="002E1B1B" w:rsidRDefault="002E1B1B" w:rsidP="00343C45">
      <w:pPr>
        <w:pStyle w:val="ListParagraph"/>
        <w:pageBreakBefore/>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985"/>
        <w:gridCol w:w="1134"/>
        <w:gridCol w:w="850"/>
        <w:gridCol w:w="709"/>
        <w:gridCol w:w="1276"/>
        <w:gridCol w:w="1417"/>
        <w:gridCol w:w="1134"/>
      </w:tblGrid>
      <w:tr w:rsidR="002E1B1B" w:rsidRPr="00392083" w:rsidTr="0077749E">
        <w:trPr>
          <w:cantSplit/>
          <w:trHeight w:val="471"/>
        </w:trPr>
        <w:tc>
          <w:tcPr>
            <w:tcW w:w="3119" w:type="dxa"/>
            <w:gridSpan w:val="2"/>
            <w:tcBorders>
              <w:bottom w:val="single" w:sz="4" w:space="0" w:color="auto"/>
            </w:tcBorders>
          </w:tcPr>
          <w:p w:rsidR="002E1B1B" w:rsidRPr="00392083" w:rsidRDefault="002E1B1B" w:rsidP="0077749E">
            <w:pPr>
              <w:keepNext/>
              <w:ind w:left="-108"/>
              <w:jc w:val="both"/>
              <w:rPr>
                <w:rFonts w:ascii="Arial Narrow" w:hAnsi="Arial Narrow" w:cs="Arial"/>
                <w:b/>
                <w:sz w:val="20"/>
                <w:szCs w:val="20"/>
              </w:rPr>
            </w:pPr>
            <w:r w:rsidRPr="00392083">
              <w:rPr>
                <w:rFonts w:ascii="Arial Narrow" w:hAnsi="Arial Narrow" w:cs="Arial"/>
                <w:b/>
                <w:sz w:val="20"/>
                <w:szCs w:val="20"/>
              </w:rPr>
              <w:t>Name, Restriction,</w:t>
            </w:r>
          </w:p>
          <w:p w:rsidR="002E1B1B" w:rsidRPr="00392083" w:rsidRDefault="002E1B1B" w:rsidP="0077749E">
            <w:pPr>
              <w:keepNext/>
              <w:ind w:left="-108"/>
              <w:jc w:val="both"/>
              <w:rPr>
                <w:rFonts w:ascii="Arial Narrow" w:hAnsi="Arial Narrow" w:cs="Arial"/>
                <w:b/>
                <w:sz w:val="20"/>
                <w:szCs w:val="20"/>
              </w:rPr>
            </w:pPr>
            <w:r w:rsidRPr="00392083">
              <w:rPr>
                <w:rFonts w:ascii="Arial Narrow" w:hAnsi="Arial Narrow" w:cs="Arial"/>
                <w:b/>
                <w:sz w:val="20"/>
                <w:szCs w:val="20"/>
              </w:rPr>
              <w:t>Manner of administration and form</w:t>
            </w:r>
          </w:p>
        </w:tc>
        <w:tc>
          <w:tcPr>
            <w:tcW w:w="850" w:type="dxa"/>
            <w:tcBorders>
              <w:bottom w:val="single" w:sz="4" w:space="0" w:color="auto"/>
            </w:tcBorders>
          </w:tcPr>
          <w:p w:rsidR="002E1B1B" w:rsidRPr="00392083" w:rsidRDefault="002E1B1B" w:rsidP="0077749E">
            <w:pPr>
              <w:keepNext/>
              <w:ind w:left="-108"/>
              <w:jc w:val="both"/>
              <w:rPr>
                <w:rFonts w:ascii="Arial Narrow" w:hAnsi="Arial Narrow" w:cs="Arial"/>
                <w:b/>
                <w:sz w:val="20"/>
                <w:szCs w:val="20"/>
              </w:rPr>
            </w:pPr>
            <w:r w:rsidRPr="00392083">
              <w:rPr>
                <w:rFonts w:ascii="Arial Narrow" w:hAnsi="Arial Narrow" w:cs="Arial"/>
                <w:b/>
                <w:sz w:val="20"/>
                <w:szCs w:val="20"/>
              </w:rPr>
              <w:t>Max.</w:t>
            </w:r>
          </w:p>
          <w:p w:rsidR="002E1B1B" w:rsidRPr="00392083" w:rsidRDefault="002E1B1B" w:rsidP="0077749E">
            <w:pPr>
              <w:keepNext/>
              <w:ind w:left="-108"/>
              <w:jc w:val="both"/>
              <w:rPr>
                <w:rFonts w:ascii="Arial Narrow" w:hAnsi="Arial Narrow" w:cs="Arial"/>
                <w:b/>
                <w:sz w:val="20"/>
                <w:szCs w:val="20"/>
              </w:rPr>
            </w:pPr>
            <w:proofErr w:type="spellStart"/>
            <w:r w:rsidRPr="00392083">
              <w:rPr>
                <w:rFonts w:ascii="Arial Narrow" w:hAnsi="Arial Narrow" w:cs="Arial"/>
                <w:b/>
                <w:sz w:val="20"/>
                <w:szCs w:val="20"/>
              </w:rPr>
              <w:t>Qty</w:t>
            </w:r>
            <w:proofErr w:type="spellEnd"/>
          </w:p>
        </w:tc>
        <w:tc>
          <w:tcPr>
            <w:tcW w:w="709" w:type="dxa"/>
            <w:tcBorders>
              <w:bottom w:val="single" w:sz="4" w:space="0" w:color="auto"/>
            </w:tcBorders>
          </w:tcPr>
          <w:p w:rsidR="002E1B1B" w:rsidRPr="00392083" w:rsidRDefault="002E1B1B" w:rsidP="0077749E">
            <w:pPr>
              <w:keepNext/>
              <w:ind w:left="-108"/>
              <w:jc w:val="both"/>
              <w:rPr>
                <w:rFonts w:ascii="Arial Narrow" w:hAnsi="Arial Narrow" w:cs="Arial"/>
                <w:b/>
                <w:sz w:val="20"/>
                <w:szCs w:val="20"/>
              </w:rPr>
            </w:pPr>
            <w:r w:rsidRPr="00392083">
              <w:rPr>
                <w:rFonts w:ascii="Arial Narrow" w:hAnsi="Arial Narrow" w:cs="Arial"/>
                <w:b/>
                <w:sz w:val="20"/>
                <w:szCs w:val="20"/>
              </w:rPr>
              <w:t>№.of</w:t>
            </w:r>
          </w:p>
          <w:p w:rsidR="002E1B1B" w:rsidRPr="00392083" w:rsidRDefault="002E1B1B" w:rsidP="0077749E">
            <w:pPr>
              <w:keepNext/>
              <w:ind w:left="-108"/>
              <w:jc w:val="both"/>
              <w:rPr>
                <w:rFonts w:ascii="Arial Narrow" w:hAnsi="Arial Narrow" w:cs="Arial"/>
                <w:b/>
                <w:sz w:val="20"/>
                <w:szCs w:val="20"/>
              </w:rPr>
            </w:pPr>
            <w:proofErr w:type="spellStart"/>
            <w:r w:rsidRPr="00392083">
              <w:rPr>
                <w:rFonts w:ascii="Arial Narrow" w:hAnsi="Arial Narrow" w:cs="Arial"/>
                <w:b/>
                <w:sz w:val="20"/>
                <w:szCs w:val="20"/>
              </w:rPr>
              <w:t>Rpts</w:t>
            </w:r>
            <w:proofErr w:type="spellEnd"/>
          </w:p>
        </w:tc>
        <w:tc>
          <w:tcPr>
            <w:tcW w:w="1276" w:type="dxa"/>
            <w:tcBorders>
              <w:bottom w:val="single" w:sz="4" w:space="0" w:color="auto"/>
            </w:tcBorders>
          </w:tcPr>
          <w:p w:rsidR="002E1B1B" w:rsidRPr="00392083" w:rsidRDefault="002E1B1B" w:rsidP="0077749E">
            <w:pPr>
              <w:keepNext/>
              <w:ind w:left="-108"/>
              <w:jc w:val="both"/>
              <w:rPr>
                <w:rFonts w:ascii="Arial Narrow" w:hAnsi="Arial Narrow" w:cs="Arial"/>
                <w:b/>
                <w:sz w:val="20"/>
                <w:szCs w:val="20"/>
              </w:rPr>
            </w:pPr>
            <w:r w:rsidRPr="00392083">
              <w:rPr>
                <w:rFonts w:ascii="Arial Narrow" w:hAnsi="Arial Narrow" w:cs="Arial"/>
                <w:b/>
                <w:sz w:val="20"/>
                <w:szCs w:val="20"/>
              </w:rPr>
              <w:t xml:space="preserve">Dispensed Price for Max. </w:t>
            </w:r>
            <w:proofErr w:type="spellStart"/>
            <w:r w:rsidRPr="00392083">
              <w:rPr>
                <w:rFonts w:ascii="Arial Narrow" w:hAnsi="Arial Narrow" w:cs="Arial"/>
                <w:b/>
                <w:sz w:val="20"/>
                <w:szCs w:val="20"/>
              </w:rPr>
              <w:t>Qty</w:t>
            </w:r>
            <w:proofErr w:type="spellEnd"/>
          </w:p>
        </w:tc>
        <w:tc>
          <w:tcPr>
            <w:tcW w:w="2551" w:type="dxa"/>
            <w:gridSpan w:val="2"/>
            <w:tcBorders>
              <w:bottom w:val="single" w:sz="4" w:space="0" w:color="auto"/>
            </w:tcBorders>
          </w:tcPr>
          <w:p w:rsidR="002E1B1B" w:rsidRPr="00392083" w:rsidRDefault="002E1B1B" w:rsidP="0077749E">
            <w:pPr>
              <w:keepNext/>
              <w:jc w:val="both"/>
              <w:rPr>
                <w:rFonts w:ascii="Arial Narrow" w:hAnsi="Arial Narrow" w:cs="Arial"/>
                <w:b/>
                <w:sz w:val="20"/>
                <w:szCs w:val="20"/>
                <w:lang w:val="fr-FR"/>
              </w:rPr>
            </w:pPr>
            <w:r w:rsidRPr="00392083">
              <w:rPr>
                <w:rFonts w:ascii="Arial Narrow" w:hAnsi="Arial Narrow" w:cs="Arial"/>
                <w:b/>
                <w:sz w:val="20"/>
                <w:szCs w:val="20"/>
              </w:rPr>
              <w:t>Proprietary Name and Manufacturer</w:t>
            </w:r>
          </w:p>
        </w:tc>
      </w:tr>
      <w:tr w:rsidR="002E1B1B" w:rsidRPr="00392083" w:rsidTr="0077749E">
        <w:trPr>
          <w:cantSplit/>
          <w:trHeight w:val="577"/>
        </w:trPr>
        <w:tc>
          <w:tcPr>
            <w:tcW w:w="3119" w:type="dxa"/>
            <w:gridSpan w:val="2"/>
          </w:tcPr>
          <w:p w:rsidR="002E1B1B" w:rsidRPr="00392083" w:rsidRDefault="00380102" w:rsidP="002E1B1B">
            <w:pPr>
              <w:keepNext/>
              <w:ind w:left="-108"/>
              <w:jc w:val="both"/>
              <w:rPr>
                <w:rFonts w:ascii="Arial Narrow" w:hAnsi="Arial Narrow" w:cs="Arial"/>
                <w:smallCaps/>
                <w:sz w:val="20"/>
                <w:szCs w:val="20"/>
              </w:rPr>
            </w:pPr>
            <w:r w:rsidRPr="00392083">
              <w:rPr>
                <w:rFonts w:ascii="Arial Narrow" w:hAnsi="Arial Narrow" w:cs="Arial"/>
                <w:smallCaps/>
                <w:sz w:val="20"/>
                <w:szCs w:val="20"/>
              </w:rPr>
              <w:t>LEUPRORELIN AND BICALUTAMIDE</w:t>
            </w:r>
          </w:p>
          <w:p w:rsidR="002E1B1B" w:rsidRPr="00392083" w:rsidRDefault="002E1B1B" w:rsidP="002E1B1B">
            <w:pPr>
              <w:keepNext/>
              <w:ind w:left="-108"/>
              <w:jc w:val="both"/>
              <w:rPr>
                <w:rFonts w:ascii="Arial Narrow" w:hAnsi="Arial Narrow" w:cs="Arial"/>
                <w:sz w:val="20"/>
                <w:szCs w:val="20"/>
              </w:rPr>
            </w:pPr>
            <w:proofErr w:type="spellStart"/>
            <w:r w:rsidRPr="00392083">
              <w:rPr>
                <w:rFonts w:ascii="Arial Narrow" w:hAnsi="Arial Narrow" w:cs="Arial"/>
                <w:sz w:val="20"/>
                <w:szCs w:val="20"/>
              </w:rPr>
              <w:t>leuprorelin</w:t>
            </w:r>
            <w:proofErr w:type="spellEnd"/>
            <w:r w:rsidRPr="00392083">
              <w:rPr>
                <w:rFonts w:ascii="Arial Narrow" w:hAnsi="Arial Narrow" w:cs="Arial"/>
                <w:sz w:val="20"/>
                <w:szCs w:val="20"/>
              </w:rPr>
              <w:t xml:space="preserve"> acetate 22.5 mg injection: modified release [1 syringe] (&amp;) inert substance diluent [1 syringe], (&amp;) </w:t>
            </w:r>
            <w:proofErr w:type="spellStart"/>
            <w:r w:rsidRPr="00392083">
              <w:rPr>
                <w:rFonts w:ascii="Arial Narrow" w:hAnsi="Arial Narrow" w:cs="Arial"/>
                <w:sz w:val="20"/>
                <w:szCs w:val="20"/>
              </w:rPr>
              <w:t>bicalutamide</w:t>
            </w:r>
            <w:proofErr w:type="spellEnd"/>
            <w:r w:rsidRPr="00392083">
              <w:rPr>
                <w:rFonts w:ascii="Arial Narrow" w:hAnsi="Arial Narrow" w:cs="Arial"/>
                <w:sz w:val="20"/>
                <w:szCs w:val="20"/>
              </w:rPr>
              <w:t xml:space="preserve"> 50 mg tablet [84 tablets], 1 pack</w:t>
            </w:r>
          </w:p>
        </w:tc>
        <w:tc>
          <w:tcPr>
            <w:tcW w:w="850" w:type="dxa"/>
          </w:tcPr>
          <w:p w:rsidR="002E1B1B" w:rsidRPr="00392083" w:rsidRDefault="002E1B1B" w:rsidP="0077749E">
            <w:pPr>
              <w:keepNext/>
              <w:ind w:left="-108"/>
              <w:jc w:val="both"/>
              <w:rPr>
                <w:rFonts w:ascii="Arial Narrow" w:hAnsi="Arial Narrow" w:cs="Arial"/>
                <w:sz w:val="20"/>
                <w:szCs w:val="20"/>
              </w:rPr>
            </w:pPr>
          </w:p>
          <w:p w:rsidR="002E1B1B" w:rsidRPr="00392083" w:rsidRDefault="002E1B1B" w:rsidP="0077749E">
            <w:pPr>
              <w:keepNext/>
              <w:ind w:left="-108"/>
              <w:jc w:val="both"/>
              <w:rPr>
                <w:rFonts w:ascii="Arial Narrow" w:hAnsi="Arial Narrow" w:cs="Arial"/>
                <w:sz w:val="20"/>
                <w:szCs w:val="20"/>
              </w:rPr>
            </w:pPr>
            <w:r w:rsidRPr="00392083">
              <w:rPr>
                <w:rFonts w:ascii="Arial Narrow" w:hAnsi="Arial Narrow" w:cs="Arial"/>
                <w:sz w:val="20"/>
                <w:szCs w:val="20"/>
              </w:rPr>
              <w:t>1</w:t>
            </w:r>
          </w:p>
        </w:tc>
        <w:tc>
          <w:tcPr>
            <w:tcW w:w="709" w:type="dxa"/>
          </w:tcPr>
          <w:p w:rsidR="002E1B1B" w:rsidRPr="00392083" w:rsidRDefault="002E1B1B" w:rsidP="0077749E">
            <w:pPr>
              <w:keepNext/>
              <w:ind w:left="-108"/>
              <w:jc w:val="both"/>
              <w:rPr>
                <w:rFonts w:ascii="Arial Narrow" w:hAnsi="Arial Narrow" w:cs="Arial"/>
                <w:sz w:val="20"/>
                <w:szCs w:val="20"/>
              </w:rPr>
            </w:pPr>
          </w:p>
          <w:p w:rsidR="002E1B1B" w:rsidRPr="00392083" w:rsidRDefault="002E1B1B" w:rsidP="0077749E">
            <w:pPr>
              <w:keepNext/>
              <w:ind w:left="-108"/>
              <w:jc w:val="both"/>
              <w:rPr>
                <w:rFonts w:ascii="Arial Narrow" w:hAnsi="Arial Narrow" w:cs="Arial"/>
                <w:sz w:val="20"/>
                <w:szCs w:val="20"/>
              </w:rPr>
            </w:pPr>
            <w:r w:rsidRPr="00392083">
              <w:rPr>
                <w:rFonts w:ascii="Arial Narrow" w:hAnsi="Arial Narrow" w:cs="Arial"/>
                <w:sz w:val="20"/>
                <w:szCs w:val="20"/>
              </w:rPr>
              <w:t>1</w:t>
            </w:r>
          </w:p>
        </w:tc>
        <w:tc>
          <w:tcPr>
            <w:tcW w:w="1276" w:type="dxa"/>
          </w:tcPr>
          <w:p w:rsidR="002E1B1B" w:rsidRPr="00392083" w:rsidRDefault="002E1B1B" w:rsidP="0077749E">
            <w:pPr>
              <w:keepNext/>
              <w:ind w:left="-108"/>
              <w:jc w:val="both"/>
              <w:rPr>
                <w:rFonts w:ascii="Arial Narrow" w:hAnsi="Arial Narrow" w:cs="Arial"/>
                <w:sz w:val="20"/>
                <w:szCs w:val="20"/>
              </w:rPr>
            </w:pPr>
          </w:p>
          <w:p w:rsidR="002E1B1B" w:rsidRPr="00392083" w:rsidRDefault="002E1B1B" w:rsidP="0077749E">
            <w:pPr>
              <w:keepNext/>
              <w:ind w:left="-108"/>
              <w:jc w:val="both"/>
              <w:rPr>
                <w:rFonts w:ascii="Arial Narrow" w:hAnsi="Arial Narrow" w:cs="Arial"/>
                <w:sz w:val="20"/>
                <w:szCs w:val="20"/>
              </w:rPr>
            </w:pPr>
            <w:r w:rsidRPr="00392083">
              <w:rPr>
                <w:rFonts w:ascii="Arial Narrow" w:hAnsi="Arial Narrow" w:cs="Arial"/>
                <w:sz w:val="20"/>
                <w:szCs w:val="20"/>
              </w:rPr>
              <w:t>$</w:t>
            </w:r>
            <w:r w:rsidR="00892BF0">
              <w:rPr>
                <w:rFonts w:ascii="Arial Narrow" w:hAnsi="Arial Narrow" w:cs="Arial"/>
                <w:noProof/>
                <w:color w:val="000000"/>
                <w:sz w:val="20"/>
                <w:szCs w:val="20"/>
                <w:highlight w:val="black"/>
              </w:rPr>
              <w:t>'''''''''''''''''''</w:t>
            </w:r>
          </w:p>
        </w:tc>
        <w:tc>
          <w:tcPr>
            <w:tcW w:w="1417" w:type="dxa"/>
          </w:tcPr>
          <w:p w:rsidR="002E1B1B" w:rsidRPr="00392083" w:rsidRDefault="002E1B1B" w:rsidP="0077749E">
            <w:pPr>
              <w:keepNext/>
              <w:jc w:val="both"/>
              <w:rPr>
                <w:rFonts w:ascii="Arial Narrow" w:hAnsi="Arial Narrow" w:cs="Arial"/>
                <w:sz w:val="20"/>
                <w:szCs w:val="20"/>
              </w:rPr>
            </w:pPr>
          </w:p>
          <w:p w:rsidR="002E1B1B" w:rsidRPr="00392083" w:rsidRDefault="002E1B1B" w:rsidP="0077749E">
            <w:pPr>
              <w:keepNext/>
              <w:jc w:val="both"/>
              <w:rPr>
                <w:rFonts w:ascii="Arial Narrow" w:hAnsi="Arial Narrow" w:cs="Arial"/>
                <w:sz w:val="20"/>
                <w:szCs w:val="20"/>
              </w:rPr>
            </w:pPr>
            <w:proofErr w:type="spellStart"/>
            <w:r w:rsidRPr="00392083">
              <w:rPr>
                <w:rFonts w:ascii="Arial Narrow" w:hAnsi="Arial Narrow"/>
                <w:smallCaps/>
                <w:sz w:val="20"/>
                <w:szCs w:val="20"/>
              </w:rPr>
              <w:t>Bi</w:t>
            </w:r>
            <w:proofErr w:type="spellEnd"/>
            <w:r w:rsidRPr="00392083">
              <w:rPr>
                <w:rFonts w:ascii="Arial Narrow" w:hAnsi="Arial Narrow"/>
                <w:smallCaps/>
                <w:sz w:val="20"/>
                <w:szCs w:val="20"/>
              </w:rPr>
              <w:t xml:space="preserve"> ELIGARD </w:t>
            </w:r>
            <w:r w:rsidRPr="00392083">
              <w:rPr>
                <w:rFonts w:ascii="Arial Narrow" w:hAnsi="Arial Narrow"/>
                <w:sz w:val="20"/>
                <w:szCs w:val="20"/>
              </w:rPr>
              <w:t>CP®</w:t>
            </w:r>
          </w:p>
        </w:tc>
        <w:tc>
          <w:tcPr>
            <w:tcW w:w="1134" w:type="dxa"/>
          </w:tcPr>
          <w:p w:rsidR="002E1B1B" w:rsidRPr="00392083" w:rsidRDefault="002E1B1B" w:rsidP="0077749E">
            <w:pPr>
              <w:keepNext/>
              <w:jc w:val="both"/>
              <w:rPr>
                <w:rFonts w:ascii="Arial Narrow" w:hAnsi="Arial Narrow" w:cs="Arial"/>
                <w:sz w:val="20"/>
                <w:szCs w:val="20"/>
              </w:rPr>
            </w:pPr>
          </w:p>
          <w:p w:rsidR="002E1B1B" w:rsidRPr="00392083" w:rsidRDefault="002E1B1B" w:rsidP="0077749E">
            <w:pPr>
              <w:keepNext/>
              <w:jc w:val="both"/>
              <w:rPr>
                <w:rFonts w:ascii="Arial Narrow" w:hAnsi="Arial Narrow" w:cs="Arial"/>
                <w:sz w:val="20"/>
                <w:szCs w:val="20"/>
              </w:rPr>
            </w:pPr>
            <w:proofErr w:type="spellStart"/>
            <w:r w:rsidRPr="00392083">
              <w:rPr>
                <w:rFonts w:ascii="Arial Narrow" w:hAnsi="Arial Narrow"/>
                <w:sz w:val="20"/>
                <w:szCs w:val="20"/>
              </w:rPr>
              <w:t>Tolmar</w:t>
            </w:r>
            <w:proofErr w:type="spellEnd"/>
            <w:r w:rsidRPr="00392083">
              <w:rPr>
                <w:rFonts w:ascii="Arial Narrow" w:hAnsi="Arial Narrow"/>
                <w:sz w:val="20"/>
                <w:szCs w:val="20"/>
              </w:rPr>
              <w:t xml:space="preserve"> Australia Pty Ltd (TL)</w:t>
            </w:r>
          </w:p>
        </w:tc>
      </w:tr>
      <w:tr w:rsidR="002E1B1B" w:rsidRPr="00392083" w:rsidTr="0077749E">
        <w:trPr>
          <w:cantSplit/>
          <w:trHeight w:val="360"/>
        </w:trPr>
        <w:tc>
          <w:tcPr>
            <w:tcW w:w="8505" w:type="dxa"/>
            <w:gridSpan w:val="7"/>
            <w:tcBorders>
              <w:bottom w:val="single" w:sz="4" w:space="0" w:color="auto"/>
            </w:tcBorders>
          </w:tcPr>
          <w:p w:rsidR="002E1B1B" w:rsidRPr="00392083" w:rsidRDefault="002E1B1B" w:rsidP="0077749E">
            <w:pPr>
              <w:jc w:val="both"/>
              <w:rPr>
                <w:rFonts w:ascii="Arial Narrow" w:hAnsi="Arial Narrow" w:cs="Arial"/>
                <w:sz w:val="20"/>
                <w:szCs w:val="20"/>
              </w:rPr>
            </w:pPr>
          </w:p>
        </w:tc>
      </w:tr>
      <w:tr w:rsidR="002E1B1B" w:rsidRPr="0039208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 xml:space="preserve">Category / </w:t>
            </w:r>
          </w:p>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Program</w:t>
            </w: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rPr>
                <w:rFonts w:ascii="Arial Narrow" w:hAnsi="Arial Narrow" w:cs="Arial"/>
                <w:sz w:val="20"/>
                <w:szCs w:val="20"/>
              </w:rPr>
            </w:pPr>
            <w:r w:rsidRPr="00392083">
              <w:rPr>
                <w:rFonts w:ascii="Arial Narrow" w:hAnsi="Arial Narrow" w:cs="Arial"/>
                <w:sz w:val="20"/>
                <w:szCs w:val="20"/>
              </w:rPr>
              <w:t>GENERAL – General Schedule (Code GE)</w:t>
            </w:r>
          </w:p>
          <w:p w:rsidR="002E1B1B" w:rsidRPr="00392083" w:rsidRDefault="002E1B1B" w:rsidP="0077749E">
            <w:pPr>
              <w:rPr>
                <w:rFonts w:ascii="Arial Narrow" w:hAnsi="Arial Narrow" w:cs="Arial"/>
                <w:sz w:val="20"/>
                <w:szCs w:val="20"/>
              </w:rPr>
            </w:pPr>
          </w:p>
        </w:tc>
      </w:tr>
      <w:tr w:rsidR="002E1B1B" w:rsidRPr="0039208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Prescriber type:</w:t>
            </w: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rPr>
                <w:rFonts w:ascii="Arial Narrow" w:hAnsi="Arial Narrow" w:cs="Arial"/>
                <w:sz w:val="20"/>
                <w:szCs w:val="20"/>
              </w:rPr>
            </w:pPr>
            <w:r w:rsidRPr="00392083">
              <w:rPr>
                <w:rFonts w:ascii="Arial Narrow" w:hAnsi="Arial Narrow" w:cs="Arial"/>
                <w:sz w:val="20"/>
                <w:szCs w:val="20"/>
              </w:rPr>
              <w:fldChar w:fldCharType="begin">
                <w:ffData>
                  <w:name w:val="Check1"/>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 xml:space="preserve">Dental  </w:t>
            </w:r>
            <w:r w:rsidR="0077749E" w:rsidRPr="00392083">
              <w:rPr>
                <w:rFonts w:ascii="Arial Narrow" w:hAnsi="Arial Narrow" w:cs="Arial"/>
                <w:sz w:val="20"/>
                <w:szCs w:val="20"/>
              </w:rPr>
              <w:fldChar w:fldCharType="begin">
                <w:ffData>
                  <w:name w:val=""/>
                  <w:enabled/>
                  <w:calcOnExit w:val="0"/>
                  <w:checkBox>
                    <w:sizeAuto/>
                    <w:default w:val="1"/>
                  </w:checkBox>
                </w:ffData>
              </w:fldChar>
            </w:r>
            <w:r w:rsidR="0077749E"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0077749E" w:rsidRPr="00392083">
              <w:rPr>
                <w:rFonts w:ascii="Arial Narrow" w:hAnsi="Arial Narrow" w:cs="Arial"/>
                <w:sz w:val="20"/>
                <w:szCs w:val="20"/>
              </w:rPr>
              <w:fldChar w:fldCharType="end"/>
            </w:r>
            <w:r w:rsidRPr="00392083">
              <w:rPr>
                <w:rFonts w:ascii="Arial Narrow" w:hAnsi="Arial Narrow" w:cs="Arial"/>
                <w:sz w:val="20"/>
                <w:szCs w:val="20"/>
              </w:rPr>
              <w:t xml:space="preserve">Medical Practitioners  </w:t>
            </w:r>
            <w:r w:rsidRPr="00392083">
              <w:rPr>
                <w:rFonts w:ascii="Arial Narrow" w:hAnsi="Arial Narrow" w:cs="Arial"/>
                <w:sz w:val="20"/>
                <w:szCs w:val="20"/>
              </w:rPr>
              <w:fldChar w:fldCharType="begin">
                <w:ffData>
                  <w:name w:val="Check3"/>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 xml:space="preserve">Nurse practitioners  </w:t>
            </w:r>
            <w:r w:rsidRPr="00392083">
              <w:rPr>
                <w:rFonts w:ascii="Arial Narrow" w:hAnsi="Arial Narrow" w:cs="Arial"/>
                <w:sz w:val="20"/>
                <w:szCs w:val="20"/>
              </w:rPr>
              <w:fldChar w:fldCharType="begin">
                <w:ffData>
                  <w:name w:val=""/>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Optometrists</w:t>
            </w:r>
          </w:p>
          <w:p w:rsidR="002E1B1B" w:rsidRPr="00392083" w:rsidRDefault="002E1B1B" w:rsidP="0077749E">
            <w:pPr>
              <w:rPr>
                <w:rFonts w:ascii="Arial Narrow" w:hAnsi="Arial Narrow" w:cs="Arial"/>
                <w:sz w:val="20"/>
                <w:szCs w:val="20"/>
              </w:rPr>
            </w:pPr>
            <w:r w:rsidRPr="00392083">
              <w:rPr>
                <w:rFonts w:ascii="Arial Narrow" w:hAnsi="Arial Narrow" w:cs="Arial"/>
                <w:sz w:val="20"/>
                <w:szCs w:val="20"/>
              </w:rPr>
              <w:fldChar w:fldCharType="begin">
                <w:ffData>
                  <w:name w:val="Check5"/>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Midwives</w:t>
            </w:r>
          </w:p>
        </w:tc>
      </w:tr>
      <w:tr w:rsidR="002E1B1B" w:rsidRPr="0039208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proofErr w:type="spellStart"/>
            <w:r w:rsidRPr="00392083">
              <w:rPr>
                <w:rFonts w:ascii="Arial Narrow" w:hAnsi="Arial Narrow" w:cs="Arial"/>
                <w:b/>
                <w:sz w:val="20"/>
                <w:szCs w:val="20"/>
              </w:rPr>
              <w:t>Episodicity</w:t>
            </w:r>
            <w:proofErr w:type="spellEnd"/>
            <w:r w:rsidRPr="00392083">
              <w:rPr>
                <w:rFonts w:ascii="Arial Narrow" w:hAnsi="Arial Narrow" w:cs="Arial"/>
                <w:b/>
                <w:sz w:val="20"/>
                <w:szCs w:val="20"/>
              </w:rPr>
              <w:t>:</w:t>
            </w: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rPr>
                <w:rFonts w:ascii="Arial Narrow" w:hAnsi="Arial Narrow"/>
                <w:sz w:val="20"/>
                <w:szCs w:val="20"/>
              </w:rPr>
            </w:pPr>
            <w:r w:rsidRPr="00392083">
              <w:rPr>
                <w:rFonts w:ascii="Arial Narrow" w:hAnsi="Arial Narrow"/>
                <w:sz w:val="20"/>
                <w:szCs w:val="20"/>
              </w:rPr>
              <w:t>N/A</w:t>
            </w:r>
          </w:p>
        </w:tc>
      </w:tr>
      <w:tr w:rsidR="002E1B1B" w:rsidRPr="0039208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Severity:</w:t>
            </w: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rPr>
                <w:rFonts w:ascii="Arial Narrow" w:hAnsi="Arial Narrow"/>
                <w:sz w:val="20"/>
                <w:szCs w:val="20"/>
              </w:rPr>
            </w:pPr>
            <w:r w:rsidRPr="00392083">
              <w:rPr>
                <w:rFonts w:ascii="Arial Narrow" w:hAnsi="Arial Narrow"/>
                <w:sz w:val="20"/>
                <w:szCs w:val="20"/>
              </w:rPr>
              <w:t>N/A</w:t>
            </w:r>
          </w:p>
        </w:tc>
      </w:tr>
      <w:tr w:rsidR="002E1B1B" w:rsidRPr="0039208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Condition:</w:t>
            </w: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tabs>
                <w:tab w:val="left" w:pos="990"/>
              </w:tabs>
              <w:rPr>
                <w:rFonts w:ascii="Arial Narrow" w:hAnsi="Arial Narrow"/>
                <w:sz w:val="20"/>
                <w:szCs w:val="20"/>
              </w:rPr>
            </w:pPr>
            <w:r w:rsidRPr="00392083">
              <w:rPr>
                <w:rFonts w:ascii="Arial Narrow" w:hAnsi="Arial Narrow"/>
                <w:sz w:val="20"/>
                <w:szCs w:val="20"/>
              </w:rPr>
              <w:t>Carcinoma of the prostate</w:t>
            </w:r>
          </w:p>
        </w:tc>
      </w:tr>
      <w:tr w:rsidR="002E1B1B" w:rsidRPr="0039208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PBS Indication:</w:t>
            </w: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tabs>
                <w:tab w:val="left" w:pos="990"/>
              </w:tabs>
              <w:rPr>
                <w:rFonts w:ascii="Arial Narrow" w:hAnsi="Arial Narrow"/>
                <w:sz w:val="20"/>
                <w:szCs w:val="20"/>
              </w:rPr>
            </w:pPr>
            <w:r w:rsidRPr="00392083">
              <w:rPr>
                <w:rFonts w:ascii="Arial Narrow" w:hAnsi="Arial Narrow"/>
                <w:sz w:val="20"/>
                <w:szCs w:val="20"/>
              </w:rPr>
              <w:t>Carcinoma of the prostate</w:t>
            </w:r>
          </w:p>
        </w:tc>
      </w:tr>
      <w:tr w:rsidR="002E1B1B" w:rsidRPr="0039208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Restriction Level / Method:</w:t>
            </w:r>
          </w:p>
          <w:p w:rsidR="002E1B1B" w:rsidRPr="00392083" w:rsidRDefault="002E1B1B" w:rsidP="0077749E">
            <w:pPr>
              <w:rPr>
                <w:rFonts w:ascii="Arial Narrow" w:hAnsi="Arial Narrow" w:cs="Arial"/>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Check1"/>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Restricted benefit</w:t>
            </w:r>
          </w:p>
          <w:p w:rsidR="002E1B1B" w:rsidRPr="00392083" w:rsidRDefault="002E1B1B"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Authority Required - In Writing</w:t>
            </w:r>
          </w:p>
          <w:p w:rsidR="002E1B1B" w:rsidRPr="00392083" w:rsidRDefault="002E1B1B"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Check3"/>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Authority Required - Telephone</w:t>
            </w:r>
          </w:p>
          <w:p w:rsidR="002E1B1B" w:rsidRPr="00392083" w:rsidRDefault="002E1B1B"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Authority Required – Emergency</w:t>
            </w:r>
          </w:p>
          <w:p w:rsidR="002E1B1B" w:rsidRPr="00392083" w:rsidRDefault="002E1B1B" w:rsidP="0077749E">
            <w:pPr>
              <w:spacing w:line="360" w:lineRule="auto"/>
              <w:rPr>
                <w:rFonts w:ascii="Arial Narrow" w:hAnsi="Arial Narrow" w:cs="Arial"/>
                <w:sz w:val="20"/>
                <w:szCs w:val="20"/>
              </w:rPr>
            </w:pPr>
            <w:r w:rsidRPr="00392083">
              <w:rPr>
                <w:rFonts w:ascii="Arial Narrow" w:hAnsi="Arial Narrow" w:cs="Arial"/>
                <w:sz w:val="20"/>
                <w:szCs w:val="20"/>
              </w:rPr>
              <w:fldChar w:fldCharType="begin">
                <w:ffData>
                  <w:name w:val="Check5"/>
                  <w:enabled/>
                  <w:calcOnExit w:val="0"/>
                  <w:checkBox>
                    <w:sizeAuto/>
                    <w:default w:val="0"/>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Authority Required - Electronic</w:t>
            </w:r>
          </w:p>
          <w:p w:rsidR="002E1B1B" w:rsidRPr="00392083" w:rsidRDefault="002E1B1B" w:rsidP="0077749E">
            <w:pPr>
              <w:spacing w:line="360" w:lineRule="auto"/>
              <w:rPr>
                <w:rFonts w:ascii="Arial Narrow" w:hAnsi="Arial Narrow"/>
                <w:sz w:val="20"/>
                <w:szCs w:val="20"/>
              </w:rPr>
            </w:pPr>
            <w:r w:rsidRPr="00392083">
              <w:rPr>
                <w:rFonts w:ascii="Arial Narrow" w:hAnsi="Arial Narrow" w:cs="Arial"/>
                <w:sz w:val="20"/>
                <w:szCs w:val="20"/>
              </w:rPr>
              <w:fldChar w:fldCharType="begin">
                <w:ffData>
                  <w:name w:val="Check5"/>
                  <w:enabled/>
                  <w:calcOnExit w:val="0"/>
                  <w:checkBox>
                    <w:sizeAuto/>
                    <w:default w:val="1"/>
                  </w:checkBox>
                </w:ffData>
              </w:fldChar>
            </w:r>
            <w:r w:rsidRPr="0039208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392083">
              <w:rPr>
                <w:rFonts w:ascii="Arial Narrow" w:hAnsi="Arial Narrow" w:cs="Arial"/>
                <w:sz w:val="20"/>
                <w:szCs w:val="20"/>
              </w:rPr>
              <w:fldChar w:fldCharType="end"/>
            </w:r>
            <w:r w:rsidRPr="00392083">
              <w:rPr>
                <w:rFonts w:ascii="Arial Narrow" w:hAnsi="Arial Narrow" w:cs="Arial"/>
                <w:sz w:val="20"/>
                <w:szCs w:val="20"/>
              </w:rPr>
              <w:t>Streamlined</w:t>
            </w:r>
          </w:p>
        </w:tc>
      </w:tr>
      <w:tr w:rsidR="002E1B1B" w:rsidRPr="0039208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Clinical criteria:</w:t>
            </w:r>
          </w:p>
          <w:p w:rsidR="002E1B1B" w:rsidRPr="00392083" w:rsidRDefault="002E1B1B" w:rsidP="0077749E">
            <w:pPr>
              <w:jc w:val="both"/>
              <w:rPr>
                <w:rFonts w:ascii="Arial Narrow" w:hAnsi="Arial Narrow" w:cs="Arial"/>
                <w:i/>
                <w:sz w:val="20"/>
                <w:szCs w:val="20"/>
              </w:rPr>
            </w:pPr>
          </w:p>
          <w:p w:rsidR="002E1B1B" w:rsidRPr="00392083" w:rsidRDefault="002E1B1B" w:rsidP="0077749E">
            <w:pPr>
              <w:jc w:val="both"/>
              <w:rPr>
                <w:rFonts w:ascii="Arial Narrow" w:hAnsi="Arial Narrow" w:cs="Arial"/>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tabs>
                <w:tab w:val="left" w:pos="990"/>
              </w:tabs>
              <w:rPr>
                <w:rFonts w:ascii="Arial Narrow" w:hAnsi="Arial Narrow"/>
                <w:sz w:val="20"/>
                <w:szCs w:val="20"/>
              </w:rPr>
            </w:pPr>
            <w:r w:rsidRPr="00392083">
              <w:rPr>
                <w:rFonts w:ascii="Arial Narrow" w:hAnsi="Arial Narrow"/>
                <w:sz w:val="20"/>
                <w:szCs w:val="20"/>
              </w:rPr>
              <w:t>The condition must be metastatic (stage D),</w:t>
            </w:r>
          </w:p>
          <w:p w:rsidR="002E1B1B" w:rsidRPr="00392083" w:rsidRDefault="002E1B1B" w:rsidP="0077749E">
            <w:pPr>
              <w:tabs>
                <w:tab w:val="left" w:pos="990"/>
              </w:tabs>
              <w:rPr>
                <w:rFonts w:ascii="Arial Narrow" w:hAnsi="Arial Narrow"/>
                <w:sz w:val="20"/>
                <w:szCs w:val="20"/>
              </w:rPr>
            </w:pPr>
          </w:p>
          <w:p w:rsidR="002E1B1B" w:rsidRPr="00392083" w:rsidRDefault="002E1B1B" w:rsidP="0077749E">
            <w:pPr>
              <w:tabs>
                <w:tab w:val="left" w:pos="990"/>
              </w:tabs>
              <w:rPr>
                <w:rFonts w:ascii="Arial Narrow" w:hAnsi="Arial Narrow"/>
                <w:sz w:val="20"/>
                <w:szCs w:val="20"/>
              </w:rPr>
            </w:pPr>
            <w:r w:rsidRPr="00392083">
              <w:rPr>
                <w:rFonts w:ascii="Arial Narrow" w:hAnsi="Arial Narrow"/>
                <w:sz w:val="20"/>
                <w:szCs w:val="20"/>
              </w:rPr>
              <w:t>AND</w:t>
            </w:r>
          </w:p>
          <w:p w:rsidR="002E1B1B" w:rsidRPr="00392083" w:rsidRDefault="002E1B1B" w:rsidP="0077749E">
            <w:pPr>
              <w:tabs>
                <w:tab w:val="left" w:pos="990"/>
              </w:tabs>
              <w:rPr>
                <w:rFonts w:ascii="Arial Narrow" w:hAnsi="Arial Narrow"/>
                <w:sz w:val="20"/>
                <w:szCs w:val="20"/>
              </w:rPr>
            </w:pPr>
          </w:p>
          <w:p w:rsidR="002E1B1B" w:rsidRPr="00392083" w:rsidRDefault="002E1B1B" w:rsidP="0077749E">
            <w:pPr>
              <w:tabs>
                <w:tab w:val="left" w:pos="990"/>
              </w:tabs>
              <w:rPr>
                <w:rFonts w:ascii="Arial Narrow" w:hAnsi="Arial Narrow"/>
                <w:sz w:val="20"/>
                <w:szCs w:val="20"/>
              </w:rPr>
            </w:pPr>
            <w:r w:rsidRPr="00392083">
              <w:rPr>
                <w:rFonts w:ascii="Arial Narrow" w:hAnsi="Arial Narrow"/>
                <w:sz w:val="20"/>
                <w:szCs w:val="20"/>
              </w:rPr>
              <w:t xml:space="preserve">Patient must require a combination of an </w:t>
            </w:r>
            <w:proofErr w:type="spellStart"/>
            <w:r w:rsidRPr="00392083">
              <w:rPr>
                <w:rFonts w:ascii="Arial Narrow" w:hAnsi="Arial Narrow"/>
                <w:sz w:val="20"/>
                <w:szCs w:val="20"/>
              </w:rPr>
              <w:t>antiandrogen</w:t>
            </w:r>
            <w:proofErr w:type="spellEnd"/>
            <w:r w:rsidRPr="00392083">
              <w:rPr>
                <w:rFonts w:ascii="Arial Narrow" w:hAnsi="Arial Narrow"/>
                <w:sz w:val="20"/>
                <w:szCs w:val="20"/>
              </w:rPr>
              <w:t xml:space="preserve"> and a </w:t>
            </w:r>
            <w:proofErr w:type="spellStart"/>
            <w:r w:rsidRPr="00392083">
              <w:rPr>
                <w:rFonts w:ascii="Arial Narrow" w:hAnsi="Arial Narrow"/>
                <w:sz w:val="20"/>
                <w:szCs w:val="20"/>
              </w:rPr>
              <w:t>GnRH</w:t>
            </w:r>
            <w:proofErr w:type="spellEnd"/>
            <w:r w:rsidRPr="00392083">
              <w:rPr>
                <w:rFonts w:ascii="Arial Narrow" w:hAnsi="Arial Narrow"/>
                <w:sz w:val="20"/>
                <w:szCs w:val="20"/>
              </w:rPr>
              <w:t xml:space="preserve"> (LH-RH) agonist.</w:t>
            </w:r>
          </w:p>
        </w:tc>
      </w:tr>
      <w:tr w:rsidR="002E1B1B" w:rsidRPr="00392083" w:rsidTr="007774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2E1B1B" w:rsidRPr="00392083" w:rsidRDefault="002E1B1B" w:rsidP="0077749E">
            <w:pPr>
              <w:jc w:val="both"/>
              <w:rPr>
                <w:rFonts w:ascii="Arial Narrow" w:hAnsi="Arial Narrow" w:cs="Arial"/>
                <w:b/>
                <w:sz w:val="20"/>
                <w:szCs w:val="20"/>
              </w:rPr>
            </w:pPr>
            <w:r w:rsidRPr="00392083">
              <w:rPr>
                <w:rFonts w:ascii="Arial Narrow" w:hAnsi="Arial Narrow" w:cs="Arial"/>
                <w:b/>
                <w:sz w:val="20"/>
                <w:szCs w:val="20"/>
              </w:rPr>
              <w:t>Administrative Advice</w:t>
            </w:r>
          </w:p>
          <w:p w:rsidR="002E1B1B" w:rsidRPr="00392083" w:rsidRDefault="002E1B1B" w:rsidP="0077749E">
            <w:pPr>
              <w:jc w:val="both"/>
              <w:rPr>
                <w:rFonts w:ascii="Arial Narrow" w:hAnsi="Arial Narrow" w:cs="Arial"/>
                <w:i/>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2E1B1B" w:rsidRPr="00392083" w:rsidRDefault="002E1B1B" w:rsidP="0077749E">
            <w:pPr>
              <w:tabs>
                <w:tab w:val="left" w:pos="990"/>
              </w:tabs>
              <w:rPr>
                <w:rFonts w:ascii="Arial Narrow" w:hAnsi="Arial Narrow"/>
                <w:b/>
                <w:sz w:val="20"/>
                <w:szCs w:val="20"/>
                <w:u w:val="single"/>
              </w:rPr>
            </w:pPr>
            <w:r w:rsidRPr="00392083">
              <w:rPr>
                <w:rFonts w:ascii="Arial Narrow" w:hAnsi="Arial Narrow"/>
                <w:b/>
                <w:sz w:val="20"/>
                <w:szCs w:val="20"/>
                <w:u w:val="single"/>
              </w:rPr>
              <w:t>Note</w:t>
            </w:r>
          </w:p>
          <w:p w:rsidR="002E1B1B" w:rsidRPr="00392083" w:rsidRDefault="002E1B1B" w:rsidP="0077749E">
            <w:pPr>
              <w:tabs>
                <w:tab w:val="left" w:pos="990"/>
              </w:tabs>
              <w:rPr>
                <w:rFonts w:ascii="Arial Narrow" w:hAnsi="Arial Narrow"/>
                <w:sz w:val="20"/>
                <w:szCs w:val="20"/>
              </w:rPr>
            </w:pPr>
            <w:r w:rsidRPr="00392083">
              <w:rPr>
                <w:rFonts w:ascii="Arial Narrow" w:hAnsi="Arial Narrow"/>
                <w:sz w:val="20"/>
                <w:szCs w:val="20"/>
              </w:rPr>
              <w:t>No increase in the maximum quantity or number of units may be authorised.</w:t>
            </w:r>
          </w:p>
          <w:p w:rsidR="002E1B1B" w:rsidRPr="00392083" w:rsidRDefault="002E1B1B" w:rsidP="0077749E">
            <w:pPr>
              <w:tabs>
                <w:tab w:val="left" w:pos="990"/>
              </w:tabs>
              <w:rPr>
                <w:rFonts w:ascii="Arial Narrow" w:hAnsi="Arial Narrow"/>
                <w:sz w:val="20"/>
                <w:szCs w:val="20"/>
              </w:rPr>
            </w:pPr>
          </w:p>
          <w:p w:rsidR="002E1B1B" w:rsidRPr="00392083" w:rsidRDefault="002E1B1B" w:rsidP="0077749E">
            <w:pPr>
              <w:tabs>
                <w:tab w:val="left" w:pos="990"/>
              </w:tabs>
              <w:rPr>
                <w:rFonts w:ascii="Arial Narrow" w:hAnsi="Arial Narrow"/>
                <w:b/>
                <w:sz w:val="20"/>
                <w:szCs w:val="20"/>
                <w:u w:val="single"/>
              </w:rPr>
            </w:pPr>
            <w:r w:rsidRPr="00392083">
              <w:rPr>
                <w:rFonts w:ascii="Arial Narrow" w:hAnsi="Arial Narrow"/>
                <w:b/>
                <w:sz w:val="20"/>
                <w:szCs w:val="20"/>
                <w:u w:val="single"/>
              </w:rPr>
              <w:t>Note</w:t>
            </w:r>
          </w:p>
          <w:p w:rsidR="002E1B1B" w:rsidRPr="00392083" w:rsidRDefault="002E1B1B" w:rsidP="0077749E">
            <w:pPr>
              <w:tabs>
                <w:tab w:val="left" w:pos="990"/>
              </w:tabs>
              <w:rPr>
                <w:rFonts w:ascii="Arial Narrow" w:hAnsi="Arial Narrow"/>
                <w:sz w:val="20"/>
                <w:szCs w:val="20"/>
              </w:rPr>
            </w:pPr>
            <w:r w:rsidRPr="00392083">
              <w:rPr>
                <w:rFonts w:ascii="Arial Narrow" w:hAnsi="Arial Narrow"/>
                <w:sz w:val="20"/>
                <w:szCs w:val="20"/>
              </w:rPr>
              <w:t>No increase in the maximum number of repeats may be authorised.</w:t>
            </w:r>
          </w:p>
        </w:tc>
      </w:tr>
    </w:tbl>
    <w:p w:rsidR="002E1B1B" w:rsidRDefault="002E1B1B" w:rsidP="00826F6D">
      <w:pPr>
        <w:pStyle w:val="ListParagraph"/>
        <w:jc w:val="both"/>
        <w:rPr>
          <w:rFonts w:ascii="Arial" w:hAnsi="Arial"/>
          <w:sz w:val="22"/>
          <w:szCs w:val="22"/>
        </w:rPr>
      </w:pPr>
    </w:p>
    <w:p w:rsidR="00857598" w:rsidRDefault="00857598" w:rsidP="00857598">
      <w:pPr>
        <w:rPr>
          <w:rFonts w:ascii="Arial" w:hAnsi="Arial"/>
          <w:sz w:val="22"/>
          <w:szCs w:val="22"/>
          <w:highlight w:val="yellow"/>
        </w:rPr>
      </w:pPr>
    </w:p>
    <w:p w:rsidR="00857598" w:rsidRPr="00857598" w:rsidRDefault="00857598" w:rsidP="00CF3C64">
      <w:pPr>
        <w:ind w:firstLine="643"/>
        <w:rPr>
          <w:rFonts w:ascii="Arial" w:hAnsi="Arial" w:cs="Arial"/>
          <w:bCs/>
          <w:snapToGrid w:val="0"/>
          <w:sz w:val="22"/>
          <w:szCs w:val="22"/>
        </w:rPr>
      </w:pPr>
      <w:r w:rsidRPr="001531ED">
        <w:rPr>
          <w:rFonts w:ascii="Arial" w:hAnsi="Arial" w:cs="Arial"/>
          <w:bCs/>
          <w:i/>
          <w:snapToGrid w:val="0"/>
          <w:sz w:val="22"/>
          <w:szCs w:val="22"/>
        </w:rPr>
        <w:t>For more detail on PBAC’s view, see section 7 “PBAC outcome”</w:t>
      </w:r>
    </w:p>
    <w:p w:rsidR="0016042D" w:rsidRPr="00882085" w:rsidRDefault="0016042D" w:rsidP="00882085">
      <w:pPr>
        <w:jc w:val="both"/>
        <w:rPr>
          <w:rFonts w:ascii="Arial" w:hAnsi="Arial"/>
          <w:b/>
          <w:sz w:val="22"/>
          <w:szCs w:val="22"/>
        </w:rPr>
      </w:pPr>
    </w:p>
    <w:p w:rsidR="00CE10C4" w:rsidRPr="00024CD0" w:rsidRDefault="00CE10C4" w:rsidP="00024CD0">
      <w:pPr>
        <w:pStyle w:val="Heading1"/>
        <w:numPr>
          <w:ilvl w:val="0"/>
          <w:numId w:val="16"/>
        </w:numPr>
        <w:tabs>
          <w:tab w:val="clear" w:pos="643"/>
          <w:tab w:val="num" w:pos="-284"/>
        </w:tabs>
        <w:ind w:left="426" w:hanging="710"/>
      </w:pPr>
      <w:r w:rsidRPr="00024CD0">
        <w:t>Background</w:t>
      </w:r>
    </w:p>
    <w:p w:rsidR="00CB597A" w:rsidRPr="00CB597A" w:rsidRDefault="00CB597A" w:rsidP="00CB597A">
      <w:pPr>
        <w:ind w:hanging="643"/>
      </w:pPr>
    </w:p>
    <w:p w:rsidR="002B1AE6" w:rsidRPr="00CB597A" w:rsidRDefault="005B1174" w:rsidP="00CB597A">
      <w:pPr>
        <w:pStyle w:val="ListParagraph"/>
        <w:numPr>
          <w:ilvl w:val="1"/>
          <w:numId w:val="16"/>
        </w:numPr>
        <w:ind w:hanging="643"/>
        <w:jc w:val="both"/>
        <w:rPr>
          <w:rFonts w:ascii="Arial" w:hAnsi="Arial"/>
          <w:i/>
          <w:sz w:val="22"/>
          <w:szCs w:val="22"/>
        </w:rPr>
      </w:pPr>
      <w:r w:rsidRPr="00CB597A">
        <w:rPr>
          <w:rFonts w:ascii="Arial" w:hAnsi="Arial"/>
          <w:sz w:val="22"/>
          <w:szCs w:val="22"/>
        </w:rPr>
        <w:t xml:space="preserve">Combination </w:t>
      </w:r>
      <w:proofErr w:type="spellStart"/>
      <w:r w:rsidRPr="00CB597A">
        <w:rPr>
          <w:rFonts w:ascii="Arial" w:hAnsi="Arial"/>
          <w:sz w:val="22"/>
          <w:szCs w:val="22"/>
        </w:rPr>
        <w:t>leuprorelin</w:t>
      </w:r>
      <w:proofErr w:type="spellEnd"/>
      <w:r w:rsidRPr="00CB597A">
        <w:rPr>
          <w:rFonts w:ascii="Arial" w:hAnsi="Arial"/>
          <w:sz w:val="22"/>
          <w:szCs w:val="22"/>
        </w:rPr>
        <w:t xml:space="preserve"> and </w:t>
      </w:r>
      <w:proofErr w:type="spellStart"/>
      <w:r w:rsidRPr="00CB597A">
        <w:rPr>
          <w:rFonts w:ascii="Arial" w:hAnsi="Arial"/>
          <w:sz w:val="22"/>
          <w:szCs w:val="22"/>
        </w:rPr>
        <w:t>bicalutamide</w:t>
      </w:r>
      <w:proofErr w:type="spellEnd"/>
      <w:r w:rsidRPr="00CB597A">
        <w:rPr>
          <w:rFonts w:ascii="Arial" w:hAnsi="Arial"/>
          <w:sz w:val="22"/>
          <w:szCs w:val="22"/>
        </w:rPr>
        <w:t xml:space="preserve"> (Bi </w:t>
      </w:r>
      <w:proofErr w:type="spellStart"/>
      <w:r w:rsidRPr="00CB597A">
        <w:rPr>
          <w:rFonts w:ascii="Arial" w:hAnsi="Arial"/>
          <w:sz w:val="22"/>
          <w:szCs w:val="22"/>
        </w:rPr>
        <w:t>Eligard</w:t>
      </w:r>
      <w:proofErr w:type="spellEnd"/>
      <w:r w:rsidRPr="00CB597A">
        <w:rPr>
          <w:rFonts w:ascii="Arial" w:hAnsi="Arial"/>
          <w:sz w:val="22"/>
          <w:szCs w:val="22"/>
        </w:rPr>
        <w:t xml:space="preserve"> CP) was TGA registered on 25</w:t>
      </w:r>
      <w:r w:rsidR="005951A3">
        <w:rPr>
          <w:rFonts w:ascii="Arial" w:hAnsi="Arial"/>
          <w:sz w:val="22"/>
          <w:szCs w:val="22"/>
        </w:rPr>
        <w:t> </w:t>
      </w:r>
      <w:r w:rsidRPr="00CB597A">
        <w:rPr>
          <w:rFonts w:ascii="Arial" w:hAnsi="Arial"/>
          <w:sz w:val="22"/>
          <w:szCs w:val="22"/>
        </w:rPr>
        <w:t xml:space="preserve">May 2016. </w:t>
      </w:r>
      <w:proofErr w:type="spellStart"/>
      <w:r w:rsidR="00FB3786" w:rsidRPr="00CB597A">
        <w:rPr>
          <w:rFonts w:ascii="Arial" w:hAnsi="Arial"/>
          <w:sz w:val="22"/>
          <w:szCs w:val="22"/>
        </w:rPr>
        <w:t>Leuproreli</w:t>
      </w:r>
      <w:r w:rsidR="004958EC" w:rsidRPr="00CB597A">
        <w:rPr>
          <w:rFonts w:ascii="Arial" w:hAnsi="Arial"/>
          <w:sz w:val="22"/>
          <w:szCs w:val="22"/>
        </w:rPr>
        <w:t>n</w:t>
      </w:r>
      <w:proofErr w:type="spellEnd"/>
      <w:r w:rsidR="004958EC" w:rsidRPr="00CB597A">
        <w:rPr>
          <w:rFonts w:ascii="Arial" w:hAnsi="Arial"/>
          <w:sz w:val="22"/>
          <w:szCs w:val="22"/>
        </w:rPr>
        <w:t xml:space="preserve"> was</w:t>
      </w:r>
      <w:r w:rsidR="00FB3786" w:rsidRPr="00CB597A">
        <w:rPr>
          <w:rFonts w:ascii="Arial" w:hAnsi="Arial"/>
          <w:sz w:val="22"/>
          <w:szCs w:val="22"/>
        </w:rPr>
        <w:t xml:space="preserve"> TGA registered</w:t>
      </w:r>
      <w:r w:rsidR="004958EC" w:rsidRPr="00CB597A">
        <w:rPr>
          <w:rFonts w:ascii="Arial" w:hAnsi="Arial"/>
          <w:sz w:val="22"/>
          <w:szCs w:val="22"/>
        </w:rPr>
        <w:t xml:space="preserve"> on 21 October 1991 and is indicated</w:t>
      </w:r>
      <w:r w:rsidR="00FB3786" w:rsidRPr="00CB597A">
        <w:rPr>
          <w:rFonts w:ascii="Arial" w:hAnsi="Arial"/>
          <w:sz w:val="22"/>
          <w:szCs w:val="22"/>
        </w:rPr>
        <w:t xml:space="preserve"> for the palliative treatment of advanced prostate cancer. </w:t>
      </w:r>
      <w:proofErr w:type="spellStart"/>
      <w:r w:rsidR="00FB3786" w:rsidRPr="00CB597A">
        <w:rPr>
          <w:rFonts w:ascii="Arial" w:hAnsi="Arial"/>
          <w:sz w:val="22"/>
          <w:szCs w:val="22"/>
        </w:rPr>
        <w:t>Bicalutamide</w:t>
      </w:r>
      <w:proofErr w:type="spellEnd"/>
      <w:r w:rsidR="00FB3786" w:rsidRPr="00CB597A">
        <w:rPr>
          <w:rFonts w:ascii="Arial" w:hAnsi="Arial"/>
          <w:sz w:val="22"/>
          <w:szCs w:val="22"/>
        </w:rPr>
        <w:t xml:space="preserve"> </w:t>
      </w:r>
      <w:r w:rsidR="004958EC" w:rsidRPr="00CB597A">
        <w:rPr>
          <w:rFonts w:ascii="Arial" w:hAnsi="Arial"/>
          <w:sz w:val="22"/>
          <w:szCs w:val="22"/>
        </w:rPr>
        <w:t>was</w:t>
      </w:r>
      <w:r w:rsidR="00FB3786" w:rsidRPr="00CB597A">
        <w:rPr>
          <w:rFonts w:ascii="Arial" w:hAnsi="Arial"/>
          <w:sz w:val="22"/>
          <w:szCs w:val="22"/>
        </w:rPr>
        <w:t xml:space="preserve"> TGA registered</w:t>
      </w:r>
      <w:r w:rsidR="004958EC" w:rsidRPr="00CB597A">
        <w:rPr>
          <w:rFonts w:ascii="Arial" w:hAnsi="Arial"/>
          <w:sz w:val="22"/>
          <w:szCs w:val="22"/>
        </w:rPr>
        <w:t xml:space="preserve"> on 1 July 1996 and is indicated</w:t>
      </w:r>
      <w:r w:rsidR="00FB3786" w:rsidRPr="00CB597A">
        <w:rPr>
          <w:rFonts w:ascii="Arial" w:hAnsi="Arial"/>
          <w:sz w:val="22"/>
          <w:szCs w:val="22"/>
        </w:rPr>
        <w:t xml:space="preserve"> for the treatment of advanced prosta</w:t>
      </w:r>
      <w:r w:rsidR="00E63311" w:rsidRPr="00CB597A">
        <w:rPr>
          <w:rFonts w:ascii="Arial" w:hAnsi="Arial"/>
          <w:sz w:val="22"/>
          <w:szCs w:val="22"/>
        </w:rPr>
        <w:t>te cancer in combination with LH</w:t>
      </w:r>
      <w:r w:rsidR="00FB3786" w:rsidRPr="00CB597A">
        <w:rPr>
          <w:rFonts w:ascii="Arial" w:hAnsi="Arial"/>
          <w:sz w:val="22"/>
          <w:szCs w:val="22"/>
        </w:rPr>
        <w:t>RH agonist therapy, and for the prevention of disease fla</w:t>
      </w:r>
      <w:r w:rsidR="00E63311" w:rsidRPr="00CB597A">
        <w:rPr>
          <w:rFonts w:ascii="Arial" w:hAnsi="Arial"/>
          <w:sz w:val="22"/>
          <w:szCs w:val="22"/>
        </w:rPr>
        <w:t>re associated with the use of LH</w:t>
      </w:r>
      <w:r w:rsidR="00FB3786" w:rsidRPr="00CB597A">
        <w:rPr>
          <w:rFonts w:ascii="Arial" w:hAnsi="Arial"/>
          <w:sz w:val="22"/>
          <w:szCs w:val="22"/>
        </w:rPr>
        <w:t>RH agonists.</w:t>
      </w:r>
    </w:p>
    <w:p w:rsidR="006B0D94" w:rsidRPr="00882085" w:rsidRDefault="006B0D94" w:rsidP="00CB597A">
      <w:pPr>
        <w:pStyle w:val="ListParagraph"/>
        <w:ind w:hanging="643"/>
        <w:jc w:val="both"/>
        <w:rPr>
          <w:rFonts w:ascii="Arial" w:hAnsi="Arial"/>
          <w:sz w:val="22"/>
          <w:szCs w:val="22"/>
        </w:rPr>
      </w:pPr>
    </w:p>
    <w:p w:rsidR="00BB7EC3" w:rsidRPr="00CB597A" w:rsidRDefault="00FB3786" w:rsidP="00CB597A">
      <w:pPr>
        <w:pStyle w:val="ListParagraph"/>
        <w:numPr>
          <w:ilvl w:val="1"/>
          <w:numId w:val="16"/>
        </w:numPr>
        <w:ind w:hanging="643"/>
        <w:jc w:val="both"/>
        <w:rPr>
          <w:rFonts w:ascii="Arial" w:hAnsi="Arial"/>
          <w:sz w:val="22"/>
          <w:szCs w:val="22"/>
        </w:rPr>
      </w:pPr>
      <w:r w:rsidRPr="00CB597A">
        <w:rPr>
          <w:rFonts w:ascii="Arial" w:hAnsi="Arial"/>
          <w:sz w:val="22"/>
          <w:szCs w:val="22"/>
        </w:rPr>
        <w:lastRenderedPageBreak/>
        <w:t xml:space="preserve">The PBAC has not previously considered a </w:t>
      </w:r>
      <w:r w:rsidR="002D454B" w:rsidRPr="00CB597A">
        <w:rPr>
          <w:rFonts w:ascii="Arial" w:hAnsi="Arial"/>
          <w:sz w:val="22"/>
          <w:szCs w:val="22"/>
        </w:rPr>
        <w:t>LEU/BIC combination pack</w:t>
      </w:r>
      <w:r w:rsidRPr="00CB597A">
        <w:rPr>
          <w:rFonts w:ascii="Arial" w:hAnsi="Arial"/>
          <w:sz w:val="22"/>
          <w:szCs w:val="22"/>
        </w:rPr>
        <w:t>.</w:t>
      </w:r>
      <w:r w:rsidR="0099664D" w:rsidRPr="00CB597A">
        <w:rPr>
          <w:rFonts w:ascii="Arial" w:hAnsi="Arial"/>
          <w:sz w:val="22"/>
          <w:szCs w:val="22"/>
        </w:rPr>
        <w:t xml:space="preserve"> </w:t>
      </w:r>
      <w:proofErr w:type="spellStart"/>
      <w:r w:rsidR="0099664D" w:rsidRPr="00CB597A">
        <w:rPr>
          <w:rFonts w:ascii="Arial" w:hAnsi="Arial"/>
          <w:sz w:val="22"/>
          <w:szCs w:val="22"/>
        </w:rPr>
        <w:t>Leuprorelin</w:t>
      </w:r>
      <w:proofErr w:type="spellEnd"/>
      <w:r w:rsidR="0099664D" w:rsidRPr="00CB597A">
        <w:rPr>
          <w:rFonts w:ascii="Arial" w:hAnsi="Arial"/>
          <w:sz w:val="22"/>
          <w:szCs w:val="22"/>
        </w:rPr>
        <w:t xml:space="preserve"> and </w:t>
      </w:r>
      <w:proofErr w:type="spellStart"/>
      <w:r w:rsidR="0099664D" w:rsidRPr="00CB597A">
        <w:rPr>
          <w:rFonts w:ascii="Arial" w:hAnsi="Arial"/>
          <w:sz w:val="22"/>
          <w:szCs w:val="22"/>
        </w:rPr>
        <w:t>bicalutamide</w:t>
      </w:r>
      <w:proofErr w:type="spellEnd"/>
      <w:r w:rsidR="0099664D" w:rsidRPr="00CB597A">
        <w:rPr>
          <w:rFonts w:ascii="Arial" w:hAnsi="Arial"/>
          <w:sz w:val="22"/>
          <w:szCs w:val="22"/>
        </w:rPr>
        <w:t xml:space="preserve"> have been individually listed on th</w:t>
      </w:r>
      <w:r w:rsidR="00DD61E2" w:rsidRPr="00CB597A">
        <w:rPr>
          <w:rFonts w:ascii="Arial" w:hAnsi="Arial"/>
          <w:sz w:val="22"/>
          <w:szCs w:val="22"/>
        </w:rPr>
        <w:t>e PBS for over 10 years for their respective</w:t>
      </w:r>
      <w:r w:rsidR="0099664D" w:rsidRPr="00CB597A">
        <w:rPr>
          <w:rFonts w:ascii="Arial" w:hAnsi="Arial"/>
          <w:sz w:val="22"/>
          <w:szCs w:val="22"/>
        </w:rPr>
        <w:t xml:space="preserve"> indication</w:t>
      </w:r>
      <w:r w:rsidR="00DD61E2" w:rsidRPr="00CB597A">
        <w:rPr>
          <w:rFonts w:ascii="Arial" w:hAnsi="Arial"/>
          <w:sz w:val="22"/>
          <w:szCs w:val="22"/>
        </w:rPr>
        <w:t>s</w:t>
      </w:r>
      <w:r w:rsidR="0099664D" w:rsidRPr="00CB597A">
        <w:rPr>
          <w:rFonts w:ascii="Arial" w:hAnsi="Arial"/>
          <w:sz w:val="22"/>
          <w:szCs w:val="22"/>
        </w:rPr>
        <w:t>.</w:t>
      </w:r>
    </w:p>
    <w:p w:rsidR="006238BF" w:rsidRPr="006238BF" w:rsidRDefault="006238BF" w:rsidP="00CB597A">
      <w:pPr>
        <w:pStyle w:val="ListParagraph"/>
        <w:ind w:hanging="643"/>
        <w:rPr>
          <w:rFonts w:ascii="Arial" w:hAnsi="Arial"/>
          <w:sz w:val="22"/>
          <w:szCs w:val="22"/>
        </w:rPr>
      </w:pPr>
    </w:p>
    <w:p w:rsidR="006238BF" w:rsidRPr="003B4BE8" w:rsidRDefault="006238BF" w:rsidP="00CB597A">
      <w:pPr>
        <w:pStyle w:val="ListParagraph"/>
        <w:numPr>
          <w:ilvl w:val="1"/>
          <w:numId w:val="16"/>
        </w:numPr>
        <w:ind w:hanging="643"/>
        <w:jc w:val="both"/>
        <w:rPr>
          <w:rFonts w:ascii="Arial" w:hAnsi="Arial"/>
          <w:sz w:val="22"/>
          <w:szCs w:val="22"/>
        </w:rPr>
      </w:pPr>
      <w:r w:rsidRPr="006238BF">
        <w:rPr>
          <w:rFonts w:ascii="Arial" w:hAnsi="Arial"/>
          <w:sz w:val="22"/>
          <w:szCs w:val="22"/>
        </w:rPr>
        <w:t>The</w:t>
      </w:r>
      <w:r>
        <w:rPr>
          <w:rFonts w:ascii="Arial" w:hAnsi="Arial"/>
          <w:sz w:val="22"/>
          <w:szCs w:val="22"/>
        </w:rPr>
        <w:t xml:space="preserve"> submission stated that the</w:t>
      </w:r>
      <w:r w:rsidRPr="006238BF">
        <w:rPr>
          <w:rFonts w:ascii="Arial" w:hAnsi="Arial"/>
          <w:sz w:val="22"/>
          <w:szCs w:val="22"/>
        </w:rPr>
        <w:t xml:space="preserve"> PBAC has previously accepted the need for co-packaged</w:t>
      </w:r>
      <w:r>
        <w:rPr>
          <w:rFonts w:ascii="Arial" w:hAnsi="Arial"/>
          <w:sz w:val="22"/>
          <w:szCs w:val="22"/>
        </w:rPr>
        <w:t xml:space="preserve"> </w:t>
      </w:r>
      <w:proofErr w:type="spellStart"/>
      <w:r>
        <w:rPr>
          <w:rFonts w:ascii="Arial" w:hAnsi="Arial"/>
          <w:sz w:val="22"/>
          <w:szCs w:val="22"/>
        </w:rPr>
        <w:t>GnRH</w:t>
      </w:r>
      <w:proofErr w:type="spellEnd"/>
      <w:r>
        <w:rPr>
          <w:rFonts w:ascii="Arial" w:hAnsi="Arial"/>
          <w:sz w:val="22"/>
          <w:szCs w:val="22"/>
        </w:rPr>
        <w:t xml:space="preserve"> agonists and </w:t>
      </w:r>
      <w:proofErr w:type="spellStart"/>
      <w:r>
        <w:rPr>
          <w:rFonts w:ascii="Arial" w:hAnsi="Arial"/>
          <w:sz w:val="22"/>
          <w:szCs w:val="22"/>
        </w:rPr>
        <w:t>bicalutamide</w:t>
      </w:r>
      <w:proofErr w:type="spellEnd"/>
      <w:r>
        <w:rPr>
          <w:rFonts w:ascii="Arial" w:hAnsi="Arial"/>
          <w:sz w:val="22"/>
          <w:szCs w:val="22"/>
        </w:rPr>
        <w:t xml:space="preserve"> and that a</w:t>
      </w:r>
      <w:r w:rsidRPr="006238BF">
        <w:rPr>
          <w:rFonts w:ascii="Arial" w:hAnsi="Arial"/>
          <w:sz w:val="22"/>
          <w:szCs w:val="22"/>
        </w:rPr>
        <w:t xml:space="preserve"> co-packaged product allows simpler prescribing and reduces patient co-payments.</w:t>
      </w:r>
      <w:r w:rsidR="00482763">
        <w:rPr>
          <w:rFonts w:ascii="Arial" w:hAnsi="Arial"/>
          <w:sz w:val="22"/>
          <w:szCs w:val="22"/>
        </w:rPr>
        <w:t xml:space="preserve"> </w:t>
      </w:r>
    </w:p>
    <w:p w:rsidR="00857598" w:rsidRPr="00857598" w:rsidRDefault="00857598" w:rsidP="00CB597A">
      <w:pPr>
        <w:pStyle w:val="ListParagraph"/>
        <w:ind w:hanging="643"/>
        <w:rPr>
          <w:rFonts w:ascii="Arial" w:hAnsi="Arial"/>
          <w:sz w:val="22"/>
          <w:szCs w:val="22"/>
        </w:rPr>
      </w:pPr>
    </w:p>
    <w:p w:rsidR="00CE10C4" w:rsidRPr="00024CD0" w:rsidRDefault="00CE10C4" w:rsidP="00024CD0">
      <w:pPr>
        <w:pStyle w:val="Heading1"/>
        <w:ind w:left="-284" w:firstLine="0"/>
      </w:pPr>
      <w:r w:rsidRPr="00024CD0">
        <w:t>Clinical place for the proposed ther</w:t>
      </w:r>
      <w:r w:rsidR="006A12A5" w:rsidRPr="00024CD0">
        <w:t>apy</w:t>
      </w:r>
    </w:p>
    <w:p w:rsidR="00CE10C4" w:rsidRPr="00882085" w:rsidRDefault="00CE10C4" w:rsidP="005E43EB">
      <w:pPr>
        <w:jc w:val="both"/>
        <w:rPr>
          <w:rFonts w:ascii="Arial" w:hAnsi="Arial"/>
          <w:sz w:val="22"/>
          <w:szCs w:val="22"/>
        </w:rPr>
      </w:pPr>
    </w:p>
    <w:p w:rsidR="00C35996" w:rsidRPr="00024CD0" w:rsidRDefault="00E63311" w:rsidP="00024CD0">
      <w:pPr>
        <w:pStyle w:val="ListParagraph"/>
        <w:numPr>
          <w:ilvl w:val="1"/>
          <w:numId w:val="16"/>
        </w:numPr>
        <w:ind w:left="426" w:hanging="710"/>
        <w:jc w:val="both"/>
        <w:rPr>
          <w:rFonts w:ascii="Arial" w:hAnsi="Arial"/>
          <w:sz w:val="22"/>
          <w:szCs w:val="22"/>
        </w:rPr>
      </w:pPr>
      <w:r w:rsidRPr="00024CD0">
        <w:rPr>
          <w:rFonts w:ascii="Arial" w:hAnsi="Arial"/>
          <w:sz w:val="22"/>
          <w:szCs w:val="22"/>
        </w:rPr>
        <w:t>The submission state</w:t>
      </w:r>
      <w:r w:rsidR="00F72EA2" w:rsidRPr="00024CD0">
        <w:rPr>
          <w:rFonts w:ascii="Arial" w:hAnsi="Arial"/>
          <w:sz w:val="22"/>
          <w:szCs w:val="22"/>
        </w:rPr>
        <w:t>d</w:t>
      </w:r>
      <w:r w:rsidRPr="00024CD0">
        <w:rPr>
          <w:rFonts w:ascii="Arial" w:hAnsi="Arial"/>
          <w:sz w:val="22"/>
          <w:szCs w:val="22"/>
        </w:rPr>
        <w:t xml:space="preserve"> that </w:t>
      </w:r>
      <w:r w:rsidR="00F72EA2" w:rsidRPr="00024CD0">
        <w:rPr>
          <w:rFonts w:ascii="Arial" w:hAnsi="Arial"/>
          <w:sz w:val="22"/>
          <w:szCs w:val="22"/>
        </w:rPr>
        <w:t xml:space="preserve">the use of </w:t>
      </w:r>
      <w:r w:rsidRPr="00024CD0">
        <w:rPr>
          <w:rFonts w:ascii="Arial" w:hAnsi="Arial"/>
          <w:sz w:val="22"/>
          <w:szCs w:val="22"/>
        </w:rPr>
        <w:t>combination anti-androgen and LHRH</w:t>
      </w:r>
      <w:r w:rsidR="002C73CF" w:rsidRPr="00024CD0">
        <w:rPr>
          <w:rFonts w:ascii="Arial" w:hAnsi="Arial"/>
          <w:sz w:val="22"/>
          <w:szCs w:val="22"/>
        </w:rPr>
        <w:t xml:space="preserve"> is well established in </w:t>
      </w:r>
      <w:r w:rsidR="00F72EA2" w:rsidRPr="00024CD0">
        <w:rPr>
          <w:rFonts w:ascii="Arial" w:hAnsi="Arial"/>
          <w:sz w:val="22"/>
          <w:szCs w:val="22"/>
        </w:rPr>
        <w:t xml:space="preserve">the treatment of </w:t>
      </w:r>
      <w:r w:rsidR="002C73CF" w:rsidRPr="00024CD0">
        <w:rPr>
          <w:rFonts w:ascii="Arial" w:hAnsi="Arial"/>
          <w:sz w:val="22"/>
          <w:szCs w:val="22"/>
        </w:rPr>
        <w:t>Stage D prostate cancer</w:t>
      </w:r>
      <w:r w:rsidR="003270C1" w:rsidRPr="00024CD0">
        <w:rPr>
          <w:rFonts w:ascii="Arial" w:hAnsi="Arial"/>
          <w:sz w:val="22"/>
          <w:szCs w:val="22"/>
        </w:rPr>
        <w:t>.</w:t>
      </w:r>
    </w:p>
    <w:p w:rsidR="00727EB7" w:rsidRPr="00727EB7" w:rsidRDefault="00727EB7" w:rsidP="005E43EB">
      <w:pPr>
        <w:pStyle w:val="ListParagraph"/>
        <w:jc w:val="both"/>
        <w:rPr>
          <w:rFonts w:ascii="Arial" w:hAnsi="Arial"/>
          <w:sz w:val="22"/>
          <w:szCs w:val="22"/>
        </w:rPr>
      </w:pPr>
    </w:p>
    <w:p w:rsidR="00CB597A" w:rsidRPr="00CB597A" w:rsidRDefault="001043CB" w:rsidP="00CF3C64">
      <w:pPr>
        <w:pStyle w:val="ListParagraph"/>
        <w:numPr>
          <w:ilvl w:val="1"/>
          <w:numId w:val="16"/>
        </w:numPr>
        <w:ind w:left="426" w:hanging="710"/>
        <w:jc w:val="both"/>
        <w:rPr>
          <w:rFonts w:ascii="Arial" w:hAnsi="Arial"/>
          <w:sz w:val="22"/>
          <w:szCs w:val="22"/>
        </w:rPr>
      </w:pPr>
      <w:r>
        <w:rPr>
          <w:rFonts w:ascii="Arial" w:hAnsi="Arial"/>
          <w:sz w:val="22"/>
          <w:szCs w:val="22"/>
        </w:rPr>
        <w:t>The submission claimed</w:t>
      </w:r>
      <w:r w:rsidR="002C73CF" w:rsidRPr="00CC1ED7">
        <w:rPr>
          <w:rFonts w:ascii="Arial" w:hAnsi="Arial"/>
          <w:sz w:val="22"/>
          <w:szCs w:val="22"/>
        </w:rPr>
        <w:t xml:space="preserve"> that due to the likelihood of unwanted side effects the risk of </w:t>
      </w:r>
      <w:r w:rsidR="006E4C80">
        <w:rPr>
          <w:rFonts w:ascii="Arial" w:hAnsi="Arial"/>
          <w:sz w:val="22"/>
          <w:szCs w:val="22"/>
        </w:rPr>
        <w:t>use outside the requested restriction</w:t>
      </w:r>
      <w:r w:rsidR="002C73CF" w:rsidRPr="00CC1ED7">
        <w:rPr>
          <w:rFonts w:ascii="Arial" w:hAnsi="Arial"/>
          <w:sz w:val="22"/>
          <w:szCs w:val="22"/>
        </w:rPr>
        <w:t xml:space="preserve"> is unlikely</w:t>
      </w:r>
      <w:r w:rsidR="002C73CF" w:rsidRPr="00CC1ED7">
        <w:rPr>
          <w:rFonts w:ascii="Arial" w:hAnsi="Arial"/>
          <w:color w:val="000000" w:themeColor="text1"/>
          <w:sz w:val="22"/>
          <w:szCs w:val="22"/>
        </w:rPr>
        <w:t>.</w:t>
      </w:r>
    </w:p>
    <w:p w:rsidR="00857598" w:rsidRDefault="00857598" w:rsidP="00CF3C64">
      <w:pPr>
        <w:pStyle w:val="ListParagraph"/>
        <w:ind w:hanging="643"/>
        <w:rPr>
          <w:rFonts w:ascii="Arial" w:hAnsi="Arial"/>
          <w:sz w:val="22"/>
          <w:szCs w:val="22"/>
        </w:rPr>
      </w:pPr>
    </w:p>
    <w:p w:rsidR="008A1956" w:rsidRPr="00882085" w:rsidRDefault="008A1956" w:rsidP="00CF3C64">
      <w:pPr>
        <w:pStyle w:val="Header"/>
        <w:tabs>
          <w:tab w:val="clear" w:pos="4153"/>
          <w:tab w:val="clear" w:pos="8306"/>
        </w:tabs>
        <w:ind w:hanging="643"/>
        <w:contextualSpacing/>
        <w:jc w:val="both"/>
        <w:rPr>
          <w:rFonts w:ascii="Arial" w:hAnsi="Arial"/>
          <w:sz w:val="22"/>
          <w:szCs w:val="22"/>
        </w:rPr>
      </w:pPr>
    </w:p>
    <w:p w:rsidR="005A3173" w:rsidRPr="00024CD0" w:rsidRDefault="005A3173" w:rsidP="00024CD0">
      <w:pPr>
        <w:pStyle w:val="Heading1"/>
        <w:tabs>
          <w:tab w:val="clear" w:pos="0"/>
          <w:tab w:val="num" w:pos="-284"/>
        </w:tabs>
        <w:ind w:left="-284" w:firstLine="0"/>
      </w:pPr>
      <w:r w:rsidRPr="00024CD0">
        <w:t>Comparator</w:t>
      </w:r>
    </w:p>
    <w:p w:rsidR="00CB597A" w:rsidRPr="00CB597A" w:rsidRDefault="00CB597A" w:rsidP="00CB597A">
      <w:pPr>
        <w:ind w:hanging="643"/>
      </w:pPr>
    </w:p>
    <w:p w:rsidR="00CB597A" w:rsidRPr="00CB597A" w:rsidRDefault="00CB597A" w:rsidP="00CF3C64">
      <w:pPr>
        <w:pStyle w:val="ListParagraph"/>
        <w:numPr>
          <w:ilvl w:val="1"/>
          <w:numId w:val="21"/>
        </w:numPr>
        <w:ind w:left="426" w:hanging="709"/>
        <w:jc w:val="both"/>
        <w:rPr>
          <w:rFonts w:ascii="Arial" w:hAnsi="Arial"/>
          <w:sz w:val="22"/>
          <w:szCs w:val="22"/>
        </w:rPr>
      </w:pPr>
      <w:r w:rsidRPr="00CB597A">
        <w:rPr>
          <w:rFonts w:ascii="Arial" w:hAnsi="Arial"/>
          <w:sz w:val="22"/>
          <w:szCs w:val="22"/>
        </w:rPr>
        <w:t xml:space="preserve">The minor submission nominated co-prescribed </w:t>
      </w:r>
      <w:proofErr w:type="spellStart"/>
      <w:r w:rsidRPr="00CB597A">
        <w:rPr>
          <w:rFonts w:ascii="Arial" w:hAnsi="Arial"/>
          <w:sz w:val="22"/>
          <w:szCs w:val="22"/>
        </w:rPr>
        <w:t>leuprorelin</w:t>
      </w:r>
      <w:proofErr w:type="spellEnd"/>
      <w:r w:rsidRPr="00CB597A">
        <w:rPr>
          <w:rFonts w:ascii="Arial" w:hAnsi="Arial"/>
          <w:sz w:val="22"/>
          <w:szCs w:val="22"/>
        </w:rPr>
        <w:t xml:space="preserve"> and </w:t>
      </w:r>
      <w:proofErr w:type="spellStart"/>
      <w:r w:rsidRPr="00CB597A">
        <w:rPr>
          <w:rFonts w:ascii="Arial" w:hAnsi="Arial"/>
          <w:sz w:val="22"/>
          <w:szCs w:val="22"/>
        </w:rPr>
        <w:t>bicalutamide</w:t>
      </w:r>
      <w:proofErr w:type="spellEnd"/>
      <w:r w:rsidRPr="00CB597A">
        <w:rPr>
          <w:rFonts w:ascii="Arial" w:hAnsi="Arial"/>
          <w:sz w:val="22"/>
          <w:szCs w:val="22"/>
        </w:rPr>
        <w:t xml:space="preserve"> as the primary comparator, and </w:t>
      </w:r>
      <w:proofErr w:type="spellStart"/>
      <w:r w:rsidRPr="00CB597A">
        <w:rPr>
          <w:rFonts w:ascii="Arial" w:hAnsi="Arial"/>
          <w:sz w:val="22"/>
          <w:szCs w:val="22"/>
        </w:rPr>
        <w:t>goserelin</w:t>
      </w:r>
      <w:proofErr w:type="spellEnd"/>
      <w:r w:rsidRPr="00CB597A">
        <w:rPr>
          <w:rFonts w:ascii="Arial" w:hAnsi="Arial"/>
          <w:sz w:val="22"/>
          <w:szCs w:val="22"/>
        </w:rPr>
        <w:t xml:space="preserve"> and </w:t>
      </w:r>
      <w:proofErr w:type="spellStart"/>
      <w:r w:rsidRPr="00CB597A">
        <w:rPr>
          <w:rFonts w:ascii="Arial" w:hAnsi="Arial"/>
          <w:sz w:val="22"/>
          <w:szCs w:val="22"/>
        </w:rPr>
        <w:t>bicalutamide</w:t>
      </w:r>
      <w:proofErr w:type="spellEnd"/>
      <w:r w:rsidRPr="00CB597A">
        <w:rPr>
          <w:rFonts w:ascii="Arial" w:hAnsi="Arial"/>
          <w:sz w:val="22"/>
          <w:szCs w:val="22"/>
        </w:rPr>
        <w:t xml:space="preserve"> combination pack (</w:t>
      </w:r>
      <w:proofErr w:type="spellStart"/>
      <w:r w:rsidRPr="00CB597A">
        <w:rPr>
          <w:rFonts w:ascii="Arial" w:hAnsi="Arial"/>
          <w:sz w:val="22"/>
          <w:szCs w:val="22"/>
        </w:rPr>
        <w:t>ZolaCos</w:t>
      </w:r>
      <w:proofErr w:type="spellEnd"/>
      <w:r w:rsidRPr="00CB597A">
        <w:rPr>
          <w:rFonts w:ascii="Arial" w:hAnsi="Arial"/>
          <w:sz w:val="22"/>
          <w:szCs w:val="22"/>
        </w:rPr>
        <w:t xml:space="preserve"> CP) as a secondary comparator.</w:t>
      </w:r>
    </w:p>
    <w:p w:rsidR="00CB597A" w:rsidRPr="00CB597A" w:rsidRDefault="00CB597A" w:rsidP="00CB597A"/>
    <w:p w:rsidR="00857598" w:rsidRDefault="00857598" w:rsidP="00CF3C64">
      <w:pPr>
        <w:ind w:firstLine="426"/>
        <w:rPr>
          <w:rFonts w:ascii="Arial" w:hAnsi="Arial" w:cs="Arial"/>
          <w:bCs/>
          <w:snapToGrid w:val="0"/>
          <w:sz w:val="22"/>
          <w:szCs w:val="22"/>
        </w:rPr>
      </w:pPr>
      <w:r w:rsidRPr="001531ED">
        <w:rPr>
          <w:rFonts w:ascii="Arial" w:hAnsi="Arial" w:cs="Arial"/>
          <w:bCs/>
          <w:i/>
          <w:snapToGrid w:val="0"/>
          <w:sz w:val="22"/>
          <w:szCs w:val="22"/>
        </w:rPr>
        <w:t>For more detail on PBAC’s view, see section 7 “PBAC outcome”</w:t>
      </w:r>
    </w:p>
    <w:p w:rsidR="00857598" w:rsidRPr="00857598" w:rsidRDefault="00857598" w:rsidP="00857598">
      <w:pPr>
        <w:ind w:firstLine="720"/>
        <w:rPr>
          <w:rFonts w:ascii="Arial" w:hAnsi="Arial" w:cs="Arial"/>
          <w:bCs/>
          <w:snapToGrid w:val="0"/>
          <w:sz w:val="22"/>
          <w:szCs w:val="22"/>
        </w:rPr>
      </w:pPr>
    </w:p>
    <w:p w:rsidR="008A1956" w:rsidRPr="00476245" w:rsidRDefault="008A1956" w:rsidP="00476245">
      <w:pPr>
        <w:jc w:val="both"/>
        <w:rPr>
          <w:rFonts w:ascii="Arial" w:hAnsi="Arial"/>
          <w:sz w:val="22"/>
          <w:szCs w:val="22"/>
        </w:rPr>
      </w:pPr>
    </w:p>
    <w:p w:rsidR="00CF3C64" w:rsidRDefault="008D7A41" w:rsidP="002C1D6B">
      <w:pPr>
        <w:pStyle w:val="Heading1"/>
        <w:ind w:left="0" w:hanging="284"/>
      </w:pPr>
      <w:r w:rsidRPr="00024CD0">
        <w:t>C</w:t>
      </w:r>
      <w:r w:rsidR="00D84934" w:rsidRPr="00024CD0">
        <w:t>onsideration of the evidence</w:t>
      </w:r>
    </w:p>
    <w:p w:rsidR="002C1D6B" w:rsidRPr="002C1D6B" w:rsidRDefault="002C1D6B" w:rsidP="002C1D6B"/>
    <w:p w:rsidR="00851F6C" w:rsidRPr="002C1D6B" w:rsidRDefault="00857598" w:rsidP="002C1D6B">
      <w:pPr>
        <w:pStyle w:val="Heading2"/>
      </w:pPr>
      <w:r w:rsidRPr="002C1D6B">
        <w:t>Sponsor hearing</w:t>
      </w:r>
    </w:p>
    <w:p w:rsidR="00CF3C64" w:rsidRPr="00CF3C64" w:rsidRDefault="00CF3C64" w:rsidP="00CF3C64"/>
    <w:p w:rsidR="00CF3C64" w:rsidRPr="002C1D6B" w:rsidRDefault="000501CD" w:rsidP="002C1D6B">
      <w:pPr>
        <w:pStyle w:val="ListParagraph"/>
        <w:numPr>
          <w:ilvl w:val="1"/>
          <w:numId w:val="21"/>
        </w:numPr>
        <w:ind w:left="426" w:hanging="709"/>
        <w:jc w:val="both"/>
        <w:rPr>
          <w:rFonts w:ascii="Arial" w:hAnsi="Arial"/>
          <w:sz w:val="22"/>
          <w:szCs w:val="22"/>
        </w:rPr>
      </w:pPr>
      <w:r w:rsidRPr="002C1D6B">
        <w:rPr>
          <w:rFonts w:ascii="Arial" w:hAnsi="Arial"/>
          <w:sz w:val="22"/>
          <w:szCs w:val="22"/>
        </w:rPr>
        <w:t>There was no hearing for this item as it was a minor submission.</w:t>
      </w:r>
    </w:p>
    <w:p w:rsidR="00857598" w:rsidRDefault="002C1D6B" w:rsidP="002C1D6B">
      <w:pPr>
        <w:pStyle w:val="Heading2"/>
      </w:pPr>
      <w:r>
        <w:t>C</w:t>
      </w:r>
      <w:r w:rsidR="00857598" w:rsidRPr="00CF3C64">
        <w:t>onsumer comments</w:t>
      </w:r>
    </w:p>
    <w:p w:rsidR="00CF3C64" w:rsidRPr="00CF3C64" w:rsidRDefault="00CF3C64" w:rsidP="00CF3C64"/>
    <w:p w:rsidR="00CF3C64" w:rsidRPr="002C1D6B" w:rsidRDefault="00857598" w:rsidP="002C1D6B">
      <w:pPr>
        <w:pStyle w:val="ListParagraph"/>
        <w:numPr>
          <w:ilvl w:val="1"/>
          <w:numId w:val="21"/>
        </w:numPr>
        <w:ind w:left="426" w:hanging="709"/>
        <w:jc w:val="both"/>
        <w:rPr>
          <w:rFonts w:ascii="Arial" w:hAnsi="Arial"/>
          <w:sz w:val="22"/>
          <w:szCs w:val="22"/>
        </w:rPr>
      </w:pPr>
      <w:r w:rsidRPr="002C1D6B">
        <w:rPr>
          <w:rFonts w:ascii="Arial" w:hAnsi="Arial"/>
          <w:sz w:val="22"/>
          <w:szCs w:val="22"/>
        </w:rPr>
        <w:t>The PBAC noted that no consumer comme</w:t>
      </w:r>
      <w:r w:rsidR="000501CD" w:rsidRPr="002C1D6B">
        <w:rPr>
          <w:rFonts w:ascii="Arial" w:hAnsi="Arial"/>
          <w:sz w:val="22"/>
          <w:szCs w:val="22"/>
        </w:rPr>
        <w:t>nts were received for this item</w:t>
      </w:r>
    </w:p>
    <w:p w:rsidR="00CF3C64" w:rsidRDefault="00CF3C64" w:rsidP="001219FE">
      <w:pPr>
        <w:rPr>
          <w:snapToGrid w:val="0"/>
        </w:rPr>
      </w:pPr>
    </w:p>
    <w:p w:rsidR="00D84934" w:rsidRPr="00CF3C64" w:rsidRDefault="00D84934" w:rsidP="002C1D6B">
      <w:pPr>
        <w:pStyle w:val="Heading2"/>
        <w:rPr>
          <w:rFonts w:cs="Arial"/>
          <w:bCs/>
        </w:rPr>
      </w:pPr>
      <w:r w:rsidRPr="00CF3C64">
        <w:t>Clinical trials</w:t>
      </w:r>
    </w:p>
    <w:p w:rsidR="00D84934" w:rsidRPr="00F9629A" w:rsidRDefault="00D84934" w:rsidP="00F9629A">
      <w:pPr>
        <w:jc w:val="both"/>
        <w:rPr>
          <w:rFonts w:ascii="Arial" w:hAnsi="Arial"/>
          <w:sz w:val="22"/>
          <w:szCs w:val="22"/>
        </w:rPr>
      </w:pPr>
    </w:p>
    <w:p w:rsidR="00CF3C64" w:rsidRPr="002C1D6B" w:rsidRDefault="0076420C" w:rsidP="002C1D6B">
      <w:pPr>
        <w:pStyle w:val="ListParagraph"/>
        <w:numPr>
          <w:ilvl w:val="1"/>
          <w:numId w:val="21"/>
        </w:numPr>
        <w:ind w:left="426" w:hanging="709"/>
        <w:jc w:val="both"/>
        <w:rPr>
          <w:rFonts w:ascii="Arial" w:hAnsi="Arial"/>
          <w:sz w:val="22"/>
          <w:szCs w:val="22"/>
        </w:rPr>
      </w:pPr>
      <w:r w:rsidRPr="002C1D6B">
        <w:rPr>
          <w:rFonts w:ascii="Arial" w:hAnsi="Arial"/>
          <w:sz w:val="22"/>
          <w:szCs w:val="22"/>
        </w:rPr>
        <w:t xml:space="preserve">As a minor submission, no clinical trials </w:t>
      </w:r>
      <w:r w:rsidR="00FF2801" w:rsidRPr="002C1D6B">
        <w:rPr>
          <w:rFonts w:ascii="Arial" w:hAnsi="Arial"/>
          <w:sz w:val="22"/>
          <w:szCs w:val="22"/>
        </w:rPr>
        <w:t>were</w:t>
      </w:r>
      <w:r w:rsidR="006A3B2E" w:rsidRPr="002C1D6B">
        <w:rPr>
          <w:rFonts w:ascii="Arial" w:hAnsi="Arial"/>
          <w:sz w:val="22"/>
          <w:szCs w:val="22"/>
        </w:rPr>
        <w:t xml:space="preserve"> presented in the </w:t>
      </w:r>
      <w:r w:rsidRPr="002C1D6B">
        <w:rPr>
          <w:rFonts w:ascii="Arial" w:hAnsi="Arial"/>
          <w:sz w:val="22"/>
          <w:szCs w:val="22"/>
        </w:rPr>
        <w:t>submission.</w:t>
      </w:r>
    </w:p>
    <w:p w:rsidR="002C1D6B" w:rsidRDefault="002C1D6B" w:rsidP="001219FE"/>
    <w:p w:rsidR="002373FF" w:rsidRPr="00CF3C64" w:rsidRDefault="002373FF" w:rsidP="002C1D6B">
      <w:pPr>
        <w:pStyle w:val="Heading2"/>
      </w:pPr>
      <w:r w:rsidRPr="00CF3C64">
        <w:t>Economic</w:t>
      </w:r>
      <w:r w:rsidR="00CF3C64" w:rsidRPr="00CF3C64">
        <w:t xml:space="preserve"> analysis</w:t>
      </w:r>
    </w:p>
    <w:p w:rsidR="002373FF" w:rsidRPr="002373FF" w:rsidRDefault="002373FF" w:rsidP="002373FF">
      <w:pPr>
        <w:jc w:val="both"/>
        <w:rPr>
          <w:rFonts w:ascii="Arial" w:hAnsi="Arial"/>
          <w:sz w:val="22"/>
          <w:szCs w:val="22"/>
        </w:rPr>
      </w:pPr>
    </w:p>
    <w:p w:rsidR="00020014" w:rsidRPr="002C1D6B" w:rsidRDefault="002373FF" w:rsidP="002C1D6B">
      <w:pPr>
        <w:pStyle w:val="ListParagraph"/>
        <w:numPr>
          <w:ilvl w:val="1"/>
          <w:numId w:val="21"/>
        </w:numPr>
        <w:ind w:left="426" w:hanging="709"/>
        <w:jc w:val="both"/>
        <w:rPr>
          <w:rFonts w:ascii="Arial" w:hAnsi="Arial"/>
          <w:sz w:val="22"/>
          <w:szCs w:val="22"/>
        </w:rPr>
      </w:pPr>
      <w:r w:rsidRPr="002C1D6B">
        <w:rPr>
          <w:rFonts w:ascii="Arial" w:hAnsi="Arial"/>
          <w:sz w:val="22"/>
          <w:szCs w:val="22"/>
        </w:rPr>
        <w:t xml:space="preserve">The sponsor requested listing on the basis of the sum of the </w:t>
      </w:r>
      <w:r w:rsidR="00822D8C" w:rsidRPr="002C1D6B">
        <w:rPr>
          <w:rFonts w:ascii="Arial" w:hAnsi="Arial"/>
          <w:sz w:val="22"/>
          <w:szCs w:val="22"/>
        </w:rPr>
        <w:t xml:space="preserve">prices of the </w:t>
      </w:r>
      <w:r w:rsidRPr="002C1D6B">
        <w:rPr>
          <w:rFonts w:ascii="Arial" w:hAnsi="Arial"/>
          <w:sz w:val="22"/>
          <w:szCs w:val="22"/>
        </w:rPr>
        <w:t xml:space="preserve">individual </w:t>
      </w:r>
      <w:r w:rsidR="00904AA8" w:rsidRPr="002C1D6B">
        <w:rPr>
          <w:rFonts w:ascii="Arial" w:hAnsi="Arial"/>
          <w:sz w:val="22"/>
          <w:szCs w:val="22"/>
        </w:rPr>
        <w:t xml:space="preserve">components at the ex-manufacturer level. </w:t>
      </w:r>
      <w:r w:rsidR="00020014" w:rsidRPr="002C1D6B">
        <w:rPr>
          <w:rFonts w:ascii="Arial" w:hAnsi="Arial"/>
          <w:sz w:val="22"/>
          <w:szCs w:val="22"/>
        </w:rPr>
        <w:t>A summary of the comparative prices from the submission is shown below.</w:t>
      </w:r>
    </w:p>
    <w:p w:rsidR="00020014" w:rsidRDefault="00020014" w:rsidP="00020014">
      <w:pPr>
        <w:jc w:val="both"/>
        <w:rPr>
          <w:rFonts w:ascii="Arial" w:hAnsi="Arial"/>
          <w:sz w:val="22"/>
          <w:szCs w:val="22"/>
        </w:rPr>
      </w:pPr>
    </w:p>
    <w:p w:rsidR="00CF3C64" w:rsidRDefault="00CF3C64">
      <w:pPr>
        <w:rPr>
          <w:rFonts w:ascii="Arial Narrow" w:hAnsi="Arial Narrow"/>
          <w:b/>
          <w:sz w:val="20"/>
          <w:szCs w:val="20"/>
        </w:rPr>
      </w:pPr>
      <w:r>
        <w:rPr>
          <w:rFonts w:ascii="Arial Narrow" w:hAnsi="Arial Narrow"/>
          <w:b/>
          <w:sz w:val="20"/>
          <w:szCs w:val="20"/>
        </w:rPr>
        <w:br w:type="page"/>
      </w:r>
    </w:p>
    <w:p w:rsidR="00020014" w:rsidRPr="007A6D9A" w:rsidRDefault="00020014" w:rsidP="00020014">
      <w:pPr>
        <w:jc w:val="both"/>
        <w:rPr>
          <w:rFonts w:ascii="Arial Narrow" w:hAnsi="Arial Narrow"/>
          <w:b/>
          <w:sz w:val="20"/>
          <w:szCs w:val="20"/>
        </w:rPr>
      </w:pPr>
      <w:r w:rsidRPr="007A6D9A">
        <w:rPr>
          <w:rFonts w:ascii="Arial Narrow" w:hAnsi="Arial Narrow"/>
          <w:b/>
          <w:sz w:val="20"/>
          <w:szCs w:val="20"/>
        </w:rPr>
        <w:lastRenderedPageBreak/>
        <w:t>Table 1: Summary of Comparative Costs</w:t>
      </w:r>
    </w:p>
    <w:tbl>
      <w:tblPr>
        <w:tblpPr w:leftFromText="180" w:rightFromText="180" w:vertAnchor="text" w:horzAnchor="margin" w:tblpY="122"/>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84"/>
        <w:gridCol w:w="1132"/>
        <w:gridCol w:w="1133"/>
        <w:gridCol w:w="1132"/>
        <w:gridCol w:w="1133"/>
      </w:tblGrid>
      <w:tr w:rsidR="00020014" w:rsidRPr="009164F8" w:rsidTr="00020014">
        <w:trPr>
          <w:trHeight w:val="20"/>
          <w:tblHeader/>
        </w:trPr>
        <w:tc>
          <w:tcPr>
            <w:tcW w:w="4384" w:type="dxa"/>
            <w:shd w:val="clear" w:color="auto" w:fill="A6A6A6" w:themeFill="background1" w:themeFillShade="A6"/>
            <w:noWrap/>
            <w:vAlign w:val="bottom"/>
            <w:hideMark/>
          </w:tcPr>
          <w:p w:rsidR="00020014" w:rsidRPr="00020014" w:rsidRDefault="00020014" w:rsidP="00020014">
            <w:pPr>
              <w:pStyle w:val="Table"/>
              <w:jc w:val="left"/>
              <w:rPr>
                <w:rStyle w:val="SmallBold"/>
                <w:rFonts w:ascii="Arial Narrow" w:hAnsi="Arial Narrow"/>
              </w:rPr>
            </w:pPr>
          </w:p>
        </w:tc>
        <w:tc>
          <w:tcPr>
            <w:tcW w:w="1132" w:type="dxa"/>
            <w:shd w:val="clear" w:color="auto" w:fill="A6A6A6" w:themeFill="background1" w:themeFillShade="A6"/>
            <w:noWrap/>
            <w:vAlign w:val="center"/>
            <w:hideMark/>
          </w:tcPr>
          <w:p w:rsidR="00020014" w:rsidRPr="00020014" w:rsidRDefault="00020014" w:rsidP="00020014">
            <w:pPr>
              <w:pStyle w:val="TableCentre"/>
              <w:rPr>
                <w:rStyle w:val="SmallBold"/>
                <w:rFonts w:ascii="Arial Narrow" w:hAnsi="Arial Narrow"/>
              </w:rPr>
            </w:pPr>
            <w:r w:rsidRPr="00020014">
              <w:rPr>
                <w:rStyle w:val="SmallBold"/>
                <w:rFonts w:ascii="Arial Narrow" w:hAnsi="Arial Narrow"/>
              </w:rPr>
              <w:t>AEMP</w:t>
            </w:r>
          </w:p>
        </w:tc>
        <w:tc>
          <w:tcPr>
            <w:tcW w:w="1133" w:type="dxa"/>
            <w:shd w:val="clear" w:color="auto" w:fill="A6A6A6" w:themeFill="background1" w:themeFillShade="A6"/>
            <w:noWrap/>
            <w:vAlign w:val="center"/>
            <w:hideMark/>
          </w:tcPr>
          <w:p w:rsidR="00020014" w:rsidRPr="00020014" w:rsidRDefault="00020014" w:rsidP="00020014">
            <w:pPr>
              <w:pStyle w:val="TableCentre"/>
              <w:rPr>
                <w:rStyle w:val="SmallBold"/>
                <w:rFonts w:ascii="Arial Narrow" w:hAnsi="Arial Narrow"/>
              </w:rPr>
            </w:pPr>
            <w:r w:rsidRPr="00020014">
              <w:rPr>
                <w:rStyle w:val="SmallBold"/>
                <w:rFonts w:ascii="Arial Narrow" w:hAnsi="Arial Narrow"/>
              </w:rPr>
              <w:t>AEMP vs Bi ELIGARD</w:t>
            </w:r>
          </w:p>
        </w:tc>
        <w:tc>
          <w:tcPr>
            <w:tcW w:w="1132" w:type="dxa"/>
            <w:shd w:val="clear" w:color="auto" w:fill="A6A6A6" w:themeFill="background1" w:themeFillShade="A6"/>
            <w:noWrap/>
            <w:vAlign w:val="center"/>
            <w:hideMark/>
          </w:tcPr>
          <w:p w:rsidR="00020014" w:rsidRPr="00020014" w:rsidRDefault="00020014" w:rsidP="00020014">
            <w:pPr>
              <w:pStyle w:val="TableCentre"/>
              <w:rPr>
                <w:rStyle w:val="SmallBold"/>
                <w:rFonts w:ascii="Arial Narrow" w:hAnsi="Arial Narrow"/>
              </w:rPr>
            </w:pPr>
            <w:r w:rsidRPr="00020014">
              <w:rPr>
                <w:rStyle w:val="SmallBold"/>
                <w:rFonts w:ascii="Arial Narrow" w:hAnsi="Arial Narrow"/>
              </w:rPr>
              <w:t>DPMQ</w:t>
            </w:r>
          </w:p>
        </w:tc>
        <w:tc>
          <w:tcPr>
            <w:tcW w:w="1133" w:type="dxa"/>
            <w:shd w:val="clear" w:color="auto" w:fill="A6A6A6" w:themeFill="background1" w:themeFillShade="A6"/>
            <w:noWrap/>
            <w:vAlign w:val="center"/>
            <w:hideMark/>
          </w:tcPr>
          <w:p w:rsidR="00020014" w:rsidRPr="00020014" w:rsidRDefault="00020014" w:rsidP="00020014">
            <w:pPr>
              <w:pStyle w:val="TableCentre"/>
              <w:rPr>
                <w:rStyle w:val="SmallBold"/>
                <w:rFonts w:ascii="Arial Narrow" w:hAnsi="Arial Narrow"/>
              </w:rPr>
            </w:pPr>
            <w:r w:rsidRPr="00020014">
              <w:rPr>
                <w:rStyle w:val="SmallBold"/>
                <w:rFonts w:ascii="Arial Narrow" w:hAnsi="Arial Narrow"/>
              </w:rPr>
              <w:t>DPMQ vs Bi ELIGARD</w:t>
            </w:r>
          </w:p>
        </w:tc>
      </w:tr>
      <w:tr w:rsidR="00020014" w:rsidRPr="009164F8" w:rsidTr="00020014">
        <w:trPr>
          <w:trHeight w:val="20"/>
        </w:trPr>
        <w:tc>
          <w:tcPr>
            <w:tcW w:w="8914" w:type="dxa"/>
            <w:gridSpan w:val="5"/>
            <w:shd w:val="clear" w:color="auto" w:fill="D9D9D9" w:themeFill="background1" w:themeFillShade="D9"/>
            <w:noWrap/>
            <w:vAlign w:val="bottom"/>
            <w:hideMark/>
          </w:tcPr>
          <w:p w:rsidR="00020014" w:rsidRPr="00020014" w:rsidRDefault="00020014" w:rsidP="00020014">
            <w:pPr>
              <w:pStyle w:val="TableCentre"/>
              <w:jc w:val="both"/>
              <w:rPr>
                <w:rFonts w:ascii="Arial Narrow" w:hAnsi="Arial Narrow"/>
              </w:rPr>
            </w:pPr>
            <w:r w:rsidRPr="00020014">
              <w:rPr>
                <w:rFonts w:ascii="Arial Narrow" w:hAnsi="Arial Narrow"/>
              </w:rPr>
              <w:t xml:space="preserve">1 month of LHRH therapy and 28 tablets of </w:t>
            </w:r>
            <w:proofErr w:type="spellStart"/>
            <w:r w:rsidRPr="00020014">
              <w:rPr>
                <w:rFonts w:ascii="Arial Narrow" w:hAnsi="Arial Narrow"/>
              </w:rPr>
              <w:t>bicalutamide</w:t>
            </w:r>
            <w:proofErr w:type="spellEnd"/>
          </w:p>
        </w:tc>
      </w:tr>
      <w:tr w:rsidR="00020014" w:rsidRPr="009164F8" w:rsidTr="00020014">
        <w:trPr>
          <w:trHeight w:val="20"/>
        </w:trPr>
        <w:tc>
          <w:tcPr>
            <w:tcW w:w="4384" w:type="dxa"/>
            <w:shd w:val="clear" w:color="auto" w:fill="auto"/>
            <w:noWrap/>
            <w:vAlign w:val="bottom"/>
            <w:hideMark/>
          </w:tcPr>
          <w:p w:rsidR="00020014" w:rsidRPr="00020014" w:rsidRDefault="00020014" w:rsidP="00020014">
            <w:pPr>
              <w:pStyle w:val="Table"/>
              <w:rPr>
                <w:rFonts w:ascii="Arial Narrow" w:hAnsi="Arial Narrow"/>
              </w:rPr>
            </w:pPr>
            <w:r w:rsidRPr="00020014">
              <w:rPr>
                <w:rFonts w:ascii="Arial Narrow" w:hAnsi="Arial Narrow"/>
              </w:rPr>
              <w:t>Bi ELIGARD 1 month</w:t>
            </w:r>
          </w:p>
        </w:tc>
        <w:tc>
          <w:tcPr>
            <w:tcW w:w="1132" w:type="dxa"/>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 xml:space="preserve"> </w:t>
            </w:r>
          </w:p>
        </w:tc>
        <w:tc>
          <w:tcPr>
            <w:tcW w:w="1133" w:type="dxa"/>
            <w:shd w:val="clear" w:color="auto" w:fill="auto"/>
            <w:noWrap/>
            <w:hideMark/>
          </w:tcPr>
          <w:p w:rsidR="00020014" w:rsidRPr="00020014" w:rsidRDefault="00020014" w:rsidP="00020014">
            <w:pPr>
              <w:pStyle w:val="TableCentre"/>
              <w:rPr>
                <w:rFonts w:ascii="Arial Narrow" w:hAnsi="Arial Narrow"/>
              </w:rPr>
            </w:pPr>
          </w:p>
        </w:tc>
        <w:tc>
          <w:tcPr>
            <w:tcW w:w="1132" w:type="dxa"/>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 xml:space="preserve">''''''''''''''''' </w:t>
            </w:r>
          </w:p>
        </w:tc>
        <w:tc>
          <w:tcPr>
            <w:tcW w:w="1133" w:type="dxa"/>
            <w:shd w:val="clear" w:color="auto" w:fill="auto"/>
            <w:noWrap/>
            <w:hideMark/>
          </w:tcPr>
          <w:p w:rsidR="00020014" w:rsidRPr="00020014" w:rsidRDefault="00020014" w:rsidP="00020014">
            <w:pPr>
              <w:pStyle w:val="TableCentre"/>
              <w:rPr>
                <w:rFonts w:ascii="Arial Narrow" w:hAnsi="Arial Narrow"/>
              </w:rPr>
            </w:pPr>
          </w:p>
        </w:tc>
      </w:tr>
      <w:tr w:rsidR="00020014" w:rsidRPr="009164F8" w:rsidTr="00020014">
        <w:trPr>
          <w:trHeight w:val="20"/>
        </w:trPr>
        <w:tc>
          <w:tcPr>
            <w:tcW w:w="4384" w:type="dxa"/>
            <w:tcBorders>
              <w:bottom w:val="single" w:sz="4" w:space="0" w:color="auto"/>
            </w:tcBorders>
            <w:shd w:val="clear" w:color="auto" w:fill="auto"/>
            <w:noWrap/>
            <w:vAlign w:val="bottom"/>
            <w:hideMark/>
          </w:tcPr>
          <w:p w:rsidR="00020014" w:rsidRPr="00020014" w:rsidRDefault="00020014" w:rsidP="00020014">
            <w:pPr>
              <w:pStyle w:val="Table"/>
              <w:rPr>
                <w:rFonts w:ascii="Arial Narrow" w:hAnsi="Arial Narrow"/>
              </w:rPr>
            </w:pPr>
            <w:r w:rsidRPr="00020014">
              <w:rPr>
                <w:rFonts w:ascii="Arial Narrow" w:hAnsi="Arial Narrow"/>
              </w:rPr>
              <w:t>Individual components</w:t>
            </w:r>
          </w:p>
        </w:tc>
        <w:tc>
          <w:tcPr>
            <w:tcW w:w="1132" w:type="dxa"/>
            <w:tcBorders>
              <w:bottom w:val="single" w:sz="4" w:space="0" w:color="auto"/>
            </w:tcBorders>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 xml:space="preserve"> </w:t>
            </w:r>
          </w:p>
        </w:tc>
        <w:tc>
          <w:tcPr>
            <w:tcW w:w="1133" w:type="dxa"/>
            <w:tcBorders>
              <w:bottom w:val="single" w:sz="4" w:space="0" w:color="auto"/>
            </w:tcBorders>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 xml:space="preserve">''' </w:t>
            </w:r>
            <w:r w:rsidRPr="00020014">
              <w:rPr>
                <w:rFonts w:ascii="Arial Narrow" w:hAnsi="Arial Narrow"/>
              </w:rPr>
              <w:t xml:space="preserve">  </w:t>
            </w:r>
          </w:p>
        </w:tc>
        <w:tc>
          <w:tcPr>
            <w:tcW w:w="1132" w:type="dxa"/>
            <w:tcBorders>
              <w:bottom w:val="single" w:sz="4" w:space="0" w:color="auto"/>
            </w:tcBorders>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 xml:space="preserve">''''''''''''''' </w:t>
            </w:r>
          </w:p>
        </w:tc>
        <w:tc>
          <w:tcPr>
            <w:tcW w:w="1133" w:type="dxa"/>
            <w:tcBorders>
              <w:bottom w:val="single" w:sz="4" w:space="0" w:color="auto"/>
            </w:tcBorders>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w:t>
            </w:r>
          </w:p>
        </w:tc>
      </w:tr>
      <w:tr w:rsidR="00020014" w:rsidRPr="009164F8" w:rsidTr="00020014">
        <w:trPr>
          <w:trHeight w:val="20"/>
        </w:trPr>
        <w:tc>
          <w:tcPr>
            <w:tcW w:w="4384" w:type="dxa"/>
            <w:tcBorders>
              <w:bottom w:val="single" w:sz="4" w:space="0" w:color="auto"/>
            </w:tcBorders>
            <w:shd w:val="clear" w:color="auto" w:fill="auto"/>
            <w:noWrap/>
          </w:tcPr>
          <w:p w:rsidR="00020014" w:rsidRPr="00020014" w:rsidRDefault="00020014" w:rsidP="00020014">
            <w:pPr>
              <w:pStyle w:val="Table"/>
              <w:rPr>
                <w:rFonts w:ascii="Arial Narrow" w:hAnsi="Arial Narrow"/>
              </w:rPr>
            </w:pPr>
            <w:proofErr w:type="spellStart"/>
            <w:r w:rsidRPr="00020014">
              <w:rPr>
                <w:rFonts w:ascii="Arial Narrow" w:hAnsi="Arial Narrow"/>
              </w:rPr>
              <w:t>ZolaCos</w:t>
            </w:r>
            <w:proofErr w:type="spellEnd"/>
            <w:r w:rsidRPr="00020014">
              <w:rPr>
                <w:rFonts w:ascii="Arial Narrow" w:hAnsi="Arial Narrow"/>
              </w:rPr>
              <w:t xml:space="preserve"> 3.6(28)</w:t>
            </w:r>
          </w:p>
        </w:tc>
        <w:tc>
          <w:tcPr>
            <w:tcW w:w="1132" w:type="dxa"/>
            <w:tcBorders>
              <w:bottom w:val="single" w:sz="4" w:space="0" w:color="auto"/>
            </w:tcBorders>
            <w:shd w:val="clear" w:color="auto" w:fill="auto"/>
            <w:noWrap/>
          </w:tcPr>
          <w:p w:rsidR="00020014" w:rsidRPr="00020014" w:rsidRDefault="00020014" w:rsidP="00020014">
            <w:pPr>
              <w:pStyle w:val="TableCentre"/>
              <w:rPr>
                <w:rFonts w:ascii="Arial Narrow" w:hAnsi="Arial Narrow"/>
              </w:rPr>
            </w:pPr>
            <w:r w:rsidRPr="00020014">
              <w:rPr>
                <w:rFonts w:ascii="Arial Narrow" w:hAnsi="Arial Narrow"/>
              </w:rPr>
              <w:t xml:space="preserve"> $406.82 </w:t>
            </w:r>
          </w:p>
        </w:tc>
        <w:tc>
          <w:tcPr>
            <w:tcW w:w="1133" w:type="dxa"/>
            <w:tcBorders>
              <w:bottom w:val="single" w:sz="4" w:space="0" w:color="auto"/>
            </w:tcBorders>
            <w:shd w:val="clear" w:color="auto" w:fill="auto"/>
            <w:noWrap/>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 xml:space="preserve"> </w:t>
            </w:r>
          </w:p>
        </w:tc>
        <w:tc>
          <w:tcPr>
            <w:tcW w:w="1132" w:type="dxa"/>
            <w:tcBorders>
              <w:bottom w:val="single" w:sz="4" w:space="0" w:color="auto"/>
            </w:tcBorders>
            <w:shd w:val="clear" w:color="auto" w:fill="auto"/>
            <w:noWrap/>
          </w:tcPr>
          <w:p w:rsidR="00020014" w:rsidRPr="00020014" w:rsidRDefault="00020014" w:rsidP="00020014">
            <w:pPr>
              <w:pStyle w:val="TableCentre"/>
              <w:rPr>
                <w:rFonts w:ascii="Arial Narrow" w:hAnsi="Arial Narrow"/>
              </w:rPr>
            </w:pPr>
            <w:r w:rsidRPr="00020014">
              <w:rPr>
                <w:rFonts w:ascii="Arial Narrow" w:hAnsi="Arial Narrow"/>
              </w:rPr>
              <w:t xml:space="preserve"> $456.84 </w:t>
            </w:r>
          </w:p>
        </w:tc>
        <w:tc>
          <w:tcPr>
            <w:tcW w:w="1133" w:type="dxa"/>
            <w:tcBorders>
              <w:bottom w:val="single" w:sz="4" w:space="0" w:color="auto"/>
            </w:tcBorders>
            <w:shd w:val="clear" w:color="auto" w:fill="auto"/>
            <w:noWrap/>
          </w:tcPr>
          <w:p w:rsidR="00020014" w:rsidRPr="00020014" w:rsidRDefault="00020014" w:rsidP="00020014">
            <w:pPr>
              <w:pStyle w:val="TableCentre"/>
              <w:rPr>
                <w:rFonts w:ascii="Arial Narrow" w:hAnsi="Arial Narrow"/>
              </w:rPr>
            </w:pPr>
            <w:r w:rsidRPr="00020014">
              <w:rPr>
                <w:rFonts w:ascii="Arial Narrow" w:hAnsi="Arial Narrow"/>
              </w:rPr>
              <w:t xml:space="preserve"> $14.69 </w:t>
            </w:r>
          </w:p>
        </w:tc>
      </w:tr>
      <w:tr w:rsidR="00020014" w:rsidRPr="009164F8" w:rsidTr="00020014">
        <w:trPr>
          <w:trHeight w:val="20"/>
        </w:trPr>
        <w:tc>
          <w:tcPr>
            <w:tcW w:w="8914" w:type="dxa"/>
            <w:gridSpan w:val="5"/>
            <w:shd w:val="clear" w:color="auto" w:fill="D9D9D9" w:themeFill="background1" w:themeFillShade="D9"/>
            <w:noWrap/>
            <w:vAlign w:val="bottom"/>
            <w:hideMark/>
          </w:tcPr>
          <w:p w:rsidR="00020014" w:rsidRPr="00020014" w:rsidRDefault="00020014" w:rsidP="00020014">
            <w:pPr>
              <w:pStyle w:val="TableCentre"/>
              <w:jc w:val="both"/>
              <w:rPr>
                <w:rFonts w:ascii="Arial Narrow" w:hAnsi="Arial Narrow"/>
              </w:rPr>
            </w:pPr>
            <w:r w:rsidRPr="00020014">
              <w:rPr>
                <w:rFonts w:ascii="Arial Narrow" w:hAnsi="Arial Narrow"/>
              </w:rPr>
              <w:t xml:space="preserve">3 months of LHRH therapy and 28 tablets of </w:t>
            </w:r>
            <w:proofErr w:type="spellStart"/>
            <w:r w:rsidRPr="00020014">
              <w:rPr>
                <w:rFonts w:ascii="Arial Narrow" w:hAnsi="Arial Narrow"/>
              </w:rPr>
              <w:t>bicalutamide</w:t>
            </w:r>
            <w:proofErr w:type="spellEnd"/>
          </w:p>
        </w:tc>
      </w:tr>
      <w:tr w:rsidR="00020014" w:rsidRPr="009164F8" w:rsidTr="00020014">
        <w:trPr>
          <w:trHeight w:val="20"/>
        </w:trPr>
        <w:tc>
          <w:tcPr>
            <w:tcW w:w="4384" w:type="dxa"/>
            <w:shd w:val="clear" w:color="auto" w:fill="auto"/>
            <w:noWrap/>
            <w:vAlign w:val="bottom"/>
            <w:hideMark/>
          </w:tcPr>
          <w:p w:rsidR="00020014" w:rsidRPr="00020014" w:rsidRDefault="00020014" w:rsidP="00020014">
            <w:pPr>
              <w:pStyle w:val="Table"/>
              <w:rPr>
                <w:rFonts w:ascii="Arial Narrow" w:hAnsi="Arial Narrow"/>
              </w:rPr>
            </w:pPr>
            <w:r w:rsidRPr="00020014">
              <w:rPr>
                <w:rFonts w:ascii="Arial Narrow" w:hAnsi="Arial Narrow"/>
              </w:rPr>
              <w:t>Bi ELIGARD 3 month</w:t>
            </w:r>
          </w:p>
        </w:tc>
        <w:tc>
          <w:tcPr>
            <w:tcW w:w="1132" w:type="dxa"/>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 xml:space="preserve">''''''''''''''''''''' </w:t>
            </w:r>
          </w:p>
        </w:tc>
        <w:tc>
          <w:tcPr>
            <w:tcW w:w="1133" w:type="dxa"/>
            <w:shd w:val="clear" w:color="auto" w:fill="auto"/>
            <w:noWrap/>
            <w:hideMark/>
          </w:tcPr>
          <w:p w:rsidR="00020014" w:rsidRPr="00020014" w:rsidRDefault="00020014" w:rsidP="00020014">
            <w:pPr>
              <w:pStyle w:val="TableCentre"/>
              <w:rPr>
                <w:rFonts w:ascii="Arial Narrow" w:hAnsi="Arial Narrow"/>
              </w:rPr>
            </w:pPr>
          </w:p>
        </w:tc>
        <w:tc>
          <w:tcPr>
            <w:tcW w:w="1132" w:type="dxa"/>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 xml:space="preserve"> </w:t>
            </w:r>
          </w:p>
        </w:tc>
        <w:tc>
          <w:tcPr>
            <w:tcW w:w="1133" w:type="dxa"/>
            <w:shd w:val="clear" w:color="auto" w:fill="auto"/>
            <w:noWrap/>
            <w:hideMark/>
          </w:tcPr>
          <w:p w:rsidR="00020014" w:rsidRPr="00020014" w:rsidRDefault="00020014" w:rsidP="00020014">
            <w:pPr>
              <w:pStyle w:val="TableCentre"/>
              <w:rPr>
                <w:rFonts w:ascii="Arial Narrow" w:hAnsi="Arial Narrow"/>
              </w:rPr>
            </w:pPr>
          </w:p>
        </w:tc>
      </w:tr>
      <w:tr w:rsidR="00020014" w:rsidRPr="009164F8" w:rsidTr="00020014">
        <w:trPr>
          <w:trHeight w:val="20"/>
        </w:trPr>
        <w:tc>
          <w:tcPr>
            <w:tcW w:w="4384" w:type="dxa"/>
            <w:tcBorders>
              <w:bottom w:val="single" w:sz="4" w:space="0" w:color="auto"/>
            </w:tcBorders>
            <w:shd w:val="clear" w:color="auto" w:fill="auto"/>
            <w:noWrap/>
            <w:vAlign w:val="bottom"/>
            <w:hideMark/>
          </w:tcPr>
          <w:p w:rsidR="00020014" w:rsidRPr="00020014" w:rsidRDefault="00020014" w:rsidP="00020014">
            <w:pPr>
              <w:pStyle w:val="Table"/>
              <w:rPr>
                <w:rFonts w:ascii="Arial Narrow" w:hAnsi="Arial Narrow"/>
              </w:rPr>
            </w:pPr>
            <w:r w:rsidRPr="00020014">
              <w:rPr>
                <w:rFonts w:ascii="Arial Narrow" w:hAnsi="Arial Narrow"/>
              </w:rPr>
              <w:t>Individual components</w:t>
            </w:r>
          </w:p>
        </w:tc>
        <w:tc>
          <w:tcPr>
            <w:tcW w:w="1132" w:type="dxa"/>
            <w:tcBorders>
              <w:bottom w:val="single" w:sz="4" w:space="0" w:color="auto"/>
            </w:tcBorders>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 xml:space="preserve">''''''''''''''''''''' </w:t>
            </w:r>
          </w:p>
        </w:tc>
        <w:tc>
          <w:tcPr>
            <w:tcW w:w="1133" w:type="dxa"/>
            <w:tcBorders>
              <w:bottom w:val="single" w:sz="4" w:space="0" w:color="auto"/>
            </w:tcBorders>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 xml:space="preserve">'''' </w:t>
            </w:r>
            <w:r w:rsidRPr="00020014">
              <w:rPr>
                <w:rFonts w:ascii="Arial Narrow" w:hAnsi="Arial Narrow"/>
              </w:rPr>
              <w:t xml:space="preserve"> </w:t>
            </w:r>
          </w:p>
        </w:tc>
        <w:tc>
          <w:tcPr>
            <w:tcW w:w="1132" w:type="dxa"/>
            <w:tcBorders>
              <w:bottom w:val="single" w:sz="4" w:space="0" w:color="auto"/>
            </w:tcBorders>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 xml:space="preserve"> </w:t>
            </w:r>
          </w:p>
        </w:tc>
        <w:tc>
          <w:tcPr>
            <w:tcW w:w="1133" w:type="dxa"/>
            <w:tcBorders>
              <w:bottom w:val="single" w:sz="4" w:space="0" w:color="auto"/>
            </w:tcBorders>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w:t>
            </w:r>
          </w:p>
        </w:tc>
      </w:tr>
      <w:tr w:rsidR="00020014" w:rsidRPr="009164F8" w:rsidTr="00020014">
        <w:trPr>
          <w:trHeight w:val="20"/>
        </w:trPr>
        <w:tc>
          <w:tcPr>
            <w:tcW w:w="4384" w:type="dxa"/>
            <w:tcBorders>
              <w:bottom w:val="single" w:sz="4" w:space="0" w:color="auto"/>
            </w:tcBorders>
            <w:shd w:val="clear" w:color="auto" w:fill="auto"/>
            <w:noWrap/>
          </w:tcPr>
          <w:p w:rsidR="00020014" w:rsidRPr="00020014" w:rsidRDefault="00020014" w:rsidP="00020014">
            <w:pPr>
              <w:pStyle w:val="Table"/>
              <w:rPr>
                <w:rFonts w:ascii="Arial Narrow" w:hAnsi="Arial Narrow"/>
              </w:rPr>
            </w:pPr>
            <w:proofErr w:type="spellStart"/>
            <w:r w:rsidRPr="00020014">
              <w:rPr>
                <w:rFonts w:ascii="Arial Narrow" w:hAnsi="Arial Narrow"/>
              </w:rPr>
              <w:t>ZolaCos</w:t>
            </w:r>
            <w:proofErr w:type="spellEnd"/>
            <w:r w:rsidRPr="00020014">
              <w:rPr>
                <w:rFonts w:ascii="Arial Narrow" w:hAnsi="Arial Narrow"/>
              </w:rPr>
              <w:t xml:space="preserve"> 10.8 (28)</w:t>
            </w:r>
          </w:p>
        </w:tc>
        <w:tc>
          <w:tcPr>
            <w:tcW w:w="1132" w:type="dxa"/>
            <w:tcBorders>
              <w:bottom w:val="single" w:sz="4" w:space="0" w:color="auto"/>
            </w:tcBorders>
            <w:shd w:val="clear" w:color="auto" w:fill="auto"/>
            <w:noWrap/>
          </w:tcPr>
          <w:p w:rsidR="00020014" w:rsidRPr="00020014" w:rsidRDefault="00020014" w:rsidP="00020014">
            <w:pPr>
              <w:pStyle w:val="TableCentre"/>
              <w:rPr>
                <w:rFonts w:ascii="Arial Narrow" w:hAnsi="Arial Narrow"/>
              </w:rPr>
            </w:pPr>
            <w:r w:rsidRPr="00020014">
              <w:rPr>
                <w:rFonts w:ascii="Arial Narrow" w:hAnsi="Arial Narrow"/>
              </w:rPr>
              <w:t xml:space="preserve"> $1,074.67 </w:t>
            </w:r>
          </w:p>
        </w:tc>
        <w:tc>
          <w:tcPr>
            <w:tcW w:w="1133" w:type="dxa"/>
            <w:tcBorders>
              <w:bottom w:val="single" w:sz="4" w:space="0" w:color="auto"/>
            </w:tcBorders>
            <w:shd w:val="clear" w:color="auto" w:fill="auto"/>
            <w:noWrap/>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w:t>
            </w:r>
          </w:p>
        </w:tc>
        <w:tc>
          <w:tcPr>
            <w:tcW w:w="1132" w:type="dxa"/>
            <w:tcBorders>
              <w:bottom w:val="single" w:sz="4" w:space="0" w:color="auto"/>
            </w:tcBorders>
            <w:shd w:val="clear" w:color="auto" w:fill="auto"/>
            <w:noWrap/>
          </w:tcPr>
          <w:p w:rsidR="00020014" w:rsidRPr="00020014" w:rsidRDefault="00020014" w:rsidP="00020014">
            <w:pPr>
              <w:pStyle w:val="TableCentre"/>
              <w:rPr>
                <w:rFonts w:ascii="Arial Narrow" w:hAnsi="Arial Narrow"/>
              </w:rPr>
            </w:pPr>
            <w:r w:rsidRPr="00020014">
              <w:rPr>
                <w:rFonts w:ascii="Arial Narrow" w:hAnsi="Arial Narrow"/>
              </w:rPr>
              <w:t xml:space="preserve"> $1,188.79 </w:t>
            </w:r>
          </w:p>
        </w:tc>
        <w:tc>
          <w:tcPr>
            <w:tcW w:w="1133" w:type="dxa"/>
            <w:tcBorders>
              <w:bottom w:val="single" w:sz="4" w:space="0" w:color="auto"/>
            </w:tcBorders>
            <w:shd w:val="clear" w:color="auto" w:fill="auto"/>
            <w:noWrap/>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w:t>
            </w:r>
          </w:p>
        </w:tc>
      </w:tr>
      <w:tr w:rsidR="00020014" w:rsidRPr="009164F8" w:rsidTr="00020014">
        <w:trPr>
          <w:trHeight w:val="20"/>
        </w:trPr>
        <w:tc>
          <w:tcPr>
            <w:tcW w:w="8914" w:type="dxa"/>
            <w:gridSpan w:val="5"/>
            <w:shd w:val="clear" w:color="auto" w:fill="D9D9D9" w:themeFill="background1" w:themeFillShade="D9"/>
            <w:noWrap/>
            <w:vAlign w:val="bottom"/>
            <w:hideMark/>
          </w:tcPr>
          <w:p w:rsidR="00020014" w:rsidRPr="00020014" w:rsidRDefault="00020014" w:rsidP="00020014">
            <w:pPr>
              <w:pStyle w:val="TableCentre"/>
              <w:jc w:val="both"/>
              <w:rPr>
                <w:rFonts w:ascii="Arial Narrow" w:hAnsi="Arial Narrow"/>
              </w:rPr>
            </w:pPr>
            <w:r w:rsidRPr="00020014">
              <w:rPr>
                <w:rFonts w:ascii="Arial Narrow" w:hAnsi="Arial Narrow"/>
              </w:rPr>
              <w:t xml:space="preserve">3 months of LHRH therapy and 84 tablets of </w:t>
            </w:r>
            <w:proofErr w:type="spellStart"/>
            <w:r w:rsidRPr="00020014">
              <w:rPr>
                <w:rFonts w:ascii="Arial Narrow" w:hAnsi="Arial Narrow"/>
              </w:rPr>
              <w:t>bicalutamide</w:t>
            </w:r>
            <w:proofErr w:type="spellEnd"/>
          </w:p>
        </w:tc>
      </w:tr>
      <w:tr w:rsidR="00020014" w:rsidRPr="009164F8" w:rsidTr="00020014">
        <w:trPr>
          <w:trHeight w:val="20"/>
        </w:trPr>
        <w:tc>
          <w:tcPr>
            <w:tcW w:w="4384" w:type="dxa"/>
            <w:shd w:val="clear" w:color="auto" w:fill="auto"/>
            <w:noWrap/>
            <w:vAlign w:val="bottom"/>
            <w:hideMark/>
          </w:tcPr>
          <w:p w:rsidR="00020014" w:rsidRPr="00020014" w:rsidRDefault="00020014" w:rsidP="00020014">
            <w:pPr>
              <w:pStyle w:val="Table"/>
              <w:rPr>
                <w:rFonts w:ascii="Arial Narrow" w:hAnsi="Arial Narrow"/>
              </w:rPr>
            </w:pPr>
            <w:r w:rsidRPr="00020014">
              <w:rPr>
                <w:rFonts w:ascii="Arial Narrow" w:hAnsi="Arial Narrow"/>
              </w:rPr>
              <w:t>Bi ELIGARD 3 month</w:t>
            </w:r>
          </w:p>
        </w:tc>
        <w:tc>
          <w:tcPr>
            <w:tcW w:w="1132" w:type="dxa"/>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 xml:space="preserve"> </w:t>
            </w:r>
          </w:p>
        </w:tc>
        <w:tc>
          <w:tcPr>
            <w:tcW w:w="1133" w:type="dxa"/>
            <w:shd w:val="clear" w:color="auto" w:fill="auto"/>
            <w:noWrap/>
            <w:hideMark/>
          </w:tcPr>
          <w:p w:rsidR="00020014" w:rsidRPr="00020014" w:rsidRDefault="00020014" w:rsidP="00020014">
            <w:pPr>
              <w:pStyle w:val="TableCentre"/>
              <w:rPr>
                <w:rFonts w:ascii="Arial Narrow" w:hAnsi="Arial Narrow"/>
              </w:rPr>
            </w:pPr>
          </w:p>
        </w:tc>
        <w:tc>
          <w:tcPr>
            <w:tcW w:w="1132" w:type="dxa"/>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 xml:space="preserve"> </w:t>
            </w:r>
          </w:p>
        </w:tc>
        <w:tc>
          <w:tcPr>
            <w:tcW w:w="1133" w:type="dxa"/>
            <w:shd w:val="clear" w:color="auto" w:fill="auto"/>
            <w:noWrap/>
            <w:hideMark/>
          </w:tcPr>
          <w:p w:rsidR="00020014" w:rsidRPr="00020014" w:rsidRDefault="00020014" w:rsidP="00020014">
            <w:pPr>
              <w:pStyle w:val="TableCentre"/>
              <w:rPr>
                <w:rFonts w:ascii="Arial Narrow" w:hAnsi="Arial Narrow"/>
              </w:rPr>
            </w:pPr>
          </w:p>
        </w:tc>
      </w:tr>
      <w:tr w:rsidR="00020014" w:rsidRPr="009164F8" w:rsidTr="00020014">
        <w:trPr>
          <w:trHeight w:val="20"/>
        </w:trPr>
        <w:tc>
          <w:tcPr>
            <w:tcW w:w="4384" w:type="dxa"/>
            <w:shd w:val="clear" w:color="auto" w:fill="auto"/>
            <w:noWrap/>
            <w:vAlign w:val="bottom"/>
            <w:hideMark/>
          </w:tcPr>
          <w:p w:rsidR="00020014" w:rsidRPr="00020014" w:rsidRDefault="00020014" w:rsidP="00020014">
            <w:pPr>
              <w:pStyle w:val="Table"/>
              <w:rPr>
                <w:rFonts w:ascii="Arial Narrow" w:hAnsi="Arial Narrow"/>
              </w:rPr>
            </w:pPr>
            <w:r w:rsidRPr="00020014">
              <w:rPr>
                <w:rFonts w:ascii="Arial Narrow" w:hAnsi="Arial Narrow"/>
              </w:rPr>
              <w:t>Individual components</w:t>
            </w:r>
          </w:p>
        </w:tc>
        <w:tc>
          <w:tcPr>
            <w:tcW w:w="1132" w:type="dxa"/>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 xml:space="preserve"> </w:t>
            </w:r>
          </w:p>
        </w:tc>
        <w:tc>
          <w:tcPr>
            <w:tcW w:w="1133" w:type="dxa"/>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 xml:space="preserve">''' </w:t>
            </w:r>
            <w:r w:rsidRPr="00020014">
              <w:rPr>
                <w:rFonts w:ascii="Arial Narrow" w:hAnsi="Arial Narrow"/>
              </w:rPr>
              <w:t xml:space="preserve">  </w:t>
            </w:r>
          </w:p>
        </w:tc>
        <w:tc>
          <w:tcPr>
            <w:tcW w:w="1132" w:type="dxa"/>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 xml:space="preserve"> </w:t>
            </w:r>
          </w:p>
        </w:tc>
        <w:tc>
          <w:tcPr>
            <w:tcW w:w="1133" w:type="dxa"/>
            <w:shd w:val="clear" w:color="auto" w:fill="auto"/>
            <w:noWrap/>
            <w:hideMark/>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w:t>
            </w:r>
          </w:p>
        </w:tc>
      </w:tr>
      <w:tr w:rsidR="00020014" w:rsidRPr="009164F8" w:rsidTr="00020014">
        <w:trPr>
          <w:trHeight w:val="70"/>
        </w:trPr>
        <w:tc>
          <w:tcPr>
            <w:tcW w:w="4384" w:type="dxa"/>
            <w:shd w:val="clear" w:color="auto" w:fill="auto"/>
            <w:noWrap/>
          </w:tcPr>
          <w:p w:rsidR="00020014" w:rsidRPr="00020014" w:rsidRDefault="00020014" w:rsidP="00020014">
            <w:pPr>
              <w:pStyle w:val="Table"/>
              <w:rPr>
                <w:rFonts w:ascii="Arial Narrow" w:hAnsi="Arial Narrow"/>
              </w:rPr>
            </w:pPr>
            <w:proofErr w:type="spellStart"/>
            <w:r w:rsidRPr="00020014">
              <w:rPr>
                <w:rFonts w:ascii="Arial Narrow" w:hAnsi="Arial Narrow"/>
              </w:rPr>
              <w:t>ZolaCos</w:t>
            </w:r>
            <w:proofErr w:type="spellEnd"/>
            <w:r w:rsidRPr="00020014">
              <w:rPr>
                <w:rFonts w:ascii="Arial Narrow" w:hAnsi="Arial Narrow"/>
              </w:rPr>
              <w:t xml:space="preserve"> 10.8 (84)</w:t>
            </w:r>
          </w:p>
        </w:tc>
        <w:tc>
          <w:tcPr>
            <w:tcW w:w="1132" w:type="dxa"/>
            <w:shd w:val="clear" w:color="auto" w:fill="auto"/>
            <w:noWrap/>
          </w:tcPr>
          <w:p w:rsidR="00020014" w:rsidRPr="00020014" w:rsidRDefault="00020014" w:rsidP="00020014">
            <w:pPr>
              <w:pStyle w:val="TableCentre"/>
              <w:rPr>
                <w:rFonts w:ascii="Arial Narrow" w:hAnsi="Arial Narrow"/>
              </w:rPr>
            </w:pPr>
            <w:r w:rsidRPr="00020014">
              <w:rPr>
                <w:rFonts w:ascii="Arial Narrow" w:hAnsi="Arial Narrow"/>
              </w:rPr>
              <w:t xml:space="preserve"> $1,340.01 </w:t>
            </w:r>
          </w:p>
        </w:tc>
        <w:tc>
          <w:tcPr>
            <w:tcW w:w="1133" w:type="dxa"/>
            <w:shd w:val="clear" w:color="auto" w:fill="auto"/>
            <w:noWrap/>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w:t>
            </w:r>
          </w:p>
        </w:tc>
        <w:tc>
          <w:tcPr>
            <w:tcW w:w="1132" w:type="dxa"/>
            <w:shd w:val="clear" w:color="auto" w:fill="auto"/>
            <w:noWrap/>
          </w:tcPr>
          <w:p w:rsidR="00020014" w:rsidRPr="00020014" w:rsidRDefault="00020014" w:rsidP="00020014">
            <w:pPr>
              <w:pStyle w:val="TableCentre"/>
              <w:rPr>
                <w:rFonts w:ascii="Arial Narrow" w:hAnsi="Arial Narrow"/>
              </w:rPr>
            </w:pPr>
            <w:r w:rsidRPr="00020014">
              <w:rPr>
                <w:rFonts w:ascii="Arial Narrow" w:hAnsi="Arial Narrow"/>
              </w:rPr>
              <w:t xml:space="preserve"> $1,463.42 </w:t>
            </w:r>
          </w:p>
        </w:tc>
        <w:tc>
          <w:tcPr>
            <w:tcW w:w="1133" w:type="dxa"/>
            <w:shd w:val="clear" w:color="auto" w:fill="auto"/>
            <w:noWrap/>
          </w:tcPr>
          <w:p w:rsidR="00020014" w:rsidRPr="00020014" w:rsidRDefault="00020014" w:rsidP="00020014">
            <w:pPr>
              <w:pStyle w:val="TableCentre"/>
              <w:rPr>
                <w:rFonts w:ascii="Arial Narrow" w:hAnsi="Arial Narrow"/>
              </w:rPr>
            </w:pPr>
            <w:r w:rsidRPr="00020014">
              <w:rPr>
                <w:rFonts w:ascii="Arial Narrow" w:hAnsi="Arial Narrow"/>
              </w:rPr>
              <w:t xml:space="preserve"> $(</w:t>
            </w:r>
            <w:r w:rsidR="00892BF0">
              <w:rPr>
                <w:rFonts w:ascii="Arial Narrow" w:hAnsi="Arial Narrow"/>
                <w:noProof/>
                <w:color w:val="000000"/>
                <w:highlight w:val="black"/>
              </w:rPr>
              <w:t>'''''''''''''''</w:t>
            </w:r>
            <w:r w:rsidRPr="00020014">
              <w:rPr>
                <w:rFonts w:ascii="Arial Narrow" w:hAnsi="Arial Narrow"/>
              </w:rPr>
              <w:t>)</w:t>
            </w:r>
          </w:p>
        </w:tc>
      </w:tr>
    </w:tbl>
    <w:p w:rsidR="00020014" w:rsidRPr="00020014" w:rsidRDefault="00020014" w:rsidP="00020014">
      <w:pPr>
        <w:jc w:val="both"/>
        <w:rPr>
          <w:rFonts w:ascii="Arial Narrow" w:hAnsi="Arial Narrow"/>
          <w:sz w:val="20"/>
          <w:szCs w:val="20"/>
        </w:rPr>
      </w:pPr>
      <w:r>
        <w:rPr>
          <w:rFonts w:ascii="Arial Narrow" w:hAnsi="Arial Narrow"/>
          <w:sz w:val="20"/>
          <w:szCs w:val="20"/>
        </w:rPr>
        <w:t>Source: Bi ELIGARD submission, pg. 18.</w:t>
      </w:r>
    </w:p>
    <w:p w:rsidR="002373FF" w:rsidRDefault="002373FF" w:rsidP="002373FF"/>
    <w:p w:rsidR="00814A6A" w:rsidRDefault="00A55FEE" w:rsidP="002C1D6B">
      <w:pPr>
        <w:pStyle w:val="Heading2"/>
      </w:pPr>
      <w:r w:rsidRPr="00A55FEE">
        <w:t xml:space="preserve">Drug </w:t>
      </w:r>
      <w:r w:rsidRPr="008D1B5C">
        <w:t>cost</w:t>
      </w:r>
      <w:r w:rsidR="006A3B2E">
        <w:t>/patient/</w:t>
      </w:r>
      <w:r w:rsidR="000501CD">
        <w:t>prescription</w:t>
      </w:r>
      <w:r w:rsidRPr="00A55FEE">
        <w:t>:</w:t>
      </w:r>
      <w:r w:rsidR="006A3B2E">
        <w:t xml:space="preserve"> </w:t>
      </w:r>
      <w:r w:rsidR="00814A6A">
        <w:tab/>
      </w:r>
    </w:p>
    <w:p w:rsidR="00A55FEE" w:rsidRPr="00DB49A3" w:rsidRDefault="006A3B2E" w:rsidP="00DB49A3">
      <w:pPr>
        <w:pStyle w:val="ListParagraph"/>
        <w:numPr>
          <w:ilvl w:val="0"/>
          <w:numId w:val="26"/>
        </w:numPr>
        <w:rPr>
          <w:rFonts w:ascii="Arial" w:hAnsi="Arial" w:cs="Arial"/>
          <w:sz w:val="22"/>
          <w:szCs w:val="22"/>
        </w:rPr>
      </w:pPr>
      <w:proofErr w:type="spellStart"/>
      <w:r w:rsidRPr="00DB49A3">
        <w:rPr>
          <w:rFonts w:ascii="Arial" w:hAnsi="Arial" w:cs="Arial"/>
          <w:sz w:val="22"/>
          <w:szCs w:val="22"/>
        </w:rPr>
        <w:t>Bi</w:t>
      </w:r>
      <w:proofErr w:type="spellEnd"/>
      <w:r w:rsidRPr="00DB49A3">
        <w:rPr>
          <w:rFonts w:ascii="Arial" w:hAnsi="Arial" w:cs="Arial"/>
          <w:sz w:val="22"/>
          <w:szCs w:val="22"/>
        </w:rPr>
        <w:t xml:space="preserve"> ELIGARD</w:t>
      </w:r>
      <w:r w:rsidR="00D10646" w:rsidRPr="00DB49A3">
        <w:rPr>
          <w:rFonts w:ascii="Arial" w:hAnsi="Arial" w:cs="Arial"/>
          <w:sz w:val="22"/>
          <w:szCs w:val="22"/>
        </w:rPr>
        <w:t xml:space="preserve"> CP</w:t>
      </w:r>
      <w:r w:rsidRPr="00DB49A3">
        <w:rPr>
          <w:rFonts w:ascii="Arial" w:hAnsi="Arial" w:cs="Arial"/>
          <w:sz w:val="22"/>
          <w:szCs w:val="22"/>
        </w:rPr>
        <w:t xml:space="preserve"> 1 month</w:t>
      </w:r>
      <w:r w:rsidR="005767E6" w:rsidRPr="00DB49A3">
        <w:rPr>
          <w:rFonts w:ascii="Arial" w:hAnsi="Arial" w:cs="Arial"/>
          <w:sz w:val="22"/>
          <w:szCs w:val="22"/>
        </w:rPr>
        <w:t xml:space="preserve"> (</w:t>
      </w:r>
      <w:proofErr w:type="spellStart"/>
      <w:r w:rsidR="003A0C34" w:rsidRPr="00DB49A3">
        <w:rPr>
          <w:rFonts w:ascii="Arial" w:hAnsi="Arial" w:cs="Arial"/>
          <w:sz w:val="22"/>
          <w:szCs w:val="22"/>
        </w:rPr>
        <w:t>leuprorelin</w:t>
      </w:r>
      <w:proofErr w:type="spellEnd"/>
      <w:r w:rsidR="003A0C34" w:rsidRPr="00DB49A3">
        <w:rPr>
          <w:rFonts w:ascii="Arial" w:hAnsi="Arial" w:cs="Arial"/>
          <w:sz w:val="22"/>
          <w:szCs w:val="22"/>
        </w:rPr>
        <w:t xml:space="preserve"> acetate 7.5 mg </w:t>
      </w:r>
      <w:r w:rsidR="005767E6" w:rsidRPr="00DB49A3">
        <w:rPr>
          <w:rFonts w:ascii="Arial" w:hAnsi="Arial" w:cs="Arial"/>
          <w:sz w:val="22"/>
          <w:szCs w:val="22"/>
        </w:rPr>
        <w:t xml:space="preserve">and 28 </w:t>
      </w:r>
      <w:proofErr w:type="spellStart"/>
      <w:r w:rsidR="005767E6" w:rsidRPr="00DB49A3">
        <w:rPr>
          <w:rFonts w:ascii="Arial" w:hAnsi="Arial" w:cs="Arial"/>
          <w:sz w:val="22"/>
          <w:szCs w:val="22"/>
        </w:rPr>
        <w:t>bicalutamide</w:t>
      </w:r>
      <w:proofErr w:type="spellEnd"/>
      <w:r w:rsidR="003A0C34" w:rsidRPr="00DB49A3">
        <w:rPr>
          <w:rFonts w:ascii="Arial" w:hAnsi="Arial" w:cs="Arial"/>
          <w:sz w:val="22"/>
          <w:szCs w:val="22"/>
        </w:rPr>
        <w:t xml:space="preserve"> 50 mg</w:t>
      </w:r>
      <w:r w:rsidR="005767E6" w:rsidRPr="00DB49A3">
        <w:rPr>
          <w:rFonts w:ascii="Arial" w:hAnsi="Arial" w:cs="Arial"/>
          <w:sz w:val="22"/>
          <w:szCs w:val="22"/>
        </w:rPr>
        <w:t xml:space="preserve"> tablets)</w:t>
      </w:r>
      <w:r w:rsidR="00A55FEE" w:rsidRPr="00DB49A3">
        <w:rPr>
          <w:rFonts w:ascii="Arial" w:hAnsi="Arial" w:cs="Arial"/>
          <w:sz w:val="22"/>
          <w:szCs w:val="22"/>
        </w:rPr>
        <w:t xml:space="preserve"> $</w:t>
      </w:r>
      <w:r w:rsidR="00892BF0">
        <w:rPr>
          <w:rFonts w:ascii="Arial" w:hAnsi="Arial" w:cs="Arial"/>
          <w:noProof/>
          <w:color w:val="000000"/>
          <w:sz w:val="22"/>
          <w:szCs w:val="22"/>
          <w:highlight w:val="black"/>
        </w:rPr>
        <w:t>''''''''''''''''''</w:t>
      </w:r>
    </w:p>
    <w:p w:rsidR="00814A6A" w:rsidRPr="00DB49A3" w:rsidRDefault="00814A6A" w:rsidP="00DB49A3">
      <w:pPr>
        <w:pStyle w:val="ListParagraph"/>
        <w:numPr>
          <w:ilvl w:val="0"/>
          <w:numId w:val="26"/>
        </w:numPr>
        <w:rPr>
          <w:rFonts w:ascii="Arial" w:hAnsi="Arial" w:cs="Arial"/>
          <w:sz w:val="22"/>
          <w:szCs w:val="22"/>
        </w:rPr>
      </w:pPr>
      <w:proofErr w:type="spellStart"/>
      <w:r w:rsidRPr="00DB49A3">
        <w:rPr>
          <w:rFonts w:ascii="Arial" w:hAnsi="Arial" w:cs="Arial"/>
          <w:sz w:val="22"/>
          <w:szCs w:val="22"/>
        </w:rPr>
        <w:t>Bi</w:t>
      </w:r>
      <w:proofErr w:type="spellEnd"/>
      <w:r w:rsidRPr="00DB49A3">
        <w:rPr>
          <w:rFonts w:ascii="Arial" w:hAnsi="Arial" w:cs="Arial"/>
          <w:sz w:val="22"/>
          <w:szCs w:val="22"/>
        </w:rPr>
        <w:t xml:space="preserve"> ELIGARD</w:t>
      </w:r>
      <w:r w:rsidR="00D10646" w:rsidRPr="00DB49A3">
        <w:rPr>
          <w:rFonts w:ascii="Arial" w:hAnsi="Arial" w:cs="Arial"/>
          <w:sz w:val="22"/>
          <w:szCs w:val="22"/>
        </w:rPr>
        <w:t xml:space="preserve"> CP</w:t>
      </w:r>
      <w:r w:rsidRPr="00DB49A3">
        <w:rPr>
          <w:rFonts w:ascii="Arial" w:hAnsi="Arial" w:cs="Arial"/>
          <w:sz w:val="22"/>
          <w:szCs w:val="22"/>
        </w:rPr>
        <w:t xml:space="preserve"> 3 month (</w:t>
      </w:r>
      <w:proofErr w:type="spellStart"/>
      <w:r w:rsidR="003A0C34" w:rsidRPr="00DB49A3">
        <w:rPr>
          <w:rFonts w:ascii="Arial" w:hAnsi="Arial" w:cs="Arial"/>
          <w:sz w:val="22"/>
          <w:szCs w:val="22"/>
        </w:rPr>
        <w:t>leuprorelin</w:t>
      </w:r>
      <w:proofErr w:type="spellEnd"/>
      <w:r w:rsidR="003A0C34" w:rsidRPr="00DB49A3">
        <w:rPr>
          <w:rFonts w:ascii="Arial" w:hAnsi="Arial" w:cs="Arial"/>
          <w:sz w:val="22"/>
          <w:szCs w:val="22"/>
        </w:rPr>
        <w:t xml:space="preserve"> acetate 22.5 mg </w:t>
      </w:r>
      <w:r w:rsidRPr="00DB49A3">
        <w:rPr>
          <w:rFonts w:ascii="Arial" w:hAnsi="Arial" w:cs="Arial"/>
          <w:sz w:val="22"/>
          <w:szCs w:val="22"/>
        </w:rPr>
        <w:t xml:space="preserve">and 28 </w:t>
      </w:r>
      <w:proofErr w:type="spellStart"/>
      <w:r w:rsidRPr="00DB49A3">
        <w:rPr>
          <w:rFonts w:ascii="Arial" w:hAnsi="Arial" w:cs="Arial"/>
          <w:sz w:val="22"/>
          <w:szCs w:val="22"/>
        </w:rPr>
        <w:t>bicalutamide</w:t>
      </w:r>
      <w:proofErr w:type="spellEnd"/>
      <w:r w:rsidR="003A0C34" w:rsidRPr="00DB49A3">
        <w:rPr>
          <w:rFonts w:ascii="Arial" w:hAnsi="Arial" w:cs="Arial"/>
          <w:sz w:val="22"/>
          <w:szCs w:val="22"/>
        </w:rPr>
        <w:t xml:space="preserve"> 50 mg</w:t>
      </w:r>
      <w:r w:rsidRPr="00DB49A3">
        <w:rPr>
          <w:rFonts w:ascii="Arial" w:hAnsi="Arial" w:cs="Arial"/>
          <w:sz w:val="22"/>
          <w:szCs w:val="22"/>
        </w:rPr>
        <w:t xml:space="preserve"> tablets)</w:t>
      </w:r>
      <w:r w:rsidR="005767E6" w:rsidRPr="00DB49A3">
        <w:rPr>
          <w:rFonts w:ascii="Arial" w:hAnsi="Arial" w:cs="Arial"/>
          <w:sz w:val="22"/>
          <w:szCs w:val="22"/>
        </w:rPr>
        <w:t xml:space="preserve"> $</w:t>
      </w:r>
      <w:r w:rsidR="00892BF0">
        <w:rPr>
          <w:rFonts w:ascii="Arial" w:hAnsi="Arial" w:cs="Arial"/>
          <w:noProof/>
          <w:color w:val="000000"/>
          <w:sz w:val="22"/>
          <w:szCs w:val="22"/>
          <w:highlight w:val="black"/>
        </w:rPr>
        <w:t>''''''''''''''''''''</w:t>
      </w:r>
    </w:p>
    <w:p w:rsidR="00814A6A" w:rsidRPr="00DB49A3" w:rsidRDefault="00814A6A" w:rsidP="00DB49A3">
      <w:pPr>
        <w:pStyle w:val="ListParagraph"/>
        <w:numPr>
          <w:ilvl w:val="0"/>
          <w:numId w:val="26"/>
        </w:numPr>
        <w:rPr>
          <w:rFonts w:ascii="Arial" w:hAnsi="Arial" w:cs="Arial"/>
          <w:sz w:val="22"/>
          <w:szCs w:val="22"/>
        </w:rPr>
      </w:pPr>
      <w:proofErr w:type="spellStart"/>
      <w:r w:rsidRPr="00DB49A3">
        <w:rPr>
          <w:rFonts w:ascii="Arial" w:hAnsi="Arial" w:cs="Arial"/>
          <w:sz w:val="22"/>
          <w:szCs w:val="22"/>
        </w:rPr>
        <w:t>Bi</w:t>
      </w:r>
      <w:proofErr w:type="spellEnd"/>
      <w:r w:rsidRPr="00DB49A3">
        <w:rPr>
          <w:rFonts w:ascii="Arial" w:hAnsi="Arial" w:cs="Arial"/>
          <w:sz w:val="22"/>
          <w:szCs w:val="22"/>
        </w:rPr>
        <w:t xml:space="preserve"> ELIGARD</w:t>
      </w:r>
      <w:r w:rsidR="00D10646" w:rsidRPr="00DB49A3">
        <w:rPr>
          <w:rFonts w:ascii="Arial" w:hAnsi="Arial" w:cs="Arial"/>
          <w:sz w:val="22"/>
          <w:szCs w:val="22"/>
        </w:rPr>
        <w:t xml:space="preserve"> CP</w:t>
      </w:r>
      <w:r w:rsidRPr="00DB49A3">
        <w:rPr>
          <w:rFonts w:ascii="Arial" w:hAnsi="Arial" w:cs="Arial"/>
          <w:sz w:val="22"/>
          <w:szCs w:val="22"/>
        </w:rPr>
        <w:t xml:space="preserve"> 3 month (</w:t>
      </w:r>
      <w:proofErr w:type="spellStart"/>
      <w:r w:rsidR="003A0C34" w:rsidRPr="00DB49A3">
        <w:rPr>
          <w:rFonts w:ascii="Arial" w:hAnsi="Arial" w:cs="Arial"/>
          <w:sz w:val="22"/>
          <w:szCs w:val="22"/>
        </w:rPr>
        <w:t>leuprorelin</w:t>
      </w:r>
      <w:proofErr w:type="spellEnd"/>
      <w:r w:rsidR="003A0C34" w:rsidRPr="00DB49A3">
        <w:rPr>
          <w:rFonts w:ascii="Arial" w:hAnsi="Arial" w:cs="Arial"/>
          <w:sz w:val="22"/>
          <w:szCs w:val="22"/>
        </w:rPr>
        <w:t xml:space="preserve"> acetate 22.5 mg </w:t>
      </w:r>
      <w:r w:rsidRPr="00DB49A3">
        <w:rPr>
          <w:rFonts w:ascii="Arial" w:hAnsi="Arial" w:cs="Arial"/>
          <w:sz w:val="22"/>
          <w:szCs w:val="22"/>
        </w:rPr>
        <w:t xml:space="preserve">and 84 </w:t>
      </w:r>
      <w:proofErr w:type="spellStart"/>
      <w:r w:rsidRPr="00DB49A3">
        <w:rPr>
          <w:rFonts w:ascii="Arial" w:hAnsi="Arial" w:cs="Arial"/>
          <w:sz w:val="22"/>
          <w:szCs w:val="22"/>
        </w:rPr>
        <w:t>bicalutamide</w:t>
      </w:r>
      <w:proofErr w:type="spellEnd"/>
      <w:r w:rsidRPr="00DB49A3">
        <w:rPr>
          <w:rFonts w:ascii="Arial" w:hAnsi="Arial" w:cs="Arial"/>
          <w:sz w:val="22"/>
          <w:szCs w:val="22"/>
        </w:rPr>
        <w:t xml:space="preserve"> </w:t>
      </w:r>
      <w:r w:rsidR="003A0C34" w:rsidRPr="00DB49A3">
        <w:rPr>
          <w:rFonts w:ascii="Arial" w:hAnsi="Arial" w:cs="Arial"/>
          <w:sz w:val="22"/>
          <w:szCs w:val="22"/>
        </w:rPr>
        <w:t xml:space="preserve">50 mg </w:t>
      </w:r>
      <w:r w:rsidRPr="00DB49A3">
        <w:rPr>
          <w:rFonts w:ascii="Arial" w:hAnsi="Arial" w:cs="Arial"/>
          <w:sz w:val="22"/>
          <w:szCs w:val="22"/>
        </w:rPr>
        <w:t>tablet</w:t>
      </w:r>
      <w:r w:rsidR="005767E6" w:rsidRPr="00DB49A3">
        <w:rPr>
          <w:rFonts w:ascii="Arial" w:hAnsi="Arial" w:cs="Arial"/>
          <w:sz w:val="22"/>
          <w:szCs w:val="22"/>
        </w:rPr>
        <w:t>s) $</w:t>
      </w:r>
      <w:r w:rsidR="00892BF0">
        <w:rPr>
          <w:rFonts w:ascii="Arial" w:hAnsi="Arial" w:cs="Arial"/>
          <w:noProof/>
          <w:color w:val="000000"/>
          <w:sz w:val="22"/>
          <w:szCs w:val="22"/>
          <w:highlight w:val="black"/>
        </w:rPr>
        <w:t>''''''''''''''''''''</w:t>
      </w:r>
    </w:p>
    <w:p w:rsidR="00A55FEE" w:rsidRPr="00A55FEE" w:rsidRDefault="00A55FEE" w:rsidP="00860403">
      <w:pPr>
        <w:jc w:val="both"/>
        <w:rPr>
          <w:rFonts w:ascii="Arial" w:hAnsi="Arial"/>
          <w:b/>
          <w:i/>
          <w:sz w:val="22"/>
          <w:szCs w:val="22"/>
        </w:rPr>
      </w:pPr>
    </w:p>
    <w:p w:rsidR="00A55FEE" w:rsidRDefault="00352D51" w:rsidP="005E43EB">
      <w:pPr>
        <w:pStyle w:val="ListParagraph"/>
        <w:numPr>
          <w:ilvl w:val="1"/>
          <w:numId w:val="3"/>
        </w:numPr>
        <w:ind w:left="709" w:hanging="709"/>
        <w:jc w:val="both"/>
        <w:rPr>
          <w:rFonts w:ascii="Arial" w:hAnsi="Arial"/>
          <w:sz w:val="22"/>
          <w:szCs w:val="22"/>
        </w:rPr>
      </w:pPr>
      <w:r>
        <w:rPr>
          <w:rFonts w:ascii="Arial" w:hAnsi="Arial"/>
          <w:sz w:val="22"/>
          <w:szCs w:val="22"/>
        </w:rPr>
        <w:t>P</w:t>
      </w:r>
      <w:r w:rsidR="005767E6">
        <w:rPr>
          <w:rFonts w:ascii="Arial" w:hAnsi="Arial"/>
          <w:sz w:val="22"/>
          <w:szCs w:val="22"/>
        </w:rPr>
        <w:t>atients may receive a 1-month</w:t>
      </w:r>
      <w:r w:rsidR="004958EC">
        <w:rPr>
          <w:rFonts w:ascii="Arial" w:hAnsi="Arial"/>
          <w:sz w:val="22"/>
          <w:szCs w:val="22"/>
        </w:rPr>
        <w:t xml:space="preserve"> injection</w:t>
      </w:r>
      <w:r w:rsidR="005767E6">
        <w:rPr>
          <w:rFonts w:ascii="Arial" w:hAnsi="Arial"/>
          <w:sz w:val="22"/>
          <w:szCs w:val="22"/>
        </w:rPr>
        <w:t xml:space="preserve"> of </w:t>
      </w:r>
      <w:proofErr w:type="spellStart"/>
      <w:r w:rsidR="005767E6">
        <w:rPr>
          <w:rFonts w:ascii="Arial" w:hAnsi="Arial"/>
          <w:sz w:val="22"/>
          <w:szCs w:val="22"/>
        </w:rPr>
        <w:t>leuprorelin</w:t>
      </w:r>
      <w:proofErr w:type="spellEnd"/>
      <w:r w:rsidR="005767E6">
        <w:rPr>
          <w:rFonts w:ascii="Arial" w:hAnsi="Arial"/>
          <w:sz w:val="22"/>
          <w:szCs w:val="22"/>
        </w:rPr>
        <w:t xml:space="preserve"> with four weeks supply of </w:t>
      </w:r>
      <w:proofErr w:type="spellStart"/>
      <w:r w:rsidR="005767E6">
        <w:rPr>
          <w:rFonts w:ascii="Arial" w:hAnsi="Arial"/>
          <w:sz w:val="22"/>
          <w:szCs w:val="22"/>
        </w:rPr>
        <w:t>bicalutamide</w:t>
      </w:r>
      <w:proofErr w:type="spellEnd"/>
      <w:r>
        <w:rPr>
          <w:rFonts w:ascii="Arial" w:hAnsi="Arial"/>
          <w:sz w:val="22"/>
          <w:szCs w:val="22"/>
        </w:rPr>
        <w:t>, or</w:t>
      </w:r>
      <w:r w:rsidR="005767E6">
        <w:rPr>
          <w:rFonts w:ascii="Arial" w:hAnsi="Arial"/>
          <w:sz w:val="22"/>
          <w:szCs w:val="22"/>
        </w:rPr>
        <w:t xml:space="preserve"> a 3-month </w:t>
      </w:r>
      <w:proofErr w:type="spellStart"/>
      <w:r w:rsidR="005767E6">
        <w:rPr>
          <w:rFonts w:ascii="Arial" w:hAnsi="Arial"/>
          <w:sz w:val="22"/>
          <w:szCs w:val="22"/>
        </w:rPr>
        <w:t>leuprorelin</w:t>
      </w:r>
      <w:proofErr w:type="spellEnd"/>
      <w:r w:rsidR="005767E6">
        <w:rPr>
          <w:rFonts w:ascii="Arial" w:hAnsi="Arial"/>
          <w:sz w:val="22"/>
          <w:szCs w:val="22"/>
        </w:rPr>
        <w:t xml:space="preserve"> injection </w:t>
      </w:r>
      <w:r w:rsidR="00436BC9">
        <w:rPr>
          <w:rFonts w:ascii="Arial" w:hAnsi="Arial"/>
          <w:sz w:val="22"/>
          <w:szCs w:val="22"/>
        </w:rPr>
        <w:t xml:space="preserve">with either </w:t>
      </w:r>
      <w:r w:rsidR="005767E6">
        <w:rPr>
          <w:rFonts w:ascii="Arial" w:hAnsi="Arial"/>
          <w:sz w:val="22"/>
          <w:szCs w:val="22"/>
        </w:rPr>
        <w:t>four</w:t>
      </w:r>
      <w:r w:rsidR="004958EC">
        <w:rPr>
          <w:rFonts w:ascii="Arial" w:hAnsi="Arial"/>
          <w:sz w:val="22"/>
          <w:szCs w:val="22"/>
        </w:rPr>
        <w:t xml:space="preserve"> or twelve</w:t>
      </w:r>
      <w:r w:rsidR="005767E6">
        <w:rPr>
          <w:rFonts w:ascii="Arial" w:hAnsi="Arial"/>
          <w:sz w:val="22"/>
          <w:szCs w:val="22"/>
        </w:rPr>
        <w:t xml:space="preserve"> weeks supply of </w:t>
      </w:r>
      <w:proofErr w:type="spellStart"/>
      <w:r w:rsidR="005767E6">
        <w:rPr>
          <w:rFonts w:ascii="Arial" w:hAnsi="Arial"/>
          <w:sz w:val="22"/>
          <w:szCs w:val="22"/>
        </w:rPr>
        <w:t>bicalutamide</w:t>
      </w:r>
      <w:proofErr w:type="spellEnd"/>
      <w:r w:rsidR="00CC1ED7">
        <w:rPr>
          <w:rFonts w:ascii="Arial" w:hAnsi="Arial"/>
          <w:sz w:val="22"/>
          <w:szCs w:val="22"/>
        </w:rPr>
        <w:t>.</w:t>
      </w:r>
    </w:p>
    <w:p w:rsidR="002373FF" w:rsidRPr="002373FF" w:rsidRDefault="002373FF" w:rsidP="002373FF">
      <w:pPr>
        <w:jc w:val="both"/>
        <w:rPr>
          <w:rFonts w:ascii="Arial" w:hAnsi="Arial"/>
          <w:sz w:val="22"/>
          <w:szCs w:val="22"/>
        </w:rPr>
      </w:pPr>
    </w:p>
    <w:p w:rsidR="005A3173" w:rsidRPr="00882085" w:rsidRDefault="005A3173" w:rsidP="002C1D6B">
      <w:pPr>
        <w:pStyle w:val="Heading2"/>
      </w:pPr>
      <w:r w:rsidRPr="00882085">
        <w:t>Estimated PBS usage &amp; financial implications</w:t>
      </w:r>
    </w:p>
    <w:p w:rsidR="005A3173" w:rsidRPr="00882085" w:rsidRDefault="005A3173" w:rsidP="00882085">
      <w:pPr>
        <w:ind w:left="720" w:hanging="720"/>
        <w:jc w:val="both"/>
        <w:rPr>
          <w:rFonts w:ascii="Arial" w:hAnsi="Arial"/>
          <w:b/>
          <w:i/>
          <w:sz w:val="22"/>
          <w:szCs w:val="22"/>
        </w:rPr>
      </w:pPr>
    </w:p>
    <w:p w:rsidR="00436BC9" w:rsidRDefault="00482763" w:rsidP="005E43EB">
      <w:pPr>
        <w:pStyle w:val="ListParagraph"/>
        <w:numPr>
          <w:ilvl w:val="1"/>
          <w:numId w:val="3"/>
        </w:numPr>
        <w:ind w:left="709" w:hanging="709"/>
        <w:jc w:val="both"/>
        <w:rPr>
          <w:rFonts w:ascii="Arial" w:hAnsi="Arial"/>
          <w:color w:val="000000" w:themeColor="text1"/>
          <w:sz w:val="22"/>
          <w:szCs w:val="22"/>
        </w:rPr>
      </w:pPr>
      <w:r>
        <w:rPr>
          <w:rFonts w:ascii="Arial" w:hAnsi="Arial"/>
          <w:color w:val="000000" w:themeColor="text1"/>
          <w:sz w:val="22"/>
          <w:szCs w:val="22"/>
        </w:rPr>
        <w:t xml:space="preserve">The submission used a market share approach to estimate utilisation. The market was defined as treatment regimens containing an LHRH agonist with </w:t>
      </w:r>
      <w:proofErr w:type="spellStart"/>
      <w:r>
        <w:rPr>
          <w:rFonts w:ascii="Arial" w:hAnsi="Arial"/>
          <w:color w:val="000000" w:themeColor="text1"/>
          <w:sz w:val="22"/>
          <w:szCs w:val="22"/>
        </w:rPr>
        <w:t>bicalutamide</w:t>
      </w:r>
      <w:proofErr w:type="spellEnd"/>
      <w:r>
        <w:rPr>
          <w:rFonts w:ascii="Arial" w:hAnsi="Arial"/>
          <w:color w:val="000000" w:themeColor="text1"/>
          <w:sz w:val="22"/>
          <w:szCs w:val="22"/>
        </w:rPr>
        <w:t>.</w:t>
      </w:r>
      <w:r w:rsidR="00AE087B">
        <w:rPr>
          <w:rFonts w:ascii="Arial" w:hAnsi="Arial"/>
          <w:color w:val="000000" w:themeColor="text1"/>
          <w:sz w:val="22"/>
          <w:szCs w:val="22"/>
        </w:rPr>
        <w:t xml:space="preserve"> </w:t>
      </w:r>
      <w:r w:rsidR="00436BC9">
        <w:rPr>
          <w:rFonts w:ascii="Arial" w:hAnsi="Arial"/>
          <w:color w:val="000000" w:themeColor="text1"/>
          <w:sz w:val="22"/>
          <w:szCs w:val="22"/>
        </w:rPr>
        <w:t>To estimate concomitant use it was assumed that:</w:t>
      </w:r>
    </w:p>
    <w:p w:rsidR="00436BC9" w:rsidRDefault="00436BC9" w:rsidP="006E4C80">
      <w:pPr>
        <w:pStyle w:val="ListParagraph"/>
        <w:numPr>
          <w:ilvl w:val="0"/>
          <w:numId w:val="6"/>
        </w:numPr>
        <w:jc w:val="both"/>
        <w:rPr>
          <w:rFonts w:ascii="Arial" w:hAnsi="Arial"/>
          <w:color w:val="000000" w:themeColor="text1"/>
          <w:sz w:val="22"/>
          <w:szCs w:val="22"/>
        </w:rPr>
      </w:pPr>
      <w:r w:rsidRPr="006E4C80">
        <w:rPr>
          <w:rFonts w:ascii="Arial" w:hAnsi="Arial"/>
          <w:color w:val="000000" w:themeColor="text1"/>
          <w:sz w:val="22"/>
          <w:szCs w:val="22"/>
        </w:rPr>
        <w:t xml:space="preserve">5.46% of </w:t>
      </w:r>
      <w:r>
        <w:rPr>
          <w:rFonts w:ascii="Arial" w:hAnsi="Arial"/>
          <w:color w:val="000000" w:themeColor="text1"/>
          <w:sz w:val="22"/>
          <w:szCs w:val="22"/>
        </w:rPr>
        <w:t xml:space="preserve">LHRH agonists prescribed as monthly injections are co-prescribed with </w:t>
      </w:r>
      <w:r w:rsidR="003B5FF7">
        <w:rPr>
          <w:rFonts w:ascii="Arial" w:hAnsi="Arial"/>
          <w:color w:val="000000" w:themeColor="text1"/>
          <w:sz w:val="22"/>
          <w:szCs w:val="22"/>
        </w:rPr>
        <w:t>28 days</w:t>
      </w:r>
      <w:r>
        <w:rPr>
          <w:rFonts w:ascii="Arial" w:hAnsi="Arial"/>
          <w:color w:val="000000" w:themeColor="text1"/>
          <w:sz w:val="22"/>
          <w:szCs w:val="22"/>
        </w:rPr>
        <w:t xml:space="preserve"> of </w:t>
      </w:r>
      <w:proofErr w:type="spellStart"/>
      <w:r>
        <w:rPr>
          <w:rFonts w:ascii="Arial" w:hAnsi="Arial"/>
          <w:color w:val="000000" w:themeColor="text1"/>
          <w:sz w:val="22"/>
          <w:szCs w:val="22"/>
        </w:rPr>
        <w:t>bicalutamide</w:t>
      </w:r>
      <w:proofErr w:type="spellEnd"/>
      <w:r>
        <w:rPr>
          <w:rFonts w:ascii="Arial" w:hAnsi="Arial"/>
          <w:color w:val="000000" w:themeColor="text1"/>
          <w:sz w:val="22"/>
          <w:szCs w:val="22"/>
        </w:rPr>
        <w:t>;</w:t>
      </w:r>
    </w:p>
    <w:p w:rsidR="00436BC9" w:rsidRDefault="00436BC9" w:rsidP="006E4C80">
      <w:pPr>
        <w:pStyle w:val="ListParagraph"/>
        <w:numPr>
          <w:ilvl w:val="0"/>
          <w:numId w:val="6"/>
        </w:numPr>
        <w:jc w:val="both"/>
        <w:rPr>
          <w:rFonts w:ascii="Arial" w:hAnsi="Arial"/>
          <w:color w:val="000000" w:themeColor="text1"/>
          <w:sz w:val="22"/>
          <w:szCs w:val="22"/>
        </w:rPr>
      </w:pPr>
      <w:r>
        <w:rPr>
          <w:rFonts w:ascii="Arial" w:hAnsi="Arial"/>
          <w:color w:val="000000" w:themeColor="text1"/>
          <w:sz w:val="22"/>
          <w:szCs w:val="22"/>
        </w:rPr>
        <w:t>1.49</w:t>
      </w:r>
      <w:r w:rsidRPr="004D437A">
        <w:rPr>
          <w:rFonts w:ascii="Arial" w:hAnsi="Arial"/>
          <w:color w:val="000000" w:themeColor="text1"/>
          <w:sz w:val="22"/>
          <w:szCs w:val="22"/>
        </w:rPr>
        <w:t xml:space="preserve">% of </w:t>
      </w:r>
      <w:r>
        <w:rPr>
          <w:rFonts w:ascii="Arial" w:hAnsi="Arial"/>
          <w:color w:val="000000" w:themeColor="text1"/>
          <w:sz w:val="22"/>
          <w:szCs w:val="22"/>
        </w:rPr>
        <w:t xml:space="preserve">LHRH agonists prescribed as 3-monthly injections are co-prescribed with </w:t>
      </w:r>
      <w:r w:rsidR="003B5FF7">
        <w:rPr>
          <w:rFonts w:ascii="Arial" w:hAnsi="Arial"/>
          <w:color w:val="000000" w:themeColor="text1"/>
          <w:sz w:val="22"/>
          <w:szCs w:val="22"/>
        </w:rPr>
        <w:t>28 days</w:t>
      </w:r>
      <w:r>
        <w:rPr>
          <w:rFonts w:ascii="Arial" w:hAnsi="Arial"/>
          <w:color w:val="000000" w:themeColor="text1"/>
          <w:sz w:val="22"/>
          <w:szCs w:val="22"/>
        </w:rPr>
        <w:t xml:space="preserve"> of </w:t>
      </w:r>
      <w:proofErr w:type="spellStart"/>
      <w:r>
        <w:rPr>
          <w:rFonts w:ascii="Arial" w:hAnsi="Arial"/>
          <w:color w:val="000000" w:themeColor="text1"/>
          <w:sz w:val="22"/>
          <w:szCs w:val="22"/>
        </w:rPr>
        <w:t>bicalutamide</w:t>
      </w:r>
      <w:proofErr w:type="spellEnd"/>
      <w:r>
        <w:rPr>
          <w:rFonts w:ascii="Arial" w:hAnsi="Arial"/>
          <w:color w:val="000000" w:themeColor="text1"/>
          <w:sz w:val="22"/>
          <w:szCs w:val="22"/>
        </w:rPr>
        <w:t>; and</w:t>
      </w:r>
    </w:p>
    <w:p w:rsidR="00436BC9" w:rsidRPr="00436BC9" w:rsidRDefault="00436BC9" w:rsidP="006E4C80">
      <w:pPr>
        <w:pStyle w:val="ListParagraph"/>
        <w:numPr>
          <w:ilvl w:val="0"/>
          <w:numId w:val="6"/>
        </w:numPr>
        <w:jc w:val="both"/>
        <w:rPr>
          <w:rFonts w:ascii="Arial" w:hAnsi="Arial"/>
          <w:color w:val="000000" w:themeColor="text1"/>
          <w:sz w:val="22"/>
          <w:szCs w:val="22"/>
        </w:rPr>
      </w:pPr>
      <w:r>
        <w:rPr>
          <w:rFonts w:ascii="Arial" w:hAnsi="Arial"/>
          <w:color w:val="000000" w:themeColor="text1"/>
          <w:sz w:val="22"/>
          <w:szCs w:val="22"/>
        </w:rPr>
        <w:t>6.65</w:t>
      </w:r>
      <w:r w:rsidRPr="004D437A">
        <w:rPr>
          <w:rFonts w:ascii="Arial" w:hAnsi="Arial"/>
          <w:color w:val="000000" w:themeColor="text1"/>
          <w:sz w:val="22"/>
          <w:szCs w:val="22"/>
        </w:rPr>
        <w:t xml:space="preserve">% of </w:t>
      </w:r>
      <w:r>
        <w:rPr>
          <w:rFonts w:ascii="Arial" w:hAnsi="Arial"/>
          <w:color w:val="000000" w:themeColor="text1"/>
          <w:sz w:val="22"/>
          <w:szCs w:val="22"/>
        </w:rPr>
        <w:t xml:space="preserve">LHRH agonists prescribed as 3-monthly injections are co-prescribed with </w:t>
      </w:r>
      <w:r w:rsidR="003B5FF7">
        <w:rPr>
          <w:rFonts w:ascii="Arial" w:hAnsi="Arial"/>
          <w:color w:val="000000" w:themeColor="text1"/>
          <w:sz w:val="22"/>
          <w:szCs w:val="22"/>
        </w:rPr>
        <w:t>84 days</w:t>
      </w:r>
      <w:r>
        <w:rPr>
          <w:rFonts w:ascii="Arial" w:hAnsi="Arial"/>
          <w:color w:val="000000" w:themeColor="text1"/>
          <w:sz w:val="22"/>
          <w:szCs w:val="22"/>
        </w:rPr>
        <w:t xml:space="preserve"> of </w:t>
      </w:r>
      <w:proofErr w:type="spellStart"/>
      <w:r>
        <w:rPr>
          <w:rFonts w:ascii="Arial" w:hAnsi="Arial"/>
          <w:color w:val="000000" w:themeColor="text1"/>
          <w:sz w:val="22"/>
          <w:szCs w:val="22"/>
        </w:rPr>
        <w:t>bicalutamide</w:t>
      </w:r>
      <w:proofErr w:type="spellEnd"/>
      <w:r>
        <w:rPr>
          <w:rFonts w:ascii="Arial" w:hAnsi="Arial"/>
          <w:color w:val="000000" w:themeColor="text1"/>
          <w:sz w:val="22"/>
          <w:szCs w:val="22"/>
        </w:rPr>
        <w:t>.</w:t>
      </w:r>
    </w:p>
    <w:p w:rsidR="00436BC9" w:rsidRDefault="00857598" w:rsidP="00857598">
      <w:pPr>
        <w:pStyle w:val="ListParagraph"/>
        <w:tabs>
          <w:tab w:val="left" w:pos="6045"/>
        </w:tabs>
        <w:jc w:val="both"/>
        <w:rPr>
          <w:rFonts w:ascii="Arial" w:hAnsi="Arial"/>
          <w:color w:val="000000" w:themeColor="text1"/>
          <w:sz w:val="22"/>
          <w:szCs w:val="22"/>
        </w:rPr>
      </w:pPr>
      <w:r>
        <w:rPr>
          <w:rFonts w:ascii="Arial" w:hAnsi="Arial"/>
          <w:color w:val="000000" w:themeColor="text1"/>
          <w:sz w:val="22"/>
          <w:szCs w:val="22"/>
        </w:rPr>
        <w:tab/>
      </w:r>
    </w:p>
    <w:p w:rsidR="00860403" w:rsidRPr="00ED4427" w:rsidRDefault="00AE087B" w:rsidP="005E43EB">
      <w:pPr>
        <w:pStyle w:val="ListParagraph"/>
        <w:numPr>
          <w:ilvl w:val="1"/>
          <w:numId w:val="3"/>
        </w:numPr>
        <w:ind w:left="709" w:hanging="709"/>
        <w:jc w:val="both"/>
        <w:rPr>
          <w:rFonts w:ascii="Arial" w:hAnsi="Arial"/>
          <w:color w:val="000000" w:themeColor="text1"/>
          <w:sz w:val="22"/>
          <w:szCs w:val="22"/>
        </w:rPr>
      </w:pPr>
      <w:r>
        <w:rPr>
          <w:rFonts w:ascii="Arial" w:hAnsi="Arial"/>
          <w:color w:val="000000" w:themeColor="text1"/>
          <w:sz w:val="22"/>
          <w:szCs w:val="22"/>
        </w:rPr>
        <w:t xml:space="preserve">The submission assumed that listing the LEU/BIC combination pack will not increase the number of patients treated with </w:t>
      </w:r>
      <w:r w:rsidRPr="00AE087B">
        <w:rPr>
          <w:rFonts w:ascii="Arial" w:hAnsi="Arial"/>
          <w:color w:val="000000" w:themeColor="text1"/>
          <w:sz w:val="22"/>
          <w:szCs w:val="22"/>
        </w:rPr>
        <w:t xml:space="preserve">a LHRH agonist and </w:t>
      </w:r>
      <w:proofErr w:type="spellStart"/>
      <w:r w:rsidRPr="00AE087B">
        <w:rPr>
          <w:rFonts w:ascii="Arial" w:hAnsi="Arial"/>
          <w:color w:val="000000" w:themeColor="text1"/>
          <w:sz w:val="22"/>
          <w:szCs w:val="22"/>
        </w:rPr>
        <w:t>bicalutamide</w:t>
      </w:r>
      <w:proofErr w:type="spellEnd"/>
      <w:r w:rsidRPr="00AE087B">
        <w:rPr>
          <w:rFonts w:ascii="Arial" w:hAnsi="Arial"/>
          <w:color w:val="000000" w:themeColor="text1"/>
          <w:sz w:val="22"/>
          <w:szCs w:val="22"/>
        </w:rPr>
        <w:t>.</w:t>
      </w:r>
    </w:p>
    <w:p w:rsidR="00860403" w:rsidRPr="00860403" w:rsidRDefault="00860403" w:rsidP="00860403">
      <w:pPr>
        <w:jc w:val="both"/>
        <w:rPr>
          <w:rFonts w:ascii="Arial" w:hAnsi="Arial"/>
          <w:color w:val="000000" w:themeColor="text1"/>
          <w:sz w:val="22"/>
          <w:szCs w:val="22"/>
        </w:rPr>
      </w:pPr>
    </w:p>
    <w:p w:rsidR="00185F4C" w:rsidRDefault="00185F4C" w:rsidP="005E43EB">
      <w:pPr>
        <w:pStyle w:val="ListParagraph"/>
        <w:numPr>
          <w:ilvl w:val="1"/>
          <w:numId w:val="3"/>
        </w:numPr>
        <w:ind w:left="709" w:hanging="709"/>
        <w:jc w:val="both"/>
        <w:rPr>
          <w:rFonts w:ascii="Arial" w:hAnsi="Arial"/>
          <w:color w:val="000000" w:themeColor="text1"/>
          <w:sz w:val="22"/>
          <w:szCs w:val="22"/>
        </w:rPr>
      </w:pPr>
      <w:r w:rsidRPr="00CC1ED7">
        <w:rPr>
          <w:rFonts w:ascii="Arial" w:hAnsi="Arial"/>
          <w:color w:val="000000" w:themeColor="text1"/>
          <w:sz w:val="22"/>
          <w:szCs w:val="22"/>
        </w:rPr>
        <w:t xml:space="preserve">The submission assumed market growth of 5.26% per annum for </w:t>
      </w:r>
      <w:r w:rsidR="002D454B" w:rsidRPr="00CC1ED7">
        <w:rPr>
          <w:rFonts w:ascii="Arial" w:hAnsi="Arial"/>
          <w:color w:val="000000" w:themeColor="text1"/>
          <w:sz w:val="22"/>
          <w:szCs w:val="22"/>
        </w:rPr>
        <w:t xml:space="preserve">co-prescribed </w:t>
      </w:r>
      <w:r w:rsidRPr="00CC1ED7">
        <w:rPr>
          <w:rFonts w:ascii="Arial" w:hAnsi="Arial"/>
          <w:color w:val="000000" w:themeColor="text1"/>
          <w:sz w:val="22"/>
          <w:szCs w:val="22"/>
        </w:rPr>
        <w:t>regimens</w:t>
      </w:r>
      <w:r w:rsidR="00436BC9">
        <w:rPr>
          <w:rFonts w:ascii="Arial" w:hAnsi="Arial"/>
          <w:color w:val="000000" w:themeColor="text1"/>
          <w:sz w:val="22"/>
          <w:szCs w:val="22"/>
        </w:rPr>
        <w:t xml:space="preserve"> including </w:t>
      </w:r>
      <w:r w:rsidR="003B5FF7">
        <w:rPr>
          <w:rFonts w:ascii="Arial" w:hAnsi="Arial"/>
          <w:color w:val="000000" w:themeColor="text1"/>
          <w:sz w:val="22"/>
          <w:szCs w:val="22"/>
        </w:rPr>
        <w:t xml:space="preserve">a 3-monthly LHRH agonist and 84 days of </w:t>
      </w:r>
      <w:proofErr w:type="spellStart"/>
      <w:r w:rsidR="003B5FF7">
        <w:rPr>
          <w:rFonts w:ascii="Arial" w:hAnsi="Arial"/>
          <w:color w:val="000000" w:themeColor="text1"/>
          <w:sz w:val="22"/>
          <w:szCs w:val="22"/>
        </w:rPr>
        <w:t>bicalutamide</w:t>
      </w:r>
      <w:proofErr w:type="spellEnd"/>
      <w:r w:rsidRPr="00CC1ED7">
        <w:rPr>
          <w:rFonts w:ascii="Arial" w:hAnsi="Arial"/>
          <w:color w:val="000000" w:themeColor="text1"/>
          <w:sz w:val="22"/>
          <w:szCs w:val="22"/>
        </w:rPr>
        <w:t xml:space="preserve">, and 9.63% per </w:t>
      </w:r>
      <w:r w:rsidR="003B5FF7">
        <w:rPr>
          <w:rFonts w:ascii="Arial" w:hAnsi="Arial"/>
          <w:color w:val="000000" w:themeColor="text1"/>
          <w:sz w:val="22"/>
          <w:szCs w:val="22"/>
        </w:rPr>
        <w:t>annum</w:t>
      </w:r>
      <w:r w:rsidR="003B5FF7" w:rsidRPr="00CC1ED7">
        <w:rPr>
          <w:rFonts w:ascii="Arial" w:hAnsi="Arial"/>
          <w:color w:val="000000" w:themeColor="text1"/>
          <w:sz w:val="22"/>
          <w:szCs w:val="22"/>
        </w:rPr>
        <w:t xml:space="preserve"> </w:t>
      </w:r>
      <w:r w:rsidRPr="00CC1ED7">
        <w:rPr>
          <w:rFonts w:ascii="Arial" w:hAnsi="Arial"/>
          <w:color w:val="000000" w:themeColor="text1"/>
          <w:sz w:val="22"/>
          <w:szCs w:val="22"/>
        </w:rPr>
        <w:t xml:space="preserve">for </w:t>
      </w:r>
      <w:r w:rsidR="003B5FF7">
        <w:rPr>
          <w:rFonts w:ascii="Arial" w:hAnsi="Arial"/>
          <w:color w:val="000000" w:themeColor="text1"/>
          <w:sz w:val="22"/>
          <w:szCs w:val="22"/>
        </w:rPr>
        <w:t xml:space="preserve">the GOS/BIC </w:t>
      </w:r>
      <w:r w:rsidRPr="00CC1ED7">
        <w:rPr>
          <w:rFonts w:ascii="Arial" w:hAnsi="Arial"/>
          <w:color w:val="000000" w:themeColor="text1"/>
          <w:sz w:val="22"/>
          <w:szCs w:val="22"/>
        </w:rPr>
        <w:t xml:space="preserve">combination </w:t>
      </w:r>
      <w:r w:rsidR="003B5FF7">
        <w:rPr>
          <w:rFonts w:ascii="Arial" w:hAnsi="Arial"/>
          <w:color w:val="000000" w:themeColor="text1"/>
          <w:sz w:val="22"/>
          <w:szCs w:val="22"/>
        </w:rPr>
        <w:t xml:space="preserve">pack containing 3-monthly </w:t>
      </w:r>
      <w:proofErr w:type="spellStart"/>
      <w:r w:rsidR="003B5FF7">
        <w:rPr>
          <w:rFonts w:ascii="Arial" w:hAnsi="Arial"/>
          <w:color w:val="000000" w:themeColor="text1"/>
          <w:sz w:val="22"/>
          <w:szCs w:val="22"/>
        </w:rPr>
        <w:t>goserelin</w:t>
      </w:r>
      <w:proofErr w:type="spellEnd"/>
      <w:r w:rsidR="003B5FF7">
        <w:rPr>
          <w:rFonts w:ascii="Arial" w:hAnsi="Arial"/>
          <w:color w:val="000000" w:themeColor="text1"/>
          <w:sz w:val="22"/>
          <w:szCs w:val="22"/>
        </w:rPr>
        <w:t xml:space="preserve"> with 84 days of </w:t>
      </w:r>
      <w:proofErr w:type="spellStart"/>
      <w:r w:rsidR="003B5FF7">
        <w:rPr>
          <w:rFonts w:ascii="Arial" w:hAnsi="Arial"/>
          <w:color w:val="000000" w:themeColor="text1"/>
          <w:sz w:val="22"/>
          <w:szCs w:val="22"/>
        </w:rPr>
        <w:t>bicalutamide</w:t>
      </w:r>
      <w:proofErr w:type="spellEnd"/>
      <w:r w:rsidRPr="00CC1ED7">
        <w:rPr>
          <w:rFonts w:ascii="Arial" w:hAnsi="Arial"/>
          <w:color w:val="000000" w:themeColor="text1"/>
          <w:sz w:val="22"/>
          <w:szCs w:val="22"/>
        </w:rPr>
        <w:t>.</w:t>
      </w:r>
      <w:r w:rsidR="003B5FF7">
        <w:rPr>
          <w:rFonts w:ascii="Arial" w:hAnsi="Arial"/>
          <w:color w:val="000000" w:themeColor="text1"/>
          <w:sz w:val="22"/>
          <w:szCs w:val="22"/>
        </w:rPr>
        <w:t xml:space="preserve"> No growth was assumed for the remaining combinations (i.e. those with either a 1-monthly LHRH agonist or a 3-monthly LHRH agonist with 28 days of </w:t>
      </w:r>
      <w:proofErr w:type="spellStart"/>
      <w:r w:rsidR="003B5FF7">
        <w:rPr>
          <w:rFonts w:ascii="Arial" w:hAnsi="Arial"/>
          <w:color w:val="000000" w:themeColor="text1"/>
          <w:sz w:val="22"/>
          <w:szCs w:val="22"/>
        </w:rPr>
        <w:t>bicalutamide</w:t>
      </w:r>
      <w:proofErr w:type="spellEnd"/>
      <w:r w:rsidR="003B5FF7">
        <w:rPr>
          <w:rFonts w:ascii="Arial" w:hAnsi="Arial"/>
          <w:color w:val="000000" w:themeColor="text1"/>
          <w:sz w:val="22"/>
          <w:szCs w:val="22"/>
        </w:rPr>
        <w:t>).</w:t>
      </w:r>
      <w:r w:rsidRPr="00CC1ED7">
        <w:rPr>
          <w:rFonts w:ascii="Arial" w:hAnsi="Arial"/>
          <w:color w:val="000000" w:themeColor="text1"/>
          <w:sz w:val="22"/>
          <w:szCs w:val="22"/>
        </w:rPr>
        <w:t xml:space="preserve"> </w:t>
      </w:r>
    </w:p>
    <w:p w:rsidR="00166244" w:rsidRPr="00ED4427" w:rsidRDefault="00166244" w:rsidP="00ED4427">
      <w:pPr>
        <w:jc w:val="both"/>
        <w:rPr>
          <w:rFonts w:ascii="Arial" w:hAnsi="Arial"/>
          <w:color w:val="000000" w:themeColor="text1"/>
          <w:sz w:val="22"/>
          <w:szCs w:val="22"/>
        </w:rPr>
      </w:pPr>
    </w:p>
    <w:p w:rsidR="00482763" w:rsidRDefault="00482763" w:rsidP="005E43EB">
      <w:pPr>
        <w:pStyle w:val="ListParagraph"/>
        <w:numPr>
          <w:ilvl w:val="1"/>
          <w:numId w:val="3"/>
        </w:numPr>
        <w:ind w:left="709" w:hanging="709"/>
        <w:jc w:val="both"/>
        <w:rPr>
          <w:rFonts w:ascii="Arial" w:hAnsi="Arial"/>
          <w:color w:val="000000" w:themeColor="text1"/>
          <w:sz w:val="22"/>
          <w:szCs w:val="22"/>
        </w:rPr>
      </w:pPr>
      <w:r>
        <w:rPr>
          <w:rFonts w:ascii="Arial" w:hAnsi="Arial"/>
          <w:color w:val="000000" w:themeColor="text1"/>
          <w:sz w:val="22"/>
          <w:szCs w:val="22"/>
        </w:rPr>
        <w:lastRenderedPageBreak/>
        <w:t xml:space="preserve">This submission assumed the LEU/BIC pack would substitute </w:t>
      </w:r>
      <w:r w:rsidR="002D454B">
        <w:rPr>
          <w:rFonts w:ascii="Arial" w:hAnsi="Arial"/>
          <w:color w:val="000000" w:themeColor="text1"/>
          <w:sz w:val="22"/>
          <w:szCs w:val="22"/>
        </w:rPr>
        <w:t xml:space="preserve">co-prescribed </w:t>
      </w:r>
      <w:proofErr w:type="spellStart"/>
      <w:r>
        <w:rPr>
          <w:rFonts w:ascii="Arial" w:hAnsi="Arial"/>
          <w:color w:val="000000" w:themeColor="text1"/>
          <w:sz w:val="22"/>
          <w:szCs w:val="22"/>
        </w:rPr>
        <w:t>leuprorelin</w:t>
      </w:r>
      <w:proofErr w:type="spellEnd"/>
      <w:r>
        <w:rPr>
          <w:rFonts w:ascii="Arial" w:hAnsi="Arial"/>
          <w:color w:val="000000" w:themeColor="text1"/>
          <w:sz w:val="22"/>
          <w:szCs w:val="22"/>
        </w:rPr>
        <w:t xml:space="preserve"> and </w:t>
      </w:r>
      <w:proofErr w:type="spellStart"/>
      <w:r>
        <w:rPr>
          <w:rFonts w:ascii="Arial" w:hAnsi="Arial"/>
          <w:color w:val="000000" w:themeColor="text1"/>
          <w:sz w:val="22"/>
          <w:szCs w:val="22"/>
        </w:rPr>
        <w:t>bicalutamide</w:t>
      </w:r>
      <w:proofErr w:type="spellEnd"/>
      <w:r>
        <w:rPr>
          <w:rFonts w:ascii="Arial" w:hAnsi="Arial"/>
          <w:color w:val="000000" w:themeColor="text1"/>
          <w:sz w:val="22"/>
          <w:szCs w:val="22"/>
        </w:rPr>
        <w:t xml:space="preserve">, combination GOS/BIC packs, and </w:t>
      </w:r>
      <w:r w:rsidR="002D454B">
        <w:rPr>
          <w:rFonts w:ascii="Arial" w:hAnsi="Arial"/>
          <w:color w:val="000000" w:themeColor="text1"/>
          <w:sz w:val="22"/>
          <w:szCs w:val="22"/>
        </w:rPr>
        <w:t xml:space="preserve">co-prescribed </w:t>
      </w:r>
      <w:proofErr w:type="spellStart"/>
      <w:r>
        <w:rPr>
          <w:rFonts w:ascii="Arial" w:hAnsi="Arial"/>
          <w:color w:val="000000" w:themeColor="text1"/>
          <w:sz w:val="22"/>
          <w:szCs w:val="22"/>
        </w:rPr>
        <w:t>triptorelin</w:t>
      </w:r>
      <w:proofErr w:type="spellEnd"/>
      <w:r>
        <w:rPr>
          <w:rFonts w:ascii="Arial" w:hAnsi="Arial"/>
          <w:color w:val="000000" w:themeColor="text1"/>
          <w:sz w:val="22"/>
          <w:szCs w:val="22"/>
        </w:rPr>
        <w:t xml:space="preserve"> and </w:t>
      </w:r>
      <w:proofErr w:type="spellStart"/>
      <w:r>
        <w:rPr>
          <w:rFonts w:ascii="Arial" w:hAnsi="Arial"/>
          <w:color w:val="000000" w:themeColor="text1"/>
          <w:sz w:val="22"/>
          <w:szCs w:val="22"/>
        </w:rPr>
        <w:t>bicalutamide</w:t>
      </w:r>
      <w:proofErr w:type="spellEnd"/>
      <w:r>
        <w:rPr>
          <w:rFonts w:ascii="Arial" w:hAnsi="Arial"/>
          <w:color w:val="000000" w:themeColor="text1"/>
          <w:sz w:val="22"/>
          <w:szCs w:val="22"/>
        </w:rPr>
        <w:t xml:space="preserve">. </w:t>
      </w:r>
      <w:r w:rsidR="003B5FF7">
        <w:rPr>
          <w:rFonts w:ascii="Arial" w:hAnsi="Arial"/>
          <w:color w:val="000000" w:themeColor="text1"/>
          <w:sz w:val="22"/>
          <w:szCs w:val="22"/>
        </w:rPr>
        <w:t xml:space="preserve">The following </w:t>
      </w:r>
      <w:r w:rsidR="00C86CDE">
        <w:rPr>
          <w:rFonts w:ascii="Arial" w:hAnsi="Arial"/>
          <w:color w:val="000000" w:themeColor="text1"/>
          <w:sz w:val="22"/>
          <w:szCs w:val="22"/>
        </w:rPr>
        <w:t>substitution</w:t>
      </w:r>
      <w:r w:rsidR="003B5FF7">
        <w:rPr>
          <w:rFonts w:ascii="Arial" w:hAnsi="Arial"/>
          <w:color w:val="000000" w:themeColor="text1"/>
          <w:sz w:val="22"/>
          <w:szCs w:val="22"/>
        </w:rPr>
        <w:t xml:space="preserve"> rates were assumed:</w:t>
      </w:r>
    </w:p>
    <w:p w:rsidR="003B5FF7" w:rsidRDefault="00C86CDE" w:rsidP="006E4C80">
      <w:pPr>
        <w:pStyle w:val="ListParagraph"/>
        <w:numPr>
          <w:ilvl w:val="0"/>
          <w:numId w:val="7"/>
        </w:numPr>
        <w:jc w:val="both"/>
        <w:rPr>
          <w:rFonts w:ascii="Arial" w:hAnsi="Arial"/>
          <w:color w:val="000000" w:themeColor="text1"/>
          <w:sz w:val="22"/>
          <w:szCs w:val="22"/>
        </w:rPr>
      </w:pPr>
      <w:r>
        <w:rPr>
          <w:rFonts w:ascii="Arial" w:hAnsi="Arial"/>
          <w:color w:val="000000" w:themeColor="text1"/>
          <w:sz w:val="22"/>
          <w:szCs w:val="22"/>
        </w:rPr>
        <w:t>10-17.5% from combination GOS/BIC packs</w:t>
      </w:r>
    </w:p>
    <w:p w:rsidR="00C86CDE" w:rsidRDefault="00C86CDE" w:rsidP="006E4C80">
      <w:pPr>
        <w:pStyle w:val="ListParagraph"/>
        <w:numPr>
          <w:ilvl w:val="0"/>
          <w:numId w:val="7"/>
        </w:numPr>
        <w:jc w:val="both"/>
        <w:rPr>
          <w:rFonts w:ascii="Arial" w:hAnsi="Arial"/>
          <w:color w:val="000000" w:themeColor="text1"/>
          <w:sz w:val="22"/>
          <w:szCs w:val="22"/>
        </w:rPr>
      </w:pPr>
      <w:r>
        <w:rPr>
          <w:rFonts w:ascii="Arial" w:hAnsi="Arial"/>
          <w:color w:val="000000" w:themeColor="text1"/>
          <w:sz w:val="22"/>
          <w:szCs w:val="22"/>
        </w:rPr>
        <w:t xml:space="preserve">70-90% from </w:t>
      </w:r>
      <w:proofErr w:type="spellStart"/>
      <w:r>
        <w:rPr>
          <w:rFonts w:ascii="Arial" w:hAnsi="Arial"/>
          <w:color w:val="000000" w:themeColor="text1"/>
          <w:sz w:val="22"/>
          <w:szCs w:val="22"/>
        </w:rPr>
        <w:t>leuprorelin</w:t>
      </w:r>
      <w:proofErr w:type="spellEnd"/>
      <w:r>
        <w:rPr>
          <w:rFonts w:ascii="Arial" w:hAnsi="Arial"/>
          <w:color w:val="000000" w:themeColor="text1"/>
          <w:sz w:val="22"/>
          <w:szCs w:val="22"/>
        </w:rPr>
        <w:t xml:space="preserve"> (</w:t>
      </w:r>
      <w:proofErr w:type="spellStart"/>
      <w:r>
        <w:rPr>
          <w:rFonts w:ascii="Arial" w:hAnsi="Arial"/>
          <w:color w:val="000000" w:themeColor="text1"/>
          <w:sz w:val="22"/>
          <w:szCs w:val="22"/>
        </w:rPr>
        <w:t>Eligard</w:t>
      </w:r>
      <w:proofErr w:type="spellEnd"/>
      <w:r>
        <w:rPr>
          <w:rFonts w:ascii="Arial" w:hAnsi="Arial"/>
          <w:color w:val="000000" w:themeColor="text1"/>
          <w:sz w:val="22"/>
          <w:szCs w:val="22"/>
        </w:rPr>
        <w:t xml:space="preserve"> brand) co-prescribed with </w:t>
      </w:r>
      <w:proofErr w:type="spellStart"/>
      <w:r>
        <w:rPr>
          <w:rFonts w:ascii="Arial" w:hAnsi="Arial"/>
          <w:color w:val="000000" w:themeColor="text1"/>
          <w:sz w:val="22"/>
          <w:szCs w:val="22"/>
        </w:rPr>
        <w:t>bicalutamide</w:t>
      </w:r>
      <w:proofErr w:type="spellEnd"/>
    </w:p>
    <w:p w:rsidR="00C86CDE" w:rsidRDefault="00C86CDE" w:rsidP="006E4C80">
      <w:pPr>
        <w:pStyle w:val="ListParagraph"/>
        <w:numPr>
          <w:ilvl w:val="0"/>
          <w:numId w:val="7"/>
        </w:numPr>
        <w:jc w:val="both"/>
        <w:rPr>
          <w:rFonts w:ascii="Arial" w:hAnsi="Arial"/>
          <w:color w:val="000000" w:themeColor="text1"/>
          <w:sz w:val="22"/>
          <w:szCs w:val="22"/>
        </w:rPr>
      </w:pPr>
      <w:r>
        <w:rPr>
          <w:rFonts w:ascii="Arial" w:hAnsi="Arial"/>
          <w:color w:val="000000" w:themeColor="text1"/>
          <w:sz w:val="22"/>
          <w:szCs w:val="22"/>
        </w:rPr>
        <w:t xml:space="preserve">10-20% from </w:t>
      </w:r>
      <w:proofErr w:type="spellStart"/>
      <w:r>
        <w:rPr>
          <w:rFonts w:ascii="Arial" w:hAnsi="Arial"/>
          <w:color w:val="000000" w:themeColor="text1"/>
          <w:sz w:val="22"/>
          <w:szCs w:val="22"/>
        </w:rPr>
        <w:t>leuprorelin</w:t>
      </w:r>
      <w:proofErr w:type="spellEnd"/>
      <w:r>
        <w:rPr>
          <w:rFonts w:ascii="Arial" w:hAnsi="Arial"/>
          <w:color w:val="000000" w:themeColor="text1"/>
          <w:sz w:val="22"/>
          <w:szCs w:val="22"/>
        </w:rPr>
        <w:t xml:space="preserve"> (</w:t>
      </w:r>
      <w:proofErr w:type="spellStart"/>
      <w:r>
        <w:rPr>
          <w:rFonts w:ascii="Arial" w:hAnsi="Arial"/>
          <w:color w:val="000000" w:themeColor="text1"/>
          <w:sz w:val="22"/>
          <w:szCs w:val="22"/>
        </w:rPr>
        <w:t>Lucrin</w:t>
      </w:r>
      <w:proofErr w:type="spellEnd"/>
      <w:r>
        <w:rPr>
          <w:rFonts w:ascii="Arial" w:hAnsi="Arial"/>
          <w:color w:val="000000" w:themeColor="text1"/>
          <w:sz w:val="22"/>
          <w:szCs w:val="22"/>
        </w:rPr>
        <w:t xml:space="preserve"> brand) co-prescribed with </w:t>
      </w:r>
      <w:proofErr w:type="spellStart"/>
      <w:r>
        <w:rPr>
          <w:rFonts w:ascii="Arial" w:hAnsi="Arial"/>
          <w:color w:val="000000" w:themeColor="text1"/>
          <w:sz w:val="22"/>
          <w:szCs w:val="22"/>
        </w:rPr>
        <w:t>bicalutamide</w:t>
      </w:r>
      <w:proofErr w:type="spellEnd"/>
    </w:p>
    <w:p w:rsidR="00C86CDE" w:rsidRPr="00482763" w:rsidRDefault="00C86CDE" w:rsidP="006E4C80">
      <w:pPr>
        <w:pStyle w:val="ListParagraph"/>
        <w:numPr>
          <w:ilvl w:val="0"/>
          <w:numId w:val="7"/>
        </w:numPr>
        <w:jc w:val="both"/>
        <w:rPr>
          <w:rFonts w:ascii="Arial" w:hAnsi="Arial"/>
          <w:color w:val="000000" w:themeColor="text1"/>
          <w:sz w:val="22"/>
          <w:szCs w:val="22"/>
        </w:rPr>
      </w:pPr>
      <w:r>
        <w:rPr>
          <w:rFonts w:ascii="Arial" w:hAnsi="Arial"/>
          <w:color w:val="000000" w:themeColor="text1"/>
          <w:sz w:val="22"/>
          <w:szCs w:val="22"/>
        </w:rPr>
        <w:t xml:space="preserve">1-6% from </w:t>
      </w:r>
      <w:proofErr w:type="spellStart"/>
      <w:r>
        <w:rPr>
          <w:rFonts w:ascii="Arial" w:hAnsi="Arial"/>
          <w:color w:val="000000" w:themeColor="text1"/>
          <w:sz w:val="22"/>
          <w:szCs w:val="22"/>
        </w:rPr>
        <w:t>triptorelin</w:t>
      </w:r>
      <w:proofErr w:type="spellEnd"/>
      <w:r>
        <w:rPr>
          <w:rFonts w:ascii="Arial" w:hAnsi="Arial"/>
          <w:color w:val="000000" w:themeColor="text1"/>
          <w:sz w:val="22"/>
          <w:szCs w:val="22"/>
        </w:rPr>
        <w:t xml:space="preserve"> co-prescribed with </w:t>
      </w:r>
      <w:proofErr w:type="spellStart"/>
      <w:r>
        <w:rPr>
          <w:rFonts w:ascii="Arial" w:hAnsi="Arial"/>
          <w:color w:val="000000" w:themeColor="text1"/>
          <w:sz w:val="22"/>
          <w:szCs w:val="22"/>
        </w:rPr>
        <w:t>bicalutamide</w:t>
      </w:r>
      <w:proofErr w:type="spellEnd"/>
    </w:p>
    <w:p w:rsidR="00185F4C" w:rsidRDefault="00185F4C" w:rsidP="00185F4C">
      <w:pPr>
        <w:jc w:val="both"/>
        <w:rPr>
          <w:rFonts w:ascii="Arial" w:hAnsi="Arial"/>
          <w:color w:val="000000" w:themeColor="text1"/>
          <w:sz w:val="22"/>
          <w:szCs w:val="22"/>
        </w:rPr>
      </w:pPr>
    </w:p>
    <w:p w:rsidR="0092206F" w:rsidRPr="00EA617D" w:rsidRDefault="0092206F" w:rsidP="005E43EB">
      <w:pPr>
        <w:pStyle w:val="ListParagraph"/>
        <w:numPr>
          <w:ilvl w:val="1"/>
          <w:numId w:val="3"/>
        </w:numPr>
        <w:ind w:left="709" w:hanging="709"/>
        <w:jc w:val="both"/>
        <w:rPr>
          <w:rFonts w:ascii="Arial" w:hAnsi="Arial"/>
          <w:color w:val="000000" w:themeColor="text1"/>
          <w:sz w:val="22"/>
          <w:szCs w:val="22"/>
        </w:rPr>
      </w:pPr>
      <w:r w:rsidRPr="00EA617D">
        <w:rPr>
          <w:rFonts w:ascii="Arial" w:hAnsi="Arial"/>
          <w:color w:val="000000" w:themeColor="text1"/>
          <w:sz w:val="22"/>
          <w:szCs w:val="22"/>
        </w:rPr>
        <w:t xml:space="preserve">The submission </w:t>
      </w:r>
      <w:r w:rsidR="00C86CDE" w:rsidRPr="00EA617D">
        <w:rPr>
          <w:rFonts w:ascii="Arial" w:hAnsi="Arial"/>
          <w:color w:val="000000" w:themeColor="text1"/>
          <w:sz w:val="22"/>
          <w:szCs w:val="22"/>
        </w:rPr>
        <w:t xml:space="preserve">estimated </w:t>
      </w:r>
      <w:r w:rsidRPr="00EA617D">
        <w:rPr>
          <w:rFonts w:ascii="Arial" w:hAnsi="Arial"/>
          <w:color w:val="000000" w:themeColor="text1"/>
          <w:sz w:val="22"/>
          <w:szCs w:val="22"/>
        </w:rPr>
        <w:t xml:space="preserve">a cost saving per prescription over the combination GOS/BIC product. </w:t>
      </w:r>
      <w:r w:rsidR="003B4BE8" w:rsidRPr="00EA617D">
        <w:rPr>
          <w:rFonts w:ascii="Arial" w:hAnsi="Arial"/>
          <w:color w:val="000000" w:themeColor="text1"/>
          <w:sz w:val="22"/>
          <w:szCs w:val="22"/>
        </w:rPr>
        <w:t>.</w:t>
      </w:r>
    </w:p>
    <w:p w:rsidR="003B4BE8" w:rsidRPr="00860403" w:rsidRDefault="003B4BE8" w:rsidP="00860403">
      <w:pPr>
        <w:rPr>
          <w:rFonts w:ascii="Arial" w:hAnsi="Arial"/>
          <w:color w:val="000000" w:themeColor="text1"/>
          <w:sz w:val="22"/>
          <w:szCs w:val="22"/>
        </w:rPr>
      </w:pPr>
    </w:p>
    <w:p w:rsidR="00F75A80" w:rsidRPr="00860403" w:rsidRDefault="00C1493A" w:rsidP="005E43EB">
      <w:pPr>
        <w:pStyle w:val="ListParagraph"/>
        <w:numPr>
          <w:ilvl w:val="1"/>
          <w:numId w:val="3"/>
        </w:numPr>
        <w:ind w:left="709" w:hanging="709"/>
        <w:jc w:val="both"/>
        <w:rPr>
          <w:rFonts w:ascii="Arial" w:hAnsi="Arial"/>
          <w:color w:val="000000" w:themeColor="text1"/>
          <w:sz w:val="22"/>
          <w:szCs w:val="22"/>
        </w:rPr>
      </w:pPr>
      <w:r>
        <w:rPr>
          <w:rFonts w:ascii="Arial" w:hAnsi="Arial"/>
          <w:color w:val="000000" w:themeColor="text1"/>
          <w:sz w:val="22"/>
          <w:szCs w:val="22"/>
        </w:rPr>
        <w:t>The submission estimated</w:t>
      </w:r>
      <w:r w:rsidR="00F75A80">
        <w:rPr>
          <w:rFonts w:ascii="Arial" w:hAnsi="Arial"/>
          <w:color w:val="000000" w:themeColor="text1"/>
          <w:sz w:val="22"/>
          <w:szCs w:val="22"/>
        </w:rPr>
        <w:t xml:space="preserve"> </w:t>
      </w:r>
      <w:r w:rsidR="00836B08">
        <w:rPr>
          <w:rFonts w:ascii="Arial" w:hAnsi="Arial"/>
          <w:color w:val="000000" w:themeColor="text1"/>
          <w:sz w:val="22"/>
          <w:szCs w:val="22"/>
        </w:rPr>
        <w:t>less than 10,000</w:t>
      </w:r>
      <w:r w:rsidR="00F75A80" w:rsidRPr="00AA3BA9">
        <w:rPr>
          <w:rFonts w:ascii="Arial" w:hAnsi="Arial"/>
          <w:sz w:val="22"/>
          <w:szCs w:val="22"/>
        </w:rPr>
        <w:t xml:space="preserve"> prescriptions</w:t>
      </w:r>
      <w:r w:rsidR="00C86CDE">
        <w:rPr>
          <w:rFonts w:ascii="Arial" w:hAnsi="Arial"/>
          <w:sz w:val="22"/>
          <w:szCs w:val="22"/>
        </w:rPr>
        <w:t xml:space="preserve"> of the LEU/BIC combination pack</w:t>
      </w:r>
      <w:r w:rsidR="00F75A80" w:rsidRPr="00AA3BA9">
        <w:rPr>
          <w:rFonts w:ascii="Arial" w:hAnsi="Arial"/>
          <w:sz w:val="22"/>
          <w:szCs w:val="22"/>
        </w:rPr>
        <w:t xml:space="preserve"> in year 1, </w:t>
      </w:r>
      <w:r w:rsidR="00933DE6">
        <w:rPr>
          <w:rFonts w:ascii="Arial" w:hAnsi="Arial"/>
          <w:sz w:val="22"/>
          <w:szCs w:val="22"/>
        </w:rPr>
        <w:t>and</w:t>
      </w:r>
      <w:r w:rsidR="00F75A80" w:rsidRPr="00AA3BA9">
        <w:rPr>
          <w:rFonts w:ascii="Arial" w:hAnsi="Arial"/>
          <w:sz w:val="22"/>
          <w:szCs w:val="22"/>
        </w:rPr>
        <w:t xml:space="preserve"> </w:t>
      </w:r>
      <w:r w:rsidR="00933DE6">
        <w:rPr>
          <w:rFonts w:ascii="Arial" w:hAnsi="Arial"/>
          <w:sz w:val="22"/>
          <w:szCs w:val="22"/>
        </w:rPr>
        <w:t>less than 10,000</w:t>
      </w:r>
      <w:r w:rsidR="00F75A80" w:rsidRPr="00AA3BA9">
        <w:rPr>
          <w:rFonts w:ascii="Arial" w:hAnsi="Arial"/>
          <w:sz w:val="22"/>
          <w:szCs w:val="22"/>
        </w:rPr>
        <w:t xml:space="preserve"> </w:t>
      </w:r>
      <w:r w:rsidR="00933DE6">
        <w:rPr>
          <w:rFonts w:ascii="Arial" w:hAnsi="Arial"/>
          <w:sz w:val="22"/>
          <w:szCs w:val="22"/>
        </w:rPr>
        <w:t xml:space="preserve">prescriptions </w:t>
      </w:r>
      <w:r w:rsidR="00F75A80" w:rsidRPr="00AA3BA9">
        <w:rPr>
          <w:rFonts w:ascii="Arial" w:hAnsi="Arial"/>
          <w:sz w:val="22"/>
          <w:szCs w:val="22"/>
        </w:rPr>
        <w:t>per year in year 5</w:t>
      </w:r>
      <w:r w:rsidR="00F75A80">
        <w:rPr>
          <w:rFonts w:ascii="Arial" w:hAnsi="Arial"/>
          <w:sz w:val="22"/>
          <w:szCs w:val="22"/>
        </w:rPr>
        <w:t>.</w:t>
      </w:r>
      <w:r w:rsidR="002D454B">
        <w:rPr>
          <w:rFonts w:ascii="Arial" w:hAnsi="Arial"/>
          <w:sz w:val="22"/>
          <w:szCs w:val="22"/>
        </w:rPr>
        <w:t xml:space="preserve"> U</w:t>
      </w:r>
      <w:r w:rsidR="00860403">
        <w:rPr>
          <w:rFonts w:ascii="Arial" w:hAnsi="Arial"/>
          <w:sz w:val="22"/>
          <w:szCs w:val="22"/>
        </w:rPr>
        <w:t>tilisation estimates are provided in the table below</w:t>
      </w:r>
      <w:r w:rsidR="00EA6F68">
        <w:rPr>
          <w:rFonts w:ascii="Arial" w:hAnsi="Arial"/>
          <w:sz w:val="22"/>
          <w:szCs w:val="22"/>
        </w:rPr>
        <w:t>.</w:t>
      </w:r>
      <w:r w:rsidR="00F75A80">
        <w:rPr>
          <w:rFonts w:ascii="Arial" w:hAnsi="Arial"/>
          <w:sz w:val="22"/>
          <w:szCs w:val="22"/>
        </w:rPr>
        <w:t xml:space="preserve"> </w:t>
      </w:r>
    </w:p>
    <w:p w:rsidR="00860403" w:rsidRDefault="00860403" w:rsidP="00860403">
      <w:pPr>
        <w:pStyle w:val="ListParagraph"/>
        <w:rPr>
          <w:rFonts w:ascii="Arial" w:hAnsi="Arial"/>
          <w:color w:val="000000" w:themeColor="text1"/>
          <w:sz w:val="22"/>
          <w:szCs w:val="22"/>
        </w:rPr>
      </w:pPr>
    </w:p>
    <w:p w:rsidR="00ED4427" w:rsidRPr="007A6D9A" w:rsidRDefault="00ED4427" w:rsidP="00ED4427">
      <w:pPr>
        <w:jc w:val="both"/>
        <w:rPr>
          <w:rFonts w:ascii="Arial Narrow" w:hAnsi="Arial Narrow"/>
          <w:b/>
          <w:sz w:val="20"/>
          <w:szCs w:val="20"/>
        </w:rPr>
      </w:pPr>
      <w:r w:rsidRPr="007A6D9A">
        <w:rPr>
          <w:rFonts w:ascii="Arial Narrow" w:hAnsi="Arial Narrow"/>
          <w:b/>
          <w:sz w:val="20"/>
          <w:szCs w:val="20"/>
        </w:rPr>
        <w:t>Table 2: Estimated net cost to the PBS/RPBS</w:t>
      </w:r>
    </w:p>
    <w:tbl>
      <w:tblPr>
        <w:tblStyle w:val="TableGrid"/>
        <w:tblW w:w="5000" w:type="pct"/>
        <w:tblLook w:val="04A0" w:firstRow="1" w:lastRow="0" w:firstColumn="1" w:lastColumn="0" w:noHBand="0" w:noVBand="1"/>
        <w:tblCaption w:val="Estimated net cost to the PBS/RPBS"/>
      </w:tblPr>
      <w:tblGrid>
        <w:gridCol w:w="2803"/>
        <w:gridCol w:w="1261"/>
        <w:gridCol w:w="1264"/>
        <w:gridCol w:w="1266"/>
        <w:gridCol w:w="1266"/>
        <w:gridCol w:w="1262"/>
      </w:tblGrid>
      <w:tr w:rsidR="00860403" w:rsidRPr="0025134A" w:rsidTr="001219FE">
        <w:trPr>
          <w:trHeight w:val="20"/>
          <w:tblHeader/>
        </w:trPr>
        <w:tc>
          <w:tcPr>
            <w:tcW w:w="1536" w:type="pct"/>
            <w:tcBorders>
              <w:bottom w:val="single" w:sz="4" w:space="0" w:color="auto"/>
            </w:tcBorders>
            <w:shd w:val="clear" w:color="auto" w:fill="A6A6A6" w:themeFill="background1" w:themeFillShade="A6"/>
            <w:noWrap/>
            <w:hideMark/>
          </w:tcPr>
          <w:p w:rsidR="00860403" w:rsidRPr="00ED4427" w:rsidRDefault="00860403" w:rsidP="003B4BE8">
            <w:pPr>
              <w:pStyle w:val="Table"/>
              <w:rPr>
                <w:rFonts w:ascii="Arial Narrow" w:hAnsi="Arial Narrow" w:cs="Arial"/>
                <w:szCs w:val="20"/>
              </w:rPr>
            </w:pPr>
          </w:p>
        </w:tc>
        <w:tc>
          <w:tcPr>
            <w:tcW w:w="691" w:type="pct"/>
            <w:tcBorders>
              <w:bottom w:val="single" w:sz="4" w:space="0" w:color="auto"/>
            </w:tcBorders>
            <w:shd w:val="clear" w:color="auto" w:fill="A6A6A6" w:themeFill="background1" w:themeFillShade="A6"/>
            <w:noWrap/>
            <w:hideMark/>
          </w:tcPr>
          <w:p w:rsidR="00860403" w:rsidRPr="00ED4427" w:rsidRDefault="00860403" w:rsidP="003B4BE8">
            <w:pPr>
              <w:pStyle w:val="Table"/>
              <w:jc w:val="center"/>
              <w:rPr>
                <w:rStyle w:val="SmallBold"/>
                <w:rFonts w:ascii="Arial Narrow" w:hAnsi="Arial Narrow" w:cs="Arial"/>
                <w:szCs w:val="20"/>
              </w:rPr>
            </w:pPr>
            <w:r w:rsidRPr="00ED4427">
              <w:rPr>
                <w:rStyle w:val="SmallBold"/>
                <w:rFonts w:ascii="Arial Narrow" w:hAnsi="Arial Narrow" w:cs="Arial"/>
                <w:szCs w:val="20"/>
              </w:rPr>
              <w:t>Year 1</w:t>
            </w:r>
          </w:p>
        </w:tc>
        <w:tc>
          <w:tcPr>
            <w:tcW w:w="693" w:type="pct"/>
            <w:tcBorders>
              <w:bottom w:val="single" w:sz="4" w:space="0" w:color="auto"/>
            </w:tcBorders>
            <w:shd w:val="clear" w:color="auto" w:fill="A6A6A6" w:themeFill="background1" w:themeFillShade="A6"/>
            <w:noWrap/>
            <w:hideMark/>
          </w:tcPr>
          <w:p w:rsidR="00860403" w:rsidRPr="00ED4427" w:rsidRDefault="00860403" w:rsidP="003B4BE8">
            <w:pPr>
              <w:pStyle w:val="Table"/>
              <w:jc w:val="center"/>
              <w:rPr>
                <w:rStyle w:val="SmallBold"/>
                <w:rFonts w:ascii="Arial Narrow" w:hAnsi="Arial Narrow" w:cs="Arial"/>
                <w:szCs w:val="20"/>
              </w:rPr>
            </w:pPr>
            <w:r w:rsidRPr="00ED4427">
              <w:rPr>
                <w:rStyle w:val="SmallBold"/>
                <w:rFonts w:ascii="Arial Narrow" w:hAnsi="Arial Narrow" w:cs="Arial"/>
                <w:szCs w:val="20"/>
              </w:rPr>
              <w:t>Year 2</w:t>
            </w:r>
          </w:p>
        </w:tc>
        <w:tc>
          <w:tcPr>
            <w:tcW w:w="694" w:type="pct"/>
            <w:tcBorders>
              <w:bottom w:val="single" w:sz="4" w:space="0" w:color="auto"/>
            </w:tcBorders>
            <w:shd w:val="clear" w:color="auto" w:fill="A6A6A6" w:themeFill="background1" w:themeFillShade="A6"/>
            <w:noWrap/>
            <w:hideMark/>
          </w:tcPr>
          <w:p w:rsidR="00860403" w:rsidRPr="00ED4427" w:rsidRDefault="00860403" w:rsidP="003B4BE8">
            <w:pPr>
              <w:pStyle w:val="Table"/>
              <w:jc w:val="center"/>
              <w:rPr>
                <w:rStyle w:val="SmallBold"/>
                <w:rFonts w:ascii="Arial Narrow" w:hAnsi="Arial Narrow" w:cs="Arial"/>
                <w:szCs w:val="20"/>
              </w:rPr>
            </w:pPr>
            <w:r w:rsidRPr="00ED4427">
              <w:rPr>
                <w:rStyle w:val="SmallBold"/>
                <w:rFonts w:ascii="Arial Narrow" w:hAnsi="Arial Narrow" w:cs="Arial"/>
                <w:szCs w:val="20"/>
              </w:rPr>
              <w:t>Year 3</w:t>
            </w:r>
          </w:p>
        </w:tc>
        <w:tc>
          <w:tcPr>
            <w:tcW w:w="694" w:type="pct"/>
            <w:tcBorders>
              <w:bottom w:val="single" w:sz="4" w:space="0" w:color="auto"/>
            </w:tcBorders>
            <w:shd w:val="clear" w:color="auto" w:fill="A6A6A6" w:themeFill="background1" w:themeFillShade="A6"/>
            <w:noWrap/>
            <w:hideMark/>
          </w:tcPr>
          <w:p w:rsidR="00860403" w:rsidRPr="00ED4427" w:rsidRDefault="00860403" w:rsidP="003B4BE8">
            <w:pPr>
              <w:pStyle w:val="Table"/>
              <w:jc w:val="center"/>
              <w:rPr>
                <w:rStyle w:val="SmallBold"/>
                <w:rFonts w:ascii="Arial Narrow" w:hAnsi="Arial Narrow" w:cs="Arial"/>
                <w:szCs w:val="20"/>
              </w:rPr>
            </w:pPr>
            <w:r w:rsidRPr="00ED4427">
              <w:rPr>
                <w:rStyle w:val="SmallBold"/>
                <w:rFonts w:ascii="Arial Narrow" w:hAnsi="Arial Narrow" w:cs="Arial"/>
                <w:szCs w:val="20"/>
              </w:rPr>
              <w:t>Year 4</w:t>
            </w:r>
          </w:p>
        </w:tc>
        <w:tc>
          <w:tcPr>
            <w:tcW w:w="692" w:type="pct"/>
            <w:tcBorders>
              <w:bottom w:val="single" w:sz="4" w:space="0" w:color="auto"/>
            </w:tcBorders>
            <w:shd w:val="clear" w:color="auto" w:fill="A6A6A6" w:themeFill="background1" w:themeFillShade="A6"/>
            <w:noWrap/>
            <w:hideMark/>
          </w:tcPr>
          <w:p w:rsidR="00860403" w:rsidRPr="00ED4427" w:rsidRDefault="00860403" w:rsidP="003B4BE8">
            <w:pPr>
              <w:pStyle w:val="Table"/>
              <w:jc w:val="center"/>
              <w:rPr>
                <w:rStyle w:val="SmallBold"/>
                <w:rFonts w:ascii="Arial Narrow" w:hAnsi="Arial Narrow" w:cs="Arial"/>
                <w:szCs w:val="20"/>
              </w:rPr>
            </w:pPr>
            <w:r w:rsidRPr="00ED4427">
              <w:rPr>
                <w:rStyle w:val="SmallBold"/>
                <w:rFonts w:ascii="Arial Narrow" w:hAnsi="Arial Narrow" w:cs="Arial"/>
                <w:szCs w:val="20"/>
              </w:rPr>
              <w:t>Year 5</w:t>
            </w:r>
          </w:p>
        </w:tc>
      </w:tr>
      <w:tr w:rsidR="00860403" w:rsidRPr="0025134A" w:rsidTr="00ED4427">
        <w:trPr>
          <w:trHeight w:val="20"/>
        </w:trPr>
        <w:tc>
          <w:tcPr>
            <w:tcW w:w="1536" w:type="pct"/>
            <w:tcBorders>
              <w:right w:val="nil"/>
            </w:tcBorders>
            <w:shd w:val="clear" w:color="auto" w:fill="BFBFBF" w:themeFill="background1" w:themeFillShade="BF"/>
            <w:noWrap/>
            <w:vAlign w:val="bottom"/>
          </w:tcPr>
          <w:p w:rsidR="00860403" w:rsidRPr="00ED4427" w:rsidRDefault="00860403" w:rsidP="003B4BE8">
            <w:pPr>
              <w:pStyle w:val="Table"/>
              <w:rPr>
                <w:rFonts w:ascii="Arial Narrow" w:hAnsi="Arial Narrow" w:cs="Arial"/>
                <w:szCs w:val="20"/>
              </w:rPr>
            </w:pPr>
            <w:proofErr w:type="spellStart"/>
            <w:r w:rsidRPr="00ED4427">
              <w:rPr>
                <w:rFonts w:ascii="Arial Narrow" w:hAnsi="Arial Narrow" w:cs="Arial"/>
                <w:szCs w:val="20"/>
              </w:rPr>
              <w:t>Bi</w:t>
            </w:r>
            <w:proofErr w:type="spellEnd"/>
            <w:r w:rsidRPr="00ED4427">
              <w:rPr>
                <w:rFonts w:ascii="Arial Narrow" w:hAnsi="Arial Narrow" w:cs="Arial"/>
                <w:szCs w:val="20"/>
              </w:rPr>
              <w:t xml:space="preserve"> ELIGARD CP services provided</w:t>
            </w:r>
          </w:p>
        </w:tc>
        <w:tc>
          <w:tcPr>
            <w:tcW w:w="691" w:type="pct"/>
            <w:tcBorders>
              <w:left w:val="nil"/>
              <w:right w:val="nil"/>
            </w:tcBorders>
            <w:shd w:val="clear" w:color="auto" w:fill="BFBFBF" w:themeFill="background1" w:themeFillShade="BF"/>
            <w:noWrap/>
            <w:vAlign w:val="bottom"/>
          </w:tcPr>
          <w:p w:rsidR="00860403" w:rsidRPr="00ED4427" w:rsidRDefault="00860403" w:rsidP="003B4BE8">
            <w:pPr>
              <w:pStyle w:val="Table"/>
              <w:rPr>
                <w:rFonts w:ascii="Arial Narrow" w:hAnsi="Arial Narrow" w:cs="Arial"/>
                <w:szCs w:val="20"/>
              </w:rPr>
            </w:pPr>
            <w:r w:rsidRPr="00ED4427">
              <w:rPr>
                <w:rFonts w:ascii="Arial Narrow" w:hAnsi="Arial Narrow" w:cs="Arial"/>
                <w:szCs w:val="20"/>
              </w:rPr>
              <w:t> </w:t>
            </w:r>
          </w:p>
        </w:tc>
        <w:tc>
          <w:tcPr>
            <w:tcW w:w="693" w:type="pct"/>
            <w:tcBorders>
              <w:left w:val="nil"/>
              <w:right w:val="nil"/>
            </w:tcBorders>
            <w:shd w:val="clear" w:color="auto" w:fill="BFBFBF" w:themeFill="background1" w:themeFillShade="BF"/>
            <w:noWrap/>
            <w:vAlign w:val="bottom"/>
          </w:tcPr>
          <w:p w:rsidR="00860403" w:rsidRPr="00ED4427" w:rsidRDefault="00860403" w:rsidP="003B4BE8">
            <w:pPr>
              <w:pStyle w:val="Table"/>
              <w:rPr>
                <w:rFonts w:ascii="Arial Narrow" w:hAnsi="Arial Narrow" w:cs="Arial"/>
                <w:szCs w:val="20"/>
              </w:rPr>
            </w:pPr>
            <w:r w:rsidRPr="00ED4427">
              <w:rPr>
                <w:rFonts w:ascii="Arial Narrow" w:hAnsi="Arial Narrow" w:cs="Arial"/>
                <w:szCs w:val="20"/>
              </w:rPr>
              <w:t> </w:t>
            </w:r>
          </w:p>
        </w:tc>
        <w:tc>
          <w:tcPr>
            <w:tcW w:w="694" w:type="pct"/>
            <w:tcBorders>
              <w:left w:val="nil"/>
              <w:right w:val="nil"/>
            </w:tcBorders>
            <w:shd w:val="clear" w:color="auto" w:fill="BFBFBF" w:themeFill="background1" w:themeFillShade="BF"/>
            <w:noWrap/>
            <w:vAlign w:val="bottom"/>
          </w:tcPr>
          <w:p w:rsidR="00860403" w:rsidRPr="00ED4427" w:rsidRDefault="00860403" w:rsidP="003B4BE8">
            <w:pPr>
              <w:pStyle w:val="Table"/>
              <w:rPr>
                <w:rFonts w:ascii="Arial Narrow" w:hAnsi="Arial Narrow" w:cs="Arial"/>
                <w:szCs w:val="20"/>
              </w:rPr>
            </w:pPr>
            <w:r w:rsidRPr="00ED4427">
              <w:rPr>
                <w:rFonts w:ascii="Arial Narrow" w:hAnsi="Arial Narrow" w:cs="Arial"/>
                <w:szCs w:val="20"/>
              </w:rPr>
              <w:t> </w:t>
            </w:r>
          </w:p>
        </w:tc>
        <w:tc>
          <w:tcPr>
            <w:tcW w:w="694" w:type="pct"/>
            <w:tcBorders>
              <w:left w:val="nil"/>
              <w:right w:val="nil"/>
            </w:tcBorders>
            <w:shd w:val="clear" w:color="auto" w:fill="BFBFBF" w:themeFill="background1" w:themeFillShade="BF"/>
            <w:noWrap/>
            <w:vAlign w:val="bottom"/>
          </w:tcPr>
          <w:p w:rsidR="00860403" w:rsidRPr="00ED4427" w:rsidRDefault="00860403" w:rsidP="003B4BE8">
            <w:pPr>
              <w:pStyle w:val="Table"/>
              <w:rPr>
                <w:rFonts w:ascii="Arial Narrow" w:hAnsi="Arial Narrow" w:cs="Arial"/>
                <w:szCs w:val="20"/>
              </w:rPr>
            </w:pPr>
            <w:r w:rsidRPr="00ED4427">
              <w:rPr>
                <w:rFonts w:ascii="Arial Narrow" w:hAnsi="Arial Narrow" w:cs="Arial"/>
                <w:szCs w:val="20"/>
              </w:rPr>
              <w:t> </w:t>
            </w:r>
          </w:p>
        </w:tc>
        <w:tc>
          <w:tcPr>
            <w:tcW w:w="692" w:type="pct"/>
            <w:tcBorders>
              <w:left w:val="nil"/>
            </w:tcBorders>
            <w:shd w:val="clear" w:color="auto" w:fill="BFBFBF" w:themeFill="background1" w:themeFillShade="BF"/>
            <w:noWrap/>
            <w:vAlign w:val="bottom"/>
          </w:tcPr>
          <w:p w:rsidR="00860403" w:rsidRPr="00ED4427" w:rsidRDefault="00860403" w:rsidP="003B4BE8">
            <w:pPr>
              <w:pStyle w:val="Table"/>
              <w:rPr>
                <w:rFonts w:ascii="Arial Narrow" w:hAnsi="Arial Narrow" w:cs="Arial"/>
                <w:szCs w:val="20"/>
              </w:rPr>
            </w:pPr>
            <w:r w:rsidRPr="00ED4427">
              <w:rPr>
                <w:rFonts w:ascii="Arial Narrow" w:hAnsi="Arial Narrow" w:cs="Arial"/>
                <w:szCs w:val="20"/>
              </w:rPr>
              <w:t> </w:t>
            </w:r>
          </w:p>
        </w:tc>
      </w:tr>
      <w:tr w:rsidR="00860403" w:rsidRPr="0025134A" w:rsidTr="00ED4427">
        <w:trPr>
          <w:trHeight w:val="20"/>
        </w:trPr>
        <w:tc>
          <w:tcPr>
            <w:tcW w:w="1536" w:type="pct"/>
            <w:noWrap/>
            <w:vAlign w:val="bottom"/>
          </w:tcPr>
          <w:p w:rsidR="00860403" w:rsidRPr="00ED4427" w:rsidRDefault="00860403" w:rsidP="003B4BE8">
            <w:pPr>
              <w:pStyle w:val="Table"/>
              <w:rPr>
                <w:rFonts w:ascii="Arial Narrow" w:hAnsi="Arial Narrow" w:cs="Arial"/>
                <w:szCs w:val="20"/>
              </w:rPr>
            </w:pPr>
            <w:proofErr w:type="spellStart"/>
            <w:r w:rsidRPr="00ED4427">
              <w:rPr>
                <w:rFonts w:ascii="Arial Narrow" w:hAnsi="Arial Narrow" w:cs="Arial"/>
                <w:szCs w:val="20"/>
              </w:rPr>
              <w:t>Bi</w:t>
            </w:r>
            <w:proofErr w:type="spellEnd"/>
            <w:r w:rsidRPr="00ED4427">
              <w:rPr>
                <w:rFonts w:ascii="Arial Narrow" w:hAnsi="Arial Narrow" w:cs="Arial"/>
                <w:szCs w:val="20"/>
              </w:rPr>
              <w:t xml:space="preserve"> ELIGARD CP 1 month + 28</w:t>
            </w:r>
          </w:p>
        </w:tc>
        <w:tc>
          <w:tcPr>
            <w:tcW w:w="691"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3"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4"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4"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2"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r>
      <w:tr w:rsidR="00860403" w:rsidRPr="0025134A" w:rsidTr="00ED4427">
        <w:trPr>
          <w:trHeight w:val="20"/>
        </w:trPr>
        <w:tc>
          <w:tcPr>
            <w:tcW w:w="1536" w:type="pct"/>
            <w:noWrap/>
            <w:vAlign w:val="bottom"/>
          </w:tcPr>
          <w:p w:rsidR="00860403" w:rsidRPr="00ED4427" w:rsidRDefault="00860403" w:rsidP="003B4BE8">
            <w:pPr>
              <w:pStyle w:val="Table"/>
              <w:rPr>
                <w:rFonts w:ascii="Arial Narrow" w:hAnsi="Arial Narrow" w:cs="Arial"/>
                <w:szCs w:val="20"/>
              </w:rPr>
            </w:pPr>
            <w:proofErr w:type="spellStart"/>
            <w:r w:rsidRPr="00ED4427">
              <w:rPr>
                <w:rFonts w:ascii="Arial Narrow" w:hAnsi="Arial Narrow" w:cs="Arial"/>
                <w:szCs w:val="20"/>
              </w:rPr>
              <w:t>Bi</w:t>
            </w:r>
            <w:proofErr w:type="spellEnd"/>
            <w:r w:rsidRPr="00ED4427">
              <w:rPr>
                <w:rFonts w:ascii="Arial Narrow" w:hAnsi="Arial Narrow" w:cs="Arial"/>
                <w:szCs w:val="20"/>
              </w:rPr>
              <w:t xml:space="preserve"> ELIGARD CP 3 month + 28</w:t>
            </w:r>
          </w:p>
        </w:tc>
        <w:tc>
          <w:tcPr>
            <w:tcW w:w="691"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3"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4"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4"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2"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r>
      <w:tr w:rsidR="00860403" w:rsidRPr="0025134A" w:rsidTr="00ED4427">
        <w:trPr>
          <w:trHeight w:val="20"/>
        </w:trPr>
        <w:tc>
          <w:tcPr>
            <w:tcW w:w="1536" w:type="pct"/>
            <w:noWrap/>
            <w:vAlign w:val="bottom"/>
          </w:tcPr>
          <w:p w:rsidR="00860403" w:rsidRPr="00ED4427" w:rsidRDefault="00860403" w:rsidP="003B4BE8">
            <w:pPr>
              <w:pStyle w:val="Table"/>
              <w:rPr>
                <w:rFonts w:ascii="Arial Narrow" w:hAnsi="Arial Narrow" w:cs="Arial"/>
                <w:szCs w:val="20"/>
              </w:rPr>
            </w:pPr>
            <w:proofErr w:type="spellStart"/>
            <w:r w:rsidRPr="00ED4427">
              <w:rPr>
                <w:rFonts w:ascii="Arial Narrow" w:hAnsi="Arial Narrow" w:cs="Arial"/>
                <w:szCs w:val="20"/>
              </w:rPr>
              <w:t>Bi</w:t>
            </w:r>
            <w:proofErr w:type="spellEnd"/>
            <w:r w:rsidRPr="00ED4427">
              <w:rPr>
                <w:rFonts w:ascii="Arial Narrow" w:hAnsi="Arial Narrow" w:cs="Arial"/>
                <w:szCs w:val="20"/>
              </w:rPr>
              <w:t xml:space="preserve"> ELIGARD CP 3 month + 84</w:t>
            </w:r>
          </w:p>
        </w:tc>
        <w:tc>
          <w:tcPr>
            <w:tcW w:w="691"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3"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4"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4"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2" w:type="pct"/>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r>
      <w:tr w:rsidR="00860403" w:rsidRPr="0025134A" w:rsidTr="00ED4427">
        <w:trPr>
          <w:trHeight w:val="20"/>
        </w:trPr>
        <w:tc>
          <w:tcPr>
            <w:tcW w:w="1536" w:type="pct"/>
            <w:tcBorders>
              <w:bottom w:val="single" w:sz="4" w:space="0" w:color="auto"/>
            </w:tcBorders>
            <w:noWrap/>
            <w:vAlign w:val="bottom"/>
          </w:tcPr>
          <w:p w:rsidR="00860403" w:rsidRPr="00ED4427" w:rsidRDefault="00860403" w:rsidP="003B4BE8">
            <w:pPr>
              <w:pStyle w:val="Table"/>
              <w:rPr>
                <w:rFonts w:ascii="Arial Narrow" w:hAnsi="Arial Narrow" w:cs="Arial"/>
                <w:szCs w:val="20"/>
              </w:rPr>
            </w:pPr>
            <w:r w:rsidRPr="00ED4427">
              <w:rPr>
                <w:rFonts w:ascii="Arial Narrow" w:hAnsi="Arial Narrow" w:cs="Arial"/>
                <w:szCs w:val="20"/>
              </w:rPr>
              <w:t>Total services</w:t>
            </w:r>
          </w:p>
        </w:tc>
        <w:tc>
          <w:tcPr>
            <w:tcW w:w="691" w:type="pct"/>
            <w:tcBorders>
              <w:bottom w:val="single" w:sz="4" w:space="0" w:color="auto"/>
            </w:tcBorders>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3" w:type="pct"/>
            <w:tcBorders>
              <w:bottom w:val="single" w:sz="4" w:space="0" w:color="auto"/>
            </w:tcBorders>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4" w:type="pct"/>
            <w:tcBorders>
              <w:bottom w:val="single" w:sz="4" w:space="0" w:color="auto"/>
            </w:tcBorders>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4" w:type="pct"/>
            <w:tcBorders>
              <w:bottom w:val="single" w:sz="4" w:space="0" w:color="auto"/>
            </w:tcBorders>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c>
          <w:tcPr>
            <w:tcW w:w="692" w:type="pct"/>
            <w:tcBorders>
              <w:bottom w:val="single" w:sz="4" w:space="0" w:color="auto"/>
            </w:tcBorders>
            <w:noWrap/>
          </w:tcPr>
          <w:p w:rsidR="00860403" w:rsidRPr="00892BF0" w:rsidRDefault="00892BF0" w:rsidP="003B4BE8">
            <w:pPr>
              <w:pStyle w:val="Table"/>
              <w:jc w:val="right"/>
              <w:rPr>
                <w:rFonts w:ascii="Arial Narrow" w:hAnsi="Arial Narrow" w:cs="Arial"/>
                <w:szCs w:val="20"/>
                <w:highlight w:val="black"/>
              </w:rPr>
            </w:pPr>
            <w:r>
              <w:rPr>
                <w:rFonts w:ascii="Arial Narrow" w:hAnsi="Arial Narrow" w:cs="Arial"/>
                <w:noProof/>
                <w:color w:val="000000"/>
                <w:szCs w:val="20"/>
                <w:highlight w:val="black"/>
              </w:rPr>
              <w:t>'''''''''''''</w:t>
            </w:r>
          </w:p>
        </w:tc>
      </w:tr>
      <w:tr w:rsidR="00860403" w:rsidRPr="0025134A" w:rsidTr="00ED4427">
        <w:trPr>
          <w:trHeight w:val="20"/>
        </w:trPr>
        <w:tc>
          <w:tcPr>
            <w:tcW w:w="1536" w:type="pct"/>
            <w:tcBorders>
              <w:bottom w:val="single" w:sz="4" w:space="0" w:color="auto"/>
              <w:right w:val="nil"/>
            </w:tcBorders>
            <w:shd w:val="clear" w:color="auto" w:fill="A6A6A6" w:themeFill="background1" w:themeFillShade="A6"/>
            <w:noWrap/>
            <w:vAlign w:val="bottom"/>
          </w:tcPr>
          <w:p w:rsidR="00860403" w:rsidRPr="00ED4427" w:rsidRDefault="00860403" w:rsidP="003B4BE8">
            <w:pPr>
              <w:pStyle w:val="Table"/>
              <w:rPr>
                <w:rFonts w:ascii="Arial Narrow" w:hAnsi="Arial Narrow" w:cs="Arial"/>
                <w:szCs w:val="20"/>
              </w:rPr>
            </w:pPr>
            <w:r w:rsidRPr="00ED4427">
              <w:rPr>
                <w:rFonts w:ascii="Arial Narrow" w:hAnsi="Arial Narrow" w:cs="Arial"/>
                <w:szCs w:val="20"/>
              </w:rPr>
              <w:t>Cost of services</w:t>
            </w:r>
          </w:p>
        </w:tc>
        <w:tc>
          <w:tcPr>
            <w:tcW w:w="691" w:type="pct"/>
            <w:tcBorders>
              <w:left w:val="nil"/>
              <w:bottom w:val="single" w:sz="4" w:space="0" w:color="auto"/>
              <w:right w:val="nil"/>
            </w:tcBorders>
            <w:shd w:val="clear" w:color="auto" w:fill="A6A6A6" w:themeFill="background1" w:themeFillShade="A6"/>
            <w:noWrap/>
            <w:vAlign w:val="bottom"/>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w:t>
            </w:r>
          </w:p>
        </w:tc>
        <w:tc>
          <w:tcPr>
            <w:tcW w:w="693" w:type="pct"/>
            <w:tcBorders>
              <w:left w:val="nil"/>
              <w:bottom w:val="single" w:sz="4" w:space="0" w:color="auto"/>
              <w:right w:val="nil"/>
            </w:tcBorders>
            <w:shd w:val="clear" w:color="auto" w:fill="A6A6A6" w:themeFill="background1" w:themeFillShade="A6"/>
            <w:noWrap/>
            <w:vAlign w:val="bottom"/>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w:t>
            </w:r>
          </w:p>
        </w:tc>
        <w:tc>
          <w:tcPr>
            <w:tcW w:w="694" w:type="pct"/>
            <w:tcBorders>
              <w:left w:val="nil"/>
              <w:bottom w:val="single" w:sz="4" w:space="0" w:color="auto"/>
              <w:right w:val="nil"/>
            </w:tcBorders>
            <w:shd w:val="clear" w:color="auto" w:fill="A6A6A6" w:themeFill="background1" w:themeFillShade="A6"/>
            <w:noWrap/>
            <w:vAlign w:val="bottom"/>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w:t>
            </w:r>
          </w:p>
        </w:tc>
        <w:tc>
          <w:tcPr>
            <w:tcW w:w="694" w:type="pct"/>
            <w:tcBorders>
              <w:left w:val="nil"/>
              <w:bottom w:val="single" w:sz="4" w:space="0" w:color="auto"/>
              <w:right w:val="nil"/>
            </w:tcBorders>
            <w:shd w:val="clear" w:color="auto" w:fill="A6A6A6" w:themeFill="background1" w:themeFillShade="A6"/>
            <w:noWrap/>
            <w:vAlign w:val="bottom"/>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w:t>
            </w:r>
          </w:p>
        </w:tc>
        <w:tc>
          <w:tcPr>
            <w:tcW w:w="692" w:type="pct"/>
            <w:tcBorders>
              <w:left w:val="nil"/>
              <w:bottom w:val="single" w:sz="4" w:space="0" w:color="auto"/>
            </w:tcBorders>
            <w:shd w:val="clear" w:color="auto" w:fill="A6A6A6" w:themeFill="background1" w:themeFillShade="A6"/>
            <w:noWrap/>
            <w:vAlign w:val="bottom"/>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w:t>
            </w:r>
          </w:p>
        </w:tc>
      </w:tr>
      <w:tr w:rsidR="00860403" w:rsidRPr="0025134A" w:rsidTr="00ED4427">
        <w:trPr>
          <w:trHeight w:val="20"/>
        </w:trPr>
        <w:tc>
          <w:tcPr>
            <w:tcW w:w="1536" w:type="pct"/>
            <w:tcBorders>
              <w:right w:val="nil"/>
            </w:tcBorders>
            <w:shd w:val="clear" w:color="auto" w:fill="D9D9D9" w:themeFill="background1" w:themeFillShade="D9"/>
            <w:noWrap/>
            <w:vAlign w:val="bottom"/>
          </w:tcPr>
          <w:p w:rsidR="00860403" w:rsidRPr="00ED4427" w:rsidRDefault="00860403" w:rsidP="003B4BE8">
            <w:pPr>
              <w:pStyle w:val="Table"/>
              <w:rPr>
                <w:rFonts w:ascii="Arial Narrow" w:hAnsi="Arial Narrow" w:cs="Arial"/>
                <w:szCs w:val="20"/>
              </w:rPr>
            </w:pPr>
            <w:r w:rsidRPr="00ED4427">
              <w:rPr>
                <w:rFonts w:ascii="Arial Narrow" w:hAnsi="Arial Narrow" w:cs="Arial"/>
                <w:szCs w:val="20"/>
              </w:rPr>
              <w:t>Cost of Bi ELIGARD to PBS/RPBS</w:t>
            </w:r>
          </w:p>
        </w:tc>
        <w:tc>
          <w:tcPr>
            <w:tcW w:w="691" w:type="pct"/>
            <w:tcBorders>
              <w:left w:val="nil"/>
              <w:right w:val="nil"/>
            </w:tcBorders>
            <w:shd w:val="clear" w:color="auto" w:fill="D9D9D9" w:themeFill="background1" w:themeFillShade="D9"/>
            <w:noWrap/>
            <w:vAlign w:val="bottom"/>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w:t>
            </w:r>
          </w:p>
        </w:tc>
        <w:tc>
          <w:tcPr>
            <w:tcW w:w="693" w:type="pct"/>
            <w:tcBorders>
              <w:left w:val="nil"/>
              <w:right w:val="nil"/>
            </w:tcBorders>
            <w:shd w:val="clear" w:color="auto" w:fill="D9D9D9" w:themeFill="background1" w:themeFillShade="D9"/>
            <w:noWrap/>
            <w:vAlign w:val="bottom"/>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w:t>
            </w:r>
          </w:p>
        </w:tc>
        <w:tc>
          <w:tcPr>
            <w:tcW w:w="694" w:type="pct"/>
            <w:tcBorders>
              <w:left w:val="nil"/>
              <w:right w:val="nil"/>
            </w:tcBorders>
            <w:shd w:val="clear" w:color="auto" w:fill="D9D9D9" w:themeFill="background1" w:themeFillShade="D9"/>
            <w:noWrap/>
            <w:vAlign w:val="bottom"/>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w:t>
            </w:r>
          </w:p>
        </w:tc>
        <w:tc>
          <w:tcPr>
            <w:tcW w:w="694" w:type="pct"/>
            <w:tcBorders>
              <w:left w:val="nil"/>
              <w:right w:val="nil"/>
            </w:tcBorders>
            <w:shd w:val="clear" w:color="auto" w:fill="D9D9D9" w:themeFill="background1" w:themeFillShade="D9"/>
            <w:noWrap/>
            <w:vAlign w:val="bottom"/>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w:t>
            </w:r>
          </w:p>
        </w:tc>
        <w:tc>
          <w:tcPr>
            <w:tcW w:w="692" w:type="pct"/>
            <w:tcBorders>
              <w:left w:val="nil"/>
            </w:tcBorders>
            <w:shd w:val="clear" w:color="auto" w:fill="D9D9D9" w:themeFill="background1" w:themeFillShade="D9"/>
            <w:noWrap/>
            <w:vAlign w:val="bottom"/>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w:t>
            </w:r>
          </w:p>
        </w:tc>
      </w:tr>
      <w:tr w:rsidR="00860403" w:rsidRPr="0025134A" w:rsidTr="00ED4427">
        <w:trPr>
          <w:trHeight w:val="20"/>
        </w:trPr>
        <w:tc>
          <w:tcPr>
            <w:tcW w:w="1536" w:type="pct"/>
            <w:noWrap/>
            <w:vAlign w:val="bottom"/>
          </w:tcPr>
          <w:p w:rsidR="00860403" w:rsidRPr="00ED4427" w:rsidRDefault="00860403" w:rsidP="003B4BE8">
            <w:pPr>
              <w:pStyle w:val="Table"/>
              <w:rPr>
                <w:rFonts w:ascii="Arial Narrow" w:hAnsi="Arial Narrow" w:cs="Arial"/>
                <w:szCs w:val="20"/>
              </w:rPr>
            </w:pPr>
            <w:proofErr w:type="spellStart"/>
            <w:r w:rsidRPr="00ED4427">
              <w:rPr>
                <w:rFonts w:ascii="Arial Narrow" w:hAnsi="Arial Narrow" w:cs="Arial"/>
                <w:szCs w:val="20"/>
              </w:rPr>
              <w:t>Bi</w:t>
            </w:r>
            <w:proofErr w:type="spellEnd"/>
            <w:r w:rsidRPr="00ED4427">
              <w:rPr>
                <w:rFonts w:ascii="Arial Narrow" w:hAnsi="Arial Narrow" w:cs="Arial"/>
                <w:szCs w:val="20"/>
              </w:rPr>
              <w:t xml:space="preserve"> ELIGARD CP 1 month + 28</w:t>
            </w:r>
          </w:p>
        </w:tc>
        <w:tc>
          <w:tcPr>
            <w:tcW w:w="691"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3"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2"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r>
      <w:tr w:rsidR="00860403" w:rsidRPr="0025134A" w:rsidTr="00ED4427">
        <w:trPr>
          <w:trHeight w:val="20"/>
        </w:trPr>
        <w:tc>
          <w:tcPr>
            <w:tcW w:w="1536" w:type="pct"/>
            <w:noWrap/>
            <w:vAlign w:val="bottom"/>
          </w:tcPr>
          <w:p w:rsidR="00860403" w:rsidRPr="00ED4427" w:rsidRDefault="00860403" w:rsidP="003B4BE8">
            <w:pPr>
              <w:pStyle w:val="Table"/>
              <w:rPr>
                <w:rFonts w:ascii="Arial Narrow" w:hAnsi="Arial Narrow" w:cs="Arial"/>
                <w:szCs w:val="20"/>
              </w:rPr>
            </w:pPr>
            <w:proofErr w:type="spellStart"/>
            <w:r w:rsidRPr="00ED4427">
              <w:rPr>
                <w:rFonts w:ascii="Arial Narrow" w:hAnsi="Arial Narrow" w:cs="Arial"/>
                <w:szCs w:val="20"/>
              </w:rPr>
              <w:t>Bi</w:t>
            </w:r>
            <w:proofErr w:type="spellEnd"/>
            <w:r w:rsidRPr="00ED4427">
              <w:rPr>
                <w:rFonts w:ascii="Arial Narrow" w:hAnsi="Arial Narrow" w:cs="Arial"/>
                <w:szCs w:val="20"/>
              </w:rPr>
              <w:t xml:space="preserve"> ELIGARD CP 3 month + 28</w:t>
            </w:r>
          </w:p>
        </w:tc>
        <w:tc>
          <w:tcPr>
            <w:tcW w:w="691"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3"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2"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r>
      <w:tr w:rsidR="00860403" w:rsidRPr="0025134A" w:rsidTr="00ED4427">
        <w:trPr>
          <w:trHeight w:val="20"/>
        </w:trPr>
        <w:tc>
          <w:tcPr>
            <w:tcW w:w="1536" w:type="pct"/>
            <w:noWrap/>
            <w:vAlign w:val="bottom"/>
          </w:tcPr>
          <w:p w:rsidR="00860403" w:rsidRPr="00ED4427" w:rsidRDefault="00860403" w:rsidP="003B4BE8">
            <w:pPr>
              <w:pStyle w:val="Table"/>
              <w:rPr>
                <w:rFonts w:ascii="Arial Narrow" w:hAnsi="Arial Narrow" w:cs="Arial"/>
                <w:szCs w:val="20"/>
              </w:rPr>
            </w:pPr>
            <w:proofErr w:type="spellStart"/>
            <w:r w:rsidRPr="00ED4427">
              <w:rPr>
                <w:rFonts w:ascii="Arial Narrow" w:hAnsi="Arial Narrow" w:cs="Arial"/>
                <w:szCs w:val="20"/>
              </w:rPr>
              <w:t>Bi</w:t>
            </w:r>
            <w:proofErr w:type="spellEnd"/>
            <w:r w:rsidRPr="00ED4427">
              <w:rPr>
                <w:rFonts w:ascii="Arial Narrow" w:hAnsi="Arial Narrow" w:cs="Arial"/>
                <w:szCs w:val="20"/>
              </w:rPr>
              <w:t xml:space="preserve"> ELIGARD CP 3 month + 84</w:t>
            </w:r>
          </w:p>
        </w:tc>
        <w:tc>
          <w:tcPr>
            <w:tcW w:w="691"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3"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2"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r>
      <w:tr w:rsidR="00860403" w:rsidRPr="0025134A" w:rsidTr="00ED4427">
        <w:trPr>
          <w:trHeight w:val="20"/>
        </w:trPr>
        <w:tc>
          <w:tcPr>
            <w:tcW w:w="1536" w:type="pct"/>
            <w:tcBorders>
              <w:bottom w:val="single" w:sz="4" w:space="0" w:color="auto"/>
            </w:tcBorders>
            <w:noWrap/>
            <w:vAlign w:val="bottom"/>
          </w:tcPr>
          <w:p w:rsidR="00860403" w:rsidRPr="00ED4427" w:rsidRDefault="00860403" w:rsidP="003B4BE8">
            <w:pPr>
              <w:pStyle w:val="Table"/>
              <w:rPr>
                <w:rFonts w:ascii="Arial Narrow" w:hAnsi="Arial Narrow" w:cs="Arial"/>
                <w:szCs w:val="20"/>
              </w:rPr>
            </w:pPr>
            <w:r w:rsidRPr="00ED4427">
              <w:rPr>
                <w:rFonts w:ascii="Arial Narrow" w:hAnsi="Arial Narrow" w:cs="Arial"/>
                <w:szCs w:val="20"/>
              </w:rPr>
              <w:t>Total</w:t>
            </w:r>
          </w:p>
        </w:tc>
        <w:tc>
          <w:tcPr>
            <w:tcW w:w="691" w:type="pct"/>
            <w:tcBorders>
              <w:bottom w:val="single" w:sz="4" w:space="0" w:color="auto"/>
            </w:tcBorders>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3" w:type="pct"/>
            <w:tcBorders>
              <w:bottom w:val="single" w:sz="4" w:space="0" w:color="auto"/>
            </w:tcBorders>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tcBorders>
              <w:bottom w:val="single" w:sz="4" w:space="0" w:color="auto"/>
            </w:tcBorders>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tcBorders>
              <w:bottom w:val="single" w:sz="4" w:space="0" w:color="auto"/>
            </w:tcBorders>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2" w:type="pct"/>
            <w:tcBorders>
              <w:bottom w:val="single" w:sz="4" w:space="0" w:color="auto"/>
            </w:tcBorders>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r>
      <w:tr w:rsidR="00860403" w:rsidRPr="0025134A" w:rsidTr="00ED4427">
        <w:trPr>
          <w:trHeight w:val="20"/>
        </w:trPr>
        <w:tc>
          <w:tcPr>
            <w:tcW w:w="1536" w:type="pct"/>
            <w:tcBorders>
              <w:right w:val="nil"/>
            </w:tcBorders>
            <w:shd w:val="clear" w:color="auto" w:fill="D9D9D9" w:themeFill="background1" w:themeFillShade="D9"/>
            <w:noWrap/>
            <w:vAlign w:val="bottom"/>
          </w:tcPr>
          <w:p w:rsidR="00860403" w:rsidRPr="00ED4427" w:rsidRDefault="00860403" w:rsidP="003B4BE8">
            <w:pPr>
              <w:pStyle w:val="Table"/>
              <w:rPr>
                <w:rFonts w:ascii="Arial Narrow" w:hAnsi="Arial Narrow" w:cs="Arial"/>
                <w:szCs w:val="20"/>
              </w:rPr>
            </w:pPr>
            <w:r w:rsidRPr="00ED4427">
              <w:rPr>
                <w:rFonts w:ascii="Arial Narrow" w:hAnsi="Arial Narrow" w:cs="Arial"/>
                <w:szCs w:val="20"/>
              </w:rPr>
              <w:t xml:space="preserve">PBS </w:t>
            </w:r>
            <w:r w:rsidR="0003360E" w:rsidRPr="00ED4427">
              <w:rPr>
                <w:rFonts w:ascii="Arial Narrow" w:hAnsi="Arial Narrow" w:cs="Arial"/>
                <w:szCs w:val="20"/>
              </w:rPr>
              <w:t>Co-payments</w:t>
            </w:r>
            <w:r w:rsidRPr="00ED4427">
              <w:rPr>
                <w:rFonts w:ascii="Arial Narrow" w:hAnsi="Arial Narrow" w:cs="Arial"/>
                <w:szCs w:val="20"/>
              </w:rPr>
              <w:t xml:space="preserve"> offset</w:t>
            </w:r>
          </w:p>
        </w:tc>
        <w:tc>
          <w:tcPr>
            <w:tcW w:w="691" w:type="pct"/>
            <w:tcBorders>
              <w:left w:val="nil"/>
              <w:right w:val="nil"/>
            </w:tcBorders>
            <w:shd w:val="clear" w:color="auto" w:fill="D9D9D9" w:themeFill="background1" w:themeFillShade="D9"/>
            <w:noWrap/>
          </w:tcPr>
          <w:p w:rsidR="00860403" w:rsidRPr="00ED4427" w:rsidRDefault="00860403" w:rsidP="003B4BE8">
            <w:pPr>
              <w:pStyle w:val="Table"/>
              <w:jc w:val="right"/>
              <w:rPr>
                <w:rFonts w:ascii="Arial Narrow" w:hAnsi="Arial Narrow" w:cs="Arial"/>
                <w:szCs w:val="20"/>
              </w:rPr>
            </w:pPr>
          </w:p>
        </w:tc>
        <w:tc>
          <w:tcPr>
            <w:tcW w:w="693" w:type="pct"/>
            <w:tcBorders>
              <w:left w:val="nil"/>
              <w:right w:val="nil"/>
            </w:tcBorders>
            <w:shd w:val="clear" w:color="auto" w:fill="D9D9D9" w:themeFill="background1" w:themeFillShade="D9"/>
            <w:noWrap/>
          </w:tcPr>
          <w:p w:rsidR="00860403" w:rsidRPr="00ED4427" w:rsidRDefault="00860403" w:rsidP="003B4BE8">
            <w:pPr>
              <w:pStyle w:val="Table"/>
              <w:jc w:val="right"/>
              <w:rPr>
                <w:rFonts w:ascii="Arial Narrow" w:hAnsi="Arial Narrow" w:cs="Arial"/>
                <w:szCs w:val="20"/>
              </w:rPr>
            </w:pPr>
          </w:p>
        </w:tc>
        <w:tc>
          <w:tcPr>
            <w:tcW w:w="694" w:type="pct"/>
            <w:tcBorders>
              <w:left w:val="nil"/>
              <w:right w:val="nil"/>
            </w:tcBorders>
            <w:shd w:val="clear" w:color="auto" w:fill="D9D9D9" w:themeFill="background1" w:themeFillShade="D9"/>
            <w:noWrap/>
          </w:tcPr>
          <w:p w:rsidR="00860403" w:rsidRPr="00ED4427" w:rsidRDefault="00860403" w:rsidP="003B4BE8">
            <w:pPr>
              <w:pStyle w:val="Table"/>
              <w:jc w:val="right"/>
              <w:rPr>
                <w:rFonts w:ascii="Arial Narrow" w:hAnsi="Arial Narrow" w:cs="Arial"/>
                <w:szCs w:val="20"/>
              </w:rPr>
            </w:pPr>
          </w:p>
        </w:tc>
        <w:tc>
          <w:tcPr>
            <w:tcW w:w="694" w:type="pct"/>
            <w:tcBorders>
              <w:left w:val="nil"/>
              <w:right w:val="nil"/>
            </w:tcBorders>
            <w:shd w:val="clear" w:color="auto" w:fill="D9D9D9" w:themeFill="background1" w:themeFillShade="D9"/>
            <w:noWrap/>
          </w:tcPr>
          <w:p w:rsidR="00860403" w:rsidRPr="00ED4427" w:rsidRDefault="00860403" w:rsidP="003B4BE8">
            <w:pPr>
              <w:pStyle w:val="Table"/>
              <w:jc w:val="right"/>
              <w:rPr>
                <w:rFonts w:ascii="Arial Narrow" w:hAnsi="Arial Narrow" w:cs="Arial"/>
                <w:szCs w:val="20"/>
              </w:rPr>
            </w:pPr>
          </w:p>
        </w:tc>
        <w:tc>
          <w:tcPr>
            <w:tcW w:w="692" w:type="pct"/>
            <w:tcBorders>
              <w:left w:val="nil"/>
            </w:tcBorders>
            <w:shd w:val="clear" w:color="auto" w:fill="D9D9D9" w:themeFill="background1" w:themeFillShade="D9"/>
            <w:noWrap/>
          </w:tcPr>
          <w:p w:rsidR="00860403" w:rsidRPr="00ED4427" w:rsidRDefault="00860403" w:rsidP="003B4BE8">
            <w:pPr>
              <w:pStyle w:val="Table"/>
              <w:jc w:val="right"/>
              <w:rPr>
                <w:rFonts w:ascii="Arial Narrow" w:hAnsi="Arial Narrow" w:cs="Arial"/>
                <w:szCs w:val="20"/>
              </w:rPr>
            </w:pPr>
          </w:p>
        </w:tc>
      </w:tr>
      <w:tr w:rsidR="00860403" w:rsidRPr="0025134A" w:rsidTr="00ED4427">
        <w:trPr>
          <w:trHeight w:val="20"/>
        </w:trPr>
        <w:tc>
          <w:tcPr>
            <w:tcW w:w="1536" w:type="pct"/>
            <w:noWrap/>
            <w:vAlign w:val="bottom"/>
          </w:tcPr>
          <w:p w:rsidR="00860403" w:rsidRPr="00ED4427" w:rsidRDefault="00860403" w:rsidP="003B4BE8">
            <w:pPr>
              <w:pStyle w:val="Table"/>
              <w:rPr>
                <w:rFonts w:ascii="Arial Narrow" w:hAnsi="Arial Narrow" w:cs="Arial"/>
                <w:szCs w:val="20"/>
              </w:rPr>
            </w:pPr>
            <w:proofErr w:type="spellStart"/>
            <w:r w:rsidRPr="00ED4427">
              <w:rPr>
                <w:rFonts w:ascii="Arial Narrow" w:hAnsi="Arial Narrow" w:cs="Arial"/>
                <w:szCs w:val="20"/>
              </w:rPr>
              <w:t>Bi</w:t>
            </w:r>
            <w:proofErr w:type="spellEnd"/>
            <w:r w:rsidRPr="00ED4427">
              <w:rPr>
                <w:rFonts w:ascii="Arial Narrow" w:hAnsi="Arial Narrow" w:cs="Arial"/>
                <w:szCs w:val="20"/>
              </w:rPr>
              <w:t xml:space="preserve"> ELIGARD CP 1 month + 28</w:t>
            </w:r>
          </w:p>
        </w:tc>
        <w:tc>
          <w:tcPr>
            <w:tcW w:w="691"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3"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2"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r>
      <w:tr w:rsidR="00860403" w:rsidRPr="0025134A" w:rsidTr="00ED4427">
        <w:trPr>
          <w:trHeight w:val="20"/>
        </w:trPr>
        <w:tc>
          <w:tcPr>
            <w:tcW w:w="1536" w:type="pct"/>
            <w:noWrap/>
            <w:vAlign w:val="bottom"/>
          </w:tcPr>
          <w:p w:rsidR="00860403" w:rsidRPr="00ED4427" w:rsidRDefault="00860403" w:rsidP="003B4BE8">
            <w:pPr>
              <w:pStyle w:val="Table"/>
              <w:rPr>
                <w:rFonts w:ascii="Arial Narrow" w:hAnsi="Arial Narrow" w:cs="Arial"/>
                <w:szCs w:val="20"/>
              </w:rPr>
            </w:pPr>
            <w:proofErr w:type="spellStart"/>
            <w:r w:rsidRPr="00ED4427">
              <w:rPr>
                <w:rFonts w:ascii="Arial Narrow" w:hAnsi="Arial Narrow" w:cs="Arial"/>
                <w:szCs w:val="20"/>
              </w:rPr>
              <w:t>Bi</w:t>
            </w:r>
            <w:proofErr w:type="spellEnd"/>
            <w:r w:rsidRPr="00ED4427">
              <w:rPr>
                <w:rFonts w:ascii="Arial Narrow" w:hAnsi="Arial Narrow" w:cs="Arial"/>
                <w:szCs w:val="20"/>
              </w:rPr>
              <w:t xml:space="preserve"> ELIGARD CP 3 month + 28</w:t>
            </w:r>
          </w:p>
        </w:tc>
        <w:tc>
          <w:tcPr>
            <w:tcW w:w="691"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3"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2"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r>
      <w:tr w:rsidR="00860403" w:rsidRPr="0025134A" w:rsidTr="00ED4427">
        <w:trPr>
          <w:trHeight w:val="20"/>
        </w:trPr>
        <w:tc>
          <w:tcPr>
            <w:tcW w:w="1536" w:type="pct"/>
            <w:noWrap/>
            <w:vAlign w:val="bottom"/>
          </w:tcPr>
          <w:p w:rsidR="00860403" w:rsidRPr="00ED4427" w:rsidRDefault="00860403" w:rsidP="003B4BE8">
            <w:pPr>
              <w:pStyle w:val="Table"/>
              <w:rPr>
                <w:rFonts w:ascii="Arial Narrow" w:hAnsi="Arial Narrow" w:cs="Arial"/>
                <w:szCs w:val="20"/>
              </w:rPr>
            </w:pPr>
            <w:proofErr w:type="spellStart"/>
            <w:r w:rsidRPr="00ED4427">
              <w:rPr>
                <w:rFonts w:ascii="Arial Narrow" w:hAnsi="Arial Narrow" w:cs="Arial"/>
                <w:szCs w:val="20"/>
              </w:rPr>
              <w:t>Bi</w:t>
            </w:r>
            <w:proofErr w:type="spellEnd"/>
            <w:r w:rsidRPr="00ED4427">
              <w:rPr>
                <w:rFonts w:ascii="Arial Narrow" w:hAnsi="Arial Narrow" w:cs="Arial"/>
                <w:szCs w:val="20"/>
              </w:rPr>
              <w:t xml:space="preserve"> ELIGARD CP 3 month + 84</w:t>
            </w:r>
          </w:p>
        </w:tc>
        <w:tc>
          <w:tcPr>
            <w:tcW w:w="691"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3"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2"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r>
      <w:tr w:rsidR="00860403" w:rsidRPr="0025134A" w:rsidTr="00ED4427">
        <w:trPr>
          <w:trHeight w:val="20"/>
        </w:trPr>
        <w:tc>
          <w:tcPr>
            <w:tcW w:w="1536" w:type="pct"/>
            <w:tcBorders>
              <w:bottom w:val="single" w:sz="4" w:space="0" w:color="auto"/>
            </w:tcBorders>
            <w:noWrap/>
            <w:vAlign w:val="bottom"/>
          </w:tcPr>
          <w:p w:rsidR="00860403" w:rsidRPr="00ED4427" w:rsidRDefault="00860403" w:rsidP="003B4BE8">
            <w:pPr>
              <w:pStyle w:val="Table"/>
              <w:rPr>
                <w:rFonts w:ascii="Arial Narrow" w:hAnsi="Arial Narrow" w:cs="Arial"/>
                <w:szCs w:val="20"/>
              </w:rPr>
            </w:pPr>
            <w:r w:rsidRPr="00ED4427">
              <w:rPr>
                <w:rFonts w:ascii="Arial Narrow" w:hAnsi="Arial Narrow" w:cs="Arial"/>
                <w:szCs w:val="20"/>
              </w:rPr>
              <w:t>Total</w:t>
            </w:r>
          </w:p>
        </w:tc>
        <w:tc>
          <w:tcPr>
            <w:tcW w:w="691" w:type="pct"/>
            <w:tcBorders>
              <w:bottom w:val="single" w:sz="4" w:space="0" w:color="auto"/>
            </w:tcBorders>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3" w:type="pct"/>
            <w:tcBorders>
              <w:bottom w:val="single" w:sz="4" w:space="0" w:color="auto"/>
            </w:tcBorders>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tcBorders>
              <w:bottom w:val="single" w:sz="4" w:space="0" w:color="auto"/>
            </w:tcBorders>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 xml:space="preserve">''''''''''''''''' </w:t>
            </w:r>
          </w:p>
        </w:tc>
        <w:tc>
          <w:tcPr>
            <w:tcW w:w="694" w:type="pct"/>
            <w:tcBorders>
              <w:bottom w:val="single" w:sz="4" w:space="0" w:color="auto"/>
            </w:tcBorders>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2" w:type="pct"/>
            <w:tcBorders>
              <w:bottom w:val="single" w:sz="4" w:space="0" w:color="auto"/>
            </w:tcBorders>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r>
      <w:tr w:rsidR="00860403" w:rsidRPr="0025134A" w:rsidTr="00ED4427">
        <w:trPr>
          <w:trHeight w:val="20"/>
        </w:trPr>
        <w:tc>
          <w:tcPr>
            <w:tcW w:w="1536" w:type="pct"/>
            <w:tcBorders>
              <w:right w:val="nil"/>
            </w:tcBorders>
            <w:shd w:val="clear" w:color="auto" w:fill="D9D9D9" w:themeFill="background1" w:themeFillShade="D9"/>
            <w:noWrap/>
            <w:vAlign w:val="bottom"/>
          </w:tcPr>
          <w:p w:rsidR="00860403" w:rsidRPr="00ED4427" w:rsidRDefault="00860403" w:rsidP="003B4BE8">
            <w:pPr>
              <w:pStyle w:val="Table"/>
              <w:rPr>
                <w:rFonts w:ascii="Arial Narrow" w:hAnsi="Arial Narrow" w:cs="Arial"/>
                <w:szCs w:val="20"/>
              </w:rPr>
            </w:pPr>
            <w:r w:rsidRPr="00ED4427">
              <w:rPr>
                <w:rFonts w:ascii="Arial Narrow" w:hAnsi="Arial Narrow" w:cs="Arial"/>
                <w:szCs w:val="20"/>
              </w:rPr>
              <w:t>Net cost of services</w:t>
            </w:r>
          </w:p>
        </w:tc>
        <w:tc>
          <w:tcPr>
            <w:tcW w:w="691" w:type="pct"/>
            <w:tcBorders>
              <w:left w:val="nil"/>
              <w:right w:val="nil"/>
            </w:tcBorders>
            <w:shd w:val="clear" w:color="auto" w:fill="D9D9D9" w:themeFill="background1" w:themeFillShade="D9"/>
            <w:noWrap/>
          </w:tcPr>
          <w:p w:rsidR="00860403" w:rsidRPr="00ED4427" w:rsidRDefault="00860403" w:rsidP="003B4BE8">
            <w:pPr>
              <w:pStyle w:val="Table"/>
              <w:jc w:val="right"/>
              <w:rPr>
                <w:rFonts w:ascii="Arial Narrow" w:hAnsi="Arial Narrow" w:cs="Arial"/>
                <w:szCs w:val="20"/>
              </w:rPr>
            </w:pPr>
          </w:p>
        </w:tc>
        <w:tc>
          <w:tcPr>
            <w:tcW w:w="693" w:type="pct"/>
            <w:tcBorders>
              <w:left w:val="nil"/>
              <w:right w:val="nil"/>
            </w:tcBorders>
            <w:shd w:val="clear" w:color="auto" w:fill="D9D9D9" w:themeFill="background1" w:themeFillShade="D9"/>
            <w:noWrap/>
          </w:tcPr>
          <w:p w:rsidR="00860403" w:rsidRPr="00ED4427" w:rsidRDefault="00860403" w:rsidP="003B4BE8">
            <w:pPr>
              <w:pStyle w:val="Table"/>
              <w:jc w:val="right"/>
              <w:rPr>
                <w:rFonts w:ascii="Arial Narrow" w:hAnsi="Arial Narrow" w:cs="Arial"/>
                <w:szCs w:val="20"/>
              </w:rPr>
            </w:pPr>
          </w:p>
        </w:tc>
        <w:tc>
          <w:tcPr>
            <w:tcW w:w="694" w:type="pct"/>
            <w:tcBorders>
              <w:left w:val="nil"/>
              <w:right w:val="nil"/>
            </w:tcBorders>
            <w:shd w:val="clear" w:color="auto" w:fill="D9D9D9" w:themeFill="background1" w:themeFillShade="D9"/>
            <w:noWrap/>
          </w:tcPr>
          <w:p w:rsidR="00860403" w:rsidRPr="00ED4427" w:rsidRDefault="00860403" w:rsidP="003B4BE8">
            <w:pPr>
              <w:pStyle w:val="Table"/>
              <w:jc w:val="right"/>
              <w:rPr>
                <w:rFonts w:ascii="Arial Narrow" w:hAnsi="Arial Narrow" w:cs="Arial"/>
                <w:szCs w:val="20"/>
              </w:rPr>
            </w:pPr>
          </w:p>
        </w:tc>
        <w:tc>
          <w:tcPr>
            <w:tcW w:w="694" w:type="pct"/>
            <w:tcBorders>
              <w:left w:val="nil"/>
              <w:right w:val="nil"/>
            </w:tcBorders>
            <w:shd w:val="clear" w:color="auto" w:fill="D9D9D9" w:themeFill="background1" w:themeFillShade="D9"/>
            <w:noWrap/>
          </w:tcPr>
          <w:p w:rsidR="00860403" w:rsidRPr="00ED4427" w:rsidRDefault="00860403" w:rsidP="003B4BE8">
            <w:pPr>
              <w:pStyle w:val="Table"/>
              <w:jc w:val="right"/>
              <w:rPr>
                <w:rFonts w:ascii="Arial Narrow" w:hAnsi="Arial Narrow" w:cs="Arial"/>
                <w:szCs w:val="20"/>
              </w:rPr>
            </w:pPr>
          </w:p>
        </w:tc>
        <w:tc>
          <w:tcPr>
            <w:tcW w:w="692" w:type="pct"/>
            <w:tcBorders>
              <w:left w:val="nil"/>
            </w:tcBorders>
            <w:shd w:val="clear" w:color="auto" w:fill="D9D9D9" w:themeFill="background1" w:themeFillShade="D9"/>
            <w:noWrap/>
          </w:tcPr>
          <w:p w:rsidR="00860403" w:rsidRPr="00ED4427" w:rsidRDefault="00860403" w:rsidP="003B4BE8">
            <w:pPr>
              <w:pStyle w:val="Table"/>
              <w:jc w:val="right"/>
              <w:rPr>
                <w:rFonts w:ascii="Arial Narrow" w:hAnsi="Arial Narrow" w:cs="Arial"/>
                <w:szCs w:val="20"/>
              </w:rPr>
            </w:pPr>
          </w:p>
        </w:tc>
      </w:tr>
      <w:tr w:rsidR="00860403" w:rsidRPr="0025134A" w:rsidTr="00ED4427">
        <w:trPr>
          <w:trHeight w:val="20"/>
        </w:trPr>
        <w:tc>
          <w:tcPr>
            <w:tcW w:w="1536" w:type="pct"/>
            <w:noWrap/>
            <w:vAlign w:val="bottom"/>
          </w:tcPr>
          <w:p w:rsidR="00860403" w:rsidRPr="00ED4427" w:rsidRDefault="00860403" w:rsidP="003B4BE8">
            <w:pPr>
              <w:pStyle w:val="Table"/>
              <w:rPr>
                <w:rFonts w:ascii="Arial Narrow" w:hAnsi="Arial Narrow" w:cs="Arial"/>
                <w:szCs w:val="20"/>
              </w:rPr>
            </w:pPr>
            <w:proofErr w:type="spellStart"/>
            <w:r w:rsidRPr="00ED4427">
              <w:rPr>
                <w:rFonts w:ascii="Arial Narrow" w:hAnsi="Arial Narrow" w:cs="Arial"/>
                <w:szCs w:val="20"/>
              </w:rPr>
              <w:t>Bi</w:t>
            </w:r>
            <w:proofErr w:type="spellEnd"/>
            <w:r w:rsidRPr="00ED4427">
              <w:rPr>
                <w:rFonts w:ascii="Arial Narrow" w:hAnsi="Arial Narrow" w:cs="Arial"/>
                <w:szCs w:val="20"/>
              </w:rPr>
              <w:t xml:space="preserve"> ELIGARD CP 1 month + 28</w:t>
            </w:r>
          </w:p>
        </w:tc>
        <w:tc>
          <w:tcPr>
            <w:tcW w:w="691"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3"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2"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r>
      <w:tr w:rsidR="00860403" w:rsidRPr="0025134A" w:rsidTr="00ED4427">
        <w:trPr>
          <w:trHeight w:val="20"/>
        </w:trPr>
        <w:tc>
          <w:tcPr>
            <w:tcW w:w="1536" w:type="pct"/>
            <w:noWrap/>
            <w:vAlign w:val="bottom"/>
          </w:tcPr>
          <w:p w:rsidR="00860403" w:rsidRPr="00ED4427" w:rsidRDefault="00860403" w:rsidP="003B4BE8">
            <w:pPr>
              <w:pStyle w:val="Table"/>
              <w:rPr>
                <w:rFonts w:ascii="Arial Narrow" w:hAnsi="Arial Narrow" w:cs="Arial"/>
                <w:szCs w:val="20"/>
              </w:rPr>
            </w:pPr>
            <w:proofErr w:type="spellStart"/>
            <w:r w:rsidRPr="00ED4427">
              <w:rPr>
                <w:rFonts w:ascii="Arial Narrow" w:hAnsi="Arial Narrow" w:cs="Arial"/>
                <w:szCs w:val="20"/>
              </w:rPr>
              <w:t>Bi</w:t>
            </w:r>
            <w:proofErr w:type="spellEnd"/>
            <w:r w:rsidRPr="00ED4427">
              <w:rPr>
                <w:rFonts w:ascii="Arial Narrow" w:hAnsi="Arial Narrow" w:cs="Arial"/>
                <w:szCs w:val="20"/>
              </w:rPr>
              <w:t xml:space="preserve"> ELIGARD CP 3 month + 28</w:t>
            </w:r>
          </w:p>
        </w:tc>
        <w:tc>
          <w:tcPr>
            <w:tcW w:w="691"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3"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2"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r>
      <w:tr w:rsidR="00860403" w:rsidRPr="0025134A" w:rsidTr="00ED4427">
        <w:trPr>
          <w:trHeight w:val="20"/>
        </w:trPr>
        <w:tc>
          <w:tcPr>
            <w:tcW w:w="1536" w:type="pct"/>
            <w:noWrap/>
            <w:vAlign w:val="bottom"/>
          </w:tcPr>
          <w:p w:rsidR="00860403" w:rsidRPr="00ED4427" w:rsidRDefault="00860403" w:rsidP="003B4BE8">
            <w:pPr>
              <w:pStyle w:val="Table"/>
              <w:rPr>
                <w:rFonts w:ascii="Arial Narrow" w:hAnsi="Arial Narrow" w:cs="Arial"/>
                <w:szCs w:val="20"/>
              </w:rPr>
            </w:pPr>
            <w:proofErr w:type="spellStart"/>
            <w:r w:rsidRPr="00ED4427">
              <w:rPr>
                <w:rFonts w:ascii="Arial Narrow" w:hAnsi="Arial Narrow" w:cs="Arial"/>
                <w:szCs w:val="20"/>
              </w:rPr>
              <w:t>Bi</w:t>
            </w:r>
            <w:proofErr w:type="spellEnd"/>
            <w:r w:rsidRPr="00ED4427">
              <w:rPr>
                <w:rFonts w:ascii="Arial Narrow" w:hAnsi="Arial Narrow" w:cs="Arial"/>
                <w:szCs w:val="20"/>
              </w:rPr>
              <w:t xml:space="preserve"> ELIGARD CP 3 month + 84</w:t>
            </w:r>
          </w:p>
        </w:tc>
        <w:tc>
          <w:tcPr>
            <w:tcW w:w="691"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3"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2"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r>
      <w:tr w:rsidR="00860403" w:rsidRPr="0025134A" w:rsidTr="00ED4427">
        <w:trPr>
          <w:trHeight w:val="20"/>
        </w:trPr>
        <w:tc>
          <w:tcPr>
            <w:tcW w:w="1536" w:type="pct"/>
            <w:noWrap/>
          </w:tcPr>
          <w:p w:rsidR="00860403" w:rsidRPr="00ED4427" w:rsidRDefault="00860403" w:rsidP="003B4BE8">
            <w:pPr>
              <w:pStyle w:val="Table"/>
              <w:rPr>
                <w:rFonts w:ascii="Arial Narrow" w:hAnsi="Arial Narrow" w:cs="Arial"/>
                <w:szCs w:val="20"/>
              </w:rPr>
            </w:pPr>
            <w:r w:rsidRPr="00ED4427">
              <w:rPr>
                <w:rFonts w:ascii="Arial Narrow" w:hAnsi="Arial Narrow" w:cs="Arial"/>
                <w:szCs w:val="20"/>
              </w:rPr>
              <w:t>Total</w:t>
            </w:r>
          </w:p>
        </w:tc>
        <w:tc>
          <w:tcPr>
            <w:tcW w:w="691"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3"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4"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c>
          <w:tcPr>
            <w:tcW w:w="692" w:type="pct"/>
            <w:noWrap/>
          </w:tcPr>
          <w:p w:rsidR="00860403" w:rsidRPr="00ED4427" w:rsidRDefault="00860403" w:rsidP="003B4BE8">
            <w:pPr>
              <w:pStyle w:val="Table"/>
              <w:jc w:val="right"/>
              <w:rPr>
                <w:rFonts w:ascii="Arial Narrow" w:hAnsi="Arial Narrow" w:cs="Arial"/>
                <w:szCs w:val="20"/>
              </w:rPr>
            </w:pPr>
            <w:r w:rsidRPr="00ED4427">
              <w:rPr>
                <w:rFonts w:ascii="Arial Narrow" w:hAnsi="Arial Narrow" w:cs="Arial"/>
                <w:szCs w:val="20"/>
              </w:rPr>
              <w:t xml:space="preserve"> $</w:t>
            </w:r>
            <w:r w:rsidR="00892BF0">
              <w:rPr>
                <w:rFonts w:ascii="Arial Narrow" w:hAnsi="Arial Narrow" w:cs="Arial"/>
                <w:noProof/>
                <w:color w:val="000000"/>
                <w:szCs w:val="20"/>
                <w:highlight w:val="black"/>
              </w:rPr>
              <w:t>'''''''''''''''''''''''</w:t>
            </w:r>
            <w:r w:rsidRPr="00ED4427">
              <w:rPr>
                <w:rFonts w:ascii="Arial Narrow" w:hAnsi="Arial Narrow" w:cs="Arial"/>
                <w:szCs w:val="20"/>
              </w:rPr>
              <w:t xml:space="preserve"> </w:t>
            </w:r>
          </w:p>
        </w:tc>
      </w:tr>
    </w:tbl>
    <w:p w:rsidR="006238BF" w:rsidRDefault="00ED4427" w:rsidP="006238BF">
      <w:pPr>
        <w:jc w:val="both"/>
        <w:rPr>
          <w:rFonts w:ascii="Arial Narrow" w:hAnsi="Arial Narrow"/>
          <w:sz w:val="20"/>
          <w:szCs w:val="20"/>
        </w:rPr>
      </w:pPr>
      <w:r>
        <w:rPr>
          <w:rFonts w:ascii="Arial Narrow" w:hAnsi="Arial Narrow"/>
          <w:sz w:val="20"/>
          <w:szCs w:val="20"/>
        </w:rPr>
        <w:t>Source: Bi ELIGARD</w:t>
      </w:r>
      <w:r w:rsidR="005B1174">
        <w:rPr>
          <w:rFonts w:ascii="Arial Narrow" w:hAnsi="Arial Narrow"/>
          <w:sz w:val="20"/>
          <w:szCs w:val="20"/>
        </w:rPr>
        <w:t xml:space="preserve"> CP</w:t>
      </w:r>
      <w:r>
        <w:rPr>
          <w:rFonts w:ascii="Arial Narrow" w:hAnsi="Arial Narrow"/>
          <w:sz w:val="20"/>
          <w:szCs w:val="20"/>
        </w:rPr>
        <w:t xml:space="preserve"> submission, pg. 26.</w:t>
      </w:r>
    </w:p>
    <w:p w:rsidR="00B303EB" w:rsidRPr="00723402" w:rsidRDefault="00B303EB" w:rsidP="006238BF">
      <w:pPr>
        <w:jc w:val="both"/>
        <w:rPr>
          <w:rFonts w:ascii="Arial Narrow" w:hAnsi="Arial Narrow"/>
          <w:sz w:val="20"/>
          <w:szCs w:val="20"/>
        </w:rPr>
      </w:pPr>
    </w:p>
    <w:p w:rsidR="003B4BE8" w:rsidRDefault="00EA6F68" w:rsidP="005E43EB">
      <w:pPr>
        <w:pStyle w:val="ListParagraph"/>
        <w:numPr>
          <w:ilvl w:val="1"/>
          <w:numId w:val="3"/>
        </w:numPr>
        <w:ind w:left="709" w:hanging="709"/>
        <w:jc w:val="both"/>
        <w:rPr>
          <w:rFonts w:ascii="Arial" w:hAnsi="Arial"/>
          <w:sz w:val="22"/>
          <w:szCs w:val="22"/>
        </w:rPr>
      </w:pPr>
      <w:r w:rsidRPr="00EA6F68">
        <w:rPr>
          <w:rFonts w:ascii="Arial" w:hAnsi="Arial"/>
          <w:sz w:val="22"/>
          <w:szCs w:val="22"/>
        </w:rPr>
        <w:t xml:space="preserve">At the </w:t>
      </w:r>
      <w:r w:rsidR="00C86CDE">
        <w:rPr>
          <w:rFonts w:ascii="Arial" w:hAnsi="Arial"/>
          <w:sz w:val="22"/>
          <w:szCs w:val="22"/>
        </w:rPr>
        <w:t>requested</w:t>
      </w:r>
      <w:r w:rsidR="00C86CDE" w:rsidRPr="00EA6F68">
        <w:rPr>
          <w:rFonts w:ascii="Arial" w:hAnsi="Arial"/>
          <w:sz w:val="22"/>
          <w:szCs w:val="22"/>
        </w:rPr>
        <w:t xml:space="preserve"> </w:t>
      </w:r>
      <w:r w:rsidRPr="00EA6F68">
        <w:rPr>
          <w:rFonts w:ascii="Arial" w:hAnsi="Arial"/>
          <w:sz w:val="22"/>
          <w:szCs w:val="22"/>
        </w:rPr>
        <w:t xml:space="preserve">DPMQ and accounting for estimated substitution of other services, the submission estimated a net PBS saving of </w:t>
      </w:r>
      <w:r w:rsidR="00933DE6">
        <w:rPr>
          <w:rFonts w:ascii="Arial" w:hAnsi="Arial"/>
          <w:sz w:val="22"/>
          <w:szCs w:val="22"/>
        </w:rPr>
        <w:t xml:space="preserve">less than </w:t>
      </w:r>
      <w:r w:rsidRPr="00EA6F68">
        <w:rPr>
          <w:rFonts w:ascii="Arial" w:hAnsi="Arial"/>
          <w:sz w:val="22"/>
          <w:szCs w:val="22"/>
        </w:rPr>
        <w:t>$</w:t>
      </w:r>
      <w:r w:rsidR="00933DE6">
        <w:rPr>
          <w:rFonts w:ascii="Arial" w:hAnsi="Arial"/>
          <w:sz w:val="22"/>
          <w:szCs w:val="22"/>
        </w:rPr>
        <w:t>10 million</w:t>
      </w:r>
      <w:r w:rsidRPr="00EA6F68">
        <w:rPr>
          <w:rFonts w:ascii="Arial" w:hAnsi="Arial"/>
          <w:sz w:val="22"/>
          <w:szCs w:val="22"/>
        </w:rPr>
        <w:t xml:space="preserve"> in year 5 and </w:t>
      </w:r>
      <w:r w:rsidR="00933DE6">
        <w:rPr>
          <w:rFonts w:ascii="Arial" w:hAnsi="Arial"/>
          <w:sz w:val="22"/>
          <w:szCs w:val="22"/>
        </w:rPr>
        <w:t xml:space="preserve">less than </w:t>
      </w:r>
      <w:r w:rsidRPr="00EA6F68">
        <w:rPr>
          <w:rFonts w:ascii="Arial" w:hAnsi="Arial"/>
          <w:sz w:val="22"/>
          <w:szCs w:val="22"/>
        </w:rPr>
        <w:t>$</w:t>
      </w:r>
      <w:r w:rsidR="00933DE6">
        <w:rPr>
          <w:rFonts w:ascii="Arial" w:hAnsi="Arial"/>
          <w:sz w:val="22"/>
          <w:szCs w:val="22"/>
        </w:rPr>
        <w:t>10 million</w:t>
      </w:r>
      <w:r w:rsidRPr="00EA6F68">
        <w:rPr>
          <w:rFonts w:ascii="Arial" w:hAnsi="Arial"/>
          <w:sz w:val="22"/>
          <w:szCs w:val="22"/>
        </w:rPr>
        <w:t xml:space="preserve"> over 5 years. This is summarised in the table below</w:t>
      </w:r>
      <w:r w:rsidR="002D454B">
        <w:rPr>
          <w:rFonts w:ascii="Arial" w:hAnsi="Arial"/>
          <w:sz w:val="22"/>
          <w:szCs w:val="22"/>
        </w:rPr>
        <w:t>.</w:t>
      </w:r>
    </w:p>
    <w:p w:rsidR="00EA6F68" w:rsidRDefault="00EA6F68" w:rsidP="00343C45">
      <w:pPr>
        <w:pageBreakBefore/>
        <w:jc w:val="both"/>
        <w:rPr>
          <w:rFonts w:ascii="Arial" w:hAnsi="Arial"/>
          <w:sz w:val="22"/>
          <w:szCs w:val="22"/>
        </w:rPr>
      </w:pPr>
    </w:p>
    <w:p w:rsidR="00ED4427" w:rsidRPr="007A6D9A" w:rsidRDefault="00ED4427" w:rsidP="00EA6F68">
      <w:pPr>
        <w:jc w:val="both"/>
        <w:rPr>
          <w:rFonts w:ascii="Arial Narrow" w:hAnsi="Arial Narrow"/>
          <w:b/>
          <w:sz w:val="20"/>
          <w:szCs w:val="20"/>
        </w:rPr>
      </w:pPr>
      <w:r w:rsidRPr="007A6D9A">
        <w:rPr>
          <w:rFonts w:ascii="Arial Narrow" w:hAnsi="Arial Narrow"/>
          <w:b/>
          <w:sz w:val="20"/>
          <w:szCs w:val="20"/>
        </w:rPr>
        <w:t>Table 3: Estimated change in cost and use of other drugs</w:t>
      </w:r>
    </w:p>
    <w:tbl>
      <w:tblPr>
        <w:tblStyle w:val="TableGrid"/>
        <w:tblW w:w="4941" w:type="pct"/>
        <w:tblInd w:w="108" w:type="dxa"/>
        <w:tblLook w:val="04A0" w:firstRow="1" w:lastRow="0" w:firstColumn="1" w:lastColumn="0" w:noHBand="0" w:noVBand="1"/>
        <w:tblCaption w:val="Estimated change in cost and use of other drugs"/>
      </w:tblPr>
      <w:tblGrid>
        <w:gridCol w:w="2871"/>
        <w:gridCol w:w="1301"/>
        <w:gridCol w:w="1167"/>
        <w:gridCol w:w="1168"/>
        <w:gridCol w:w="1171"/>
        <w:gridCol w:w="1336"/>
      </w:tblGrid>
      <w:tr w:rsidR="00EA6F68" w:rsidRPr="0025134A" w:rsidTr="001219FE">
        <w:trPr>
          <w:trHeight w:val="20"/>
          <w:tblHeader/>
        </w:trPr>
        <w:tc>
          <w:tcPr>
            <w:tcW w:w="1593" w:type="pct"/>
            <w:tcBorders>
              <w:bottom w:val="single" w:sz="4" w:space="0" w:color="auto"/>
            </w:tcBorders>
            <w:shd w:val="clear" w:color="auto" w:fill="A6A6A6" w:themeFill="background1" w:themeFillShade="A6"/>
            <w:noWrap/>
            <w:hideMark/>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lang w:eastAsia="en-AU" w:bidi="ar-SA"/>
              </w:rPr>
              <w:t>Net cost of Drug to PBS and RPBS</w:t>
            </w:r>
          </w:p>
        </w:tc>
        <w:tc>
          <w:tcPr>
            <w:tcW w:w="722" w:type="pct"/>
            <w:tcBorders>
              <w:bottom w:val="single" w:sz="4" w:space="0" w:color="auto"/>
            </w:tcBorders>
            <w:shd w:val="clear" w:color="auto" w:fill="A6A6A6" w:themeFill="background1" w:themeFillShade="A6"/>
            <w:noWrap/>
            <w:hideMark/>
          </w:tcPr>
          <w:p w:rsidR="00EA6F68" w:rsidRPr="00723402" w:rsidRDefault="00EA6F68" w:rsidP="002373FF">
            <w:pPr>
              <w:pStyle w:val="TableCentre"/>
              <w:rPr>
                <w:rStyle w:val="SmallBold"/>
                <w:rFonts w:ascii="Arial Narrow" w:hAnsi="Arial Narrow" w:cs="Arial"/>
                <w:szCs w:val="20"/>
              </w:rPr>
            </w:pPr>
            <w:r w:rsidRPr="00723402">
              <w:rPr>
                <w:rStyle w:val="SmallBold"/>
                <w:rFonts w:ascii="Arial Narrow" w:hAnsi="Arial Narrow" w:cs="Arial"/>
                <w:szCs w:val="20"/>
              </w:rPr>
              <w:t>Year 1</w:t>
            </w:r>
          </w:p>
        </w:tc>
        <w:tc>
          <w:tcPr>
            <w:tcW w:w="648" w:type="pct"/>
            <w:tcBorders>
              <w:bottom w:val="single" w:sz="4" w:space="0" w:color="auto"/>
            </w:tcBorders>
            <w:shd w:val="clear" w:color="auto" w:fill="A6A6A6" w:themeFill="background1" w:themeFillShade="A6"/>
            <w:noWrap/>
            <w:hideMark/>
          </w:tcPr>
          <w:p w:rsidR="00EA6F68" w:rsidRPr="00723402" w:rsidRDefault="00EA6F68" w:rsidP="002373FF">
            <w:pPr>
              <w:pStyle w:val="TableCentre"/>
              <w:rPr>
                <w:rStyle w:val="SmallBold"/>
                <w:rFonts w:ascii="Arial Narrow" w:hAnsi="Arial Narrow" w:cs="Arial"/>
                <w:szCs w:val="20"/>
              </w:rPr>
            </w:pPr>
            <w:r w:rsidRPr="00723402">
              <w:rPr>
                <w:rStyle w:val="SmallBold"/>
                <w:rFonts w:ascii="Arial Narrow" w:hAnsi="Arial Narrow" w:cs="Arial"/>
                <w:szCs w:val="20"/>
              </w:rPr>
              <w:t>Year 2</w:t>
            </w:r>
          </w:p>
        </w:tc>
        <w:tc>
          <w:tcPr>
            <w:tcW w:w="648" w:type="pct"/>
            <w:tcBorders>
              <w:bottom w:val="single" w:sz="4" w:space="0" w:color="auto"/>
            </w:tcBorders>
            <w:shd w:val="clear" w:color="auto" w:fill="A6A6A6" w:themeFill="background1" w:themeFillShade="A6"/>
            <w:noWrap/>
            <w:hideMark/>
          </w:tcPr>
          <w:p w:rsidR="00EA6F68" w:rsidRPr="00723402" w:rsidRDefault="00EA6F68" w:rsidP="002373FF">
            <w:pPr>
              <w:pStyle w:val="TableCentre"/>
              <w:rPr>
                <w:rStyle w:val="SmallBold"/>
                <w:rFonts w:ascii="Arial Narrow" w:hAnsi="Arial Narrow" w:cs="Arial"/>
                <w:szCs w:val="20"/>
              </w:rPr>
            </w:pPr>
            <w:r w:rsidRPr="00723402">
              <w:rPr>
                <w:rStyle w:val="SmallBold"/>
                <w:rFonts w:ascii="Arial Narrow" w:hAnsi="Arial Narrow" w:cs="Arial"/>
                <w:szCs w:val="20"/>
              </w:rPr>
              <w:t>Year 3</w:t>
            </w:r>
          </w:p>
        </w:tc>
        <w:tc>
          <w:tcPr>
            <w:tcW w:w="648" w:type="pct"/>
            <w:tcBorders>
              <w:bottom w:val="single" w:sz="4" w:space="0" w:color="auto"/>
            </w:tcBorders>
            <w:shd w:val="clear" w:color="auto" w:fill="A6A6A6" w:themeFill="background1" w:themeFillShade="A6"/>
            <w:noWrap/>
            <w:hideMark/>
          </w:tcPr>
          <w:p w:rsidR="00EA6F68" w:rsidRPr="00723402" w:rsidRDefault="00EA6F68" w:rsidP="002373FF">
            <w:pPr>
              <w:pStyle w:val="TableCentre"/>
              <w:rPr>
                <w:rStyle w:val="SmallBold"/>
                <w:rFonts w:ascii="Arial Narrow" w:hAnsi="Arial Narrow" w:cs="Arial"/>
                <w:szCs w:val="20"/>
              </w:rPr>
            </w:pPr>
            <w:r w:rsidRPr="00723402">
              <w:rPr>
                <w:rStyle w:val="SmallBold"/>
                <w:rFonts w:ascii="Arial Narrow" w:hAnsi="Arial Narrow" w:cs="Arial"/>
                <w:szCs w:val="20"/>
              </w:rPr>
              <w:t>Year 4</w:t>
            </w:r>
          </w:p>
        </w:tc>
        <w:tc>
          <w:tcPr>
            <w:tcW w:w="740" w:type="pct"/>
            <w:tcBorders>
              <w:bottom w:val="single" w:sz="4" w:space="0" w:color="auto"/>
            </w:tcBorders>
            <w:shd w:val="clear" w:color="auto" w:fill="A6A6A6" w:themeFill="background1" w:themeFillShade="A6"/>
            <w:noWrap/>
            <w:hideMark/>
          </w:tcPr>
          <w:p w:rsidR="00EA6F68" w:rsidRPr="00723402" w:rsidRDefault="00EA6F68" w:rsidP="002373FF">
            <w:pPr>
              <w:pStyle w:val="TableCentre"/>
              <w:rPr>
                <w:rStyle w:val="SmallBold"/>
                <w:rFonts w:ascii="Arial Narrow" w:hAnsi="Arial Narrow" w:cs="Arial"/>
                <w:szCs w:val="20"/>
              </w:rPr>
            </w:pPr>
            <w:r w:rsidRPr="00723402">
              <w:rPr>
                <w:rStyle w:val="SmallBold"/>
                <w:rFonts w:ascii="Arial Narrow" w:hAnsi="Arial Narrow" w:cs="Arial"/>
                <w:szCs w:val="20"/>
              </w:rPr>
              <w:t>Year 5</w:t>
            </w:r>
          </w:p>
        </w:tc>
      </w:tr>
      <w:tr w:rsidR="00EA6F68" w:rsidRPr="0025134A" w:rsidTr="00DB49A3">
        <w:trPr>
          <w:trHeight w:val="20"/>
        </w:trPr>
        <w:tc>
          <w:tcPr>
            <w:tcW w:w="1593" w:type="pct"/>
            <w:tcBorders>
              <w:right w:val="nil"/>
            </w:tcBorders>
            <w:shd w:val="clear" w:color="auto" w:fill="D9D9D9" w:themeFill="background1" w:themeFillShade="D9"/>
            <w:hideMark/>
          </w:tcPr>
          <w:p w:rsidR="00EA6F68" w:rsidRPr="00723402" w:rsidRDefault="00EA6F68" w:rsidP="002373FF">
            <w:pPr>
              <w:pStyle w:val="Table"/>
              <w:rPr>
                <w:rFonts w:ascii="Arial Narrow" w:hAnsi="Arial Narrow" w:cs="Arial"/>
                <w:szCs w:val="20"/>
                <w:lang w:eastAsia="en-AU" w:bidi="ar-SA"/>
              </w:rPr>
            </w:pPr>
            <w:proofErr w:type="spellStart"/>
            <w:r w:rsidRPr="00723402">
              <w:rPr>
                <w:rFonts w:ascii="Arial Narrow" w:hAnsi="Arial Narrow" w:cs="Arial"/>
                <w:szCs w:val="20"/>
                <w:lang w:eastAsia="en-AU" w:bidi="ar-SA"/>
              </w:rPr>
              <w:t>Bi</w:t>
            </w:r>
            <w:proofErr w:type="spellEnd"/>
            <w:r w:rsidRPr="00723402">
              <w:rPr>
                <w:rFonts w:ascii="Arial Narrow" w:hAnsi="Arial Narrow" w:cs="Arial"/>
                <w:szCs w:val="20"/>
                <w:lang w:eastAsia="en-AU" w:bidi="ar-SA"/>
              </w:rPr>
              <w:t xml:space="preserve"> ELIGARD CP</w:t>
            </w:r>
          </w:p>
        </w:tc>
        <w:tc>
          <w:tcPr>
            <w:tcW w:w="722" w:type="pct"/>
            <w:tcBorders>
              <w:left w:val="nil"/>
              <w:right w:val="nil"/>
            </w:tcBorders>
            <w:shd w:val="clear" w:color="auto" w:fill="D9D9D9" w:themeFill="background1" w:themeFillShade="D9"/>
            <w:noWrap/>
            <w:hideMark/>
          </w:tcPr>
          <w:p w:rsidR="00EA6F68" w:rsidRPr="00723402" w:rsidRDefault="00EA6F68" w:rsidP="002373FF">
            <w:pPr>
              <w:pStyle w:val="Table"/>
              <w:jc w:val="right"/>
              <w:rPr>
                <w:rFonts w:ascii="Arial Narrow" w:hAnsi="Arial Narrow" w:cs="Arial"/>
                <w:szCs w:val="20"/>
                <w:lang w:eastAsia="en-AU" w:bidi="ar-SA"/>
              </w:rPr>
            </w:pPr>
          </w:p>
        </w:tc>
        <w:tc>
          <w:tcPr>
            <w:tcW w:w="648" w:type="pct"/>
            <w:tcBorders>
              <w:left w:val="nil"/>
              <w:right w:val="nil"/>
            </w:tcBorders>
            <w:shd w:val="clear" w:color="auto" w:fill="D9D9D9" w:themeFill="background1" w:themeFillShade="D9"/>
            <w:noWrap/>
            <w:hideMark/>
          </w:tcPr>
          <w:p w:rsidR="00EA6F68" w:rsidRPr="00723402" w:rsidRDefault="00EA6F68" w:rsidP="002373FF">
            <w:pPr>
              <w:pStyle w:val="Table"/>
              <w:jc w:val="right"/>
              <w:rPr>
                <w:rFonts w:ascii="Arial Narrow" w:hAnsi="Arial Narrow" w:cs="Arial"/>
                <w:szCs w:val="20"/>
                <w:lang w:eastAsia="en-AU" w:bidi="ar-SA"/>
              </w:rPr>
            </w:pPr>
          </w:p>
        </w:tc>
        <w:tc>
          <w:tcPr>
            <w:tcW w:w="648" w:type="pct"/>
            <w:tcBorders>
              <w:left w:val="nil"/>
              <w:right w:val="nil"/>
            </w:tcBorders>
            <w:shd w:val="clear" w:color="auto" w:fill="D9D9D9" w:themeFill="background1" w:themeFillShade="D9"/>
            <w:noWrap/>
            <w:hideMark/>
          </w:tcPr>
          <w:p w:rsidR="00EA6F68" w:rsidRPr="00723402" w:rsidRDefault="00EA6F68" w:rsidP="002373FF">
            <w:pPr>
              <w:pStyle w:val="Table"/>
              <w:jc w:val="right"/>
              <w:rPr>
                <w:rFonts w:ascii="Arial Narrow" w:hAnsi="Arial Narrow" w:cs="Arial"/>
                <w:szCs w:val="20"/>
                <w:lang w:eastAsia="en-AU" w:bidi="ar-SA"/>
              </w:rPr>
            </w:pPr>
          </w:p>
        </w:tc>
        <w:tc>
          <w:tcPr>
            <w:tcW w:w="648" w:type="pct"/>
            <w:tcBorders>
              <w:left w:val="nil"/>
              <w:right w:val="nil"/>
            </w:tcBorders>
            <w:shd w:val="clear" w:color="auto" w:fill="D9D9D9" w:themeFill="background1" w:themeFillShade="D9"/>
            <w:noWrap/>
            <w:hideMark/>
          </w:tcPr>
          <w:p w:rsidR="00EA6F68" w:rsidRPr="00723402" w:rsidRDefault="00EA6F68" w:rsidP="002373FF">
            <w:pPr>
              <w:pStyle w:val="Table"/>
              <w:jc w:val="right"/>
              <w:rPr>
                <w:rFonts w:ascii="Arial Narrow" w:hAnsi="Arial Narrow" w:cs="Arial"/>
                <w:szCs w:val="20"/>
                <w:lang w:eastAsia="en-AU" w:bidi="ar-SA"/>
              </w:rPr>
            </w:pPr>
          </w:p>
        </w:tc>
        <w:tc>
          <w:tcPr>
            <w:tcW w:w="740" w:type="pct"/>
            <w:tcBorders>
              <w:left w:val="nil"/>
            </w:tcBorders>
            <w:shd w:val="clear" w:color="auto" w:fill="D9D9D9" w:themeFill="background1" w:themeFillShade="D9"/>
            <w:noWrap/>
            <w:hideMark/>
          </w:tcPr>
          <w:p w:rsidR="00EA6F68" w:rsidRPr="00723402" w:rsidRDefault="00EA6F68" w:rsidP="002373FF">
            <w:pPr>
              <w:pStyle w:val="Table"/>
              <w:jc w:val="right"/>
              <w:rPr>
                <w:rFonts w:ascii="Arial Narrow" w:hAnsi="Arial Narrow" w:cs="Arial"/>
                <w:szCs w:val="20"/>
                <w:lang w:eastAsia="en-AU" w:bidi="ar-SA"/>
              </w:rPr>
            </w:pPr>
          </w:p>
        </w:tc>
      </w:tr>
      <w:tr w:rsidR="00EA6F68" w:rsidRPr="0025134A" w:rsidTr="00DB49A3">
        <w:trPr>
          <w:trHeight w:val="20"/>
        </w:trPr>
        <w:tc>
          <w:tcPr>
            <w:tcW w:w="1593" w:type="pct"/>
            <w:shd w:val="clear" w:color="auto" w:fill="auto"/>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rPr>
              <w:t>Total Services provided</w:t>
            </w:r>
          </w:p>
        </w:tc>
        <w:tc>
          <w:tcPr>
            <w:tcW w:w="722" w:type="pct"/>
            <w:shd w:val="clear" w:color="auto" w:fill="auto"/>
            <w:noWrap/>
          </w:tcPr>
          <w:p w:rsidR="00EA6F68" w:rsidRPr="00892BF0" w:rsidRDefault="00892BF0" w:rsidP="002373FF">
            <w:pPr>
              <w:pStyle w:val="Table"/>
              <w:jc w:val="right"/>
              <w:rPr>
                <w:rFonts w:ascii="Arial Narrow" w:hAnsi="Arial Narrow" w:cs="Arial"/>
                <w:szCs w:val="20"/>
                <w:highlight w:val="black"/>
                <w:lang w:eastAsia="en-AU" w:bidi="ar-SA"/>
              </w:rPr>
            </w:pPr>
            <w:r>
              <w:rPr>
                <w:rFonts w:ascii="Arial Narrow" w:hAnsi="Arial Narrow" w:cs="Arial"/>
                <w:noProof/>
                <w:color w:val="000000"/>
                <w:szCs w:val="20"/>
                <w:highlight w:val="black"/>
              </w:rPr>
              <w:t>'''''''''''''''</w:t>
            </w:r>
          </w:p>
        </w:tc>
        <w:tc>
          <w:tcPr>
            <w:tcW w:w="648" w:type="pct"/>
            <w:shd w:val="clear" w:color="auto" w:fill="auto"/>
            <w:noWrap/>
          </w:tcPr>
          <w:p w:rsidR="00EA6F68" w:rsidRPr="00892BF0" w:rsidRDefault="00892BF0" w:rsidP="002373FF">
            <w:pPr>
              <w:pStyle w:val="Table"/>
              <w:jc w:val="right"/>
              <w:rPr>
                <w:rFonts w:ascii="Arial Narrow" w:hAnsi="Arial Narrow" w:cs="Arial"/>
                <w:szCs w:val="20"/>
                <w:highlight w:val="black"/>
                <w:lang w:eastAsia="en-AU" w:bidi="ar-SA"/>
              </w:rPr>
            </w:pPr>
            <w:r>
              <w:rPr>
                <w:rFonts w:ascii="Arial Narrow" w:hAnsi="Arial Narrow" w:cs="Arial"/>
                <w:noProof/>
                <w:color w:val="000000"/>
                <w:szCs w:val="20"/>
                <w:highlight w:val="black"/>
              </w:rPr>
              <w:t>'''''''''''''''</w:t>
            </w:r>
          </w:p>
        </w:tc>
        <w:tc>
          <w:tcPr>
            <w:tcW w:w="648" w:type="pct"/>
            <w:shd w:val="clear" w:color="auto" w:fill="auto"/>
            <w:noWrap/>
          </w:tcPr>
          <w:p w:rsidR="00EA6F68" w:rsidRPr="00892BF0" w:rsidRDefault="00892BF0" w:rsidP="002373FF">
            <w:pPr>
              <w:pStyle w:val="Table"/>
              <w:jc w:val="right"/>
              <w:rPr>
                <w:rFonts w:ascii="Arial Narrow" w:hAnsi="Arial Narrow" w:cs="Arial"/>
                <w:szCs w:val="20"/>
                <w:highlight w:val="black"/>
                <w:lang w:eastAsia="en-AU" w:bidi="ar-SA"/>
              </w:rPr>
            </w:pPr>
            <w:r>
              <w:rPr>
                <w:rFonts w:ascii="Arial Narrow" w:hAnsi="Arial Narrow" w:cs="Arial"/>
                <w:noProof/>
                <w:color w:val="000000"/>
                <w:szCs w:val="20"/>
                <w:highlight w:val="black"/>
              </w:rPr>
              <w:t>'''''''''''''</w:t>
            </w:r>
          </w:p>
        </w:tc>
        <w:tc>
          <w:tcPr>
            <w:tcW w:w="648" w:type="pct"/>
            <w:shd w:val="clear" w:color="auto" w:fill="auto"/>
            <w:noWrap/>
          </w:tcPr>
          <w:p w:rsidR="00EA6F68" w:rsidRPr="00892BF0" w:rsidRDefault="00892BF0" w:rsidP="002373FF">
            <w:pPr>
              <w:pStyle w:val="Table"/>
              <w:jc w:val="right"/>
              <w:rPr>
                <w:rFonts w:ascii="Arial Narrow" w:hAnsi="Arial Narrow" w:cs="Arial"/>
                <w:szCs w:val="20"/>
                <w:highlight w:val="black"/>
                <w:lang w:eastAsia="en-AU" w:bidi="ar-SA"/>
              </w:rPr>
            </w:pPr>
            <w:r>
              <w:rPr>
                <w:rFonts w:ascii="Arial Narrow" w:hAnsi="Arial Narrow" w:cs="Arial"/>
                <w:noProof/>
                <w:color w:val="000000"/>
                <w:szCs w:val="20"/>
                <w:highlight w:val="black"/>
              </w:rPr>
              <w:t>'''''''''''''</w:t>
            </w:r>
          </w:p>
        </w:tc>
        <w:tc>
          <w:tcPr>
            <w:tcW w:w="740" w:type="pct"/>
            <w:shd w:val="clear" w:color="auto" w:fill="auto"/>
            <w:noWrap/>
          </w:tcPr>
          <w:p w:rsidR="00EA6F68" w:rsidRPr="00892BF0" w:rsidRDefault="00892BF0" w:rsidP="002373FF">
            <w:pPr>
              <w:pStyle w:val="Table"/>
              <w:jc w:val="right"/>
              <w:rPr>
                <w:rFonts w:ascii="Arial Narrow" w:hAnsi="Arial Narrow" w:cs="Arial"/>
                <w:szCs w:val="20"/>
                <w:highlight w:val="black"/>
                <w:lang w:eastAsia="en-AU" w:bidi="ar-SA"/>
              </w:rPr>
            </w:pPr>
            <w:r>
              <w:rPr>
                <w:rFonts w:ascii="Arial Narrow" w:hAnsi="Arial Narrow" w:cs="Arial"/>
                <w:noProof/>
                <w:color w:val="000000"/>
                <w:szCs w:val="20"/>
                <w:highlight w:val="black"/>
              </w:rPr>
              <w:t>'''''''''''''</w:t>
            </w:r>
          </w:p>
        </w:tc>
      </w:tr>
      <w:tr w:rsidR="00EA6F68" w:rsidRPr="0025134A" w:rsidTr="00DB49A3">
        <w:trPr>
          <w:trHeight w:val="20"/>
        </w:trPr>
        <w:tc>
          <w:tcPr>
            <w:tcW w:w="1593" w:type="pct"/>
            <w:hideMark/>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rPr>
              <w:t>Net Cost to PBS</w:t>
            </w:r>
          </w:p>
        </w:tc>
        <w:tc>
          <w:tcPr>
            <w:tcW w:w="722"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40"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EA6F68" w:rsidRPr="0025134A" w:rsidTr="00DB49A3">
        <w:trPr>
          <w:trHeight w:val="20"/>
        </w:trPr>
        <w:tc>
          <w:tcPr>
            <w:tcW w:w="1593" w:type="pct"/>
            <w:hideMark/>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rPr>
              <w:t>Net Cost to RPBS</w:t>
            </w:r>
          </w:p>
        </w:tc>
        <w:tc>
          <w:tcPr>
            <w:tcW w:w="722"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40"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EA6F68" w:rsidRPr="0025134A" w:rsidTr="00DB49A3">
        <w:trPr>
          <w:trHeight w:val="20"/>
        </w:trPr>
        <w:tc>
          <w:tcPr>
            <w:tcW w:w="1593" w:type="pct"/>
            <w:tcBorders>
              <w:bottom w:val="single" w:sz="4" w:space="0" w:color="auto"/>
            </w:tcBorders>
            <w:hideMark/>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rPr>
              <w:t>Total Net Cost</w:t>
            </w:r>
          </w:p>
        </w:tc>
        <w:tc>
          <w:tcPr>
            <w:tcW w:w="722" w:type="pct"/>
            <w:tcBorders>
              <w:bottom w:val="single" w:sz="4" w:space="0" w:color="auto"/>
            </w:tcBorders>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tcBorders>
              <w:bottom w:val="single" w:sz="4" w:space="0" w:color="auto"/>
            </w:tcBorders>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tcBorders>
              <w:bottom w:val="single" w:sz="4" w:space="0" w:color="auto"/>
            </w:tcBorders>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tcBorders>
              <w:bottom w:val="single" w:sz="4" w:space="0" w:color="auto"/>
            </w:tcBorders>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40" w:type="pct"/>
            <w:tcBorders>
              <w:bottom w:val="single" w:sz="4" w:space="0" w:color="auto"/>
            </w:tcBorders>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EA6F68" w:rsidRPr="0025134A" w:rsidTr="00DB49A3">
        <w:trPr>
          <w:trHeight w:val="20"/>
        </w:trPr>
        <w:tc>
          <w:tcPr>
            <w:tcW w:w="5000" w:type="pct"/>
            <w:gridSpan w:val="6"/>
            <w:shd w:val="clear" w:color="auto" w:fill="D9D9D9" w:themeFill="background1" w:themeFillShade="D9"/>
            <w:hideMark/>
          </w:tcPr>
          <w:p w:rsidR="00EA6F68" w:rsidRPr="00723402" w:rsidRDefault="00EA6F68" w:rsidP="002373FF">
            <w:pPr>
              <w:pStyle w:val="Table"/>
              <w:jc w:val="left"/>
              <w:rPr>
                <w:rFonts w:ascii="Arial Narrow" w:hAnsi="Arial Narrow" w:cs="Arial"/>
                <w:szCs w:val="20"/>
                <w:lang w:eastAsia="en-AU" w:bidi="ar-SA"/>
              </w:rPr>
            </w:pPr>
            <w:r w:rsidRPr="00723402">
              <w:rPr>
                <w:rFonts w:ascii="Arial Narrow" w:hAnsi="Arial Narrow" w:cs="Arial"/>
                <w:szCs w:val="20"/>
              </w:rPr>
              <w:t>Changes in use and cost of other medicines</w:t>
            </w:r>
          </w:p>
        </w:tc>
      </w:tr>
      <w:tr w:rsidR="00EA6F68" w:rsidRPr="0025134A" w:rsidTr="00DB49A3">
        <w:trPr>
          <w:trHeight w:val="20"/>
        </w:trPr>
        <w:tc>
          <w:tcPr>
            <w:tcW w:w="1593" w:type="pct"/>
            <w:shd w:val="clear" w:color="auto" w:fill="auto"/>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rPr>
              <w:t>Total Services provided</w:t>
            </w:r>
          </w:p>
        </w:tc>
        <w:tc>
          <w:tcPr>
            <w:tcW w:w="722" w:type="pct"/>
            <w:shd w:val="clear" w:color="auto" w:fill="auto"/>
            <w:noWrap/>
          </w:tcPr>
          <w:p w:rsidR="00EA6F68" w:rsidRPr="00892BF0" w:rsidRDefault="00892BF0" w:rsidP="002373FF">
            <w:pPr>
              <w:pStyle w:val="Table"/>
              <w:jc w:val="right"/>
              <w:rPr>
                <w:rFonts w:ascii="Arial Narrow" w:hAnsi="Arial Narrow" w:cs="Arial"/>
                <w:szCs w:val="20"/>
                <w:highlight w:val="black"/>
                <w:lang w:eastAsia="en-AU" w:bidi="ar-SA"/>
              </w:rPr>
            </w:pPr>
            <w:r>
              <w:rPr>
                <w:rFonts w:ascii="Arial Narrow" w:hAnsi="Arial Narrow" w:cs="Arial"/>
                <w:noProof/>
                <w:color w:val="000000"/>
                <w:szCs w:val="20"/>
                <w:highlight w:val="black"/>
              </w:rPr>
              <w:t>''''''''''''</w:t>
            </w:r>
          </w:p>
        </w:tc>
        <w:tc>
          <w:tcPr>
            <w:tcW w:w="648" w:type="pct"/>
            <w:shd w:val="clear" w:color="auto" w:fill="auto"/>
            <w:noWrap/>
          </w:tcPr>
          <w:p w:rsidR="00EA6F68" w:rsidRPr="00892BF0" w:rsidRDefault="00892BF0" w:rsidP="002373FF">
            <w:pPr>
              <w:pStyle w:val="Table"/>
              <w:jc w:val="right"/>
              <w:rPr>
                <w:rFonts w:ascii="Arial Narrow" w:hAnsi="Arial Narrow" w:cs="Arial"/>
                <w:szCs w:val="20"/>
                <w:highlight w:val="black"/>
                <w:lang w:eastAsia="en-AU" w:bidi="ar-SA"/>
              </w:rPr>
            </w:pPr>
            <w:r>
              <w:rPr>
                <w:rFonts w:ascii="Arial Narrow" w:hAnsi="Arial Narrow" w:cs="Arial"/>
                <w:noProof/>
                <w:color w:val="000000"/>
                <w:szCs w:val="20"/>
                <w:highlight w:val="black"/>
              </w:rPr>
              <w:t>'''''''''''''</w:t>
            </w:r>
          </w:p>
        </w:tc>
        <w:tc>
          <w:tcPr>
            <w:tcW w:w="648" w:type="pct"/>
            <w:shd w:val="clear" w:color="auto" w:fill="auto"/>
            <w:noWrap/>
          </w:tcPr>
          <w:p w:rsidR="00EA6F68" w:rsidRPr="00892BF0" w:rsidRDefault="00892BF0" w:rsidP="002373FF">
            <w:pPr>
              <w:pStyle w:val="Table"/>
              <w:jc w:val="right"/>
              <w:rPr>
                <w:rFonts w:ascii="Arial Narrow" w:hAnsi="Arial Narrow" w:cs="Arial"/>
                <w:szCs w:val="20"/>
                <w:highlight w:val="black"/>
                <w:lang w:eastAsia="en-AU" w:bidi="ar-SA"/>
              </w:rPr>
            </w:pPr>
            <w:r>
              <w:rPr>
                <w:rFonts w:ascii="Arial Narrow" w:hAnsi="Arial Narrow" w:cs="Arial"/>
                <w:noProof/>
                <w:color w:val="000000"/>
                <w:szCs w:val="20"/>
                <w:highlight w:val="black"/>
              </w:rPr>
              <w:t>'''''''''''''</w:t>
            </w:r>
          </w:p>
        </w:tc>
        <w:tc>
          <w:tcPr>
            <w:tcW w:w="648" w:type="pct"/>
            <w:shd w:val="clear" w:color="auto" w:fill="auto"/>
            <w:noWrap/>
          </w:tcPr>
          <w:p w:rsidR="00EA6F68" w:rsidRPr="00892BF0" w:rsidRDefault="00892BF0" w:rsidP="002373FF">
            <w:pPr>
              <w:pStyle w:val="Table"/>
              <w:jc w:val="right"/>
              <w:rPr>
                <w:rFonts w:ascii="Arial Narrow" w:hAnsi="Arial Narrow" w:cs="Arial"/>
                <w:szCs w:val="20"/>
                <w:highlight w:val="black"/>
                <w:lang w:eastAsia="en-AU" w:bidi="ar-SA"/>
              </w:rPr>
            </w:pPr>
            <w:r>
              <w:rPr>
                <w:rFonts w:ascii="Arial Narrow" w:hAnsi="Arial Narrow" w:cs="Arial"/>
                <w:noProof/>
                <w:color w:val="000000"/>
                <w:szCs w:val="20"/>
                <w:highlight w:val="black"/>
              </w:rPr>
              <w:t>'''''''''''''</w:t>
            </w:r>
          </w:p>
        </w:tc>
        <w:tc>
          <w:tcPr>
            <w:tcW w:w="740" w:type="pct"/>
            <w:shd w:val="clear" w:color="auto" w:fill="auto"/>
            <w:noWrap/>
          </w:tcPr>
          <w:p w:rsidR="00EA6F68" w:rsidRPr="00892BF0" w:rsidRDefault="00892BF0" w:rsidP="002373FF">
            <w:pPr>
              <w:pStyle w:val="Table"/>
              <w:jc w:val="right"/>
              <w:rPr>
                <w:rFonts w:ascii="Arial Narrow" w:hAnsi="Arial Narrow" w:cs="Arial"/>
                <w:szCs w:val="20"/>
                <w:highlight w:val="black"/>
                <w:lang w:eastAsia="en-AU" w:bidi="ar-SA"/>
              </w:rPr>
            </w:pPr>
            <w:r>
              <w:rPr>
                <w:rFonts w:ascii="Arial Narrow" w:hAnsi="Arial Narrow" w:cs="Arial"/>
                <w:noProof/>
                <w:color w:val="000000"/>
                <w:szCs w:val="20"/>
                <w:highlight w:val="black"/>
              </w:rPr>
              <w:t>''''''''''''</w:t>
            </w:r>
          </w:p>
        </w:tc>
      </w:tr>
      <w:tr w:rsidR="00EA6F68" w:rsidRPr="0025134A" w:rsidTr="00DB49A3">
        <w:trPr>
          <w:trHeight w:val="20"/>
        </w:trPr>
        <w:tc>
          <w:tcPr>
            <w:tcW w:w="1593" w:type="pct"/>
            <w:hideMark/>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rPr>
              <w:t>Net Cost to PBS</w:t>
            </w:r>
          </w:p>
        </w:tc>
        <w:tc>
          <w:tcPr>
            <w:tcW w:w="722"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40"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EA6F68" w:rsidRPr="0025134A" w:rsidTr="00DB49A3">
        <w:trPr>
          <w:trHeight w:val="20"/>
        </w:trPr>
        <w:tc>
          <w:tcPr>
            <w:tcW w:w="1593" w:type="pct"/>
            <w:hideMark/>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rPr>
              <w:t>Net Cost to RPBS</w:t>
            </w:r>
          </w:p>
        </w:tc>
        <w:tc>
          <w:tcPr>
            <w:tcW w:w="722"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40"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EA6F68" w:rsidRPr="0025134A" w:rsidTr="00DB49A3">
        <w:trPr>
          <w:trHeight w:val="20"/>
        </w:trPr>
        <w:tc>
          <w:tcPr>
            <w:tcW w:w="1593" w:type="pct"/>
            <w:tcBorders>
              <w:bottom w:val="single" w:sz="4" w:space="0" w:color="auto"/>
            </w:tcBorders>
            <w:hideMark/>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rPr>
              <w:t>Total Net Cost</w:t>
            </w:r>
          </w:p>
        </w:tc>
        <w:tc>
          <w:tcPr>
            <w:tcW w:w="722" w:type="pct"/>
            <w:tcBorders>
              <w:bottom w:val="single" w:sz="4" w:space="0" w:color="auto"/>
            </w:tcBorders>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tcBorders>
              <w:bottom w:val="single" w:sz="4" w:space="0" w:color="auto"/>
            </w:tcBorders>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tcBorders>
              <w:bottom w:val="single" w:sz="4" w:space="0" w:color="auto"/>
            </w:tcBorders>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tcBorders>
              <w:bottom w:val="single" w:sz="4" w:space="0" w:color="auto"/>
            </w:tcBorders>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40" w:type="pct"/>
            <w:tcBorders>
              <w:bottom w:val="single" w:sz="4" w:space="0" w:color="auto"/>
            </w:tcBorders>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 xml:space="preserve"> $</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EA6F68" w:rsidRPr="0025134A" w:rsidTr="00DB49A3">
        <w:trPr>
          <w:trHeight w:val="20"/>
        </w:trPr>
        <w:tc>
          <w:tcPr>
            <w:tcW w:w="1593" w:type="pct"/>
            <w:tcBorders>
              <w:right w:val="nil"/>
            </w:tcBorders>
            <w:shd w:val="clear" w:color="auto" w:fill="D9D9D9" w:themeFill="background1" w:themeFillShade="D9"/>
            <w:hideMark/>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rPr>
              <w:t>Net cost to PBS/RPBS</w:t>
            </w:r>
          </w:p>
        </w:tc>
        <w:tc>
          <w:tcPr>
            <w:tcW w:w="722" w:type="pct"/>
            <w:tcBorders>
              <w:left w:val="nil"/>
              <w:bottom w:val="single" w:sz="4" w:space="0" w:color="auto"/>
              <w:right w:val="nil"/>
            </w:tcBorders>
            <w:shd w:val="clear" w:color="auto" w:fill="D9D9D9" w:themeFill="background1" w:themeFillShade="D9"/>
            <w:noWrap/>
          </w:tcPr>
          <w:p w:rsidR="00EA6F68" w:rsidRPr="00723402" w:rsidRDefault="00EA6F68" w:rsidP="002373FF">
            <w:pPr>
              <w:pStyle w:val="Table"/>
              <w:jc w:val="right"/>
              <w:rPr>
                <w:rFonts w:ascii="Arial Narrow" w:hAnsi="Arial Narrow" w:cs="Arial"/>
                <w:szCs w:val="20"/>
                <w:lang w:eastAsia="en-AU" w:bidi="ar-SA"/>
              </w:rPr>
            </w:pPr>
          </w:p>
        </w:tc>
        <w:tc>
          <w:tcPr>
            <w:tcW w:w="648" w:type="pct"/>
            <w:tcBorders>
              <w:left w:val="nil"/>
              <w:bottom w:val="single" w:sz="4" w:space="0" w:color="auto"/>
              <w:right w:val="nil"/>
            </w:tcBorders>
            <w:shd w:val="clear" w:color="auto" w:fill="D9D9D9" w:themeFill="background1" w:themeFillShade="D9"/>
            <w:noWrap/>
          </w:tcPr>
          <w:p w:rsidR="00EA6F68" w:rsidRPr="00723402" w:rsidRDefault="00EA6F68" w:rsidP="002373FF">
            <w:pPr>
              <w:pStyle w:val="Table"/>
              <w:jc w:val="right"/>
              <w:rPr>
                <w:rFonts w:ascii="Arial Narrow" w:hAnsi="Arial Narrow" w:cs="Arial"/>
                <w:szCs w:val="20"/>
                <w:lang w:eastAsia="en-AU" w:bidi="ar-SA"/>
              </w:rPr>
            </w:pPr>
          </w:p>
        </w:tc>
        <w:tc>
          <w:tcPr>
            <w:tcW w:w="648" w:type="pct"/>
            <w:tcBorders>
              <w:left w:val="nil"/>
              <w:bottom w:val="single" w:sz="4" w:space="0" w:color="auto"/>
              <w:right w:val="nil"/>
            </w:tcBorders>
            <w:shd w:val="clear" w:color="auto" w:fill="D9D9D9" w:themeFill="background1" w:themeFillShade="D9"/>
            <w:noWrap/>
          </w:tcPr>
          <w:p w:rsidR="00EA6F68" w:rsidRPr="00723402" w:rsidRDefault="00EA6F68" w:rsidP="002373FF">
            <w:pPr>
              <w:pStyle w:val="Table"/>
              <w:jc w:val="right"/>
              <w:rPr>
                <w:rFonts w:ascii="Arial Narrow" w:hAnsi="Arial Narrow" w:cs="Arial"/>
                <w:szCs w:val="20"/>
                <w:lang w:eastAsia="en-AU" w:bidi="ar-SA"/>
              </w:rPr>
            </w:pPr>
          </w:p>
        </w:tc>
        <w:tc>
          <w:tcPr>
            <w:tcW w:w="648" w:type="pct"/>
            <w:tcBorders>
              <w:left w:val="nil"/>
              <w:bottom w:val="single" w:sz="4" w:space="0" w:color="auto"/>
              <w:right w:val="nil"/>
            </w:tcBorders>
            <w:shd w:val="clear" w:color="auto" w:fill="D9D9D9" w:themeFill="background1" w:themeFillShade="D9"/>
            <w:noWrap/>
          </w:tcPr>
          <w:p w:rsidR="00EA6F68" w:rsidRPr="00723402" w:rsidRDefault="00EA6F68" w:rsidP="002373FF">
            <w:pPr>
              <w:pStyle w:val="Table"/>
              <w:jc w:val="right"/>
              <w:rPr>
                <w:rFonts w:ascii="Arial Narrow" w:hAnsi="Arial Narrow" w:cs="Arial"/>
                <w:szCs w:val="20"/>
                <w:lang w:eastAsia="en-AU" w:bidi="ar-SA"/>
              </w:rPr>
            </w:pPr>
          </w:p>
        </w:tc>
        <w:tc>
          <w:tcPr>
            <w:tcW w:w="740" w:type="pct"/>
            <w:tcBorders>
              <w:left w:val="nil"/>
              <w:bottom w:val="single" w:sz="4" w:space="0" w:color="auto"/>
            </w:tcBorders>
            <w:shd w:val="clear" w:color="auto" w:fill="D9D9D9" w:themeFill="background1" w:themeFillShade="D9"/>
            <w:noWrap/>
          </w:tcPr>
          <w:p w:rsidR="00EA6F68" w:rsidRPr="00723402" w:rsidRDefault="00EA6F68" w:rsidP="002373FF">
            <w:pPr>
              <w:pStyle w:val="Table"/>
              <w:jc w:val="right"/>
              <w:rPr>
                <w:rFonts w:ascii="Arial Narrow" w:hAnsi="Arial Narrow" w:cs="Arial"/>
                <w:szCs w:val="20"/>
                <w:lang w:eastAsia="en-AU" w:bidi="ar-SA"/>
              </w:rPr>
            </w:pPr>
          </w:p>
        </w:tc>
      </w:tr>
      <w:tr w:rsidR="00EA6F68" w:rsidRPr="0025134A" w:rsidTr="00DB49A3">
        <w:trPr>
          <w:trHeight w:val="20"/>
        </w:trPr>
        <w:tc>
          <w:tcPr>
            <w:tcW w:w="1593" w:type="pct"/>
            <w:tcBorders>
              <w:right w:val="single" w:sz="4" w:space="0" w:color="auto"/>
            </w:tcBorders>
            <w:shd w:val="clear" w:color="auto" w:fill="auto"/>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rPr>
              <w:t>Net Services provided</w:t>
            </w:r>
          </w:p>
        </w:tc>
        <w:tc>
          <w:tcPr>
            <w:tcW w:w="722" w:type="pct"/>
            <w:tcBorders>
              <w:left w:val="single" w:sz="4" w:space="0" w:color="auto"/>
              <w:right w:val="single" w:sz="4" w:space="0" w:color="auto"/>
            </w:tcBorders>
            <w:shd w:val="clear" w:color="auto" w:fill="auto"/>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p>
        </w:tc>
        <w:tc>
          <w:tcPr>
            <w:tcW w:w="648" w:type="pct"/>
            <w:tcBorders>
              <w:left w:val="single" w:sz="4" w:space="0" w:color="auto"/>
              <w:right w:val="single" w:sz="4" w:space="0" w:color="auto"/>
            </w:tcBorders>
            <w:shd w:val="clear" w:color="auto" w:fill="auto"/>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p>
        </w:tc>
        <w:tc>
          <w:tcPr>
            <w:tcW w:w="648" w:type="pct"/>
            <w:tcBorders>
              <w:left w:val="single" w:sz="4" w:space="0" w:color="auto"/>
              <w:right w:val="single" w:sz="4" w:space="0" w:color="auto"/>
            </w:tcBorders>
            <w:shd w:val="clear" w:color="auto" w:fill="auto"/>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p>
        </w:tc>
        <w:tc>
          <w:tcPr>
            <w:tcW w:w="648" w:type="pct"/>
            <w:tcBorders>
              <w:left w:val="single" w:sz="4" w:space="0" w:color="auto"/>
              <w:right w:val="single" w:sz="4" w:space="0" w:color="auto"/>
            </w:tcBorders>
            <w:shd w:val="clear" w:color="auto" w:fill="auto"/>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p>
        </w:tc>
        <w:tc>
          <w:tcPr>
            <w:tcW w:w="740" w:type="pct"/>
            <w:tcBorders>
              <w:left w:val="single" w:sz="4" w:space="0" w:color="auto"/>
            </w:tcBorders>
            <w:shd w:val="clear" w:color="auto" w:fill="auto"/>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p>
        </w:tc>
      </w:tr>
      <w:tr w:rsidR="00EA6F68" w:rsidRPr="0025134A" w:rsidTr="00DB49A3">
        <w:trPr>
          <w:trHeight w:val="20"/>
        </w:trPr>
        <w:tc>
          <w:tcPr>
            <w:tcW w:w="1593" w:type="pct"/>
            <w:hideMark/>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rPr>
              <w:t>Net Cost to PBS</w:t>
            </w:r>
          </w:p>
        </w:tc>
        <w:tc>
          <w:tcPr>
            <w:tcW w:w="722"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40"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EA6F68" w:rsidRPr="0025134A" w:rsidTr="00DB49A3">
        <w:trPr>
          <w:trHeight w:val="20"/>
        </w:trPr>
        <w:tc>
          <w:tcPr>
            <w:tcW w:w="1593" w:type="pct"/>
            <w:hideMark/>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rPr>
              <w:t>Net Cost to RPBS</w:t>
            </w:r>
          </w:p>
        </w:tc>
        <w:tc>
          <w:tcPr>
            <w:tcW w:w="722"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40"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EA6F68" w:rsidRPr="0025134A" w:rsidTr="00DB49A3">
        <w:trPr>
          <w:trHeight w:val="20"/>
        </w:trPr>
        <w:tc>
          <w:tcPr>
            <w:tcW w:w="1593" w:type="pct"/>
            <w:hideMark/>
          </w:tcPr>
          <w:p w:rsidR="00EA6F68" w:rsidRPr="00723402" w:rsidRDefault="00EA6F68" w:rsidP="002373FF">
            <w:pPr>
              <w:pStyle w:val="Table"/>
              <w:rPr>
                <w:rFonts w:ascii="Arial Narrow" w:hAnsi="Arial Narrow" w:cs="Arial"/>
                <w:szCs w:val="20"/>
                <w:lang w:eastAsia="en-AU" w:bidi="ar-SA"/>
              </w:rPr>
            </w:pPr>
            <w:r w:rsidRPr="00723402">
              <w:rPr>
                <w:rFonts w:ascii="Arial Narrow" w:hAnsi="Arial Narrow" w:cs="Arial"/>
                <w:szCs w:val="20"/>
              </w:rPr>
              <w:t>Total Net Cost</w:t>
            </w:r>
          </w:p>
        </w:tc>
        <w:tc>
          <w:tcPr>
            <w:tcW w:w="722"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648"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40" w:type="pct"/>
            <w:noWrap/>
          </w:tcPr>
          <w:p w:rsidR="00EA6F68" w:rsidRPr="00723402" w:rsidRDefault="00EA6F68" w:rsidP="002373FF">
            <w:pPr>
              <w:pStyle w:val="Table"/>
              <w:jc w:val="right"/>
              <w:rPr>
                <w:rFonts w:ascii="Arial Narrow" w:hAnsi="Arial Narrow" w:cs="Arial"/>
                <w:szCs w:val="20"/>
                <w:lang w:eastAsia="en-AU" w:bidi="ar-SA"/>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bl>
    <w:p w:rsidR="00EA6F68" w:rsidRPr="00ED4427" w:rsidRDefault="00ED4427" w:rsidP="00EA6F68">
      <w:pPr>
        <w:jc w:val="both"/>
        <w:rPr>
          <w:rFonts w:ascii="Arial Narrow" w:hAnsi="Arial Narrow"/>
          <w:sz w:val="20"/>
          <w:szCs w:val="20"/>
        </w:rPr>
      </w:pPr>
      <w:r>
        <w:rPr>
          <w:rFonts w:ascii="Arial Narrow" w:hAnsi="Arial Narrow"/>
          <w:sz w:val="20"/>
          <w:szCs w:val="20"/>
        </w:rPr>
        <w:t>Source: Bi ELIGARD</w:t>
      </w:r>
      <w:r w:rsidR="008615C0">
        <w:rPr>
          <w:rFonts w:ascii="Arial Narrow" w:hAnsi="Arial Narrow"/>
          <w:sz w:val="20"/>
          <w:szCs w:val="20"/>
        </w:rPr>
        <w:t xml:space="preserve"> CP</w:t>
      </w:r>
      <w:r>
        <w:rPr>
          <w:rFonts w:ascii="Arial Narrow" w:hAnsi="Arial Narrow"/>
          <w:sz w:val="20"/>
          <w:szCs w:val="20"/>
        </w:rPr>
        <w:t xml:space="preserve"> submission, pg. 2</w:t>
      </w:r>
      <w:r w:rsidR="00723402">
        <w:rPr>
          <w:rFonts w:ascii="Arial Narrow" w:hAnsi="Arial Narrow"/>
          <w:sz w:val="20"/>
          <w:szCs w:val="20"/>
        </w:rPr>
        <w:t>5</w:t>
      </w:r>
      <w:r>
        <w:rPr>
          <w:rFonts w:ascii="Arial Narrow" w:hAnsi="Arial Narrow"/>
          <w:sz w:val="20"/>
          <w:szCs w:val="20"/>
        </w:rPr>
        <w:t>.</w:t>
      </w:r>
    </w:p>
    <w:p w:rsidR="00EA6F68" w:rsidRPr="00EA6F68" w:rsidRDefault="00EA6F68" w:rsidP="00EA6F68">
      <w:pPr>
        <w:jc w:val="both"/>
        <w:rPr>
          <w:rFonts w:ascii="Arial" w:hAnsi="Arial"/>
          <w:sz w:val="22"/>
          <w:szCs w:val="22"/>
        </w:rPr>
      </w:pPr>
    </w:p>
    <w:p w:rsidR="002C0027" w:rsidRDefault="002D454B" w:rsidP="005E43EB">
      <w:pPr>
        <w:pStyle w:val="ListParagraph"/>
        <w:numPr>
          <w:ilvl w:val="1"/>
          <w:numId w:val="3"/>
        </w:numPr>
        <w:ind w:left="709" w:hanging="709"/>
        <w:jc w:val="both"/>
        <w:rPr>
          <w:rFonts w:ascii="Arial" w:hAnsi="Arial"/>
          <w:sz w:val="22"/>
          <w:szCs w:val="22"/>
        </w:rPr>
      </w:pPr>
      <w:r w:rsidRPr="00727EB7">
        <w:rPr>
          <w:rFonts w:ascii="Arial" w:hAnsi="Arial"/>
          <w:sz w:val="22"/>
          <w:szCs w:val="22"/>
        </w:rPr>
        <w:t xml:space="preserve">Sensitivity analyses </w:t>
      </w:r>
      <w:r w:rsidR="002C0027" w:rsidRPr="00727EB7">
        <w:rPr>
          <w:rFonts w:ascii="Arial" w:hAnsi="Arial"/>
          <w:sz w:val="22"/>
          <w:szCs w:val="22"/>
        </w:rPr>
        <w:t>in the submission included changes to</w:t>
      </w:r>
      <w:r w:rsidR="00ED4427" w:rsidRPr="00727EB7">
        <w:rPr>
          <w:rFonts w:ascii="Arial" w:hAnsi="Arial"/>
          <w:sz w:val="22"/>
          <w:szCs w:val="22"/>
        </w:rPr>
        <w:t xml:space="preserve"> the proportion of</w:t>
      </w:r>
      <w:r w:rsidR="002C0027" w:rsidRPr="00727EB7">
        <w:rPr>
          <w:rFonts w:ascii="Arial" w:hAnsi="Arial"/>
          <w:sz w:val="22"/>
          <w:szCs w:val="22"/>
        </w:rPr>
        <w:t xml:space="preserve"> </w:t>
      </w:r>
      <w:proofErr w:type="spellStart"/>
      <w:r w:rsidR="002C0027" w:rsidRPr="00727EB7">
        <w:rPr>
          <w:rFonts w:ascii="Arial" w:hAnsi="Arial"/>
          <w:sz w:val="22"/>
          <w:szCs w:val="22"/>
        </w:rPr>
        <w:t>goserelin</w:t>
      </w:r>
      <w:proofErr w:type="spellEnd"/>
      <w:r w:rsidR="002C0027" w:rsidRPr="00727EB7">
        <w:rPr>
          <w:rFonts w:ascii="Arial" w:hAnsi="Arial"/>
          <w:sz w:val="22"/>
          <w:szCs w:val="22"/>
        </w:rPr>
        <w:t xml:space="preserve"> use for prostate cancer, changes to the number of co-prescribed regimens, and varied market growth and uptake estimates.</w:t>
      </w:r>
      <w:r w:rsidR="00ED4427" w:rsidRPr="00727EB7">
        <w:rPr>
          <w:rFonts w:ascii="Arial" w:hAnsi="Arial"/>
          <w:sz w:val="22"/>
          <w:szCs w:val="22"/>
        </w:rPr>
        <w:t xml:space="preserve"> </w:t>
      </w:r>
      <w:proofErr w:type="spellStart"/>
      <w:r w:rsidR="000501CD">
        <w:rPr>
          <w:rFonts w:ascii="Arial" w:hAnsi="Arial"/>
          <w:sz w:val="22"/>
          <w:szCs w:val="22"/>
        </w:rPr>
        <w:t>G</w:t>
      </w:r>
      <w:r w:rsidR="00ED4427" w:rsidRPr="00857598">
        <w:rPr>
          <w:rFonts w:ascii="Arial" w:hAnsi="Arial"/>
          <w:sz w:val="22"/>
          <w:szCs w:val="22"/>
        </w:rPr>
        <w:t>oserelin</w:t>
      </w:r>
      <w:proofErr w:type="spellEnd"/>
      <w:r w:rsidR="00ED4427" w:rsidRPr="00857598">
        <w:rPr>
          <w:rFonts w:ascii="Arial" w:hAnsi="Arial"/>
          <w:sz w:val="22"/>
          <w:szCs w:val="22"/>
        </w:rPr>
        <w:t xml:space="preserve"> is also used in the treatment of breast cancer and endometriosis, but not in combination with </w:t>
      </w:r>
      <w:proofErr w:type="spellStart"/>
      <w:r w:rsidR="00ED4427" w:rsidRPr="00857598">
        <w:rPr>
          <w:rFonts w:ascii="Arial" w:hAnsi="Arial"/>
          <w:sz w:val="22"/>
          <w:szCs w:val="22"/>
        </w:rPr>
        <w:t>bicalutamide</w:t>
      </w:r>
      <w:proofErr w:type="spellEnd"/>
      <w:r w:rsidR="00ED4427" w:rsidRPr="00857598">
        <w:rPr>
          <w:rFonts w:ascii="Arial" w:hAnsi="Arial"/>
          <w:sz w:val="22"/>
          <w:szCs w:val="22"/>
        </w:rPr>
        <w:t>.</w:t>
      </w:r>
      <w:r w:rsidR="002C0027" w:rsidRPr="00857598">
        <w:rPr>
          <w:rFonts w:ascii="Arial" w:hAnsi="Arial"/>
          <w:sz w:val="22"/>
          <w:szCs w:val="22"/>
        </w:rPr>
        <w:t xml:space="preserve"> These analyses a</w:t>
      </w:r>
      <w:r w:rsidR="00727EB7" w:rsidRPr="00857598">
        <w:rPr>
          <w:rFonts w:ascii="Arial" w:hAnsi="Arial"/>
          <w:sz w:val="22"/>
          <w:szCs w:val="22"/>
        </w:rPr>
        <w:t>re included in the table below.</w:t>
      </w:r>
    </w:p>
    <w:p w:rsidR="00727EB7" w:rsidRDefault="00727EB7" w:rsidP="00727EB7">
      <w:pPr>
        <w:pStyle w:val="ListParagraph"/>
        <w:jc w:val="both"/>
        <w:rPr>
          <w:rFonts w:ascii="Arial" w:hAnsi="Arial"/>
          <w:sz w:val="22"/>
          <w:szCs w:val="22"/>
        </w:rPr>
      </w:pPr>
    </w:p>
    <w:p w:rsidR="0003360E" w:rsidRPr="00727EB7" w:rsidRDefault="0003360E" w:rsidP="00727EB7">
      <w:pPr>
        <w:pStyle w:val="ListParagraph"/>
        <w:jc w:val="both"/>
        <w:rPr>
          <w:rFonts w:ascii="Arial" w:hAnsi="Arial"/>
          <w:sz w:val="22"/>
          <w:szCs w:val="22"/>
        </w:rPr>
      </w:pPr>
    </w:p>
    <w:p w:rsidR="00ED4427" w:rsidRPr="007A6D9A" w:rsidRDefault="00ED4427" w:rsidP="002C0027">
      <w:pPr>
        <w:jc w:val="both"/>
        <w:rPr>
          <w:rFonts w:ascii="Arial Narrow" w:hAnsi="Arial Narrow"/>
          <w:b/>
          <w:sz w:val="20"/>
          <w:szCs w:val="20"/>
        </w:rPr>
      </w:pPr>
      <w:r w:rsidRPr="007A6D9A">
        <w:rPr>
          <w:rFonts w:ascii="Arial Narrow" w:hAnsi="Arial Narrow"/>
          <w:b/>
          <w:sz w:val="20"/>
          <w:szCs w:val="20"/>
        </w:rPr>
        <w:t>Table 4: Summary of sensitivity analyses</w:t>
      </w:r>
    </w:p>
    <w:tbl>
      <w:tblPr>
        <w:tblStyle w:val="TableGrid"/>
        <w:tblW w:w="5000" w:type="pct"/>
        <w:tblLook w:val="04A0" w:firstRow="1" w:lastRow="0" w:firstColumn="1" w:lastColumn="0" w:noHBand="0" w:noVBand="1"/>
        <w:tblCaption w:val="Summary of sensitivity analyses"/>
      </w:tblPr>
      <w:tblGrid>
        <w:gridCol w:w="2412"/>
        <w:gridCol w:w="1341"/>
        <w:gridCol w:w="1341"/>
        <w:gridCol w:w="1341"/>
        <w:gridCol w:w="1341"/>
        <w:gridCol w:w="1346"/>
      </w:tblGrid>
      <w:tr w:rsidR="002C0027" w:rsidRPr="0025134A" w:rsidTr="001219FE">
        <w:trPr>
          <w:trHeight w:val="62"/>
          <w:tblHeader/>
        </w:trPr>
        <w:tc>
          <w:tcPr>
            <w:tcW w:w="1322" w:type="pct"/>
            <w:tcBorders>
              <w:bottom w:val="single" w:sz="4" w:space="0" w:color="auto"/>
            </w:tcBorders>
            <w:shd w:val="clear" w:color="auto" w:fill="A6A6A6" w:themeFill="background1" w:themeFillShade="A6"/>
            <w:hideMark/>
          </w:tcPr>
          <w:p w:rsidR="002C0027" w:rsidRPr="00723402" w:rsidRDefault="002C0027" w:rsidP="002373FF">
            <w:pPr>
              <w:pStyle w:val="TableLeft"/>
              <w:rPr>
                <w:rStyle w:val="SmallBold"/>
                <w:rFonts w:ascii="Arial Narrow" w:hAnsi="Arial Narrow" w:cs="Arial"/>
                <w:szCs w:val="20"/>
              </w:rPr>
            </w:pPr>
            <w:r w:rsidRPr="00723402">
              <w:rPr>
                <w:rStyle w:val="SmallBold"/>
                <w:rFonts w:ascii="Arial Narrow" w:hAnsi="Arial Narrow" w:cs="Arial"/>
                <w:szCs w:val="20"/>
              </w:rPr>
              <w:t>Sensitivity Analysis</w:t>
            </w:r>
          </w:p>
        </w:tc>
        <w:tc>
          <w:tcPr>
            <w:tcW w:w="735" w:type="pct"/>
            <w:tcBorders>
              <w:bottom w:val="single" w:sz="4" w:space="0" w:color="auto"/>
            </w:tcBorders>
            <w:shd w:val="clear" w:color="auto" w:fill="A6A6A6" w:themeFill="background1" w:themeFillShade="A6"/>
            <w:noWrap/>
            <w:hideMark/>
          </w:tcPr>
          <w:p w:rsidR="002C0027" w:rsidRPr="00723402" w:rsidRDefault="002C0027" w:rsidP="002373FF">
            <w:pPr>
              <w:pStyle w:val="TableLeft"/>
              <w:jc w:val="center"/>
              <w:rPr>
                <w:rStyle w:val="SmallBold"/>
                <w:rFonts w:ascii="Arial Narrow" w:hAnsi="Arial Narrow" w:cs="Arial"/>
                <w:szCs w:val="20"/>
              </w:rPr>
            </w:pPr>
            <w:r w:rsidRPr="00723402">
              <w:rPr>
                <w:rStyle w:val="SmallBold"/>
                <w:rFonts w:ascii="Arial Narrow" w:hAnsi="Arial Narrow" w:cs="Arial"/>
                <w:szCs w:val="20"/>
              </w:rPr>
              <w:t>Year 1</w:t>
            </w:r>
          </w:p>
        </w:tc>
        <w:tc>
          <w:tcPr>
            <w:tcW w:w="735" w:type="pct"/>
            <w:tcBorders>
              <w:bottom w:val="single" w:sz="4" w:space="0" w:color="auto"/>
            </w:tcBorders>
            <w:shd w:val="clear" w:color="auto" w:fill="A6A6A6" w:themeFill="background1" w:themeFillShade="A6"/>
            <w:noWrap/>
            <w:hideMark/>
          </w:tcPr>
          <w:p w:rsidR="002C0027" w:rsidRPr="00723402" w:rsidRDefault="002C0027" w:rsidP="002373FF">
            <w:pPr>
              <w:pStyle w:val="TableLeft"/>
              <w:jc w:val="center"/>
              <w:rPr>
                <w:rStyle w:val="SmallBold"/>
                <w:rFonts w:ascii="Arial Narrow" w:hAnsi="Arial Narrow" w:cs="Arial"/>
                <w:szCs w:val="20"/>
              </w:rPr>
            </w:pPr>
            <w:r w:rsidRPr="00723402">
              <w:rPr>
                <w:rStyle w:val="SmallBold"/>
                <w:rFonts w:ascii="Arial Narrow" w:hAnsi="Arial Narrow" w:cs="Arial"/>
                <w:szCs w:val="20"/>
              </w:rPr>
              <w:t>Year 2</w:t>
            </w:r>
          </w:p>
        </w:tc>
        <w:tc>
          <w:tcPr>
            <w:tcW w:w="735" w:type="pct"/>
            <w:tcBorders>
              <w:bottom w:val="single" w:sz="4" w:space="0" w:color="auto"/>
            </w:tcBorders>
            <w:shd w:val="clear" w:color="auto" w:fill="A6A6A6" w:themeFill="background1" w:themeFillShade="A6"/>
            <w:noWrap/>
            <w:hideMark/>
          </w:tcPr>
          <w:p w:rsidR="002C0027" w:rsidRPr="00723402" w:rsidRDefault="002C0027" w:rsidP="002373FF">
            <w:pPr>
              <w:pStyle w:val="TableLeft"/>
              <w:jc w:val="center"/>
              <w:rPr>
                <w:rStyle w:val="SmallBold"/>
                <w:rFonts w:ascii="Arial Narrow" w:hAnsi="Arial Narrow" w:cs="Arial"/>
                <w:szCs w:val="20"/>
              </w:rPr>
            </w:pPr>
            <w:r w:rsidRPr="00723402">
              <w:rPr>
                <w:rStyle w:val="SmallBold"/>
                <w:rFonts w:ascii="Arial Narrow" w:hAnsi="Arial Narrow" w:cs="Arial"/>
                <w:szCs w:val="20"/>
              </w:rPr>
              <w:t>Year 3</w:t>
            </w:r>
          </w:p>
        </w:tc>
        <w:tc>
          <w:tcPr>
            <w:tcW w:w="735" w:type="pct"/>
            <w:tcBorders>
              <w:bottom w:val="single" w:sz="4" w:space="0" w:color="auto"/>
            </w:tcBorders>
            <w:shd w:val="clear" w:color="auto" w:fill="A6A6A6" w:themeFill="background1" w:themeFillShade="A6"/>
            <w:noWrap/>
            <w:hideMark/>
          </w:tcPr>
          <w:p w:rsidR="002C0027" w:rsidRPr="00723402" w:rsidRDefault="002C0027" w:rsidP="002373FF">
            <w:pPr>
              <w:pStyle w:val="TableLeft"/>
              <w:jc w:val="center"/>
              <w:rPr>
                <w:rStyle w:val="SmallBold"/>
                <w:rFonts w:ascii="Arial Narrow" w:hAnsi="Arial Narrow" w:cs="Arial"/>
                <w:szCs w:val="20"/>
              </w:rPr>
            </w:pPr>
            <w:r w:rsidRPr="00723402">
              <w:rPr>
                <w:rStyle w:val="SmallBold"/>
                <w:rFonts w:ascii="Arial Narrow" w:hAnsi="Arial Narrow" w:cs="Arial"/>
                <w:szCs w:val="20"/>
              </w:rPr>
              <w:t>Year 4</w:t>
            </w:r>
          </w:p>
        </w:tc>
        <w:tc>
          <w:tcPr>
            <w:tcW w:w="737" w:type="pct"/>
            <w:tcBorders>
              <w:bottom w:val="single" w:sz="4" w:space="0" w:color="auto"/>
            </w:tcBorders>
            <w:shd w:val="clear" w:color="auto" w:fill="A6A6A6" w:themeFill="background1" w:themeFillShade="A6"/>
            <w:noWrap/>
            <w:hideMark/>
          </w:tcPr>
          <w:p w:rsidR="002C0027" w:rsidRPr="00723402" w:rsidRDefault="002C0027" w:rsidP="002373FF">
            <w:pPr>
              <w:pStyle w:val="TableLeft"/>
              <w:jc w:val="center"/>
              <w:rPr>
                <w:rStyle w:val="SmallBold"/>
                <w:rFonts w:ascii="Arial Narrow" w:hAnsi="Arial Narrow" w:cs="Arial"/>
                <w:szCs w:val="20"/>
              </w:rPr>
            </w:pPr>
            <w:r w:rsidRPr="00723402">
              <w:rPr>
                <w:rStyle w:val="SmallBold"/>
                <w:rFonts w:ascii="Arial Narrow" w:hAnsi="Arial Narrow" w:cs="Arial"/>
                <w:szCs w:val="20"/>
              </w:rPr>
              <w:t>Year 5</w:t>
            </w:r>
          </w:p>
        </w:tc>
      </w:tr>
      <w:tr w:rsidR="002C0027" w:rsidRPr="0025134A" w:rsidTr="00723402">
        <w:trPr>
          <w:trHeight w:val="62"/>
        </w:trPr>
        <w:tc>
          <w:tcPr>
            <w:tcW w:w="1322" w:type="pct"/>
            <w:tcBorders>
              <w:bottom w:val="single" w:sz="4" w:space="0" w:color="auto"/>
            </w:tcBorders>
            <w:shd w:val="clear" w:color="auto" w:fill="auto"/>
          </w:tcPr>
          <w:p w:rsidR="002C0027" w:rsidRPr="00723402" w:rsidRDefault="002C0027" w:rsidP="002373FF">
            <w:pPr>
              <w:pStyle w:val="TableLeft"/>
              <w:rPr>
                <w:rFonts w:ascii="Arial Narrow" w:hAnsi="Arial Narrow" w:cs="Arial"/>
                <w:szCs w:val="20"/>
              </w:rPr>
            </w:pPr>
            <w:r w:rsidRPr="00723402">
              <w:rPr>
                <w:rFonts w:ascii="Arial Narrow" w:hAnsi="Arial Narrow" w:cs="Arial"/>
                <w:szCs w:val="20"/>
              </w:rPr>
              <w:t>Base case</w:t>
            </w:r>
          </w:p>
        </w:tc>
        <w:tc>
          <w:tcPr>
            <w:tcW w:w="735" w:type="pct"/>
            <w:tcBorders>
              <w:bottom w:val="single" w:sz="4" w:space="0" w:color="auto"/>
            </w:tcBorders>
            <w:shd w:val="clear" w:color="auto" w:fill="auto"/>
            <w:noWrap/>
          </w:tcPr>
          <w:p w:rsidR="002C0027" w:rsidRPr="00723402" w:rsidRDefault="002C0027" w:rsidP="002373FF">
            <w:pPr>
              <w:pStyle w:val="TableLeft"/>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p>
        </w:tc>
        <w:tc>
          <w:tcPr>
            <w:tcW w:w="735" w:type="pct"/>
            <w:tcBorders>
              <w:bottom w:val="single" w:sz="4" w:space="0" w:color="auto"/>
            </w:tcBorders>
            <w:shd w:val="clear" w:color="auto" w:fill="auto"/>
            <w:noWrap/>
          </w:tcPr>
          <w:p w:rsidR="002C0027" w:rsidRPr="00723402" w:rsidRDefault="002C0027" w:rsidP="002373FF">
            <w:pPr>
              <w:pStyle w:val="TableLeft"/>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p>
        </w:tc>
        <w:tc>
          <w:tcPr>
            <w:tcW w:w="735" w:type="pct"/>
            <w:tcBorders>
              <w:bottom w:val="single" w:sz="4" w:space="0" w:color="auto"/>
            </w:tcBorders>
            <w:shd w:val="clear" w:color="auto" w:fill="auto"/>
            <w:noWrap/>
          </w:tcPr>
          <w:p w:rsidR="002C0027" w:rsidRPr="00723402" w:rsidRDefault="002C0027" w:rsidP="002373FF">
            <w:pPr>
              <w:pStyle w:val="TableLeft"/>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p>
        </w:tc>
        <w:tc>
          <w:tcPr>
            <w:tcW w:w="735" w:type="pct"/>
            <w:tcBorders>
              <w:bottom w:val="single" w:sz="4" w:space="0" w:color="auto"/>
            </w:tcBorders>
            <w:shd w:val="clear" w:color="auto" w:fill="auto"/>
            <w:noWrap/>
          </w:tcPr>
          <w:p w:rsidR="002C0027" w:rsidRPr="00723402" w:rsidRDefault="002C0027" w:rsidP="002373FF">
            <w:pPr>
              <w:pStyle w:val="TableLeft"/>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p>
        </w:tc>
        <w:tc>
          <w:tcPr>
            <w:tcW w:w="737" w:type="pct"/>
            <w:tcBorders>
              <w:bottom w:val="single" w:sz="4" w:space="0" w:color="auto"/>
            </w:tcBorders>
            <w:shd w:val="clear" w:color="auto" w:fill="auto"/>
            <w:noWrap/>
          </w:tcPr>
          <w:p w:rsidR="002C0027" w:rsidRPr="00723402" w:rsidRDefault="002C0027" w:rsidP="002373FF">
            <w:pPr>
              <w:pStyle w:val="TableLeft"/>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p>
        </w:tc>
      </w:tr>
      <w:tr w:rsidR="002C0027" w:rsidRPr="0025134A" w:rsidTr="00723402">
        <w:trPr>
          <w:trHeight w:val="62"/>
        </w:trPr>
        <w:tc>
          <w:tcPr>
            <w:tcW w:w="1322" w:type="pct"/>
            <w:tcBorders>
              <w:bottom w:val="single" w:sz="4" w:space="0" w:color="auto"/>
              <w:right w:val="nil"/>
            </w:tcBorders>
            <w:shd w:val="clear" w:color="auto" w:fill="D9D9D9" w:themeFill="background1" w:themeFillShade="D9"/>
          </w:tcPr>
          <w:p w:rsidR="002C0027" w:rsidRPr="00723402" w:rsidRDefault="002C0027" w:rsidP="002373FF">
            <w:pPr>
              <w:pStyle w:val="TableLeft"/>
              <w:rPr>
                <w:rFonts w:ascii="Arial Narrow" w:hAnsi="Arial Narrow" w:cs="Arial"/>
                <w:szCs w:val="20"/>
              </w:rPr>
            </w:pPr>
            <w:r w:rsidRPr="00723402">
              <w:rPr>
                <w:rFonts w:ascii="Arial Narrow" w:hAnsi="Arial Narrow" w:cs="Arial"/>
                <w:szCs w:val="20"/>
              </w:rPr>
              <w:t>Market sizing estimates</w:t>
            </w:r>
          </w:p>
        </w:tc>
        <w:tc>
          <w:tcPr>
            <w:tcW w:w="735" w:type="pct"/>
            <w:tcBorders>
              <w:left w:val="nil"/>
              <w:bottom w:val="single" w:sz="4" w:space="0" w:color="auto"/>
              <w:right w:val="nil"/>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c>
          <w:tcPr>
            <w:tcW w:w="735" w:type="pct"/>
            <w:tcBorders>
              <w:left w:val="nil"/>
              <w:bottom w:val="single" w:sz="4" w:space="0" w:color="auto"/>
              <w:right w:val="nil"/>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c>
          <w:tcPr>
            <w:tcW w:w="735" w:type="pct"/>
            <w:tcBorders>
              <w:left w:val="nil"/>
              <w:bottom w:val="single" w:sz="4" w:space="0" w:color="auto"/>
              <w:right w:val="nil"/>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c>
          <w:tcPr>
            <w:tcW w:w="735" w:type="pct"/>
            <w:tcBorders>
              <w:left w:val="nil"/>
              <w:bottom w:val="single" w:sz="4" w:space="0" w:color="auto"/>
              <w:right w:val="nil"/>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c>
          <w:tcPr>
            <w:tcW w:w="737" w:type="pct"/>
            <w:tcBorders>
              <w:left w:val="nil"/>
              <w:bottom w:val="single" w:sz="4" w:space="0" w:color="auto"/>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r>
      <w:tr w:rsidR="002C0027" w:rsidRPr="0025134A" w:rsidTr="002373FF">
        <w:trPr>
          <w:trHeight w:val="62"/>
        </w:trPr>
        <w:tc>
          <w:tcPr>
            <w:tcW w:w="5000" w:type="pct"/>
            <w:gridSpan w:val="6"/>
            <w:shd w:val="clear" w:color="auto" w:fill="F2F2F2" w:themeFill="background1" w:themeFillShade="F2"/>
          </w:tcPr>
          <w:p w:rsidR="002C0027" w:rsidRPr="00723402" w:rsidRDefault="002C0027" w:rsidP="002373FF">
            <w:pPr>
              <w:pStyle w:val="Table"/>
              <w:jc w:val="left"/>
              <w:rPr>
                <w:rFonts w:ascii="Arial Narrow" w:hAnsi="Arial Narrow" w:cs="Arial"/>
                <w:szCs w:val="20"/>
              </w:rPr>
            </w:pPr>
            <w:r w:rsidRPr="00723402">
              <w:rPr>
                <w:rFonts w:ascii="Arial Narrow" w:hAnsi="Arial Narrow" w:cs="Arial"/>
                <w:szCs w:val="20"/>
              </w:rPr>
              <w:t xml:space="preserve">Proportion of </w:t>
            </w:r>
            <w:proofErr w:type="spellStart"/>
            <w:r w:rsidRPr="00723402">
              <w:rPr>
                <w:rFonts w:ascii="Arial Narrow" w:hAnsi="Arial Narrow" w:cs="Arial"/>
                <w:szCs w:val="20"/>
              </w:rPr>
              <w:t>Goserelin</w:t>
            </w:r>
            <w:proofErr w:type="spellEnd"/>
            <w:r w:rsidRPr="00723402">
              <w:rPr>
                <w:rFonts w:ascii="Arial Narrow" w:hAnsi="Arial Narrow" w:cs="Arial"/>
                <w:szCs w:val="20"/>
              </w:rPr>
              <w:t xml:space="preserve"> specific to prostate cancer, base case, 36%</w:t>
            </w:r>
          </w:p>
        </w:tc>
      </w:tr>
      <w:tr w:rsidR="002C0027" w:rsidRPr="0025134A" w:rsidTr="00723402">
        <w:trPr>
          <w:trHeight w:val="62"/>
        </w:trPr>
        <w:tc>
          <w:tcPr>
            <w:tcW w:w="1322" w:type="pct"/>
          </w:tcPr>
          <w:p w:rsidR="002C0027" w:rsidRPr="00723402" w:rsidRDefault="002C0027" w:rsidP="002373FF">
            <w:pPr>
              <w:pStyle w:val="TableLeft"/>
              <w:rPr>
                <w:rFonts w:ascii="Arial Narrow" w:hAnsi="Arial Narrow" w:cs="Arial"/>
                <w:szCs w:val="20"/>
              </w:rPr>
            </w:pPr>
            <w:r w:rsidRPr="00723402">
              <w:rPr>
                <w:rFonts w:ascii="Arial Narrow" w:hAnsi="Arial Narrow" w:cs="Arial"/>
                <w:szCs w:val="20"/>
              </w:rPr>
              <w:t>Lower estimate, 20%</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7"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2C0027" w:rsidRPr="0025134A" w:rsidTr="00723402">
        <w:trPr>
          <w:trHeight w:val="62"/>
        </w:trPr>
        <w:tc>
          <w:tcPr>
            <w:tcW w:w="1322" w:type="pct"/>
          </w:tcPr>
          <w:p w:rsidR="002C0027" w:rsidRPr="00723402" w:rsidRDefault="002C0027" w:rsidP="002373FF">
            <w:pPr>
              <w:pStyle w:val="TableLeft"/>
              <w:rPr>
                <w:rFonts w:ascii="Arial Narrow" w:hAnsi="Arial Narrow" w:cs="Arial"/>
                <w:szCs w:val="20"/>
              </w:rPr>
            </w:pPr>
            <w:r w:rsidRPr="00723402">
              <w:rPr>
                <w:rFonts w:ascii="Arial Narrow" w:hAnsi="Arial Narrow" w:cs="Arial"/>
                <w:szCs w:val="20"/>
              </w:rPr>
              <w:t>Upper estimate, 70%</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7"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2C0027" w:rsidRPr="0025134A" w:rsidTr="002373FF">
        <w:trPr>
          <w:trHeight w:val="62"/>
        </w:trPr>
        <w:tc>
          <w:tcPr>
            <w:tcW w:w="5000" w:type="pct"/>
            <w:gridSpan w:val="6"/>
            <w:shd w:val="clear" w:color="auto" w:fill="F2F2F2" w:themeFill="background1" w:themeFillShade="F2"/>
          </w:tcPr>
          <w:p w:rsidR="002C0027" w:rsidRPr="00723402" w:rsidRDefault="002C0027" w:rsidP="002373FF">
            <w:pPr>
              <w:pStyle w:val="Table"/>
              <w:jc w:val="left"/>
              <w:rPr>
                <w:rFonts w:ascii="Arial Narrow" w:hAnsi="Arial Narrow" w:cs="Arial"/>
                <w:szCs w:val="20"/>
              </w:rPr>
            </w:pPr>
            <w:r w:rsidRPr="00723402">
              <w:rPr>
                <w:rFonts w:ascii="Arial Narrow" w:hAnsi="Arial Narrow" w:cs="Arial"/>
                <w:szCs w:val="20"/>
              </w:rPr>
              <w:t>Proportion of co-prescribed regimen of LHRH utilisation, base case, 5.46% (1m28), 1.49% (3m28), 6.65% (3m84)</w:t>
            </w:r>
          </w:p>
        </w:tc>
      </w:tr>
      <w:tr w:rsidR="002C0027" w:rsidRPr="0025134A" w:rsidTr="00723402">
        <w:trPr>
          <w:trHeight w:val="62"/>
        </w:trPr>
        <w:tc>
          <w:tcPr>
            <w:tcW w:w="1322" w:type="pct"/>
          </w:tcPr>
          <w:p w:rsidR="002C0027" w:rsidRPr="00723402" w:rsidRDefault="002C0027" w:rsidP="002373FF">
            <w:pPr>
              <w:pStyle w:val="TableLeft"/>
              <w:rPr>
                <w:rFonts w:ascii="Arial Narrow" w:hAnsi="Arial Narrow" w:cs="Arial"/>
                <w:szCs w:val="20"/>
              </w:rPr>
            </w:pPr>
            <w:r w:rsidRPr="00723402">
              <w:rPr>
                <w:rFonts w:ascii="Arial Narrow" w:hAnsi="Arial Narrow" w:cs="Arial"/>
                <w:szCs w:val="20"/>
              </w:rPr>
              <w:t>Lower estimate, 3%, 1%, 5%</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7"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2C0027" w:rsidRPr="0025134A" w:rsidTr="00723402">
        <w:trPr>
          <w:trHeight w:val="62"/>
        </w:trPr>
        <w:tc>
          <w:tcPr>
            <w:tcW w:w="1322" w:type="pct"/>
          </w:tcPr>
          <w:p w:rsidR="002C0027" w:rsidRPr="00723402" w:rsidRDefault="002C0027" w:rsidP="002373FF">
            <w:pPr>
              <w:pStyle w:val="TableLeft"/>
              <w:rPr>
                <w:rFonts w:ascii="Arial Narrow" w:hAnsi="Arial Narrow" w:cs="Arial"/>
                <w:sz w:val="18"/>
                <w:szCs w:val="18"/>
              </w:rPr>
            </w:pPr>
            <w:r w:rsidRPr="00723402">
              <w:rPr>
                <w:rFonts w:ascii="Arial Narrow" w:hAnsi="Arial Narrow" w:cs="Arial"/>
                <w:sz w:val="18"/>
                <w:szCs w:val="18"/>
              </w:rPr>
              <w:t>Upper estimate, 10%, 5%, 10%</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7"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2C0027" w:rsidRPr="0025134A" w:rsidTr="00723402">
        <w:trPr>
          <w:trHeight w:val="62"/>
        </w:trPr>
        <w:tc>
          <w:tcPr>
            <w:tcW w:w="1322" w:type="pct"/>
            <w:tcBorders>
              <w:bottom w:val="single" w:sz="4" w:space="0" w:color="auto"/>
              <w:right w:val="nil"/>
            </w:tcBorders>
            <w:shd w:val="clear" w:color="auto" w:fill="D9D9D9" w:themeFill="background1" w:themeFillShade="D9"/>
          </w:tcPr>
          <w:p w:rsidR="002C0027" w:rsidRPr="00723402" w:rsidRDefault="002C0027" w:rsidP="002373FF">
            <w:pPr>
              <w:pStyle w:val="TableLeft"/>
              <w:rPr>
                <w:rFonts w:ascii="Arial Narrow" w:hAnsi="Arial Narrow" w:cs="Arial"/>
                <w:szCs w:val="20"/>
              </w:rPr>
            </w:pPr>
            <w:r w:rsidRPr="00723402">
              <w:rPr>
                <w:rFonts w:ascii="Arial Narrow" w:hAnsi="Arial Narrow" w:cs="Arial"/>
                <w:szCs w:val="20"/>
              </w:rPr>
              <w:t>Market growth estimates</w:t>
            </w:r>
          </w:p>
        </w:tc>
        <w:tc>
          <w:tcPr>
            <w:tcW w:w="735" w:type="pct"/>
            <w:tcBorders>
              <w:left w:val="nil"/>
              <w:bottom w:val="single" w:sz="4" w:space="0" w:color="auto"/>
              <w:right w:val="nil"/>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c>
          <w:tcPr>
            <w:tcW w:w="735" w:type="pct"/>
            <w:tcBorders>
              <w:left w:val="nil"/>
              <w:bottom w:val="single" w:sz="4" w:space="0" w:color="auto"/>
              <w:right w:val="nil"/>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c>
          <w:tcPr>
            <w:tcW w:w="735" w:type="pct"/>
            <w:tcBorders>
              <w:left w:val="nil"/>
              <w:bottom w:val="single" w:sz="4" w:space="0" w:color="auto"/>
              <w:right w:val="nil"/>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c>
          <w:tcPr>
            <w:tcW w:w="735" w:type="pct"/>
            <w:tcBorders>
              <w:left w:val="nil"/>
              <w:bottom w:val="single" w:sz="4" w:space="0" w:color="auto"/>
              <w:right w:val="nil"/>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c>
          <w:tcPr>
            <w:tcW w:w="737" w:type="pct"/>
            <w:tcBorders>
              <w:left w:val="nil"/>
              <w:bottom w:val="single" w:sz="4" w:space="0" w:color="auto"/>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r>
      <w:tr w:rsidR="002C0027" w:rsidRPr="0025134A" w:rsidTr="002373FF">
        <w:trPr>
          <w:trHeight w:val="62"/>
        </w:trPr>
        <w:tc>
          <w:tcPr>
            <w:tcW w:w="5000" w:type="pct"/>
            <w:gridSpan w:val="6"/>
            <w:shd w:val="clear" w:color="auto" w:fill="F2F2F2" w:themeFill="background1" w:themeFillShade="F2"/>
          </w:tcPr>
          <w:p w:rsidR="002C0027" w:rsidRPr="00723402" w:rsidRDefault="002C0027" w:rsidP="002373FF">
            <w:pPr>
              <w:pStyle w:val="Table"/>
              <w:jc w:val="left"/>
              <w:rPr>
                <w:rFonts w:ascii="Arial Narrow" w:hAnsi="Arial Narrow" w:cs="Arial"/>
                <w:szCs w:val="20"/>
              </w:rPr>
            </w:pPr>
            <w:r w:rsidRPr="00723402">
              <w:rPr>
                <w:rFonts w:ascii="Arial Narrow" w:hAnsi="Arial Narrow" w:cs="Arial"/>
                <w:szCs w:val="20"/>
              </w:rPr>
              <w:t xml:space="preserve">Growth of </w:t>
            </w:r>
            <w:proofErr w:type="spellStart"/>
            <w:r w:rsidRPr="00723402">
              <w:rPr>
                <w:rFonts w:ascii="Arial Narrow" w:hAnsi="Arial Narrow" w:cs="Arial"/>
                <w:szCs w:val="20"/>
              </w:rPr>
              <w:t>ZolaCos</w:t>
            </w:r>
            <w:proofErr w:type="spellEnd"/>
            <w:r w:rsidRPr="00723402">
              <w:rPr>
                <w:rFonts w:ascii="Arial Narrow" w:hAnsi="Arial Narrow" w:cs="Arial"/>
                <w:szCs w:val="20"/>
              </w:rPr>
              <w:t>, base case, 9.63%</w:t>
            </w:r>
          </w:p>
        </w:tc>
      </w:tr>
      <w:tr w:rsidR="002C0027" w:rsidRPr="0025134A" w:rsidTr="00723402">
        <w:trPr>
          <w:trHeight w:val="62"/>
        </w:trPr>
        <w:tc>
          <w:tcPr>
            <w:tcW w:w="1322" w:type="pct"/>
          </w:tcPr>
          <w:p w:rsidR="002C0027" w:rsidRPr="00723402" w:rsidRDefault="002C0027" w:rsidP="002373FF">
            <w:pPr>
              <w:pStyle w:val="TableLeft"/>
              <w:rPr>
                <w:rFonts w:ascii="Arial Narrow" w:hAnsi="Arial Narrow" w:cs="Arial"/>
                <w:szCs w:val="20"/>
              </w:rPr>
            </w:pPr>
            <w:r w:rsidRPr="00723402">
              <w:rPr>
                <w:rFonts w:ascii="Arial Narrow" w:hAnsi="Arial Narrow" w:cs="Arial"/>
                <w:szCs w:val="20"/>
              </w:rPr>
              <w:t>Lower estimate, 7.13%</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7"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2C0027" w:rsidRPr="0025134A" w:rsidTr="00723402">
        <w:trPr>
          <w:trHeight w:val="62"/>
        </w:trPr>
        <w:tc>
          <w:tcPr>
            <w:tcW w:w="1322" w:type="pct"/>
          </w:tcPr>
          <w:p w:rsidR="002C0027" w:rsidRPr="00723402" w:rsidRDefault="002C0027" w:rsidP="002373FF">
            <w:pPr>
              <w:pStyle w:val="TableLeft"/>
              <w:rPr>
                <w:rFonts w:ascii="Arial Narrow" w:hAnsi="Arial Narrow" w:cs="Arial"/>
                <w:szCs w:val="20"/>
              </w:rPr>
            </w:pPr>
            <w:r w:rsidRPr="00723402">
              <w:rPr>
                <w:rFonts w:ascii="Arial Narrow" w:hAnsi="Arial Narrow" w:cs="Arial"/>
                <w:szCs w:val="20"/>
              </w:rPr>
              <w:t>Upper estimate, 12.13%</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7"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2C0027" w:rsidRPr="0025134A" w:rsidTr="002373FF">
        <w:trPr>
          <w:trHeight w:val="62"/>
        </w:trPr>
        <w:tc>
          <w:tcPr>
            <w:tcW w:w="5000" w:type="pct"/>
            <w:gridSpan w:val="6"/>
            <w:shd w:val="clear" w:color="auto" w:fill="F2F2F2" w:themeFill="background1" w:themeFillShade="F2"/>
          </w:tcPr>
          <w:p w:rsidR="002C0027" w:rsidRPr="00723402" w:rsidRDefault="002C0027" w:rsidP="002373FF">
            <w:pPr>
              <w:pStyle w:val="Table"/>
              <w:jc w:val="left"/>
              <w:rPr>
                <w:rFonts w:ascii="Arial Narrow" w:hAnsi="Arial Narrow" w:cs="Arial"/>
                <w:szCs w:val="20"/>
              </w:rPr>
            </w:pPr>
            <w:r w:rsidRPr="00723402">
              <w:rPr>
                <w:rFonts w:ascii="Arial Narrow" w:hAnsi="Arial Narrow" w:cs="Arial"/>
                <w:szCs w:val="20"/>
              </w:rPr>
              <w:t>Growth of 3m84 co-prescribed market, base case, 5.26%</w:t>
            </w:r>
          </w:p>
        </w:tc>
      </w:tr>
      <w:tr w:rsidR="002C0027" w:rsidRPr="0025134A" w:rsidTr="00723402">
        <w:trPr>
          <w:trHeight w:val="62"/>
        </w:trPr>
        <w:tc>
          <w:tcPr>
            <w:tcW w:w="1322" w:type="pct"/>
          </w:tcPr>
          <w:p w:rsidR="002C0027" w:rsidRPr="00723402" w:rsidRDefault="002C0027" w:rsidP="002373FF">
            <w:pPr>
              <w:pStyle w:val="TableLeft"/>
              <w:rPr>
                <w:rFonts w:ascii="Arial Narrow" w:hAnsi="Arial Narrow" w:cs="Arial"/>
                <w:szCs w:val="20"/>
              </w:rPr>
            </w:pPr>
            <w:r w:rsidRPr="00723402">
              <w:rPr>
                <w:rFonts w:ascii="Arial Narrow" w:hAnsi="Arial Narrow" w:cs="Arial"/>
                <w:szCs w:val="20"/>
              </w:rPr>
              <w:t>Lower estimate, 2.76%</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7"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2C0027" w:rsidRPr="0025134A" w:rsidTr="00723402">
        <w:trPr>
          <w:trHeight w:val="62"/>
        </w:trPr>
        <w:tc>
          <w:tcPr>
            <w:tcW w:w="1322" w:type="pct"/>
          </w:tcPr>
          <w:p w:rsidR="002C0027" w:rsidRPr="00723402" w:rsidRDefault="002C0027" w:rsidP="002373FF">
            <w:pPr>
              <w:pStyle w:val="TableLeft"/>
              <w:rPr>
                <w:rFonts w:ascii="Arial Narrow" w:hAnsi="Arial Narrow" w:cs="Arial"/>
                <w:szCs w:val="20"/>
              </w:rPr>
            </w:pPr>
            <w:r w:rsidRPr="00723402">
              <w:rPr>
                <w:rFonts w:ascii="Arial Narrow" w:hAnsi="Arial Narrow" w:cs="Arial"/>
                <w:szCs w:val="20"/>
              </w:rPr>
              <w:t>Upper estimate, 7.76%</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7"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2C0027" w:rsidRPr="0025134A" w:rsidTr="00723402">
        <w:trPr>
          <w:trHeight w:val="62"/>
        </w:trPr>
        <w:tc>
          <w:tcPr>
            <w:tcW w:w="1322" w:type="pct"/>
            <w:tcBorders>
              <w:bottom w:val="single" w:sz="4" w:space="0" w:color="auto"/>
              <w:right w:val="nil"/>
            </w:tcBorders>
            <w:shd w:val="clear" w:color="auto" w:fill="D9D9D9" w:themeFill="background1" w:themeFillShade="D9"/>
          </w:tcPr>
          <w:p w:rsidR="002C0027" w:rsidRPr="00723402" w:rsidRDefault="002C0027" w:rsidP="002373FF">
            <w:pPr>
              <w:pStyle w:val="TableLeft"/>
              <w:rPr>
                <w:rFonts w:ascii="Arial Narrow" w:hAnsi="Arial Narrow" w:cs="Arial"/>
                <w:szCs w:val="20"/>
              </w:rPr>
            </w:pPr>
            <w:r w:rsidRPr="00723402">
              <w:rPr>
                <w:rFonts w:ascii="Arial Narrow" w:hAnsi="Arial Narrow" w:cs="Arial"/>
                <w:szCs w:val="20"/>
              </w:rPr>
              <w:t>Uptake estimates</w:t>
            </w:r>
          </w:p>
        </w:tc>
        <w:tc>
          <w:tcPr>
            <w:tcW w:w="735" w:type="pct"/>
            <w:tcBorders>
              <w:left w:val="nil"/>
              <w:bottom w:val="single" w:sz="4" w:space="0" w:color="auto"/>
              <w:right w:val="nil"/>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c>
          <w:tcPr>
            <w:tcW w:w="735" w:type="pct"/>
            <w:tcBorders>
              <w:left w:val="nil"/>
              <w:bottom w:val="single" w:sz="4" w:space="0" w:color="auto"/>
              <w:right w:val="nil"/>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c>
          <w:tcPr>
            <w:tcW w:w="735" w:type="pct"/>
            <w:tcBorders>
              <w:left w:val="nil"/>
              <w:bottom w:val="single" w:sz="4" w:space="0" w:color="auto"/>
              <w:right w:val="nil"/>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c>
          <w:tcPr>
            <w:tcW w:w="735" w:type="pct"/>
            <w:tcBorders>
              <w:left w:val="nil"/>
              <w:bottom w:val="single" w:sz="4" w:space="0" w:color="auto"/>
              <w:right w:val="nil"/>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c>
          <w:tcPr>
            <w:tcW w:w="737" w:type="pct"/>
            <w:tcBorders>
              <w:left w:val="nil"/>
              <w:bottom w:val="single" w:sz="4" w:space="0" w:color="auto"/>
            </w:tcBorders>
            <w:shd w:val="clear" w:color="auto" w:fill="D9D9D9" w:themeFill="background1" w:themeFillShade="D9"/>
            <w:noWrap/>
            <w:vAlign w:val="bottom"/>
          </w:tcPr>
          <w:p w:rsidR="002C0027" w:rsidRPr="00723402" w:rsidRDefault="002C0027" w:rsidP="002373FF">
            <w:pPr>
              <w:pStyle w:val="Table"/>
              <w:jc w:val="center"/>
              <w:rPr>
                <w:rFonts w:ascii="Arial Narrow" w:hAnsi="Arial Narrow" w:cs="Arial"/>
                <w:szCs w:val="20"/>
              </w:rPr>
            </w:pPr>
          </w:p>
        </w:tc>
      </w:tr>
      <w:tr w:rsidR="002C0027" w:rsidRPr="0025134A" w:rsidTr="00723402">
        <w:trPr>
          <w:trHeight w:val="62"/>
        </w:trPr>
        <w:tc>
          <w:tcPr>
            <w:tcW w:w="1322" w:type="pct"/>
          </w:tcPr>
          <w:p w:rsidR="002C0027" w:rsidRPr="00723402" w:rsidRDefault="002C0027" w:rsidP="002373FF">
            <w:pPr>
              <w:pStyle w:val="TableLeft"/>
              <w:rPr>
                <w:rFonts w:ascii="Arial Narrow" w:hAnsi="Arial Narrow" w:cs="Arial"/>
                <w:szCs w:val="20"/>
              </w:rPr>
            </w:pPr>
            <w:r w:rsidRPr="00723402">
              <w:rPr>
                <w:rFonts w:ascii="Arial Narrow" w:hAnsi="Arial Narrow" w:cs="Arial"/>
                <w:szCs w:val="20"/>
              </w:rPr>
              <w:t>Lower estimate, -5%</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7"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r w:rsidR="002C0027" w:rsidRPr="0025134A" w:rsidTr="00723402">
        <w:trPr>
          <w:trHeight w:val="62"/>
        </w:trPr>
        <w:tc>
          <w:tcPr>
            <w:tcW w:w="1322" w:type="pct"/>
          </w:tcPr>
          <w:p w:rsidR="002C0027" w:rsidRPr="00723402" w:rsidRDefault="002C0027" w:rsidP="002373FF">
            <w:pPr>
              <w:pStyle w:val="TableLeft"/>
              <w:rPr>
                <w:rFonts w:ascii="Arial Narrow" w:hAnsi="Arial Narrow" w:cs="Arial"/>
                <w:szCs w:val="20"/>
              </w:rPr>
            </w:pPr>
            <w:r w:rsidRPr="00723402">
              <w:rPr>
                <w:rFonts w:ascii="Arial Narrow" w:hAnsi="Arial Narrow" w:cs="Arial"/>
                <w:szCs w:val="20"/>
              </w:rPr>
              <w:t>Upper estimate, +10%</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5"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c>
          <w:tcPr>
            <w:tcW w:w="737" w:type="pct"/>
            <w:noWrap/>
          </w:tcPr>
          <w:p w:rsidR="002C0027" w:rsidRPr="00723402" w:rsidRDefault="002C0027" w:rsidP="002373FF">
            <w:pPr>
              <w:pStyle w:val="Table"/>
              <w:jc w:val="center"/>
              <w:rPr>
                <w:rFonts w:ascii="Arial Narrow" w:hAnsi="Arial Narrow" w:cs="Arial"/>
                <w:szCs w:val="20"/>
              </w:rPr>
            </w:pPr>
            <w:r w:rsidRPr="00723402">
              <w:rPr>
                <w:rFonts w:ascii="Arial Narrow" w:hAnsi="Arial Narrow" w:cs="Arial"/>
                <w:szCs w:val="20"/>
              </w:rPr>
              <w:t>-$</w:t>
            </w:r>
            <w:r w:rsidR="00892BF0">
              <w:rPr>
                <w:rFonts w:ascii="Arial Narrow" w:hAnsi="Arial Narrow" w:cs="Arial"/>
                <w:noProof/>
                <w:color w:val="000000"/>
                <w:szCs w:val="20"/>
                <w:highlight w:val="black"/>
              </w:rPr>
              <w:t>''''''''''''''''''''</w:t>
            </w:r>
            <w:r w:rsidRPr="00723402">
              <w:rPr>
                <w:rFonts w:ascii="Arial Narrow" w:hAnsi="Arial Narrow" w:cs="Arial"/>
                <w:szCs w:val="20"/>
              </w:rPr>
              <w:t xml:space="preserve"> </w:t>
            </w:r>
          </w:p>
        </w:tc>
      </w:tr>
    </w:tbl>
    <w:p w:rsidR="00723402" w:rsidRPr="00020014" w:rsidRDefault="00723402" w:rsidP="00723402">
      <w:pPr>
        <w:jc w:val="both"/>
        <w:rPr>
          <w:rFonts w:ascii="Arial Narrow" w:hAnsi="Arial Narrow"/>
          <w:sz w:val="20"/>
          <w:szCs w:val="20"/>
        </w:rPr>
      </w:pPr>
      <w:r>
        <w:rPr>
          <w:rFonts w:ascii="Arial Narrow" w:hAnsi="Arial Narrow"/>
          <w:sz w:val="20"/>
          <w:szCs w:val="20"/>
        </w:rPr>
        <w:t>Legend: 1m28 – Bi ELIGARD 1 month; 3m28 – Bi ELIGARD 3 month (28 BIC tablets); 3m84 – Bi ELIGARD 3 month (84 BIC tablets)</w:t>
      </w:r>
      <w:r w:rsidR="00727EB7">
        <w:rPr>
          <w:rFonts w:ascii="Arial Narrow" w:hAnsi="Arial Narrow"/>
          <w:sz w:val="20"/>
          <w:szCs w:val="20"/>
        </w:rPr>
        <w:t xml:space="preserve">, </w:t>
      </w:r>
      <w:r>
        <w:rPr>
          <w:rFonts w:ascii="Arial Narrow" w:hAnsi="Arial Narrow"/>
          <w:sz w:val="20"/>
          <w:szCs w:val="20"/>
        </w:rPr>
        <w:t>Source: Bi ELIGARD</w:t>
      </w:r>
      <w:r w:rsidR="008615C0">
        <w:rPr>
          <w:rFonts w:ascii="Arial Narrow" w:hAnsi="Arial Narrow"/>
          <w:sz w:val="20"/>
          <w:szCs w:val="20"/>
        </w:rPr>
        <w:t xml:space="preserve"> CP</w:t>
      </w:r>
      <w:r>
        <w:rPr>
          <w:rFonts w:ascii="Arial Narrow" w:hAnsi="Arial Narrow"/>
          <w:sz w:val="20"/>
          <w:szCs w:val="20"/>
        </w:rPr>
        <w:t xml:space="preserve"> submission, pp. 26-27.</w:t>
      </w:r>
    </w:p>
    <w:p w:rsidR="00857598" w:rsidRDefault="00857598" w:rsidP="00857598">
      <w:pPr>
        <w:jc w:val="both"/>
        <w:rPr>
          <w:rFonts w:ascii="Arial" w:hAnsi="Arial"/>
          <w:sz w:val="22"/>
          <w:szCs w:val="22"/>
        </w:rPr>
      </w:pPr>
    </w:p>
    <w:p w:rsidR="00C45871" w:rsidRDefault="00C45871" w:rsidP="00857598">
      <w:pPr>
        <w:jc w:val="both"/>
        <w:rPr>
          <w:rFonts w:ascii="Arial" w:hAnsi="Arial"/>
          <w:sz w:val="22"/>
          <w:szCs w:val="22"/>
        </w:rPr>
      </w:pPr>
      <w:r>
        <w:rPr>
          <w:rFonts w:ascii="Arial" w:hAnsi="Arial"/>
          <w:sz w:val="22"/>
          <w:szCs w:val="22"/>
        </w:rPr>
        <w:t xml:space="preserve">The redacted table shows that, at year 5, the net saving to the PBS would be less than $10 million under each set of assumptions. </w:t>
      </w:r>
    </w:p>
    <w:p w:rsidR="00C45871" w:rsidRDefault="00C45871" w:rsidP="00857598">
      <w:pPr>
        <w:jc w:val="both"/>
        <w:rPr>
          <w:rFonts w:ascii="Arial" w:hAnsi="Arial"/>
          <w:sz w:val="22"/>
          <w:szCs w:val="22"/>
        </w:rPr>
      </w:pPr>
    </w:p>
    <w:p w:rsidR="00857598" w:rsidRPr="001531ED" w:rsidRDefault="00857598" w:rsidP="00857598">
      <w:pPr>
        <w:ind w:firstLine="720"/>
        <w:rPr>
          <w:rFonts w:ascii="Arial" w:hAnsi="Arial" w:cs="Arial"/>
          <w:bCs/>
          <w:snapToGrid w:val="0"/>
          <w:sz w:val="22"/>
          <w:szCs w:val="22"/>
        </w:rPr>
      </w:pPr>
      <w:r w:rsidRPr="001531ED">
        <w:rPr>
          <w:rFonts w:ascii="Arial" w:hAnsi="Arial" w:cs="Arial"/>
          <w:bCs/>
          <w:i/>
          <w:snapToGrid w:val="0"/>
          <w:sz w:val="22"/>
          <w:szCs w:val="22"/>
        </w:rPr>
        <w:lastRenderedPageBreak/>
        <w:t>For more detail on PBAC’s view, see section 7 “PBAC outcome”</w:t>
      </w:r>
    </w:p>
    <w:p w:rsidR="00857598" w:rsidRPr="00EB5A9B" w:rsidRDefault="00857598" w:rsidP="00857598">
      <w:pPr>
        <w:jc w:val="both"/>
        <w:rPr>
          <w:rFonts w:ascii="Arial" w:hAnsi="Arial"/>
          <w:sz w:val="22"/>
          <w:szCs w:val="22"/>
          <w:highlight w:val="green"/>
        </w:rPr>
      </w:pPr>
    </w:p>
    <w:p w:rsidR="00851F6C" w:rsidRPr="002C1D6B" w:rsidRDefault="00851F6C" w:rsidP="002C1D6B">
      <w:pPr>
        <w:pStyle w:val="Heading1"/>
      </w:pPr>
      <w:r w:rsidRPr="002C1D6B">
        <w:t>PBAC Outcome</w:t>
      </w:r>
    </w:p>
    <w:p w:rsidR="00851F6C" w:rsidRPr="001531ED" w:rsidRDefault="00851F6C" w:rsidP="00851F6C">
      <w:pPr>
        <w:widowControl w:val="0"/>
        <w:jc w:val="both"/>
        <w:rPr>
          <w:rFonts w:ascii="Arial" w:hAnsi="Arial" w:cs="Arial"/>
          <w:b/>
          <w:bCs/>
          <w:snapToGrid w:val="0"/>
          <w:sz w:val="22"/>
          <w:szCs w:val="20"/>
          <w:lang w:val="en-GB"/>
        </w:rPr>
      </w:pPr>
    </w:p>
    <w:p w:rsidR="00851F6C" w:rsidRPr="001531ED" w:rsidRDefault="00BC12A8" w:rsidP="005E43EB">
      <w:pPr>
        <w:widowControl w:val="0"/>
        <w:numPr>
          <w:ilvl w:val="1"/>
          <w:numId w:val="3"/>
        </w:numPr>
        <w:ind w:left="709" w:hanging="709"/>
        <w:jc w:val="both"/>
        <w:rPr>
          <w:rFonts w:ascii="Arial" w:hAnsi="Arial" w:cs="Arial"/>
          <w:bCs/>
          <w:snapToGrid w:val="0"/>
          <w:sz w:val="22"/>
          <w:szCs w:val="20"/>
          <w:lang w:val="en-GB"/>
        </w:rPr>
      </w:pPr>
      <w:r w:rsidRPr="001531ED">
        <w:rPr>
          <w:rFonts w:ascii="Arial" w:hAnsi="Arial" w:cs="Arial"/>
          <w:bCs/>
          <w:snapToGrid w:val="0"/>
          <w:sz w:val="22"/>
          <w:szCs w:val="20"/>
          <w:lang w:val="en-GB"/>
        </w:rPr>
        <w:t xml:space="preserve">The PBAC recommended the listing of </w:t>
      </w:r>
      <w:r w:rsidR="009643FA" w:rsidRPr="001531ED">
        <w:rPr>
          <w:rFonts w:ascii="Arial" w:hAnsi="Arial" w:cs="Arial"/>
          <w:bCs/>
          <w:snapToGrid w:val="0"/>
          <w:sz w:val="22"/>
          <w:szCs w:val="20"/>
          <w:lang w:val="en-GB"/>
        </w:rPr>
        <w:t xml:space="preserve">the </w:t>
      </w:r>
      <w:r w:rsidRPr="001531ED">
        <w:rPr>
          <w:rFonts w:ascii="Arial" w:hAnsi="Arial" w:cs="Arial"/>
          <w:bCs/>
          <w:snapToGrid w:val="0"/>
          <w:sz w:val="22"/>
          <w:szCs w:val="20"/>
          <w:lang w:val="en-GB"/>
        </w:rPr>
        <w:t xml:space="preserve">combination </w:t>
      </w:r>
      <w:r w:rsidR="00F06483">
        <w:rPr>
          <w:rFonts w:ascii="Arial" w:hAnsi="Arial" w:cs="Arial"/>
          <w:bCs/>
          <w:snapToGrid w:val="0"/>
          <w:sz w:val="22"/>
          <w:szCs w:val="20"/>
          <w:lang w:val="en-GB"/>
        </w:rPr>
        <w:t>drug</w:t>
      </w:r>
      <w:r w:rsidR="009643FA" w:rsidRPr="001531ED">
        <w:rPr>
          <w:rFonts w:ascii="Arial" w:hAnsi="Arial" w:cs="Arial"/>
          <w:bCs/>
          <w:snapToGrid w:val="0"/>
          <w:sz w:val="22"/>
          <w:szCs w:val="20"/>
          <w:lang w:val="en-GB"/>
        </w:rPr>
        <w:t xml:space="preserve"> </w:t>
      </w:r>
      <w:proofErr w:type="spellStart"/>
      <w:r w:rsidRPr="001531ED">
        <w:rPr>
          <w:rFonts w:ascii="Arial" w:hAnsi="Arial" w:cs="Arial"/>
          <w:bCs/>
          <w:snapToGrid w:val="0"/>
          <w:sz w:val="22"/>
          <w:szCs w:val="20"/>
          <w:lang w:val="en-GB"/>
        </w:rPr>
        <w:t>leuprorelin</w:t>
      </w:r>
      <w:proofErr w:type="spellEnd"/>
      <w:r w:rsidRPr="001531ED">
        <w:rPr>
          <w:rFonts w:ascii="Arial" w:hAnsi="Arial" w:cs="Arial"/>
          <w:bCs/>
          <w:snapToGrid w:val="0"/>
          <w:sz w:val="22"/>
          <w:szCs w:val="20"/>
          <w:lang w:val="en-GB"/>
        </w:rPr>
        <w:t xml:space="preserve"> and </w:t>
      </w:r>
      <w:proofErr w:type="spellStart"/>
      <w:r w:rsidRPr="001531ED">
        <w:rPr>
          <w:rFonts w:ascii="Arial" w:hAnsi="Arial" w:cs="Arial"/>
          <w:bCs/>
          <w:snapToGrid w:val="0"/>
          <w:sz w:val="22"/>
          <w:szCs w:val="20"/>
          <w:lang w:val="en-GB"/>
        </w:rPr>
        <w:t>bicalutamide</w:t>
      </w:r>
      <w:proofErr w:type="spellEnd"/>
      <w:r w:rsidRPr="001531ED">
        <w:rPr>
          <w:rFonts w:ascii="Arial" w:hAnsi="Arial" w:cs="Arial"/>
          <w:bCs/>
          <w:snapToGrid w:val="0"/>
          <w:sz w:val="22"/>
          <w:szCs w:val="20"/>
          <w:lang w:val="en-GB"/>
        </w:rPr>
        <w:t xml:space="preserve"> on a cost minimisation basis </w:t>
      </w:r>
      <w:r w:rsidR="009643FA" w:rsidRPr="001531ED">
        <w:rPr>
          <w:rFonts w:ascii="Arial" w:hAnsi="Arial" w:cs="Arial"/>
          <w:bCs/>
          <w:snapToGrid w:val="0"/>
          <w:sz w:val="22"/>
          <w:szCs w:val="20"/>
          <w:lang w:val="en-GB"/>
        </w:rPr>
        <w:t xml:space="preserve">compared </w:t>
      </w:r>
      <w:r w:rsidRPr="001531ED">
        <w:rPr>
          <w:rFonts w:ascii="Arial" w:hAnsi="Arial" w:cs="Arial"/>
          <w:bCs/>
          <w:snapToGrid w:val="0"/>
          <w:sz w:val="22"/>
          <w:szCs w:val="20"/>
          <w:lang w:val="en-GB"/>
        </w:rPr>
        <w:t xml:space="preserve">with the individual components. </w:t>
      </w:r>
    </w:p>
    <w:p w:rsidR="004E27F2" w:rsidRPr="001531ED" w:rsidRDefault="004E27F2" w:rsidP="005E43EB">
      <w:pPr>
        <w:ind w:left="709" w:hanging="709"/>
        <w:rPr>
          <w:rFonts w:ascii="Arial" w:hAnsi="Arial" w:cs="Arial"/>
          <w:bCs/>
          <w:snapToGrid w:val="0"/>
          <w:sz w:val="22"/>
          <w:szCs w:val="20"/>
          <w:lang w:val="en-GB"/>
        </w:rPr>
      </w:pPr>
    </w:p>
    <w:p w:rsidR="004E27F2" w:rsidRPr="001531ED" w:rsidRDefault="004E27F2" w:rsidP="005E43EB">
      <w:pPr>
        <w:widowControl w:val="0"/>
        <w:numPr>
          <w:ilvl w:val="1"/>
          <w:numId w:val="3"/>
        </w:numPr>
        <w:ind w:left="709" w:hanging="709"/>
        <w:jc w:val="both"/>
        <w:rPr>
          <w:rFonts w:ascii="Arial" w:hAnsi="Arial" w:cs="Arial"/>
          <w:bCs/>
          <w:snapToGrid w:val="0"/>
          <w:sz w:val="22"/>
          <w:szCs w:val="20"/>
          <w:lang w:val="en-GB"/>
        </w:rPr>
      </w:pPr>
      <w:r w:rsidRPr="001531ED">
        <w:rPr>
          <w:rFonts w:ascii="Arial" w:hAnsi="Arial" w:cs="Arial"/>
          <w:bCs/>
          <w:snapToGrid w:val="0"/>
          <w:sz w:val="22"/>
          <w:szCs w:val="20"/>
          <w:lang w:val="en-GB"/>
        </w:rPr>
        <w:t>The PBAC accepted the nominated comparator</w:t>
      </w:r>
      <w:r w:rsidR="00E04426" w:rsidRPr="001531ED">
        <w:rPr>
          <w:rFonts w:ascii="Arial" w:hAnsi="Arial" w:cs="Arial"/>
          <w:bCs/>
          <w:snapToGrid w:val="0"/>
          <w:sz w:val="22"/>
          <w:szCs w:val="20"/>
          <w:lang w:val="en-GB"/>
        </w:rPr>
        <w:t>s</w:t>
      </w:r>
      <w:r w:rsidRPr="001531ED">
        <w:rPr>
          <w:rFonts w:ascii="Arial" w:hAnsi="Arial" w:cs="Arial"/>
          <w:bCs/>
          <w:snapToGrid w:val="0"/>
          <w:sz w:val="22"/>
          <w:szCs w:val="20"/>
          <w:lang w:val="en-GB"/>
        </w:rPr>
        <w:t xml:space="preserve"> of co-prescribed </w:t>
      </w:r>
      <w:proofErr w:type="spellStart"/>
      <w:r w:rsidRPr="001531ED">
        <w:rPr>
          <w:rFonts w:ascii="Arial" w:hAnsi="Arial" w:cs="Arial"/>
          <w:bCs/>
          <w:snapToGrid w:val="0"/>
          <w:sz w:val="22"/>
          <w:szCs w:val="20"/>
          <w:lang w:val="en-GB"/>
        </w:rPr>
        <w:t>leuprorelin</w:t>
      </w:r>
      <w:proofErr w:type="spellEnd"/>
      <w:r w:rsidRPr="001531ED">
        <w:rPr>
          <w:rFonts w:ascii="Arial" w:hAnsi="Arial" w:cs="Arial"/>
          <w:bCs/>
          <w:snapToGrid w:val="0"/>
          <w:sz w:val="22"/>
          <w:szCs w:val="20"/>
          <w:lang w:val="en-GB"/>
        </w:rPr>
        <w:t xml:space="preserve"> and </w:t>
      </w:r>
      <w:proofErr w:type="spellStart"/>
      <w:r w:rsidRPr="001531ED">
        <w:rPr>
          <w:rFonts w:ascii="Arial" w:hAnsi="Arial" w:cs="Arial"/>
          <w:bCs/>
          <w:snapToGrid w:val="0"/>
          <w:sz w:val="22"/>
          <w:szCs w:val="20"/>
          <w:lang w:val="en-GB"/>
        </w:rPr>
        <w:t>bicalutamide</w:t>
      </w:r>
      <w:proofErr w:type="spellEnd"/>
      <w:r w:rsidR="00E04426" w:rsidRPr="001531ED">
        <w:rPr>
          <w:rFonts w:ascii="Arial" w:hAnsi="Arial" w:cs="Arial"/>
          <w:bCs/>
          <w:snapToGrid w:val="0"/>
          <w:sz w:val="22"/>
          <w:szCs w:val="20"/>
          <w:lang w:val="en-GB"/>
        </w:rPr>
        <w:t xml:space="preserve"> (primary comparator)</w:t>
      </w:r>
      <w:r w:rsidR="004616C9">
        <w:rPr>
          <w:rFonts w:ascii="Arial" w:hAnsi="Arial" w:cs="Arial"/>
          <w:bCs/>
          <w:snapToGrid w:val="0"/>
          <w:sz w:val="22"/>
          <w:szCs w:val="20"/>
          <w:lang w:val="en-GB"/>
        </w:rPr>
        <w:t xml:space="preserve"> and</w:t>
      </w:r>
      <w:r w:rsidRPr="001531ED">
        <w:rPr>
          <w:rFonts w:ascii="Arial" w:hAnsi="Arial" w:cs="Arial"/>
          <w:bCs/>
          <w:snapToGrid w:val="0"/>
          <w:sz w:val="22"/>
          <w:szCs w:val="20"/>
          <w:lang w:val="en-GB"/>
        </w:rPr>
        <w:t xml:space="preserve"> </w:t>
      </w:r>
      <w:proofErr w:type="spellStart"/>
      <w:r w:rsidRPr="001531ED">
        <w:rPr>
          <w:rFonts w:ascii="Arial" w:hAnsi="Arial" w:cs="Arial"/>
          <w:bCs/>
          <w:snapToGrid w:val="0"/>
          <w:sz w:val="22"/>
          <w:szCs w:val="20"/>
          <w:lang w:val="en-GB"/>
        </w:rPr>
        <w:t>goserelin</w:t>
      </w:r>
      <w:proofErr w:type="spellEnd"/>
      <w:r w:rsidRPr="001531ED">
        <w:rPr>
          <w:rFonts w:ascii="Arial" w:hAnsi="Arial" w:cs="Arial"/>
          <w:bCs/>
          <w:snapToGrid w:val="0"/>
          <w:sz w:val="22"/>
          <w:szCs w:val="20"/>
          <w:lang w:val="en-GB"/>
        </w:rPr>
        <w:t xml:space="preserve"> and </w:t>
      </w:r>
      <w:proofErr w:type="spellStart"/>
      <w:r w:rsidRPr="001531ED">
        <w:rPr>
          <w:rFonts w:ascii="Arial" w:hAnsi="Arial" w:cs="Arial"/>
          <w:bCs/>
          <w:snapToGrid w:val="0"/>
          <w:sz w:val="22"/>
          <w:szCs w:val="20"/>
          <w:lang w:val="en-GB"/>
        </w:rPr>
        <w:t>bicalutamide</w:t>
      </w:r>
      <w:proofErr w:type="spellEnd"/>
      <w:r w:rsidRPr="001531ED">
        <w:rPr>
          <w:rFonts w:ascii="Arial" w:hAnsi="Arial" w:cs="Arial"/>
          <w:bCs/>
          <w:snapToGrid w:val="0"/>
          <w:sz w:val="22"/>
          <w:szCs w:val="20"/>
          <w:lang w:val="en-GB"/>
        </w:rPr>
        <w:t xml:space="preserve"> </w:t>
      </w:r>
      <w:r w:rsidR="00E04426" w:rsidRPr="001531ED">
        <w:rPr>
          <w:rFonts w:ascii="Arial" w:hAnsi="Arial" w:cs="Arial"/>
          <w:bCs/>
          <w:snapToGrid w:val="0"/>
          <w:sz w:val="22"/>
          <w:szCs w:val="20"/>
          <w:lang w:val="en-GB"/>
        </w:rPr>
        <w:t>combination pack (</w:t>
      </w:r>
      <w:r w:rsidRPr="001531ED">
        <w:rPr>
          <w:rFonts w:ascii="Arial" w:hAnsi="Arial" w:cs="Arial"/>
          <w:bCs/>
          <w:snapToGrid w:val="0"/>
          <w:sz w:val="22"/>
          <w:szCs w:val="20"/>
          <w:lang w:val="en-GB"/>
        </w:rPr>
        <w:t>secondary comparator</w:t>
      </w:r>
      <w:r w:rsidR="00E04426" w:rsidRPr="001531ED">
        <w:rPr>
          <w:rFonts w:ascii="Arial" w:hAnsi="Arial" w:cs="Arial"/>
          <w:bCs/>
          <w:snapToGrid w:val="0"/>
          <w:sz w:val="22"/>
          <w:szCs w:val="20"/>
          <w:lang w:val="en-GB"/>
        </w:rPr>
        <w:t>)</w:t>
      </w:r>
      <w:r w:rsidRPr="001531ED">
        <w:rPr>
          <w:rFonts w:ascii="Arial" w:hAnsi="Arial" w:cs="Arial"/>
          <w:bCs/>
          <w:snapToGrid w:val="0"/>
          <w:sz w:val="22"/>
          <w:szCs w:val="20"/>
          <w:lang w:val="en-GB"/>
        </w:rPr>
        <w:t>.</w:t>
      </w:r>
      <w:r w:rsidR="00E04426" w:rsidRPr="001531ED">
        <w:rPr>
          <w:rFonts w:ascii="Arial" w:hAnsi="Arial" w:cs="Arial"/>
          <w:bCs/>
          <w:snapToGrid w:val="0"/>
          <w:sz w:val="22"/>
          <w:szCs w:val="20"/>
          <w:lang w:val="en-GB"/>
        </w:rPr>
        <w:t xml:space="preserve"> The PBAC noted that the components</w:t>
      </w:r>
      <w:r w:rsidR="00330A92" w:rsidRPr="001531ED">
        <w:rPr>
          <w:rFonts w:ascii="Arial" w:hAnsi="Arial" w:cs="Arial"/>
          <w:bCs/>
          <w:snapToGrid w:val="0"/>
          <w:sz w:val="22"/>
          <w:szCs w:val="20"/>
          <w:lang w:val="en-GB"/>
        </w:rPr>
        <w:t xml:space="preserve"> of the proposed product and comparator combination pack</w:t>
      </w:r>
      <w:r w:rsidR="00E04426" w:rsidRPr="001531ED">
        <w:rPr>
          <w:rFonts w:ascii="Arial" w:hAnsi="Arial" w:cs="Arial"/>
          <w:bCs/>
          <w:snapToGrid w:val="0"/>
          <w:sz w:val="22"/>
          <w:szCs w:val="20"/>
          <w:lang w:val="en-GB"/>
        </w:rPr>
        <w:t xml:space="preserve"> are TGA registered and PBS listed for </w:t>
      </w:r>
      <w:r w:rsidR="00330A92" w:rsidRPr="001531ED">
        <w:rPr>
          <w:rFonts w:ascii="Arial" w:hAnsi="Arial" w:cs="Arial"/>
          <w:bCs/>
          <w:snapToGrid w:val="0"/>
          <w:sz w:val="22"/>
          <w:szCs w:val="20"/>
          <w:lang w:val="en-GB"/>
        </w:rPr>
        <w:t>metastatic prostate cancer</w:t>
      </w:r>
      <w:r w:rsidR="00E04426" w:rsidRPr="001531ED">
        <w:rPr>
          <w:rFonts w:ascii="Arial" w:hAnsi="Arial" w:cs="Arial"/>
          <w:bCs/>
          <w:snapToGrid w:val="0"/>
          <w:sz w:val="22"/>
          <w:szCs w:val="20"/>
          <w:lang w:val="en-GB"/>
        </w:rPr>
        <w:t xml:space="preserve">. </w:t>
      </w:r>
    </w:p>
    <w:p w:rsidR="004E27F2" w:rsidRPr="001531ED" w:rsidRDefault="004E27F2" w:rsidP="005E43EB">
      <w:pPr>
        <w:pStyle w:val="ListParagraph"/>
        <w:ind w:left="709" w:hanging="709"/>
        <w:rPr>
          <w:rFonts w:ascii="Arial" w:hAnsi="Arial" w:cs="Arial"/>
          <w:bCs/>
          <w:snapToGrid w:val="0"/>
          <w:sz w:val="22"/>
          <w:szCs w:val="20"/>
          <w:lang w:val="en-GB"/>
        </w:rPr>
      </w:pPr>
    </w:p>
    <w:p w:rsidR="00AA63F4" w:rsidRDefault="00BA6F2E" w:rsidP="005E43EB">
      <w:pPr>
        <w:widowControl w:val="0"/>
        <w:numPr>
          <w:ilvl w:val="1"/>
          <w:numId w:val="3"/>
        </w:numPr>
        <w:ind w:left="709" w:hanging="709"/>
        <w:jc w:val="both"/>
        <w:rPr>
          <w:rFonts w:ascii="Arial" w:hAnsi="Arial" w:cs="Arial"/>
          <w:bCs/>
          <w:snapToGrid w:val="0"/>
          <w:sz w:val="22"/>
          <w:szCs w:val="20"/>
          <w:lang w:val="en-GB"/>
        </w:rPr>
      </w:pPr>
      <w:r w:rsidRPr="001531ED">
        <w:rPr>
          <w:rFonts w:ascii="Arial" w:hAnsi="Arial" w:cs="Arial"/>
          <w:bCs/>
          <w:snapToGrid w:val="0"/>
          <w:sz w:val="22"/>
          <w:szCs w:val="20"/>
          <w:lang w:val="en-GB"/>
        </w:rPr>
        <w:t xml:space="preserve">The PBAC considered that the </w:t>
      </w:r>
      <w:r w:rsidR="00C11924" w:rsidRPr="001531ED">
        <w:rPr>
          <w:rFonts w:ascii="Arial" w:hAnsi="Arial" w:cs="Arial"/>
          <w:bCs/>
          <w:snapToGrid w:val="0"/>
          <w:sz w:val="22"/>
          <w:szCs w:val="20"/>
          <w:lang w:val="en-GB"/>
        </w:rPr>
        <w:t>clinical</w:t>
      </w:r>
      <w:r w:rsidRPr="001531ED">
        <w:rPr>
          <w:rFonts w:ascii="Arial" w:hAnsi="Arial" w:cs="Arial"/>
          <w:bCs/>
          <w:snapToGrid w:val="0"/>
          <w:sz w:val="22"/>
          <w:szCs w:val="20"/>
          <w:lang w:val="en-GB"/>
        </w:rPr>
        <w:t xml:space="preserve"> outcomes with the </w:t>
      </w:r>
      <w:proofErr w:type="spellStart"/>
      <w:r w:rsidR="00C11924" w:rsidRPr="001531ED">
        <w:rPr>
          <w:rFonts w:ascii="Arial" w:hAnsi="Arial" w:cs="Arial"/>
          <w:bCs/>
          <w:snapToGrid w:val="0"/>
          <w:sz w:val="22"/>
          <w:szCs w:val="20"/>
          <w:lang w:val="en-GB"/>
        </w:rPr>
        <w:t>leuprorelin</w:t>
      </w:r>
      <w:proofErr w:type="spellEnd"/>
      <w:r w:rsidR="00C11924" w:rsidRPr="001531ED">
        <w:rPr>
          <w:rFonts w:ascii="Arial" w:hAnsi="Arial" w:cs="Arial"/>
          <w:bCs/>
          <w:snapToGrid w:val="0"/>
          <w:sz w:val="22"/>
          <w:szCs w:val="20"/>
          <w:lang w:val="en-GB"/>
        </w:rPr>
        <w:t xml:space="preserve"> and </w:t>
      </w:r>
      <w:proofErr w:type="spellStart"/>
      <w:r w:rsidR="00C11924" w:rsidRPr="001531ED">
        <w:rPr>
          <w:rFonts w:ascii="Arial" w:hAnsi="Arial" w:cs="Arial"/>
          <w:bCs/>
          <w:snapToGrid w:val="0"/>
          <w:sz w:val="22"/>
          <w:szCs w:val="20"/>
          <w:lang w:val="en-GB"/>
        </w:rPr>
        <w:t>bicalutamide</w:t>
      </w:r>
      <w:proofErr w:type="spellEnd"/>
      <w:r w:rsidR="00C11924" w:rsidRPr="001531ED">
        <w:rPr>
          <w:rFonts w:ascii="Arial" w:hAnsi="Arial" w:cs="Arial"/>
          <w:bCs/>
          <w:snapToGrid w:val="0"/>
          <w:sz w:val="22"/>
          <w:szCs w:val="20"/>
          <w:lang w:val="en-GB"/>
        </w:rPr>
        <w:t xml:space="preserve"> </w:t>
      </w:r>
      <w:r w:rsidRPr="001531ED">
        <w:rPr>
          <w:rFonts w:ascii="Arial" w:hAnsi="Arial" w:cs="Arial"/>
          <w:bCs/>
          <w:snapToGrid w:val="0"/>
          <w:sz w:val="22"/>
          <w:szCs w:val="20"/>
          <w:lang w:val="en-GB"/>
        </w:rPr>
        <w:t xml:space="preserve">combination </w:t>
      </w:r>
      <w:r w:rsidR="008006C0">
        <w:rPr>
          <w:rFonts w:ascii="Arial" w:hAnsi="Arial" w:cs="Arial"/>
          <w:bCs/>
          <w:snapToGrid w:val="0"/>
          <w:sz w:val="22"/>
          <w:szCs w:val="20"/>
          <w:lang w:val="en-GB"/>
        </w:rPr>
        <w:t>drug</w:t>
      </w:r>
      <w:r w:rsidR="008006C0" w:rsidRPr="001531ED">
        <w:rPr>
          <w:rFonts w:ascii="Arial" w:hAnsi="Arial" w:cs="Arial"/>
          <w:bCs/>
          <w:snapToGrid w:val="0"/>
          <w:sz w:val="22"/>
          <w:szCs w:val="20"/>
          <w:lang w:val="en-GB"/>
        </w:rPr>
        <w:t xml:space="preserve"> </w:t>
      </w:r>
      <w:r w:rsidRPr="001531ED">
        <w:rPr>
          <w:rFonts w:ascii="Arial" w:hAnsi="Arial" w:cs="Arial"/>
          <w:bCs/>
          <w:snapToGrid w:val="0"/>
          <w:sz w:val="22"/>
          <w:szCs w:val="20"/>
          <w:lang w:val="en-GB"/>
        </w:rPr>
        <w:t xml:space="preserve">would </w:t>
      </w:r>
      <w:r w:rsidR="00C11924" w:rsidRPr="001531ED">
        <w:rPr>
          <w:rFonts w:ascii="Arial" w:hAnsi="Arial" w:cs="Arial"/>
          <w:bCs/>
          <w:snapToGrid w:val="0"/>
          <w:sz w:val="22"/>
          <w:szCs w:val="20"/>
          <w:lang w:val="en-GB"/>
        </w:rPr>
        <w:t>be</w:t>
      </w:r>
      <w:r w:rsidR="00EA617D">
        <w:rPr>
          <w:rFonts w:ascii="Arial" w:hAnsi="Arial" w:cs="Arial"/>
          <w:bCs/>
          <w:snapToGrid w:val="0"/>
          <w:sz w:val="22"/>
          <w:szCs w:val="20"/>
          <w:lang w:val="en-GB"/>
        </w:rPr>
        <w:t xml:space="preserve"> equivalent</w:t>
      </w:r>
      <w:r w:rsidRPr="001531ED">
        <w:rPr>
          <w:rFonts w:ascii="Arial" w:hAnsi="Arial" w:cs="Arial"/>
          <w:bCs/>
          <w:snapToGrid w:val="0"/>
          <w:sz w:val="22"/>
          <w:szCs w:val="20"/>
          <w:lang w:val="en-GB"/>
        </w:rPr>
        <w:t xml:space="preserve"> to</w:t>
      </w:r>
      <w:r w:rsidR="00C11924" w:rsidRPr="001531ED">
        <w:rPr>
          <w:rFonts w:ascii="Arial" w:hAnsi="Arial" w:cs="Arial"/>
          <w:bCs/>
          <w:snapToGrid w:val="0"/>
          <w:sz w:val="22"/>
          <w:szCs w:val="20"/>
          <w:lang w:val="en-GB"/>
        </w:rPr>
        <w:t xml:space="preserve"> those with</w:t>
      </w:r>
      <w:r w:rsidRPr="001531ED">
        <w:rPr>
          <w:rFonts w:ascii="Arial" w:hAnsi="Arial" w:cs="Arial"/>
          <w:bCs/>
          <w:snapToGrid w:val="0"/>
          <w:sz w:val="22"/>
          <w:szCs w:val="20"/>
          <w:lang w:val="en-GB"/>
        </w:rPr>
        <w:t xml:space="preserve"> co-prescribing</w:t>
      </w:r>
      <w:r w:rsidR="00C11924" w:rsidRPr="001531ED">
        <w:rPr>
          <w:rFonts w:ascii="Arial" w:hAnsi="Arial" w:cs="Arial"/>
          <w:bCs/>
          <w:snapToGrid w:val="0"/>
          <w:sz w:val="22"/>
          <w:szCs w:val="20"/>
          <w:lang w:val="en-GB"/>
        </w:rPr>
        <w:t xml:space="preserve"> of the individual components</w:t>
      </w:r>
      <w:r w:rsidRPr="001531ED">
        <w:rPr>
          <w:rFonts w:ascii="Arial" w:hAnsi="Arial" w:cs="Arial"/>
          <w:bCs/>
          <w:snapToGrid w:val="0"/>
          <w:sz w:val="22"/>
          <w:szCs w:val="20"/>
          <w:lang w:val="en-GB"/>
        </w:rPr>
        <w:t>.</w:t>
      </w:r>
    </w:p>
    <w:p w:rsidR="00BA6F2E" w:rsidRPr="001531ED" w:rsidRDefault="00BA6F2E" w:rsidP="005E43EB">
      <w:pPr>
        <w:widowControl w:val="0"/>
        <w:ind w:left="709" w:hanging="709"/>
        <w:jc w:val="both"/>
        <w:rPr>
          <w:rFonts w:ascii="Arial" w:hAnsi="Arial" w:cs="Arial"/>
          <w:bCs/>
          <w:snapToGrid w:val="0"/>
          <w:sz w:val="22"/>
          <w:szCs w:val="20"/>
          <w:lang w:val="en-GB"/>
        </w:rPr>
      </w:pPr>
    </w:p>
    <w:p w:rsidR="004E27F2" w:rsidRPr="001531ED" w:rsidRDefault="004E27F2" w:rsidP="005E43EB">
      <w:pPr>
        <w:widowControl w:val="0"/>
        <w:numPr>
          <w:ilvl w:val="1"/>
          <w:numId w:val="3"/>
        </w:numPr>
        <w:ind w:left="709" w:hanging="709"/>
        <w:jc w:val="both"/>
        <w:rPr>
          <w:rFonts w:ascii="Arial" w:hAnsi="Arial" w:cs="Arial"/>
          <w:bCs/>
          <w:snapToGrid w:val="0"/>
          <w:sz w:val="22"/>
          <w:szCs w:val="20"/>
          <w:lang w:val="en-GB"/>
        </w:rPr>
      </w:pPr>
      <w:r w:rsidRPr="001531ED">
        <w:rPr>
          <w:rFonts w:ascii="Arial" w:hAnsi="Arial" w:cs="Arial"/>
          <w:bCs/>
          <w:snapToGrid w:val="0"/>
          <w:sz w:val="22"/>
          <w:szCs w:val="20"/>
          <w:lang w:val="en-GB"/>
        </w:rPr>
        <w:t>The PBAC recommended that the</w:t>
      </w:r>
      <w:r w:rsidR="005151AD" w:rsidRPr="008A56B2">
        <w:rPr>
          <w:rFonts w:ascii="Arial" w:hAnsi="Arial" w:cs="Arial"/>
          <w:bCs/>
          <w:snapToGrid w:val="0"/>
          <w:sz w:val="22"/>
          <w:szCs w:val="20"/>
          <w:lang w:val="en-GB"/>
        </w:rPr>
        <w:t xml:space="preserve"> wording of the</w:t>
      </w:r>
      <w:r w:rsidRPr="001531ED">
        <w:rPr>
          <w:rFonts w:ascii="Arial" w:hAnsi="Arial" w:cs="Arial"/>
          <w:bCs/>
          <w:snapToGrid w:val="0"/>
          <w:sz w:val="22"/>
          <w:szCs w:val="20"/>
          <w:lang w:val="en-GB"/>
        </w:rPr>
        <w:t xml:space="preserve"> restriction </w:t>
      </w:r>
      <w:r w:rsidR="00C11924" w:rsidRPr="001531ED">
        <w:rPr>
          <w:rFonts w:ascii="Arial" w:hAnsi="Arial" w:cs="Arial"/>
          <w:bCs/>
          <w:snapToGrid w:val="0"/>
          <w:sz w:val="22"/>
          <w:szCs w:val="20"/>
          <w:lang w:val="en-GB"/>
        </w:rPr>
        <w:t>be</w:t>
      </w:r>
      <w:r w:rsidR="00AA63F4" w:rsidRPr="008A56B2">
        <w:rPr>
          <w:rFonts w:ascii="Arial" w:hAnsi="Arial" w:cs="Arial"/>
          <w:bCs/>
          <w:snapToGrid w:val="0"/>
          <w:sz w:val="22"/>
          <w:szCs w:val="20"/>
          <w:lang w:val="en-GB"/>
        </w:rPr>
        <w:t xml:space="preserve"> </w:t>
      </w:r>
      <w:r w:rsidR="00C11924" w:rsidRPr="001531ED">
        <w:rPr>
          <w:rFonts w:ascii="Arial" w:hAnsi="Arial" w:cs="Arial"/>
          <w:bCs/>
          <w:snapToGrid w:val="0"/>
          <w:sz w:val="22"/>
          <w:szCs w:val="20"/>
          <w:lang w:val="en-GB"/>
        </w:rPr>
        <w:t xml:space="preserve">the same </w:t>
      </w:r>
      <w:r w:rsidRPr="001531ED">
        <w:rPr>
          <w:rFonts w:ascii="Arial" w:hAnsi="Arial" w:cs="Arial"/>
          <w:bCs/>
          <w:snapToGrid w:val="0"/>
          <w:sz w:val="22"/>
          <w:szCs w:val="20"/>
          <w:lang w:val="en-GB"/>
        </w:rPr>
        <w:t xml:space="preserve">as </w:t>
      </w:r>
      <w:r w:rsidR="00C11924" w:rsidRPr="001531ED">
        <w:rPr>
          <w:rFonts w:ascii="Arial" w:hAnsi="Arial" w:cs="Arial"/>
          <w:bCs/>
          <w:snapToGrid w:val="0"/>
          <w:sz w:val="22"/>
          <w:szCs w:val="20"/>
          <w:lang w:val="en-GB"/>
        </w:rPr>
        <w:t xml:space="preserve">for </w:t>
      </w:r>
      <w:r w:rsidRPr="001531ED">
        <w:rPr>
          <w:rFonts w:ascii="Arial" w:hAnsi="Arial" w:cs="Arial"/>
          <w:bCs/>
          <w:snapToGrid w:val="0"/>
          <w:sz w:val="22"/>
          <w:szCs w:val="20"/>
          <w:lang w:val="en-GB"/>
        </w:rPr>
        <w:t>the currently</w:t>
      </w:r>
      <w:r w:rsidR="004C5529">
        <w:rPr>
          <w:rFonts w:ascii="Arial" w:hAnsi="Arial" w:cs="Arial"/>
          <w:bCs/>
          <w:snapToGrid w:val="0"/>
          <w:sz w:val="22"/>
          <w:szCs w:val="20"/>
          <w:lang w:val="en-GB"/>
        </w:rPr>
        <w:t xml:space="preserve"> </w:t>
      </w:r>
      <w:r w:rsidRPr="001531ED">
        <w:rPr>
          <w:rFonts w:ascii="Arial" w:hAnsi="Arial" w:cs="Arial"/>
          <w:bCs/>
          <w:snapToGrid w:val="0"/>
          <w:sz w:val="22"/>
          <w:szCs w:val="20"/>
          <w:lang w:val="en-GB"/>
        </w:rPr>
        <w:t xml:space="preserve">listed </w:t>
      </w:r>
      <w:proofErr w:type="spellStart"/>
      <w:r w:rsidRPr="001531ED">
        <w:rPr>
          <w:rFonts w:ascii="Arial" w:hAnsi="Arial" w:cs="Arial"/>
          <w:bCs/>
          <w:snapToGrid w:val="0"/>
          <w:sz w:val="22"/>
          <w:szCs w:val="20"/>
          <w:lang w:val="en-GB"/>
        </w:rPr>
        <w:t>goserelin</w:t>
      </w:r>
      <w:proofErr w:type="spellEnd"/>
      <w:r w:rsidRPr="001531ED">
        <w:rPr>
          <w:rFonts w:ascii="Arial" w:hAnsi="Arial" w:cs="Arial"/>
          <w:bCs/>
          <w:snapToGrid w:val="0"/>
          <w:sz w:val="22"/>
          <w:szCs w:val="20"/>
          <w:lang w:val="en-GB"/>
        </w:rPr>
        <w:t xml:space="preserve"> and </w:t>
      </w:r>
      <w:proofErr w:type="spellStart"/>
      <w:r w:rsidRPr="001531ED">
        <w:rPr>
          <w:rFonts w:ascii="Arial" w:hAnsi="Arial" w:cs="Arial"/>
          <w:bCs/>
          <w:snapToGrid w:val="0"/>
          <w:sz w:val="22"/>
          <w:szCs w:val="20"/>
          <w:lang w:val="en-GB"/>
        </w:rPr>
        <w:t>bicalutamide</w:t>
      </w:r>
      <w:proofErr w:type="spellEnd"/>
      <w:r w:rsidRPr="001531ED">
        <w:rPr>
          <w:rFonts w:ascii="Arial" w:hAnsi="Arial" w:cs="Arial"/>
          <w:bCs/>
          <w:snapToGrid w:val="0"/>
          <w:sz w:val="22"/>
          <w:szCs w:val="20"/>
          <w:lang w:val="en-GB"/>
        </w:rPr>
        <w:t xml:space="preserve"> combination </w:t>
      </w:r>
      <w:r w:rsidR="008006C0">
        <w:rPr>
          <w:rFonts w:ascii="Arial" w:hAnsi="Arial" w:cs="Arial"/>
          <w:bCs/>
          <w:snapToGrid w:val="0"/>
          <w:sz w:val="22"/>
          <w:szCs w:val="20"/>
          <w:lang w:val="en-GB"/>
        </w:rPr>
        <w:t>drug</w:t>
      </w:r>
      <w:r w:rsidRPr="001531ED">
        <w:rPr>
          <w:rFonts w:ascii="Arial" w:hAnsi="Arial" w:cs="Arial"/>
          <w:bCs/>
          <w:snapToGrid w:val="0"/>
          <w:sz w:val="22"/>
          <w:szCs w:val="20"/>
          <w:lang w:val="en-GB"/>
        </w:rPr>
        <w:t>.</w:t>
      </w:r>
    </w:p>
    <w:p w:rsidR="004E27F2" w:rsidRPr="001531ED" w:rsidRDefault="004E27F2" w:rsidP="005E43EB">
      <w:pPr>
        <w:pStyle w:val="ListParagraph"/>
        <w:ind w:left="709" w:hanging="709"/>
        <w:rPr>
          <w:rFonts w:ascii="Arial" w:hAnsi="Arial" w:cs="Arial"/>
          <w:bCs/>
          <w:snapToGrid w:val="0"/>
          <w:sz w:val="22"/>
          <w:szCs w:val="20"/>
          <w:lang w:val="en-GB"/>
        </w:rPr>
      </w:pPr>
    </w:p>
    <w:p w:rsidR="00851F6C" w:rsidRPr="001531ED" w:rsidRDefault="004E27F2" w:rsidP="005E43EB">
      <w:pPr>
        <w:widowControl w:val="0"/>
        <w:numPr>
          <w:ilvl w:val="1"/>
          <w:numId w:val="3"/>
        </w:numPr>
        <w:ind w:left="709" w:hanging="709"/>
        <w:jc w:val="both"/>
        <w:rPr>
          <w:rFonts w:ascii="Arial" w:hAnsi="Arial" w:cs="Arial"/>
          <w:bCs/>
          <w:snapToGrid w:val="0"/>
          <w:sz w:val="22"/>
          <w:szCs w:val="20"/>
          <w:lang w:val="en-GB"/>
        </w:rPr>
      </w:pPr>
      <w:r w:rsidRPr="001531ED">
        <w:rPr>
          <w:rFonts w:ascii="Arial" w:hAnsi="Arial" w:cs="Arial"/>
          <w:bCs/>
          <w:snapToGrid w:val="0"/>
          <w:sz w:val="22"/>
          <w:szCs w:val="20"/>
          <w:lang w:val="en-GB"/>
        </w:rPr>
        <w:t>The PBAC recommended that</w:t>
      </w:r>
      <w:r w:rsidR="00C11924" w:rsidRPr="001531ED">
        <w:rPr>
          <w:rFonts w:ascii="Arial" w:hAnsi="Arial" w:cs="Arial"/>
          <w:bCs/>
          <w:snapToGrid w:val="0"/>
          <w:sz w:val="22"/>
          <w:szCs w:val="20"/>
          <w:lang w:val="en-GB"/>
        </w:rPr>
        <w:t xml:space="preserve"> the</w:t>
      </w:r>
      <w:r w:rsidRPr="001531ED">
        <w:rPr>
          <w:rFonts w:ascii="Arial" w:hAnsi="Arial" w:cs="Arial"/>
          <w:bCs/>
          <w:snapToGrid w:val="0"/>
          <w:sz w:val="22"/>
          <w:szCs w:val="20"/>
          <w:lang w:val="en-GB"/>
        </w:rPr>
        <w:t xml:space="preserve"> </w:t>
      </w:r>
      <w:proofErr w:type="spellStart"/>
      <w:r w:rsidRPr="001531ED">
        <w:rPr>
          <w:rFonts w:ascii="Arial" w:hAnsi="Arial" w:cs="Arial"/>
          <w:bCs/>
          <w:snapToGrid w:val="0"/>
          <w:sz w:val="22"/>
          <w:szCs w:val="20"/>
          <w:lang w:val="en-GB"/>
        </w:rPr>
        <w:t>leuprorelin</w:t>
      </w:r>
      <w:proofErr w:type="spellEnd"/>
      <w:r w:rsidRPr="001531ED">
        <w:rPr>
          <w:rFonts w:ascii="Arial" w:hAnsi="Arial" w:cs="Arial"/>
          <w:bCs/>
          <w:snapToGrid w:val="0"/>
          <w:sz w:val="22"/>
          <w:szCs w:val="20"/>
          <w:lang w:val="en-GB"/>
        </w:rPr>
        <w:t xml:space="preserve"> and </w:t>
      </w:r>
      <w:proofErr w:type="spellStart"/>
      <w:r w:rsidRPr="001531ED">
        <w:rPr>
          <w:rFonts w:ascii="Arial" w:hAnsi="Arial" w:cs="Arial"/>
          <w:bCs/>
          <w:snapToGrid w:val="0"/>
          <w:sz w:val="22"/>
          <w:szCs w:val="20"/>
          <w:lang w:val="en-GB"/>
        </w:rPr>
        <w:t>bicalutamide</w:t>
      </w:r>
      <w:proofErr w:type="spellEnd"/>
      <w:r w:rsidRPr="001531ED">
        <w:rPr>
          <w:rFonts w:ascii="Arial" w:hAnsi="Arial" w:cs="Arial"/>
          <w:bCs/>
          <w:snapToGrid w:val="0"/>
          <w:sz w:val="22"/>
          <w:szCs w:val="20"/>
          <w:lang w:val="en-GB"/>
        </w:rPr>
        <w:t xml:space="preserve"> </w:t>
      </w:r>
      <w:r w:rsidR="00C11924" w:rsidRPr="001531ED">
        <w:rPr>
          <w:rFonts w:ascii="Arial" w:hAnsi="Arial" w:cs="Arial"/>
          <w:bCs/>
          <w:snapToGrid w:val="0"/>
          <w:sz w:val="22"/>
          <w:szCs w:val="20"/>
          <w:lang w:val="en-GB"/>
        </w:rPr>
        <w:t xml:space="preserve">combination </w:t>
      </w:r>
      <w:r w:rsidR="008006C0">
        <w:rPr>
          <w:rFonts w:ascii="Arial" w:hAnsi="Arial" w:cs="Arial"/>
          <w:bCs/>
          <w:snapToGrid w:val="0"/>
          <w:sz w:val="22"/>
          <w:szCs w:val="20"/>
          <w:lang w:val="en-GB"/>
        </w:rPr>
        <w:t>drug</w:t>
      </w:r>
      <w:r w:rsidR="00C11924" w:rsidRPr="001531ED">
        <w:rPr>
          <w:rFonts w:ascii="Arial" w:hAnsi="Arial" w:cs="Arial"/>
          <w:bCs/>
          <w:snapToGrid w:val="0"/>
          <w:sz w:val="22"/>
          <w:szCs w:val="20"/>
          <w:lang w:val="en-GB"/>
        </w:rPr>
        <w:t xml:space="preserve"> </w:t>
      </w:r>
      <w:r w:rsidRPr="001531ED">
        <w:rPr>
          <w:rFonts w:ascii="Arial" w:hAnsi="Arial" w:cs="Arial"/>
          <w:bCs/>
          <w:snapToGrid w:val="0"/>
          <w:sz w:val="22"/>
          <w:szCs w:val="20"/>
          <w:lang w:val="en-GB"/>
        </w:rPr>
        <w:t>be made available as a Restricted Benefit to align</w:t>
      </w:r>
      <w:r w:rsidR="007E6836" w:rsidRPr="001531ED">
        <w:rPr>
          <w:rFonts w:ascii="Arial" w:hAnsi="Arial" w:cs="Arial"/>
          <w:bCs/>
          <w:snapToGrid w:val="0"/>
          <w:sz w:val="22"/>
          <w:szCs w:val="20"/>
          <w:lang w:val="en-GB"/>
        </w:rPr>
        <w:t xml:space="preserve"> with the listings for the components (a Restricted Benefit listing was recommended for </w:t>
      </w:r>
      <w:proofErr w:type="spellStart"/>
      <w:r w:rsidR="007E6836" w:rsidRPr="001531ED">
        <w:rPr>
          <w:rFonts w:ascii="Arial" w:hAnsi="Arial" w:cs="Arial"/>
          <w:bCs/>
          <w:snapToGrid w:val="0"/>
          <w:sz w:val="22"/>
          <w:szCs w:val="20"/>
          <w:lang w:val="en-GB"/>
        </w:rPr>
        <w:t>leuprorelin</w:t>
      </w:r>
      <w:proofErr w:type="spellEnd"/>
      <w:r w:rsidR="007E6836" w:rsidRPr="001531ED">
        <w:rPr>
          <w:rFonts w:ascii="Arial" w:hAnsi="Arial" w:cs="Arial"/>
          <w:bCs/>
          <w:snapToGrid w:val="0"/>
          <w:sz w:val="22"/>
          <w:szCs w:val="20"/>
          <w:lang w:val="en-GB"/>
        </w:rPr>
        <w:t xml:space="preserve"> at the March 2016 PBAC meeting) and the </w:t>
      </w:r>
      <w:proofErr w:type="spellStart"/>
      <w:r w:rsidR="007E6836" w:rsidRPr="001531ED">
        <w:rPr>
          <w:rFonts w:ascii="Arial" w:hAnsi="Arial" w:cs="Arial"/>
          <w:bCs/>
          <w:snapToGrid w:val="0"/>
          <w:sz w:val="22"/>
          <w:szCs w:val="20"/>
          <w:lang w:val="en-GB"/>
        </w:rPr>
        <w:t>goserelin</w:t>
      </w:r>
      <w:proofErr w:type="spellEnd"/>
      <w:r w:rsidR="007E6836" w:rsidRPr="001531ED">
        <w:rPr>
          <w:rFonts w:ascii="Arial" w:hAnsi="Arial" w:cs="Arial"/>
          <w:bCs/>
          <w:snapToGrid w:val="0"/>
          <w:sz w:val="22"/>
          <w:szCs w:val="20"/>
          <w:lang w:val="en-GB"/>
        </w:rPr>
        <w:t xml:space="preserve"> and </w:t>
      </w:r>
      <w:proofErr w:type="spellStart"/>
      <w:r w:rsidR="007E6836" w:rsidRPr="001531ED">
        <w:rPr>
          <w:rFonts w:ascii="Arial" w:hAnsi="Arial" w:cs="Arial"/>
          <w:bCs/>
          <w:snapToGrid w:val="0"/>
          <w:sz w:val="22"/>
          <w:szCs w:val="20"/>
          <w:lang w:val="en-GB"/>
        </w:rPr>
        <w:t>bicalutamide</w:t>
      </w:r>
      <w:proofErr w:type="spellEnd"/>
      <w:r w:rsidR="007E6836" w:rsidRPr="001531ED">
        <w:rPr>
          <w:rFonts w:ascii="Arial" w:hAnsi="Arial" w:cs="Arial"/>
          <w:bCs/>
          <w:snapToGrid w:val="0"/>
          <w:sz w:val="22"/>
          <w:szCs w:val="20"/>
          <w:lang w:val="en-GB"/>
        </w:rPr>
        <w:t xml:space="preserve"> combination pack</w:t>
      </w:r>
      <w:r w:rsidRPr="001531ED">
        <w:rPr>
          <w:rFonts w:ascii="Arial" w:hAnsi="Arial" w:cs="Arial"/>
          <w:bCs/>
          <w:snapToGrid w:val="0"/>
          <w:sz w:val="22"/>
          <w:szCs w:val="20"/>
          <w:lang w:val="en-GB"/>
        </w:rPr>
        <w:t>.</w:t>
      </w:r>
    </w:p>
    <w:p w:rsidR="008C337B" w:rsidRDefault="008C337B" w:rsidP="005E43EB">
      <w:pPr>
        <w:pStyle w:val="ListParagraph"/>
        <w:ind w:left="709" w:hanging="709"/>
        <w:rPr>
          <w:rFonts w:ascii="Arial" w:hAnsi="Arial" w:cs="Arial"/>
          <w:bCs/>
          <w:snapToGrid w:val="0"/>
          <w:sz w:val="22"/>
          <w:szCs w:val="20"/>
          <w:highlight w:val="green"/>
          <w:lang w:val="en-GB"/>
        </w:rPr>
      </w:pPr>
    </w:p>
    <w:p w:rsidR="008C337B" w:rsidRPr="001531ED" w:rsidRDefault="008C337B" w:rsidP="005E43EB">
      <w:pPr>
        <w:widowControl w:val="0"/>
        <w:numPr>
          <w:ilvl w:val="1"/>
          <w:numId w:val="3"/>
        </w:numPr>
        <w:ind w:left="709" w:hanging="709"/>
        <w:jc w:val="both"/>
        <w:rPr>
          <w:rFonts w:ascii="Arial" w:hAnsi="Arial" w:cs="Arial"/>
          <w:bCs/>
          <w:snapToGrid w:val="0"/>
          <w:sz w:val="22"/>
          <w:szCs w:val="20"/>
          <w:lang w:val="en-GB"/>
        </w:rPr>
      </w:pPr>
      <w:r w:rsidRPr="001531ED">
        <w:rPr>
          <w:rFonts w:ascii="Arial" w:hAnsi="Arial" w:cs="Arial"/>
          <w:bCs/>
          <w:snapToGrid w:val="0"/>
          <w:sz w:val="22"/>
          <w:szCs w:val="20"/>
          <w:lang w:val="en-GB"/>
        </w:rPr>
        <w:t>The PBAC noted that the submission proposed a lower price for</w:t>
      </w:r>
      <w:r w:rsidR="005151AD" w:rsidRPr="001531ED">
        <w:rPr>
          <w:rFonts w:ascii="Arial" w:hAnsi="Arial" w:cs="Arial"/>
          <w:bCs/>
          <w:snapToGrid w:val="0"/>
          <w:sz w:val="22"/>
          <w:szCs w:val="20"/>
          <w:lang w:val="en-GB"/>
        </w:rPr>
        <w:t xml:space="preserve"> the</w:t>
      </w:r>
      <w:r w:rsidRPr="001531ED">
        <w:rPr>
          <w:rFonts w:ascii="Arial" w:hAnsi="Arial" w:cs="Arial"/>
          <w:bCs/>
          <w:snapToGrid w:val="0"/>
          <w:sz w:val="22"/>
          <w:szCs w:val="20"/>
          <w:lang w:val="en-GB"/>
        </w:rPr>
        <w:t xml:space="preserve"> </w:t>
      </w:r>
      <w:proofErr w:type="spellStart"/>
      <w:r w:rsidR="005151AD" w:rsidRPr="008A56B2">
        <w:rPr>
          <w:rFonts w:ascii="Arial" w:hAnsi="Arial" w:cs="Arial"/>
          <w:bCs/>
          <w:snapToGrid w:val="0"/>
          <w:sz w:val="22"/>
          <w:szCs w:val="20"/>
          <w:lang w:val="en-GB"/>
        </w:rPr>
        <w:t>leuprorelin</w:t>
      </w:r>
      <w:proofErr w:type="spellEnd"/>
      <w:r w:rsidR="005151AD" w:rsidRPr="008A56B2">
        <w:rPr>
          <w:rFonts w:ascii="Arial" w:hAnsi="Arial" w:cs="Arial"/>
          <w:bCs/>
          <w:snapToGrid w:val="0"/>
          <w:sz w:val="22"/>
          <w:szCs w:val="20"/>
          <w:lang w:val="en-GB"/>
        </w:rPr>
        <w:t xml:space="preserve"> and </w:t>
      </w:r>
      <w:proofErr w:type="spellStart"/>
      <w:r w:rsidR="005151AD" w:rsidRPr="008A56B2">
        <w:rPr>
          <w:rFonts w:ascii="Arial" w:hAnsi="Arial" w:cs="Arial"/>
          <w:bCs/>
          <w:snapToGrid w:val="0"/>
          <w:sz w:val="22"/>
          <w:szCs w:val="20"/>
          <w:lang w:val="en-GB"/>
        </w:rPr>
        <w:t>bicalutamide</w:t>
      </w:r>
      <w:proofErr w:type="spellEnd"/>
      <w:r w:rsidR="005151AD" w:rsidRPr="008A56B2">
        <w:rPr>
          <w:rFonts w:ascii="Arial" w:hAnsi="Arial" w:cs="Arial"/>
          <w:bCs/>
          <w:snapToGrid w:val="0"/>
          <w:sz w:val="22"/>
          <w:szCs w:val="20"/>
          <w:lang w:val="en-GB"/>
        </w:rPr>
        <w:t xml:space="preserve"> combination pack</w:t>
      </w:r>
      <w:r w:rsidR="008006C0">
        <w:rPr>
          <w:rFonts w:ascii="Arial" w:hAnsi="Arial" w:cs="Arial"/>
          <w:bCs/>
          <w:snapToGrid w:val="0"/>
          <w:sz w:val="22"/>
          <w:szCs w:val="20"/>
          <w:lang w:val="en-GB"/>
        </w:rPr>
        <w:t>s</w:t>
      </w:r>
      <w:r w:rsidR="005151AD" w:rsidRPr="008A56B2">
        <w:rPr>
          <w:rFonts w:ascii="Arial" w:hAnsi="Arial" w:cs="Arial"/>
          <w:bCs/>
          <w:snapToGrid w:val="0"/>
          <w:sz w:val="22"/>
          <w:szCs w:val="20"/>
          <w:lang w:val="en-GB"/>
        </w:rPr>
        <w:t xml:space="preserve"> </w:t>
      </w:r>
      <w:r w:rsidRPr="001531ED">
        <w:rPr>
          <w:rFonts w:ascii="Arial" w:hAnsi="Arial" w:cs="Arial"/>
          <w:bCs/>
          <w:snapToGrid w:val="0"/>
          <w:sz w:val="22"/>
          <w:szCs w:val="20"/>
          <w:lang w:val="en-GB"/>
        </w:rPr>
        <w:t>than the currently listed price</w:t>
      </w:r>
      <w:r w:rsidR="008006C0">
        <w:rPr>
          <w:rFonts w:ascii="Arial" w:hAnsi="Arial" w:cs="Arial"/>
          <w:bCs/>
          <w:snapToGrid w:val="0"/>
          <w:sz w:val="22"/>
          <w:szCs w:val="20"/>
          <w:lang w:val="en-GB"/>
        </w:rPr>
        <w:t>s</w:t>
      </w:r>
      <w:r w:rsidRPr="001531ED">
        <w:rPr>
          <w:rFonts w:ascii="Arial" w:hAnsi="Arial" w:cs="Arial"/>
          <w:bCs/>
          <w:snapToGrid w:val="0"/>
          <w:sz w:val="22"/>
          <w:szCs w:val="20"/>
          <w:lang w:val="en-GB"/>
        </w:rPr>
        <w:t xml:space="preserve"> for an equivalent supply of</w:t>
      </w:r>
      <w:r w:rsidR="004A16E5" w:rsidRPr="001531ED">
        <w:rPr>
          <w:rFonts w:ascii="Arial" w:hAnsi="Arial" w:cs="Arial"/>
          <w:bCs/>
          <w:snapToGrid w:val="0"/>
          <w:sz w:val="22"/>
          <w:szCs w:val="20"/>
          <w:lang w:val="en-GB"/>
        </w:rPr>
        <w:t xml:space="preserve"> </w:t>
      </w:r>
      <w:r w:rsidR="005151AD" w:rsidRPr="001531ED">
        <w:rPr>
          <w:rFonts w:ascii="Arial" w:hAnsi="Arial" w:cs="Arial"/>
          <w:bCs/>
          <w:snapToGrid w:val="0"/>
          <w:sz w:val="22"/>
          <w:szCs w:val="20"/>
          <w:lang w:val="en-GB"/>
        </w:rPr>
        <w:t>the</w:t>
      </w:r>
      <w:r w:rsidR="004A16E5" w:rsidRPr="001531ED">
        <w:rPr>
          <w:rFonts w:ascii="Arial" w:hAnsi="Arial" w:cs="Arial"/>
          <w:bCs/>
          <w:snapToGrid w:val="0"/>
          <w:sz w:val="22"/>
          <w:szCs w:val="20"/>
          <w:lang w:val="en-GB"/>
        </w:rPr>
        <w:t xml:space="preserve"> </w:t>
      </w:r>
      <w:proofErr w:type="spellStart"/>
      <w:r w:rsidR="005151AD" w:rsidRPr="008A56B2">
        <w:rPr>
          <w:rFonts w:ascii="Arial" w:hAnsi="Arial" w:cs="Arial"/>
          <w:bCs/>
          <w:snapToGrid w:val="0"/>
          <w:sz w:val="22"/>
          <w:szCs w:val="20"/>
          <w:lang w:val="en-GB"/>
        </w:rPr>
        <w:t>goserelin</w:t>
      </w:r>
      <w:proofErr w:type="spellEnd"/>
      <w:r w:rsidR="005151AD" w:rsidRPr="008A56B2">
        <w:rPr>
          <w:rFonts w:ascii="Arial" w:hAnsi="Arial" w:cs="Arial"/>
          <w:bCs/>
          <w:snapToGrid w:val="0"/>
          <w:sz w:val="22"/>
          <w:szCs w:val="20"/>
          <w:lang w:val="en-GB"/>
        </w:rPr>
        <w:t xml:space="preserve"> and </w:t>
      </w:r>
      <w:proofErr w:type="spellStart"/>
      <w:r w:rsidR="005151AD" w:rsidRPr="008A56B2">
        <w:rPr>
          <w:rFonts w:ascii="Arial" w:hAnsi="Arial" w:cs="Arial"/>
          <w:bCs/>
          <w:snapToGrid w:val="0"/>
          <w:sz w:val="22"/>
          <w:szCs w:val="20"/>
          <w:lang w:val="en-GB"/>
        </w:rPr>
        <w:t>bicalutamide</w:t>
      </w:r>
      <w:proofErr w:type="spellEnd"/>
      <w:r w:rsidR="005151AD" w:rsidRPr="008A56B2">
        <w:rPr>
          <w:rFonts w:ascii="Arial" w:hAnsi="Arial" w:cs="Arial"/>
          <w:bCs/>
          <w:snapToGrid w:val="0"/>
          <w:sz w:val="22"/>
          <w:szCs w:val="20"/>
          <w:lang w:val="en-GB"/>
        </w:rPr>
        <w:t xml:space="preserve"> combination pack, and that there may be </w:t>
      </w:r>
      <w:r w:rsidR="004A16E5" w:rsidRPr="001531ED">
        <w:rPr>
          <w:rFonts w:ascii="Arial" w:hAnsi="Arial" w:cs="Arial"/>
          <w:bCs/>
          <w:snapToGrid w:val="0"/>
          <w:sz w:val="22"/>
          <w:szCs w:val="20"/>
          <w:lang w:val="en-GB"/>
        </w:rPr>
        <w:t xml:space="preserve">a modest cost saving </w:t>
      </w:r>
      <w:r w:rsidR="00A06708" w:rsidRPr="001531ED">
        <w:rPr>
          <w:rFonts w:ascii="Arial" w:hAnsi="Arial" w:cs="Arial"/>
          <w:bCs/>
          <w:snapToGrid w:val="0"/>
          <w:sz w:val="22"/>
          <w:szCs w:val="20"/>
          <w:lang w:val="en-GB"/>
        </w:rPr>
        <w:t>associated with</w:t>
      </w:r>
      <w:r w:rsidR="004A16E5" w:rsidRPr="001531ED">
        <w:rPr>
          <w:rFonts w:ascii="Arial" w:hAnsi="Arial" w:cs="Arial"/>
          <w:bCs/>
          <w:snapToGrid w:val="0"/>
          <w:sz w:val="22"/>
          <w:szCs w:val="20"/>
          <w:lang w:val="en-GB"/>
        </w:rPr>
        <w:t xml:space="preserve"> the flow-on of</w:t>
      </w:r>
      <w:r w:rsidR="008006C0">
        <w:rPr>
          <w:rFonts w:ascii="Arial" w:hAnsi="Arial" w:cs="Arial"/>
          <w:bCs/>
          <w:snapToGrid w:val="0"/>
          <w:sz w:val="22"/>
          <w:szCs w:val="20"/>
          <w:lang w:val="en-GB"/>
        </w:rPr>
        <w:t xml:space="preserve"> this</w:t>
      </w:r>
      <w:r w:rsidR="004A16E5" w:rsidRPr="001531ED">
        <w:rPr>
          <w:rFonts w:ascii="Arial" w:hAnsi="Arial" w:cs="Arial"/>
          <w:bCs/>
          <w:snapToGrid w:val="0"/>
          <w:sz w:val="22"/>
          <w:szCs w:val="20"/>
          <w:lang w:val="en-GB"/>
        </w:rPr>
        <w:t xml:space="preserve"> price </w:t>
      </w:r>
      <w:r w:rsidR="008006C0">
        <w:rPr>
          <w:rFonts w:ascii="Arial" w:hAnsi="Arial" w:cs="Arial"/>
          <w:bCs/>
          <w:snapToGrid w:val="0"/>
          <w:sz w:val="22"/>
          <w:szCs w:val="20"/>
          <w:lang w:val="en-GB"/>
        </w:rPr>
        <w:t xml:space="preserve">reduction </w:t>
      </w:r>
      <w:r w:rsidR="004A16E5" w:rsidRPr="001531ED">
        <w:rPr>
          <w:rFonts w:ascii="Arial" w:hAnsi="Arial" w:cs="Arial"/>
          <w:bCs/>
          <w:snapToGrid w:val="0"/>
          <w:sz w:val="22"/>
          <w:szCs w:val="20"/>
          <w:lang w:val="en-GB"/>
        </w:rPr>
        <w:t xml:space="preserve">to </w:t>
      </w:r>
      <w:r w:rsidR="008615C0" w:rsidRPr="001531ED">
        <w:rPr>
          <w:rFonts w:ascii="Arial" w:hAnsi="Arial" w:cs="Arial"/>
          <w:bCs/>
          <w:snapToGrid w:val="0"/>
          <w:sz w:val="22"/>
          <w:szCs w:val="20"/>
          <w:lang w:val="en-GB"/>
        </w:rPr>
        <w:t>other combination LHRH agonist/</w:t>
      </w:r>
      <w:proofErr w:type="spellStart"/>
      <w:r w:rsidR="008615C0" w:rsidRPr="001531ED">
        <w:rPr>
          <w:rFonts w:ascii="Arial" w:hAnsi="Arial" w:cs="Arial"/>
          <w:bCs/>
          <w:snapToGrid w:val="0"/>
          <w:sz w:val="22"/>
          <w:szCs w:val="20"/>
          <w:lang w:val="en-GB"/>
        </w:rPr>
        <w:t>bicalutamide</w:t>
      </w:r>
      <w:proofErr w:type="spellEnd"/>
      <w:r w:rsidR="008615C0" w:rsidRPr="001531ED">
        <w:rPr>
          <w:rFonts w:ascii="Arial" w:hAnsi="Arial" w:cs="Arial"/>
          <w:bCs/>
          <w:snapToGrid w:val="0"/>
          <w:sz w:val="22"/>
          <w:szCs w:val="20"/>
          <w:lang w:val="en-GB"/>
        </w:rPr>
        <w:t xml:space="preserve"> products</w:t>
      </w:r>
      <w:r w:rsidR="004A16E5" w:rsidRPr="001531ED">
        <w:rPr>
          <w:rFonts w:ascii="Arial" w:hAnsi="Arial" w:cs="Arial"/>
          <w:bCs/>
          <w:snapToGrid w:val="0"/>
          <w:sz w:val="22"/>
          <w:szCs w:val="20"/>
          <w:lang w:val="en-GB"/>
        </w:rPr>
        <w:t>.</w:t>
      </w:r>
    </w:p>
    <w:p w:rsidR="004E27F2" w:rsidRPr="001531ED" w:rsidRDefault="004E27F2" w:rsidP="005E43EB">
      <w:pPr>
        <w:pStyle w:val="ListParagraph"/>
        <w:ind w:left="709" w:hanging="709"/>
        <w:rPr>
          <w:rFonts w:ascii="Arial" w:hAnsi="Arial" w:cs="Arial"/>
          <w:bCs/>
          <w:snapToGrid w:val="0"/>
          <w:sz w:val="22"/>
          <w:szCs w:val="20"/>
          <w:lang w:val="en-GB"/>
        </w:rPr>
      </w:pPr>
    </w:p>
    <w:p w:rsidR="008C337B" w:rsidRPr="001531ED" w:rsidRDefault="004E27F2" w:rsidP="005E43EB">
      <w:pPr>
        <w:widowControl w:val="0"/>
        <w:numPr>
          <w:ilvl w:val="1"/>
          <w:numId w:val="3"/>
        </w:numPr>
        <w:ind w:left="709" w:hanging="709"/>
        <w:jc w:val="both"/>
        <w:rPr>
          <w:rFonts w:ascii="Arial" w:hAnsi="Arial" w:cs="Arial"/>
          <w:bCs/>
          <w:snapToGrid w:val="0"/>
          <w:sz w:val="22"/>
          <w:szCs w:val="20"/>
          <w:lang w:val="en-GB"/>
        </w:rPr>
      </w:pPr>
      <w:r w:rsidRPr="001531ED">
        <w:rPr>
          <w:rFonts w:ascii="Arial" w:hAnsi="Arial" w:cs="Arial"/>
          <w:bCs/>
          <w:snapToGrid w:val="0"/>
          <w:sz w:val="22"/>
          <w:szCs w:val="20"/>
          <w:lang w:val="en-GB"/>
        </w:rPr>
        <w:t xml:space="preserve">The PBAC considered the utilisation estimates </w:t>
      </w:r>
      <w:r w:rsidR="007E6836" w:rsidRPr="001531ED">
        <w:rPr>
          <w:rFonts w:ascii="Arial" w:hAnsi="Arial" w:cs="Arial"/>
          <w:bCs/>
          <w:snapToGrid w:val="0"/>
          <w:sz w:val="22"/>
          <w:szCs w:val="20"/>
          <w:lang w:val="en-GB"/>
        </w:rPr>
        <w:t>appear</w:t>
      </w:r>
      <w:r w:rsidRPr="001531ED">
        <w:rPr>
          <w:rFonts w:ascii="Arial" w:hAnsi="Arial" w:cs="Arial"/>
          <w:bCs/>
          <w:snapToGrid w:val="0"/>
          <w:sz w:val="22"/>
          <w:szCs w:val="20"/>
          <w:lang w:val="en-GB"/>
        </w:rPr>
        <w:t xml:space="preserve"> reasonable</w:t>
      </w:r>
      <w:r w:rsidR="007E6836" w:rsidRPr="001531ED">
        <w:rPr>
          <w:rFonts w:ascii="Arial" w:hAnsi="Arial" w:cs="Arial"/>
          <w:bCs/>
          <w:snapToGrid w:val="0"/>
          <w:sz w:val="22"/>
          <w:szCs w:val="20"/>
          <w:lang w:val="en-GB"/>
        </w:rPr>
        <w:t xml:space="preserve"> and noted the financial impact</w:t>
      </w:r>
      <w:r w:rsidR="004C5529">
        <w:rPr>
          <w:rFonts w:ascii="Arial" w:hAnsi="Arial" w:cs="Arial"/>
          <w:bCs/>
          <w:snapToGrid w:val="0"/>
          <w:sz w:val="22"/>
          <w:szCs w:val="20"/>
          <w:lang w:val="en-GB"/>
        </w:rPr>
        <w:t xml:space="preserve"> for the proposed listing</w:t>
      </w:r>
      <w:r w:rsidR="007E6836" w:rsidRPr="001531ED">
        <w:rPr>
          <w:rFonts w:ascii="Arial" w:hAnsi="Arial" w:cs="Arial"/>
          <w:bCs/>
          <w:snapToGrid w:val="0"/>
          <w:sz w:val="22"/>
          <w:szCs w:val="20"/>
          <w:lang w:val="en-GB"/>
        </w:rPr>
        <w:t xml:space="preserve"> is minimal</w:t>
      </w:r>
      <w:r w:rsidR="00AA63F4" w:rsidRPr="001531ED">
        <w:rPr>
          <w:rFonts w:ascii="Arial" w:hAnsi="Arial" w:cs="Arial"/>
          <w:bCs/>
          <w:snapToGrid w:val="0"/>
          <w:sz w:val="22"/>
          <w:szCs w:val="20"/>
          <w:lang w:val="en-GB"/>
        </w:rPr>
        <w:t xml:space="preserve">. The PBAC </w:t>
      </w:r>
      <w:r w:rsidRPr="001531ED">
        <w:rPr>
          <w:rFonts w:ascii="Arial" w:hAnsi="Arial" w:cs="Arial"/>
          <w:bCs/>
          <w:snapToGrid w:val="0"/>
          <w:sz w:val="22"/>
          <w:szCs w:val="20"/>
          <w:lang w:val="en-GB"/>
        </w:rPr>
        <w:t>agreed that the listing of</w:t>
      </w:r>
      <w:r w:rsidR="004C5529">
        <w:rPr>
          <w:rFonts w:ascii="Arial" w:hAnsi="Arial" w:cs="Arial"/>
          <w:bCs/>
          <w:snapToGrid w:val="0"/>
          <w:sz w:val="22"/>
          <w:szCs w:val="20"/>
          <w:lang w:val="en-GB"/>
        </w:rPr>
        <w:t xml:space="preserve"> the</w:t>
      </w:r>
      <w:r w:rsidRPr="001531ED">
        <w:rPr>
          <w:rFonts w:ascii="Arial" w:hAnsi="Arial" w:cs="Arial"/>
          <w:bCs/>
          <w:snapToGrid w:val="0"/>
          <w:sz w:val="22"/>
          <w:szCs w:val="20"/>
          <w:lang w:val="en-GB"/>
        </w:rPr>
        <w:t xml:space="preserve"> </w:t>
      </w:r>
      <w:proofErr w:type="spellStart"/>
      <w:r w:rsidRPr="001531ED">
        <w:rPr>
          <w:rFonts w:ascii="Arial" w:hAnsi="Arial" w:cs="Arial"/>
          <w:bCs/>
          <w:snapToGrid w:val="0"/>
          <w:sz w:val="22"/>
          <w:szCs w:val="20"/>
          <w:lang w:val="en-GB"/>
        </w:rPr>
        <w:t>leuprorelin</w:t>
      </w:r>
      <w:proofErr w:type="spellEnd"/>
      <w:r w:rsidRPr="001531ED">
        <w:rPr>
          <w:rFonts w:ascii="Arial" w:hAnsi="Arial" w:cs="Arial"/>
          <w:bCs/>
          <w:snapToGrid w:val="0"/>
          <w:sz w:val="22"/>
          <w:szCs w:val="20"/>
          <w:lang w:val="en-GB"/>
        </w:rPr>
        <w:t xml:space="preserve"> and </w:t>
      </w:r>
      <w:proofErr w:type="spellStart"/>
      <w:r w:rsidRPr="001531ED">
        <w:rPr>
          <w:rFonts w:ascii="Arial" w:hAnsi="Arial" w:cs="Arial"/>
          <w:bCs/>
          <w:snapToGrid w:val="0"/>
          <w:sz w:val="22"/>
          <w:szCs w:val="20"/>
          <w:lang w:val="en-GB"/>
        </w:rPr>
        <w:t>bicalutamide</w:t>
      </w:r>
      <w:proofErr w:type="spellEnd"/>
      <w:r w:rsidRPr="001531ED">
        <w:rPr>
          <w:rFonts w:ascii="Arial" w:hAnsi="Arial" w:cs="Arial"/>
          <w:bCs/>
          <w:snapToGrid w:val="0"/>
          <w:sz w:val="22"/>
          <w:szCs w:val="20"/>
          <w:lang w:val="en-GB"/>
        </w:rPr>
        <w:t xml:space="preserve"> </w:t>
      </w:r>
      <w:r w:rsidR="004C5529">
        <w:rPr>
          <w:rFonts w:ascii="Arial" w:hAnsi="Arial" w:cs="Arial"/>
          <w:bCs/>
          <w:snapToGrid w:val="0"/>
          <w:sz w:val="22"/>
          <w:szCs w:val="20"/>
          <w:lang w:val="en-GB"/>
        </w:rPr>
        <w:t xml:space="preserve">combination pack </w:t>
      </w:r>
      <w:r w:rsidRPr="001531ED">
        <w:rPr>
          <w:rFonts w:ascii="Arial" w:hAnsi="Arial" w:cs="Arial"/>
          <w:bCs/>
          <w:snapToGrid w:val="0"/>
          <w:sz w:val="22"/>
          <w:szCs w:val="20"/>
          <w:lang w:val="en-GB"/>
        </w:rPr>
        <w:t xml:space="preserve">was unlikely to grow the overall market for LHRH agonists in combination with </w:t>
      </w:r>
      <w:proofErr w:type="spellStart"/>
      <w:r w:rsidRPr="001531ED">
        <w:rPr>
          <w:rFonts w:ascii="Arial" w:hAnsi="Arial" w:cs="Arial"/>
          <w:bCs/>
          <w:snapToGrid w:val="0"/>
          <w:sz w:val="22"/>
          <w:szCs w:val="20"/>
          <w:lang w:val="en-GB"/>
        </w:rPr>
        <w:t>bicalutamide</w:t>
      </w:r>
      <w:proofErr w:type="spellEnd"/>
      <w:r w:rsidRPr="001531ED">
        <w:rPr>
          <w:rFonts w:ascii="Arial" w:hAnsi="Arial" w:cs="Arial"/>
          <w:bCs/>
          <w:snapToGrid w:val="0"/>
          <w:sz w:val="22"/>
          <w:szCs w:val="20"/>
          <w:lang w:val="en-GB"/>
        </w:rPr>
        <w:t xml:space="preserve"> for metastatic prostate cancer.</w:t>
      </w:r>
      <w:r w:rsidR="005151AD" w:rsidRPr="001531ED">
        <w:rPr>
          <w:rFonts w:ascii="Arial" w:hAnsi="Arial" w:cs="Arial"/>
          <w:bCs/>
          <w:snapToGrid w:val="0"/>
          <w:sz w:val="22"/>
          <w:szCs w:val="20"/>
          <w:lang w:val="en-GB"/>
        </w:rPr>
        <w:t xml:space="preserve"> </w:t>
      </w:r>
      <w:r w:rsidR="008C337B" w:rsidRPr="001531ED">
        <w:rPr>
          <w:rFonts w:ascii="Arial" w:hAnsi="Arial" w:cs="Arial"/>
          <w:bCs/>
          <w:snapToGrid w:val="0"/>
          <w:sz w:val="22"/>
          <w:szCs w:val="20"/>
          <w:lang w:val="en-GB"/>
        </w:rPr>
        <w:t xml:space="preserve">The PBAC considered there was a small risk of leakage to </w:t>
      </w:r>
      <w:r w:rsidR="00ED16AD" w:rsidRPr="001531ED">
        <w:rPr>
          <w:rFonts w:ascii="Arial" w:hAnsi="Arial" w:cs="Arial"/>
          <w:bCs/>
          <w:snapToGrid w:val="0"/>
          <w:sz w:val="22"/>
          <w:szCs w:val="20"/>
          <w:lang w:val="en-GB"/>
        </w:rPr>
        <w:t>Stage C prostate cancer</w:t>
      </w:r>
      <w:r w:rsidR="005151AD" w:rsidRPr="001531ED">
        <w:rPr>
          <w:rFonts w:ascii="Arial" w:hAnsi="Arial" w:cs="Arial"/>
          <w:bCs/>
          <w:snapToGrid w:val="0"/>
          <w:sz w:val="22"/>
          <w:szCs w:val="20"/>
          <w:lang w:val="en-GB"/>
        </w:rPr>
        <w:t xml:space="preserve"> but this risk would not change with the listing of the proposed combination pack</w:t>
      </w:r>
      <w:r w:rsidR="008C337B" w:rsidRPr="001531ED">
        <w:rPr>
          <w:rFonts w:ascii="Arial" w:hAnsi="Arial" w:cs="Arial"/>
          <w:bCs/>
          <w:snapToGrid w:val="0"/>
          <w:sz w:val="22"/>
          <w:szCs w:val="20"/>
          <w:lang w:val="en-GB"/>
        </w:rPr>
        <w:t>.</w:t>
      </w:r>
    </w:p>
    <w:p w:rsidR="00851F6C" w:rsidRPr="0069654D" w:rsidRDefault="00851F6C" w:rsidP="005E43EB">
      <w:pPr>
        <w:widowControl w:val="0"/>
        <w:ind w:left="709" w:hanging="709"/>
        <w:jc w:val="both"/>
        <w:rPr>
          <w:rFonts w:ascii="Arial" w:hAnsi="Arial" w:cs="Arial"/>
          <w:bCs/>
          <w:snapToGrid w:val="0"/>
          <w:sz w:val="22"/>
          <w:szCs w:val="20"/>
          <w:highlight w:val="yellow"/>
          <w:lang w:val="en-GB"/>
        </w:rPr>
      </w:pPr>
    </w:p>
    <w:p w:rsidR="00EA617D" w:rsidRPr="00EA617D" w:rsidRDefault="00EA617D" w:rsidP="005E43EB">
      <w:pPr>
        <w:widowControl w:val="0"/>
        <w:numPr>
          <w:ilvl w:val="1"/>
          <w:numId w:val="3"/>
        </w:numPr>
        <w:ind w:left="709" w:hanging="709"/>
        <w:jc w:val="both"/>
        <w:rPr>
          <w:rFonts w:ascii="Arial" w:hAnsi="Arial" w:cs="Arial"/>
          <w:bCs/>
          <w:snapToGrid w:val="0"/>
          <w:sz w:val="22"/>
          <w:szCs w:val="20"/>
          <w:lang w:val="en-GB"/>
        </w:rPr>
      </w:pPr>
      <w:r w:rsidRPr="00EA617D">
        <w:rPr>
          <w:rFonts w:ascii="Arial" w:hAnsi="Arial" w:cs="Arial"/>
          <w:bCs/>
          <w:sz w:val="22"/>
          <w:szCs w:val="22"/>
          <w:lang w:val="en-GB"/>
        </w:rPr>
        <w:t xml:space="preserve">The PBAC advised, under Section 101(3BA) of the </w:t>
      </w:r>
      <w:r w:rsidRPr="00EA617D">
        <w:rPr>
          <w:rFonts w:ascii="Arial" w:hAnsi="Arial" w:cs="Arial"/>
          <w:bCs/>
          <w:i/>
          <w:sz w:val="22"/>
          <w:szCs w:val="22"/>
          <w:lang w:val="en-GB"/>
        </w:rPr>
        <w:t>National Health Act 1953</w:t>
      </w:r>
      <w:r w:rsidRPr="00EA617D">
        <w:rPr>
          <w:bCs/>
          <w:lang w:val="en-GB"/>
        </w:rPr>
        <w:t xml:space="preserve">, </w:t>
      </w:r>
      <w:r w:rsidRPr="00EA617D">
        <w:rPr>
          <w:rFonts w:ascii="Arial" w:hAnsi="Arial" w:cs="Arial"/>
          <w:bCs/>
          <w:sz w:val="22"/>
          <w:szCs w:val="22"/>
          <w:lang w:val="en-GB"/>
        </w:rPr>
        <w:t>that combination</w:t>
      </w:r>
      <w:r>
        <w:rPr>
          <w:rFonts w:ascii="Arial" w:hAnsi="Arial" w:cs="Arial"/>
          <w:bCs/>
          <w:sz w:val="22"/>
          <w:szCs w:val="22"/>
          <w:lang w:val="en-GB"/>
        </w:rPr>
        <w:t xml:space="preserve"> </w:t>
      </w:r>
      <w:r w:rsidR="008006C0">
        <w:rPr>
          <w:rFonts w:ascii="Arial" w:hAnsi="Arial" w:cs="Arial"/>
          <w:bCs/>
          <w:sz w:val="22"/>
          <w:szCs w:val="22"/>
          <w:lang w:val="en-GB"/>
        </w:rPr>
        <w:t>drug</w:t>
      </w:r>
      <w:r w:rsidR="008006C0" w:rsidRPr="00EA617D">
        <w:rPr>
          <w:rFonts w:ascii="Arial" w:hAnsi="Arial" w:cs="Arial"/>
          <w:bCs/>
          <w:sz w:val="22"/>
          <w:szCs w:val="22"/>
          <w:lang w:val="en-GB"/>
        </w:rPr>
        <w:t xml:space="preserve"> </w:t>
      </w:r>
      <w:proofErr w:type="spellStart"/>
      <w:r w:rsidR="004E27F2" w:rsidRPr="00EA617D">
        <w:rPr>
          <w:rFonts w:ascii="Arial" w:hAnsi="Arial" w:cs="Arial"/>
          <w:bCs/>
          <w:snapToGrid w:val="0"/>
          <w:sz w:val="22"/>
          <w:szCs w:val="20"/>
          <w:lang w:val="en-GB"/>
        </w:rPr>
        <w:t>leuprorelin</w:t>
      </w:r>
      <w:proofErr w:type="spellEnd"/>
      <w:r w:rsidR="004E27F2" w:rsidRPr="00EA617D">
        <w:rPr>
          <w:rFonts w:ascii="Arial" w:hAnsi="Arial" w:cs="Arial"/>
          <w:bCs/>
          <w:snapToGrid w:val="0"/>
          <w:sz w:val="22"/>
          <w:szCs w:val="20"/>
          <w:lang w:val="en-GB"/>
        </w:rPr>
        <w:t xml:space="preserve"> and </w:t>
      </w:r>
      <w:proofErr w:type="spellStart"/>
      <w:r w:rsidR="004E27F2" w:rsidRPr="00EA617D">
        <w:rPr>
          <w:rFonts w:ascii="Arial" w:hAnsi="Arial" w:cs="Arial"/>
          <w:bCs/>
          <w:snapToGrid w:val="0"/>
          <w:sz w:val="22"/>
          <w:szCs w:val="20"/>
          <w:lang w:val="en-GB"/>
        </w:rPr>
        <w:t>bicalutamide</w:t>
      </w:r>
      <w:proofErr w:type="spellEnd"/>
      <w:r w:rsidR="00851F6C" w:rsidRPr="00EA617D">
        <w:rPr>
          <w:rFonts w:ascii="Arial" w:hAnsi="Arial" w:cs="Arial"/>
          <w:bCs/>
          <w:snapToGrid w:val="0"/>
          <w:sz w:val="22"/>
          <w:szCs w:val="20"/>
          <w:lang w:val="en-GB"/>
        </w:rPr>
        <w:t xml:space="preserve"> should be treated as interchangeable on an individual </w:t>
      </w:r>
      <w:r w:rsidR="004E27F2" w:rsidRPr="00EA617D">
        <w:rPr>
          <w:rFonts w:ascii="Arial" w:hAnsi="Arial" w:cs="Arial"/>
          <w:bCs/>
          <w:snapToGrid w:val="0"/>
          <w:sz w:val="22"/>
          <w:szCs w:val="20"/>
          <w:lang w:val="en-GB"/>
        </w:rPr>
        <w:t>patient basis with</w:t>
      </w:r>
      <w:r w:rsidRPr="00EA617D">
        <w:rPr>
          <w:rFonts w:ascii="Arial" w:hAnsi="Arial" w:cs="Arial"/>
          <w:bCs/>
          <w:snapToGrid w:val="0"/>
          <w:sz w:val="22"/>
          <w:szCs w:val="20"/>
          <w:lang w:val="en-GB"/>
        </w:rPr>
        <w:t xml:space="preserve"> combination</w:t>
      </w:r>
      <w:r>
        <w:rPr>
          <w:rFonts w:ascii="Arial" w:hAnsi="Arial" w:cs="Arial"/>
          <w:bCs/>
          <w:snapToGrid w:val="0"/>
          <w:sz w:val="22"/>
          <w:szCs w:val="20"/>
          <w:lang w:val="en-GB"/>
        </w:rPr>
        <w:t xml:space="preserve"> </w:t>
      </w:r>
      <w:r w:rsidR="008006C0">
        <w:rPr>
          <w:rFonts w:ascii="Arial" w:hAnsi="Arial" w:cs="Arial"/>
          <w:bCs/>
          <w:snapToGrid w:val="0"/>
          <w:sz w:val="22"/>
          <w:szCs w:val="20"/>
          <w:lang w:val="en-GB"/>
        </w:rPr>
        <w:t>drug</w:t>
      </w:r>
      <w:r w:rsidR="004E27F2" w:rsidRPr="00EA617D">
        <w:rPr>
          <w:rFonts w:ascii="Arial" w:hAnsi="Arial" w:cs="Arial"/>
          <w:bCs/>
          <w:snapToGrid w:val="0"/>
          <w:sz w:val="22"/>
          <w:szCs w:val="20"/>
          <w:lang w:val="en-GB"/>
        </w:rPr>
        <w:t xml:space="preserve"> </w:t>
      </w:r>
      <w:proofErr w:type="spellStart"/>
      <w:r w:rsidR="004E27F2" w:rsidRPr="00EA617D">
        <w:rPr>
          <w:rFonts w:ascii="Arial" w:hAnsi="Arial" w:cs="Arial"/>
          <w:bCs/>
          <w:snapToGrid w:val="0"/>
          <w:sz w:val="22"/>
          <w:szCs w:val="20"/>
          <w:lang w:val="en-GB"/>
        </w:rPr>
        <w:t>goserelin</w:t>
      </w:r>
      <w:proofErr w:type="spellEnd"/>
      <w:r w:rsidR="004E27F2" w:rsidRPr="00EA617D">
        <w:rPr>
          <w:rFonts w:ascii="Arial" w:hAnsi="Arial" w:cs="Arial"/>
          <w:bCs/>
          <w:snapToGrid w:val="0"/>
          <w:sz w:val="22"/>
          <w:szCs w:val="20"/>
          <w:lang w:val="en-GB"/>
        </w:rPr>
        <w:t xml:space="preserve"> and </w:t>
      </w:r>
      <w:proofErr w:type="spellStart"/>
      <w:r w:rsidR="004E27F2" w:rsidRPr="00EA617D">
        <w:rPr>
          <w:rFonts w:ascii="Arial" w:hAnsi="Arial" w:cs="Arial"/>
          <w:bCs/>
          <w:snapToGrid w:val="0"/>
          <w:sz w:val="22"/>
          <w:szCs w:val="20"/>
          <w:lang w:val="en-GB"/>
        </w:rPr>
        <w:t>bicalutamide</w:t>
      </w:r>
      <w:proofErr w:type="spellEnd"/>
      <w:r w:rsidRPr="00EA617D">
        <w:rPr>
          <w:rFonts w:ascii="Arial" w:hAnsi="Arial" w:cs="Arial"/>
          <w:bCs/>
          <w:snapToGrid w:val="0"/>
          <w:sz w:val="22"/>
          <w:szCs w:val="20"/>
          <w:lang w:val="en-GB"/>
        </w:rPr>
        <w:t>.</w:t>
      </w:r>
      <w:r w:rsidR="00EB5A9B" w:rsidRPr="00EA617D">
        <w:rPr>
          <w:rFonts w:ascii="Arial" w:hAnsi="Arial" w:cs="Arial"/>
          <w:bCs/>
          <w:snapToGrid w:val="0"/>
          <w:sz w:val="22"/>
          <w:szCs w:val="20"/>
          <w:lang w:val="en-GB"/>
        </w:rPr>
        <w:t xml:space="preserve"> </w:t>
      </w:r>
    </w:p>
    <w:p w:rsidR="00EA617D" w:rsidRPr="00EA617D" w:rsidRDefault="00EA617D" w:rsidP="005E43EB">
      <w:pPr>
        <w:widowControl w:val="0"/>
        <w:ind w:left="709" w:hanging="709"/>
        <w:jc w:val="both"/>
        <w:rPr>
          <w:rFonts w:ascii="Arial" w:hAnsi="Arial" w:cs="Arial"/>
          <w:bCs/>
          <w:snapToGrid w:val="0"/>
          <w:sz w:val="22"/>
          <w:szCs w:val="20"/>
          <w:lang w:val="en-GB"/>
        </w:rPr>
      </w:pPr>
    </w:p>
    <w:p w:rsidR="00851F6C" w:rsidRPr="001531ED" w:rsidRDefault="00851F6C" w:rsidP="005E43EB">
      <w:pPr>
        <w:widowControl w:val="0"/>
        <w:numPr>
          <w:ilvl w:val="1"/>
          <w:numId w:val="3"/>
        </w:numPr>
        <w:ind w:left="709" w:hanging="709"/>
        <w:jc w:val="both"/>
        <w:rPr>
          <w:rFonts w:ascii="Arial" w:hAnsi="Arial" w:cs="Arial"/>
          <w:bCs/>
          <w:snapToGrid w:val="0"/>
          <w:sz w:val="22"/>
          <w:szCs w:val="20"/>
          <w:lang w:val="en-GB"/>
        </w:rPr>
      </w:pPr>
      <w:r w:rsidRPr="001531ED">
        <w:rPr>
          <w:rFonts w:ascii="Arial" w:hAnsi="Arial" w:cs="Arial"/>
          <w:bCs/>
          <w:snapToGrid w:val="0"/>
          <w:sz w:val="22"/>
          <w:szCs w:val="20"/>
          <w:lang w:val="en-GB"/>
        </w:rPr>
        <w:t xml:space="preserve">The PBAC advised that </w:t>
      </w:r>
      <w:r w:rsidR="004C5529">
        <w:rPr>
          <w:rFonts w:ascii="Arial" w:hAnsi="Arial" w:cs="Arial"/>
          <w:bCs/>
          <w:snapToGrid w:val="0"/>
          <w:sz w:val="22"/>
          <w:szCs w:val="20"/>
          <w:lang w:val="en-GB"/>
        </w:rPr>
        <w:t xml:space="preserve">the </w:t>
      </w:r>
      <w:proofErr w:type="spellStart"/>
      <w:r w:rsidR="00EB5A9B" w:rsidRPr="001531ED">
        <w:rPr>
          <w:rFonts w:ascii="Arial" w:hAnsi="Arial" w:cs="Arial"/>
          <w:bCs/>
          <w:snapToGrid w:val="0"/>
          <w:sz w:val="22"/>
          <w:szCs w:val="20"/>
          <w:lang w:val="en-GB"/>
        </w:rPr>
        <w:t>leuprorelin</w:t>
      </w:r>
      <w:proofErr w:type="spellEnd"/>
      <w:r w:rsidR="00EB5A9B" w:rsidRPr="001531ED">
        <w:rPr>
          <w:rFonts w:ascii="Arial" w:hAnsi="Arial" w:cs="Arial"/>
          <w:bCs/>
          <w:snapToGrid w:val="0"/>
          <w:sz w:val="22"/>
          <w:szCs w:val="20"/>
          <w:lang w:val="en-GB"/>
        </w:rPr>
        <w:t xml:space="preserve"> and </w:t>
      </w:r>
      <w:proofErr w:type="spellStart"/>
      <w:r w:rsidR="00EB5A9B" w:rsidRPr="001531ED">
        <w:rPr>
          <w:rFonts w:ascii="Arial" w:hAnsi="Arial" w:cs="Arial"/>
          <w:bCs/>
          <w:snapToGrid w:val="0"/>
          <w:sz w:val="22"/>
          <w:szCs w:val="20"/>
          <w:lang w:val="en-GB"/>
        </w:rPr>
        <w:t>bicalutamide</w:t>
      </w:r>
      <w:proofErr w:type="spellEnd"/>
      <w:r w:rsidR="004C5529">
        <w:rPr>
          <w:rFonts w:ascii="Arial" w:hAnsi="Arial" w:cs="Arial"/>
          <w:bCs/>
          <w:snapToGrid w:val="0"/>
          <w:sz w:val="22"/>
          <w:szCs w:val="20"/>
          <w:lang w:val="en-GB"/>
        </w:rPr>
        <w:t xml:space="preserve"> combination </w:t>
      </w:r>
      <w:r w:rsidR="0003360E">
        <w:rPr>
          <w:rFonts w:ascii="Arial" w:hAnsi="Arial" w:cs="Arial"/>
          <w:bCs/>
          <w:snapToGrid w:val="0"/>
          <w:sz w:val="22"/>
          <w:szCs w:val="20"/>
          <w:lang w:val="en-GB"/>
        </w:rPr>
        <w:t>drug</w:t>
      </w:r>
      <w:r w:rsidR="00EB5A9B" w:rsidRPr="001531ED">
        <w:rPr>
          <w:rFonts w:ascii="Arial" w:hAnsi="Arial" w:cs="Arial"/>
          <w:bCs/>
          <w:snapToGrid w:val="0"/>
          <w:sz w:val="22"/>
          <w:szCs w:val="20"/>
          <w:lang w:val="en-GB"/>
        </w:rPr>
        <w:t xml:space="preserve"> is </w:t>
      </w:r>
      <w:r w:rsidRPr="001531ED">
        <w:rPr>
          <w:rFonts w:ascii="Arial" w:hAnsi="Arial" w:cs="Arial"/>
          <w:bCs/>
          <w:snapToGrid w:val="0"/>
          <w:sz w:val="22"/>
          <w:szCs w:val="20"/>
          <w:lang w:val="en-GB"/>
        </w:rPr>
        <w:t xml:space="preserve">not suitable for prescribing by nurse practitioners. </w:t>
      </w:r>
    </w:p>
    <w:p w:rsidR="00851F6C" w:rsidRPr="001531ED" w:rsidRDefault="00851F6C" w:rsidP="005E43EB">
      <w:pPr>
        <w:widowControl w:val="0"/>
        <w:ind w:left="709" w:hanging="709"/>
        <w:jc w:val="both"/>
        <w:rPr>
          <w:rFonts w:ascii="Arial" w:hAnsi="Arial" w:cs="Arial"/>
          <w:bCs/>
          <w:snapToGrid w:val="0"/>
          <w:sz w:val="22"/>
          <w:szCs w:val="20"/>
          <w:lang w:val="en-GB"/>
        </w:rPr>
      </w:pPr>
    </w:p>
    <w:p w:rsidR="008B3041" w:rsidRDefault="00851F6C" w:rsidP="008B3041">
      <w:pPr>
        <w:widowControl w:val="0"/>
        <w:numPr>
          <w:ilvl w:val="1"/>
          <w:numId w:val="3"/>
        </w:numPr>
        <w:ind w:left="709" w:hanging="709"/>
        <w:jc w:val="both"/>
        <w:rPr>
          <w:rFonts w:ascii="Arial" w:hAnsi="Arial" w:cs="Arial"/>
          <w:bCs/>
          <w:snapToGrid w:val="0"/>
          <w:sz w:val="22"/>
          <w:szCs w:val="20"/>
          <w:lang w:val="en-GB"/>
        </w:rPr>
      </w:pPr>
      <w:r w:rsidRPr="001531ED">
        <w:rPr>
          <w:rFonts w:ascii="Arial" w:hAnsi="Arial" w:cs="Arial"/>
          <w:bCs/>
          <w:snapToGrid w:val="0"/>
          <w:sz w:val="22"/>
          <w:szCs w:val="20"/>
          <w:lang w:val="en-GB"/>
        </w:rPr>
        <w:t>The PBAC recommended that the Ear</w:t>
      </w:r>
      <w:r w:rsidR="00EB5A9B" w:rsidRPr="001531ED">
        <w:rPr>
          <w:rFonts w:ascii="Arial" w:hAnsi="Arial" w:cs="Arial"/>
          <w:bCs/>
          <w:snapToGrid w:val="0"/>
          <w:sz w:val="22"/>
          <w:szCs w:val="20"/>
          <w:lang w:val="en-GB"/>
        </w:rPr>
        <w:t>ly Supply Rule should</w:t>
      </w:r>
      <w:r w:rsidRPr="001531ED">
        <w:rPr>
          <w:rFonts w:ascii="Arial" w:hAnsi="Arial" w:cs="Arial"/>
          <w:bCs/>
          <w:snapToGrid w:val="0"/>
          <w:sz w:val="22"/>
          <w:szCs w:val="20"/>
          <w:lang w:val="en-GB"/>
        </w:rPr>
        <w:t xml:space="preserve"> apply. </w:t>
      </w:r>
    </w:p>
    <w:p w:rsidR="008B3041" w:rsidRDefault="008B3041" w:rsidP="008B3041">
      <w:pPr>
        <w:pStyle w:val="ListParagraph"/>
        <w:rPr>
          <w:rFonts w:ascii="Arial" w:hAnsi="Arial" w:cs="Arial"/>
          <w:bCs/>
          <w:snapToGrid w:val="0"/>
          <w:sz w:val="22"/>
          <w:szCs w:val="20"/>
          <w:lang w:val="en-GB"/>
        </w:rPr>
      </w:pPr>
    </w:p>
    <w:p w:rsidR="00851F6C" w:rsidRPr="008B3041" w:rsidRDefault="00851F6C" w:rsidP="008B3041">
      <w:pPr>
        <w:widowControl w:val="0"/>
        <w:numPr>
          <w:ilvl w:val="1"/>
          <w:numId w:val="3"/>
        </w:numPr>
        <w:ind w:left="709" w:hanging="709"/>
        <w:jc w:val="both"/>
        <w:rPr>
          <w:rFonts w:ascii="Arial" w:hAnsi="Arial" w:cs="Arial"/>
          <w:bCs/>
          <w:snapToGrid w:val="0"/>
          <w:sz w:val="22"/>
          <w:szCs w:val="20"/>
          <w:lang w:val="en-GB"/>
        </w:rPr>
      </w:pPr>
      <w:r w:rsidRPr="008B3041">
        <w:rPr>
          <w:rFonts w:ascii="Arial" w:hAnsi="Arial" w:cs="Arial"/>
          <w:bCs/>
          <w:snapToGrid w:val="0"/>
          <w:sz w:val="22"/>
          <w:szCs w:val="20"/>
          <w:lang w:val="en-GB"/>
        </w:rPr>
        <w:t>The PBA</w:t>
      </w:r>
      <w:r w:rsidR="00EB5A9B" w:rsidRPr="008B3041">
        <w:rPr>
          <w:rFonts w:ascii="Arial" w:hAnsi="Arial" w:cs="Arial"/>
          <w:bCs/>
          <w:snapToGrid w:val="0"/>
          <w:sz w:val="22"/>
          <w:szCs w:val="20"/>
          <w:lang w:val="en-GB"/>
        </w:rPr>
        <w:t xml:space="preserve">C noted that this submission </w:t>
      </w:r>
      <w:r w:rsidRPr="008B3041">
        <w:rPr>
          <w:rFonts w:ascii="Arial" w:hAnsi="Arial" w:cs="Arial"/>
          <w:bCs/>
          <w:snapToGrid w:val="0"/>
          <w:sz w:val="22"/>
          <w:szCs w:val="20"/>
          <w:lang w:val="en-GB"/>
        </w:rPr>
        <w:t>is not eligible for an Independent Review</w:t>
      </w:r>
      <w:r w:rsidR="00EB5A9B" w:rsidRPr="008B3041">
        <w:rPr>
          <w:rFonts w:ascii="Arial" w:hAnsi="Arial" w:cs="Arial"/>
          <w:bCs/>
          <w:snapToGrid w:val="0"/>
          <w:sz w:val="22"/>
          <w:szCs w:val="20"/>
          <w:lang w:val="en-GB"/>
        </w:rPr>
        <w:t xml:space="preserve"> as it received a positive recommendation</w:t>
      </w:r>
      <w:r w:rsidRPr="008B3041">
        <w:rPr>
          <w:rFonts w:ascii="Arial" w:hAnsi="Arial" w:cs="Arial"/>
          <w:bCs/>
          <w:snapToGrid w:val="0"/>
          <w:sz w:val="22"/>
          <w:szCs w:val="20"/>
          <w:lang w:val="en-GB"/>
        </w:rPr>
        <w:t>.</w:t>
      </w:r>
    </w:p>
    <w:p w:rsidR="00851F6C" w:rsidRPr="0069654D" w:rsidRDefault="00851F6C" w:rsidP="00851F6C">
      <w:pPr>
        <w:widowControl w:val="0"/>
        <w:jc w:val="both"/>
        <w:rPr>
          <w:rFonts w:ascii="Arial" w:hAnsi="Arial" w:cs="Arial"/>
          <w:b/>
          <w:snapToGrid w:val="0"/>
          <w:sz w:val="22"/>
          <w:szCs w:val="20"/>
          <w:highlight w:val="yellow"/>
          <w:lang w:val="en-GB"/>
        </w:rPr>
      </w:pPr>
    </w:p>
    <w:p w:rsidR="00851F6C" w:rsidRPr="0069654D" w:rsidRDefault="00851F6C" w:rsidP="00851F6C">
      <w:pPr>
        <w:widowControl w:val="0"/>
        <w:jc w:val="both"/>
        <w:rPr>
          <w:rFonts w:ascii="Arial" w:hAnsi="Arial" w:cs="Arial"/>
          <w:b/>
          <w:bCs/>
          <w:snapToGrid w:val="0"/>
          <w:sz w:val="22"/>
          <w:szCs w:val="20"/>
          <w:highlight w:val="yellow"/>
          <w:lang w:val="en-GB"/>
        </w:rPr>
      </w:pPr>
    </w:p>
    <w:p w:rsidR="00851F6C" w:rsidRPr="001531ED" w:rsidRDefault="00851F6C" w:rsidP="00851F6C">
      <w:pPr>
        <w:widowControl w:val="0"/>
        <w:jc w:val="both"/>
        <w:rPr>
          <w:rFonts w:ascii="Arial" w:hAnsi="Arial" w:cs="Arial"/>
          <w:b/>
          <w:bCs/>
          <w:snapToGrid w:val="0"/>
          <w:sz w:val="22"/>
          <w:szCs w:val="20"/>
          <w:lang w:val="en-GB"/>
        </w:rPr>
      </w:pPr>
      <w:r w:rsidRPr="001531ED">
        <w:rPr>
          <w:rFonts w:ascii="Arial" w:hAnsi="Arial" w:cs="Arial"/>
          <w:b/>
          <w:bCs/>
          <w:snapToGrid w:val="0"/>
          <w:sz w:val="22"/>
          <w:szCs w:val="20"/>
          <w:lang w:val="en-GB"/>
        </w:rPr>
        <w:t>Outcome:</w:t>
      </w:r>
    </w:p>
    <w:p w:rsidR="00851F6C" w:rsidRPr="0003360E" w:rsidRDefault="00851F6C" w:rsidP="00851F6C">
      <w:pPr>
        <w:widowControl w:val="0"/>
        <w:jc w:val="both"/>
        <w:rPr>
          <w:rFonts w:ascii="Arial" w:hAnsi="Arial" w:cs="Arial"/>
          <w:bCs/>
          <w:snapToGrid w:val="0"/>
          <w:sz w:val="22"/>
          <w:szCs w:val="20"/>
          <w:highlight w:val="yellow"/>
        </w:rPr>
      </w:pPr>
      <w:r w:rsidRPr="001531ED">
        <w:rPr>
          <w:rFonts w:ascii="Arial" w:hAnsi="Arial" w:cs="Arial"/>
          <w:bCs/>
          <w:snapToGrid w:val="0"/>
          <w:sz w:val="22"/>
          <w:szCs w:val="20"/>
          <w:lang w:val="en-GB"/>
        </w:rPr>
        <w:t xml:space="preserve">Recommended </w:t>
      </w:r>
      <w:r w:rsidR="00343C45">
        <w:rPr>
          <w:rFonts w:ascii="Arial" w:hAnsi="Arial" w:cs="Arial"/>
          <w:bCs/>
          <w:snapToGrid w:val="0"/>
          <w:sz w:val="22"/>
          <w:szCs w:val="20"/>
          <w:lang w:val="en-GB"/>
        </w:rPr>
        <w:br/>
      </w:r>
    </w:p>
    <w:p w:rsidR="00851F6C" w:rsidRPr="002C1D6B" w:rsidRDefault="00851F6C" w:rsidP="002C1D6B">
      <w:pPr>
        <w:pStyle w:val="Heading1"/>
      </w:pPr>
      <w:r w:rsidRPr="002C1D6B">
        <w:t>Recommended listing</w:t>
      </w:r>
    </w:p>
    <w:p w:rsidR="00851F6C" w:rsidRPr="001531ED" w:rsidRDefault="00851F6C" w:rsidP="00851F6C">
      <w:pPr>
        <w:widowControl w:val="0"/>
        <w:jc w:val="both"/>
        <w:rPr>
          <w:rFonts w:ascii="Arial" w:hAnsi="Arial" w:cs="Arial"/>
          <w:b/>
          <w:bCs/>
          <w:i/>
          <w:snapToGrid w:val="0"/>
          <w:sz w:val="22"/>
          <w:szCs w:val="20"/>
          <w:lang w:val="en-GB"/>
        </w:rPr>
      </w:pPr>
    </w:p>
    <w:p w:rsidR="00851F6C" w:rsidRPr="00947AAA" w:rsidRDefault="00851F6C" w:rsidP="005E43EB">
      <w:pPr>
        <w:widowControl w:val="0"/>
        <w:numPr>
          <w:ilvl w:val="1"/>
          <w:numId w:val="3"/>
        </w:numPr>
        <w:ind w:left="709" w:hanging="709"/>
        <w:jc w:val="both"/>
        <w:rPr>
          <w:rFonts w:ascii="Arial" w:hAnsi="Arial" w:cs="Arial"/>
          <w:b/>
          <w:bCs/>
          <w:snapToGrid w:val="0"/>
          <w:sz w:val="22"/>
          <w:szCs w:val="20"/>
        </w:rPr>
      </w:pPr>
      <w:r w:rsidRPr="001531ED">
        <w:rPr>
          <w:rFonts w:ascii="Arial" w:hAnsi="Arial" w:cs="Arial"/>
          <w:bCs/>
          <w:snapToGrid w:val="0"/>
          <w:sz w:val="22"/>
          <w:szCs w:val="20"/>
        </w:rPr>
        <w:t>Add new item:</w:t>
      </w:r>
    </w:p>
    <w:p w:rsidR="00947AAA" w:rsidRPr="001531ED" w:rsidRDefault="00947AAA" w:rsidP="00947AAA">
      <w:pPr>
        <w:widowControl w:val="0"/>
        <w:ind w:left="709"/>
        <w:jc w:val="both"/>
        <w:rPr>
          <w:rFonts w:ascii="Arial" w:hAnsi="Arial" w:cs="Arial"/>
          <w:b/>
          <w:bCs/>
          <w:snapToGrid w:val="0"/>
          <w:sz w:val="22"/>
          <w:szCs w:val="20"/>
        </w:rPr>
      </w:pPr>
    </w:p>
    <w:p w:rsidR="002D5EFF" w:rsidRPr="001531ED" w:rsidRDefault="002D5EFF" w:rsidP="002D5EFF">
      <w:pPr>
        <w:widowControl w:val="0"/>
        <w:jc w:val="both"/>
        <w:rPr>
          <w:rFonts w:ascii="Arial" w:hAnsi="Arial" w:cs="Arial"/>
          <w:bCs/>
          <w:snapToGrid w:val="0"/>
          <w:sz w:val="22"/>
          <w:szCs w:val="20"/>
        </w:rPr>
      </w:pPr>
    </w:p>
    <w:tbl>
      <w:tblPr>
        <w:tblW w:w="8505" w:type="dxa"/>
        <w:tblInd w:w="817" w:type="dxa"/>
        <w:tblLayout w:type="fixed"/>
        <w:tblLook w:val="0000" w:firstRow="0" w:lastRow="0" w:firstColumn="0" w:lastColumn="0" w:noHBand="0" w:noVBand="0"/>
      </w:tblPr>
      <w:tblGrid>
        <w:gridCol w:w="1985"/>
        <w:gridCol w:w="1134"/>
        <w:gridCol w:w="850"/>
        <w:gridCol w:w="709"/>
        <w:gridCol w:w="1417"/>
        <w:gridCol w:w="2410"/>
      </w:tblGrid>
      <w:tr w:rsidR="002D5EFF" w:rsidRPr="0039782C" w:rsidTr="00CB4853">
        <w:trPr>
          <w:cantSplit/>
          <w:trHeight w:val="471"/>
        </w:trPr>
        <w:tc>
          <w:tcPr>
            <w:tcW w:w="3119" w:type="dxa"/>
            <w:gridSpan w:val="2"/>
            <w:tcBorders>
              <w:bottom w:val="single" w:sz="4" w:space="0" w:color="auto"/>
            </w:tcBorders>
          </w:tcPr>
          <w:p w:rsidR="002D5EFF" w:rsidRPr="0039782C" w:rsidRDefault="002D5EFF" w:rsidP="0043790F">
            <w:pPr>
              <w:keepNext/>
              <w:ind w:left="-108"/>
              <w:jc w:val="both"/>
              <w:rPr>
                <w:rFonts w:ascii="Arial Narrow" w:hAnsi="Arial Narrow" w:cs="Arial"/>
                <w:b/>
                <w:sz w:val="20"/>
                <w:szCs w:val="20"/>
              </w:rPr>
            </w:pPr>
            <w:r>
              <w:rPr>
                <w:rFonts w:ascii="Arial" w:hAnsi="Arial"/>
                <w:sz w:val="22"/>
                <w:szCs w:val="22"/>
              </w:rPr>
              <w:br w:type="page"/>
            </w:r>
            <w:r w:rsidRPr="0039782C">
              <w:rPr>
                <w:rFonts w:ascii="Arial Narrow" w:hAnsi="Arial Narrow" w:cs="Arial"/>
                <w:b/>
                <w:sz w:val="20"/>
                <w:szCs w:val="20"/>
              </w:rPr>
              <w:t>Name, Restriction,</w:t>
            </w:r>
          </w:p>
          <w:p w:rsidR="002D5EFF" w:rsidRPr="0039782C" w:rsidRDefault="002D5EFF" w:rsidP="0043790F">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2D5EFF" w:rsidRPr="0039782C" w:rsidRDefault="002D5EFF" w:rsidP="0043790F">
            <w:pPr>
              <w:keepNext/>
              <w:ind w:left="-108"/>
              <w:jc w:val="both"/>
              <w:rPr>
                <w:rFonts w:ascii="Arial Narrow" w:hAnsi="Arial Narrow" w:cs="Arial"/>
                <w:b/>
                <w:sz w:val="20"/>
                <w:szCs w:val="20"/>
              </w:rPr>
            </w:pPr>
            <w:r w:rsidRPr="0039782C">
              <w:rPr>
                <w:rFonts w:ascii="Arial Narrow" w:hAnsi="Arial Narrow" w:cs="Arial"/>
                <w:b/>
                <w:sz w:val="20"/>
                <w:szCs w:val="20"/>
              </w:rPr>
              <w:t>Max.</w:t>
            </w:r>
          </w:p>
          <w:p w:rsidR="002D5EFF" w:rsidRPr="0039782C" w:rsidRDefault="002D5EFF" w:rsidP="0043790F">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2D5EFF" w:rsidRPr="0039782C" w:rsidRDefault="002D5EFF" w:rsidP="0043790F">
            <w:pPr>
              <w:keepNext/>
              <w:ind w:left="-108"/>
              <w:jc w:val="both"/>
              <w:rPr>
                <w:rFonts w:ascii="Arial Narrow" w:hAnsi="Arial Narrow" w:cs="Arial"/>
                <w:b/>
                <w:sz w:val="20"/>
                <w:szCs w:val="20"/>
              </w:rPr>
            </w:pPr>
            <w:r w:rsidRPr="0039782C">
              <w:rPr>
                <w:rFonts w:ascii="Arial Narrow" w:hAnsi="Arial Narrow" w:cs="Arial"/>
                <w:b/>
                <w:sz w:val="20"/>
                <w:szCs w:val="20"/>
              </w:rPr>
              <w:t>№.of</w:t>
            </w:r>
          </w:p>
          <w:p w:rsidR="002D5EFF" w:rsidRPr="0039782C" w:rsidRDefault="002D5EFF" w:rsidP="0043790F">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3827" w:type="dxa"/>
            <w:gridSpan w:val="2"/>
            <w:tcBorders>
              <w:bottom w:val="single" w:sz="4" w:space="0" w:color="auto"/>
            </w:tcBorders>
          </w:tcPr>
          <w:p w:rsidR="002D5EFF" w:rsidRPr="0039782C" w:rsidRDefault="002D5EFF" w:rsidP="0043790F">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2D5EFF" w:rsidRPr="00260CE3" w:rsidTr="00CB4853">
        <w:trPr>
          <w:cantSplit/>
          <w:trHeight w:val="577"/>
        </w:trPr>
        <w:tc>
          <w:tcPr>
            <w:tcW w:w="3119" w:type="dxa"/>
            <w:gridSpan w:val="2"/>
          </w:tcPr>
          <w:p w:rsidR="002D5EFF" w:rsidRDefault="002D5EFF" w:rsidP="0043790F">
            <w:pPr>
              <w:keepNext/>
              <w:ind w:left="-108"/>
              <w:jc w:val="both"/>
              <w:rPr>
                <w:rFonts w:ascii="Arial Narrow" w:hAnsi="Arial Narrow" w:cs="Arial"/>
                <w:smallCaps/>
                <w:sz w:val="20"/>
                <w:szCs w:val="20"/>
              </w:rPr>
            </w:pPr>
            <w:r>
              <w:rPr>
                <w:rFonts w:ascii="Arial Narrow" w:hAnsi="Arial Narrow" w:cs="Arial"/>
                <w:smallCaps/>
                <w:sz w:val="20"/>
                <w:szCs w:val="20"/>
              </w:rPr>
              <w:t>LEUPRORELIN AND BICALUTAMIDE</w:t>
            </w:r>
          </w:p>
          <w:p w:rsidR="002D5EFF" w:rsidRPr="002E1B1B" w:rsidRDefault="002D5EFF" w:rsidP="0043790F">
            <w:pPr>
              <w:keepNext/>
              <w:ind w:left="-108"/>
              <w:jc w:val="both"/>
              <w:rPr>
                <w:rFonts w:ascii="Arial" w:hAnsi="Arial" w:cs="Arial"/>
                <w:sz w:val="20"/>
                <w:szCs w:val="20"/>
              </w:rPr>
            </w:pPr>
            <w:proofErr w:type="spellStart"/>
            <w:r w:rsidRPr="00380102">
              <w:rPr>
                <w:rFonts w:ascii="Arial Narrow" w:hAnsi="Arial Narrow" w:cs="Arial"/>
                <w:sz w:val="20"/>
                <w:szCs w:val="20"/>
              </w:rPr>
              <w:t>leuprorelin</w:t>
            </w:r>
            <w:proofErr w:type="spellEnd"/>
            <w:r w:rsidRPr="00380102">
              <w:rPr>
                <w:rFonts w:ascii="Arial Narrow" w:hAnsi="Arial Narrow" w:cs="Arial"/>
                <w:sz w:val="20"/>
                <w:szCs w:val="20"/>
              </w:rPr>
              <w:t xml:space="preserve"> acetate 7.5 mg injection: modified release [1 syringe] (&amp;) inert substance diluent [1 syringe], (&amp;) </w:t>
            </w:r>
            <w:proofErr w:type="spellStart"/>
            <w:r w:rsidRPr="00380102">
              <w:rPr>
                <w:rFonts w:ascii="Arial Narrow" w:hAnsi="Arial Narrow" w:cs="Arial"/>
                <w:sz w:val="20"/>
                <w:szCs w:val="20"/>
              </w:rPr>
              <w:t>bicalutamide</w:t>
            </w:r>
            <w:proofErr w:type="spellEnd"/>
            <w:r w:rsidRPr="00380102">
              <w:rPr>
                <w:rFonts w:ascii="Arial Narrow" w:hAnsi="Arial Narrow" w:cs="Arial"/>
                <w:sz w:val="20"/>
                <w:szCs w:val="20"/>
              </w:rPr>
              <w:t xml:space="preserve"> 50 mg tablet [28 tablets], 1 pack</w:t>
            </w:r>
          </w:p>
        </w:tc>
        <w:tc>
          <w:tcPr>
            <w:tcW w:w="850" w:type="dxa"/>
          </w:tcPr>
          <w:p w:rsidR="002D5EFF" w:rsidRPr="00260CE3" w:rsidRDefault="002D5EFF" w:rsidP="0043790F">
            <w:pPr>
              <w:keepNext/>
              <w:ind w:left="-108"/>
              <w:jc w:val="both"/>
              <w:rPr>
                <w:rFonts w:ascii="Arial Narrow" w:hAnsi="Arial Narrow" w:cs="Arial"/>
                <w:sz w:val="20"/>
                <w:szCs w:val="20"/>
              </w:rPr>
            </w:pPr>
          </w:p>
          <w:p w:rsidR="002D5EFF" w:rsidRPr="00260CE3" w:rsidRDefault="002D5EFF" w:rsidP="0043790F">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2D5EFF" w:rsidRPr="00260CE3" w:rsidRDefault="002D5EFF" w:rsidP="0043790F">
            <w:pPr>
              <w:keepNext/>
              <w:ind w:left="-108"/>
              <w:jc w:val="both"/>
              <w:rPr>
                <w:rFonts w:ascii="Arial Narrow" w:hAnsi="Arial Narrow" w:cs="Arial"/>
                <w:sz w:val="20"/>
                <w:szCs w:val="20"/>
              </w:rPr>
            </w:pPr>
          </w:p>
          <w:p w:rsidR="002D5EFF" w:rsidRPr="00260CE3" w:rsidRDefault="002D5EFF" w:rsidP="0043790F">
            <w:pPr>
              <w:keepNext/>
              <w:ind w:left="-108"/>
              <w:jc w:val="both"/>
              <w:rPr>
                <w:rFonts w:ascii="Arial Narrow" w:hAnsi="Arial Narrow" w:cs="Arial"/>
                <w:sz w:val="20"/>
                <w:szCs w:val="20"/>
              </w:rPr>
            </w:pPr>
            <w:r>
              <w:rPr>
                <w:rFonts w:ascii="Arial Narrow" w:hAnsi="Arial Narrow" w:cs="Arial"/>
                <w:sz w:val="20"/>
                <w:szCs w:val="20"/>
              </w:rPr>
              <w:t>5</w:t>
            </w:r>
          </w:p>
        </w:tc>
        <w:tc>
          <w:tcPr>
            <w:tcW w:w="1417" w:type="dxa"/>
          </w:tcPr>
          <w:p w:rsidR="002D5EFF" w:rsidRDefault="002D5EFF" w:rsidP="0043790F">
            <w:pPr>
              <w:keepNext/>
              <w:jc w:val="both"/>
              <w:rPr>
                <w:rFonts w:ascii="Arial Narrow" w:hAnsi="Arial Narrow" w:cs="Arial"/>
                <w:sz w:val="20"/>
                <w:szCs w:val="20"/>
              </w:rPr>
            </w:pPr>
          </w:p>
          <w:p w:rsidR="002D5EFF" w:rsidRPr="00260CE3" w:rsidRDefault="002D5EFF" w:rsidP="0043790F">
            <w:pPr>
              <w:keepNext/>
              <w:jc w:val="both"/>
              <w:rPr>
                <w:rFonts w:ascii="Arial Narrow" w:hAnsi="Arial Narrow" w:cs="Arial"/>
                <w:sz w:val="20"/>
                <w:szCs w:val="20"/>
              </w:rPr>
            </w:pPr>
            <w:proofErr w:type="spellStart"/>
            <w:r>
              <w:rPr>
                <w:rFonts w:ascii="Arial" w:hAnsi="Arial"/>
                <w:smallCaps/>
                <w:sz w:val="20"/>
                <w:szCs w:val="20"/>
              </w:rPr>
              <w:t>Bi</w:t>
            </w:r>
            <w:proofErr w:type="spellEnd"/>
            <w:r>
              <w:rPr>
                <w:rFonts w:ascii="Arial" w:hAnsi="Arial"/>
                <w:smallCaps/>
                <w:sz w:val="20"/>
                <w:szCs w:val="20"/>
              </w:rPr>
              <w:t xml:space="preserve"> ELIGARD </w:t>
            </w:r>
            <w:r>
              <w:rPr>
                <w:rFonts w:ascii="Arial" w:hAnsi="Arial"/>
                <w:sz w:val="20"/>
              </w:rPr>
              <w:t>CP®</w:t>
            </w:r>
          </w:p>
        </w:tc>
        <w:tc>
          <w:tcPr>
            <w:tcW w:w="2410" w:type="dxa"/>
          </w:tcPr>
          <w:p w:rsidR="002D5EFF" w:rsidRDefault="002D5EFF" w:rsidP="0043790F">
            <w:pPr>
              <w:keepNext/>
              <w:jc w:val="both"/>
              <w:rPr>
                <w:rFonts w:ascii="Arial Narrow" w:hAnsi="Arial Narrow" w:cs="Arial"/>
                <w:sz w:val="20"/>
                <w:szCs w:val="20"/>
              </w:rPr>
            </w:pPr>
          </w:p>
          <w:p w:rsidR="002D5EFF" w:rsidRPr="00260CE3" w:rsidRDefault="002D5EFF" w:rsidP="0043790F">
            <w:pPr>
              <w:keepNext/>
              <w:jc w:val="both"/>
              <w:rPr>
                <w:rFonts w:ascii="Arial Narrow" w:hAnsi="Arial Narrow" w:cs="Arial"/>
                <w:sz w:val="20"/>
                <w:szCs w:val="20"/>
              </w:rPr>
            </w:pPr>
            <w:proofErr w:type="spellStart"/>
            <w:r w:rsidRPr="009278D1">
              <w:rPr>
                <w:rFonts w:ascii="Arial" w:hAnsi="Arial"/>
                <w:sz w:val="20"/>
              </w:rPr>
              <w:t>Tolmar</w:t>
            </w:r>
            <w:proofErr w:type="spellEnd"/>
            <w:r w:rsidRPr="009278D1">
              <w:rPr>
                <w:rFonts w:ascii="Arial" w:hAnsi="Arial"/>
                <w:sz w:val="20"/>
              </w:rPr>
              <w:t xml:space="preserve"> Australia Pty Ltd</w:t>
            </w:r>
            <w:r>
              <w:rPr>
                <w:rFonts w:ascii="Arial" w:hAnsi="Arial"/>
                <w:sz w:val="20"/>
              </w:rPr>
              <w:t xml:space="preserve"> (TL)</w:t>
            </w:r>
          </w:p>
        </w:tc>
      </w:tr>
      <w:tr w:rsidR="002D5EFF" w:rsidRPr="00260CE3" w:rsidTr="0043790F">
        <w:trPr>
          <w:cantSplit/>
          <w:trHeight w:val="360"/>
        </w:trPr>
        <w:tc>
          <w:tcPr>
            <w:tcW w:w="8505" w:type="dxa"/>
            <w:gridSpan w:val="6"/>
            <w:tcBorders>
              <w:bottom w:val="single" w:sz="4" w:space="0" w:color="auto"/>
            </w:tcBorders>
          </w:tcPr>
          <w:p w:rsidR="002D5EFF" w:rsidRPr="00260CE3" w:rsidRDefault="002D5EFF" w:rsidP="0043790F">
            <w:pPr>
              <w:jc w:val="both"/>
              <w:rPr>
                <w:rFonts w:ascii="Arial Narrow" w:hAnsi="Arial Narrow" w:cs="Arial"/>
                <w:sz w:val="20"/>
                <w:szCs w:val="20"/>
              </w:rPr>
            </w:pP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260CE3" w:rsidRDefault="002D5EFF" w:rsidP="0043790F">
            <w:pPr>
              <w:jc w:val="both"/>
              <w:rPr>
                <w:rFonts w:ascii="Arial Narrow" w:hAnsi="Arial Narrow" w:cs="Arial"/>
                <w:b/>
                <w:sz w:val="20"/>
                <w:szCs w:val="20"/>
              </w:rPr>
            </w:pPr>
            <w:r w:rsidRPr="00260CE3">
              <w:rPr>
                <w:rFonts w:ascii="Arial Narrow" w:hAnsi="Arial Narrow" w:cs="Arial"/>
                <w:b/>
                <w:sz w:val="20"/>
                <w:szCs w:val="20"/>
              </w:rPr>
              <w:t xml:space="preserve">Category / </w:t>
            </w:r>
          </w:p>
          <w:p w:rsidR="002D5EFF" w:rsidRPr="00260CE3" w:rsidRDefault="002D5EFF" w:rsidP="0043790F">
            <w:pPr>
              <w:jc w:val="both"/>
              <w:rPr>
                <w:rFonts w:ascii="Arial Narrow" w:hAnsi="Arial Narrow" w:cs="Arial"/>
                <w:b/>
                <w:sz w:val="20"/>
                <w:szCs w:val="20"/>
              </w:rPr>
            </w:pPr>
            <w:r w:rsidRPr="00260CE3">
              <w:rPr>
                <w:rFonts w:ascii="Arial Narrow" w:hAnsi="Arial Narrow" w:cs="Arial"/>
                <w:b/>
                <w:sz w:val="20"/>
                <w:szCs w:val="20"/>
              </w:rPr>
              <w:t>Program</w:t>
            </w:r>
          </w:p>
        </w:tc>
        <w:tc>
          <w:tcPr>
            <w:tcW w:w="6520" w:type="dxa"/>
            <w:gridSpan w:val="5"/>
            <w:tcBorders>
              <w:top w:val="single" w:sz="4" w:space="0" w:color="auto"/>
              <w:left w:val="single" w:sz="4" w:space="0" w:color="auto"/>
              <w:bottom w:val="single" w:sz="4" w:space="0" w:color="auto"/>
              <w:right w:val="single" w:sz="4" w:space="0" w:color="auto"/>
            </w:tcBorders>
          </w:tcPr>
          <w:p w:rsidR="002D5EFF" w:rsidRPr="00260CE3" w:rsidRDefault="002D5EFF" w:rsidP="0043790F">
            <w:pPr>
              <w:rPr>
                <w:rFonts w:ascii="Arial Narrow" w:hAnsi="Arial Narrow" w:cs="Arial"/>
                <w:sz w:val="20"/>
                <w:szCs w:val="20"/>
              </w:rPr>
            </w:pPr>
            <w:r w:rsidRPr="00260CE3">
              <w:rPr>
                <w:rFonts w:ascii="Arial Narrow" w:hAnsi="Arial Narrow" w:cs="Arial"/>
                <w:sz w:val="20"/>
                <w:szCs w:val="20"/>
              </w:rPr>
              <w:t>GENERAL – General Schedule (Code GE)</w:t>
            </w:r>
          </w:p>
          <w:p w:rsidR="002D5EFF" w:rsidRPr="00260CE3" w:rsidRDefault="002D5EFF" w:rsidP="0043790F">
            <w:pPr>
              <w:rPr>
                <w:rFonts w:ascii="Arial Narrow" w:hAnsi="Arial Narrow" w:cs="Arial"/>
                <w:sz w:val="20"/>
                <w:szCs w:val="20"/>
              </w:rPr>
            </w:pP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260CE3" w:rsidRDefault="002D5EFF" w:rsidP="0043790F">
            <w:pPr>
              <w:jc w:val="both"/>
              <w:rPr>
                <w:rFonts w:ascii="Arial Narrow" w:hAnsi="Arial Narrow" w:cs="Arial"/>
                <w:b/>
                <w:sz w:val="20"/>
                <w:szCs w:val="20"/>
              </w:rPr>
            </w:pPr>
            <w:r w:rsidRPr="00260CE3">
              <w:rPr>
                <w:rFonts w:ascii="Arial Narrow" w:hAnsi="Arial Narrow" w:cs="Arial"/>
                <w:b/>
                <w:sz w:val="20"/>
                <w:szCs w:val="20"/>
              </w:rPr>
              <w:t>Prescriber type:</w:t>
            </w:r>
          </w:p>
        </w:tc>
        <w:tc>
          <w:tcPr>
            <w:tcW w:w="6520" w:type="dxa"/>
            <w:gridSpan w:val="5"/>
            <w:tcBorders>
              <w:top w:val="single" w:sz="4" w:space="0" w:color="auto"/>
              <w:left w:val="single" w:sz="4" w:space="0" w:color="auto"/>
              <w:bottom w:val="single" w:sz="4" w:space="0" w:color="auto"/>
              <w:right w:val="single" w:sz="4" w:space="0" w:color="auto"/>
            </w:tcBorders>
          </w:tcPr>
          <w:p w:rsidR="002D5EFF" w:rsidRPr="00260CE3" w:rsidRDefault="002D5EFF" w:rsidP="0043790F">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2D5EFF" w:rsidRPr="00260CE3" w:rsidRDefault="002D5EFF" w:rsidP="0043790F">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260CE3" w:rsidRDefault="002D5EFF" w:rsidP="0043790F">
            <w:pPr>
              <w:jc w:val="both"/>
              <w:rPr>
                <w:rFonts w:ascii="Arial Narrow" w:hAnsi="Arial Narrow" w:cs="Arial"/>
                <w:b/>
                <w:sz w:val="20"/>
                <w:szCs w:val="20"/>
              </w:rPr>
            </w:pPr>
            <w:r w:rsidRPr="00260CE3">
              <w:rPr>
                <w:rFonts w:ascii="Arial Narrow" w:hAnsi="Arial Narrow" w:cs="Arial"/>
                <w:b/>
                <w:sz w:val="20"/>
                <w:szCs w:val="20"/>
              </w:rPr>
              <w:t>Condition:</w:t>
            </w:r>
          </w:p>
        </w:tc>
        <w:tc>
          <w:tcPr>
            <w:tcW w:w="6520" w:type="dxa"/>
            <w:gridSpan w:val="5"/>
            <w:tcBorders>
              <w:top w:val="single" w:sz="4" w:space="0" w:color="auto"/>
              <w:left w:val="single" w:sz="4" w:space="0" w:color="auto"/>
              <w:bottom w:val="single" w:sz="4" w:space="0" w:color="auto"/>
              <w:right w:val="single" w:sz="4" w:space="0" w:color="auto"/>
            </w:tcBorders>
          </w:tcPr>
          <w:p w:rsidR="002D5EFF" w:rsidRDefault="002D5EFF" w:rsidP="0043790F">
            <w:pPr>
              <w:tabs>
                <w:tab w:val="left" w:pos="990"/>
              </w:tabs>
              <w:rPr>
                <w:rFonts w:ascii="Arial" w:hAnsi="Arial"/>
                <w:sz w:val="20"/>
              </w:rPr>
            </w:pPr>
            <w:r>
              <w:rPr>
                <w:rFonts w:ascii="Arial" w:hAnsi="Arial"/>
                <w:sz w:val="20"/>
              </w:rPr>
              <w:t>Carcinoma of the prostate</w:t>
            </w:r>
          </w:p>
        </w:tc>
      </w:tr>
      <w:tr w:rsidR="002D5EFF" w:rsidRPr="00260CE3" w:rsidTr="0043790F">
        <w:trPr>
          <w:cantSplit/>
          <w:trHeight w:val="1790"/>
        </w:trPr>
        <w:tc>
          <w:tcPr>
            <w:tcW w:w="1985" w:type="dxa"/>
            <w:tcBorders>
              <w:top w:val="single" w:sz="4" w:space="0" w:color="auto"/>
              <w:left w:val="single" w:sz="4" w:space="0" w:color="auto"/>
              <w:bottom w:val="single" w:sz="4" w:space="0" w:color="auto"/>
              <w:right w:val="single" w:sz="4" w:space="0" w:color="auto"/>
            </w:tcBorders>
          </w:tcPr>
          <w:p w:rsidR="002D5EFF" w:rsidRPr="00260CE3" w:rsidRDefault="002D5EFF" w:rsidP="0043790F">
            <w:pPr>
              <w:jc w:val="both"/>
              <w:rPr>
                <w:rFonts w:ascii="Arial Narrow" w:hAnsi="Arial Narrow" w:cs="Arial"/>
                <w:b/>
                <w:sz w:val="20"/>
                <w:szCs w:val="20"/>
              </w:rPr>
            </w:pPr>
            <w:r w:rsidRPr="00260CE3">
              <w:rPr>
                <w:rFonts w:ascii="Arial Narrow" w:hAnsi="Arial Narrow" w:cs="Arial"/>
                <w:b/>
                <w:sz w:val="20"/>
                <w:szCs w:val="20"/>
              </w:rPr>
              <w:t>PBS Indication:</w:t>
            </w:r>
          </w:p>
        </w:tc>
        <w:tc>
          <w:tcPr>
            <w:tcW w:w="6520" w:type="dxa"/>
            <w:gridSpan w:val="5"/>
            <w:tcBorders>
              <w:top w:val="single" w:sz="4" w:space="0" w:color="auto"/>
              <w:left w:val="single" w:sz="4" w:space="0" w:color="auto"/>
              <w:bottom w:val="single" w:sz="4" w:space="0" w:color="auto"/>
              <w:right w:val="single" w:sz="4" w:space="0" w:color="auto"/>
            </w:tcBorders>
          </w:tcPr>
          <w:p w:rsidR="002D5EFF" w:rsidRDefault="002D5EFF" w:rsidP="0043790F">
            <w:pPr>
              <w:tabs>
                <w:tab w:val="left" w:pos="990"/>
              </w:tabs>
              <w:rPr>
                <w:rFonts w:ascii="Arial" w:hAnsi="Arial"/>
                <w:sz w:val="20"/>
              </w:rPr>
            </w:pPr>
            <w:r>
              <w:rPr>
                <w:rFonts w:ascii="Arial" w:hAnsi="Arial"/>
                <w:sz w:val="20"/>
              </w:rPr>
              <w:t>Carcinoma of the prostate</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260CE3" w:rsidRDefault="002D5EFF" w:rsidP="0043790F">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2D5EFF" w:rsidRPr="00260CE3" w:rsidRDefault="002D5EFF" w:rsidP="0043790F">
            <w:pPr>
              <w:rPr>
                <w:rFonts w:ascii="Arial Narrow" w:hAnsi="Arial Narrow" w:cs="Arial"/>
                <w:sz w:val="20"/>
                <w:szCs w:val="20"/>
              </w:rPr>
            </w:pPr>
          </w:p>
        </w:tc>
        <w:tc>
          <w:tcPr>
            <w:tcW w:w="6520" w:type="dxa"/>
            <w:gridSpan w:val="5"/>
            <w:tcBorders>
              <w:top w:val="single" w:sz="4" w:space="0" w:color="auto"/>
              <w:left w:val="single" w:sz="4" w:space="0" w:color="auto"/>
              <w:bottom w:val="single" w:sz="4" w:space="0" w:color="auto"/>
              <w:right w:val="single" w:sz="4" w:space="0" w:color="auto"/>
            </w:tcBorders>
          </w:tcPr>
          <w:p w:rsidR="002D5EFF" w:rsidRPr="00B43577" w:rsidRDefault="00CB4853" w:rsidP="0043790F">
            <w:pPr>
              <w:spacing w:line="360"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Pr>
                <w:rFonts w:ascii="Arial Narrow" w:hAnsi="Arial Narrow" w:cs="Arial"/>
                <w:sz w:val="20"/>
                <w:szCs w:val="20"/>
              </w:rPr>
              <w:fldChar w:fldCharType="end"/>
            </w:r>
            <w:r w:rsidR="002D5EFF" w:rsidRPr="00B43577">
              <w:rPr>
                <w:rFonts w:ascii="Arial Narrow" w:hAnsi="Arial Narrow" w:cs="Arial"/>
                <w:sz w:val="20"/>
                <w:szCs w:val="20"/>
              </w:rPr>
              <w:t>Restricted benefit</w:t>
            </w:r>
          </w:p>
          <w:p w:rsidR="002D5EFF" w:rsidRPr="00B43577" w:rsidRDefault="002D5EFF" w:rsidP="0043790F">
            <w:pPr>
              <w:spacing w:line="360"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Pr>
                <w:rFonts w:ascii="Arial Narrow" w:hAnsi="Arial Narrow" w:cs="Arial"/>
                <w:sz w:val="20"/>
                <w:szCs w:val="20"/>
              </w:rPr>
              <w:fldChar w:fldCharType="end"/>
            </w:r>
            <w:r w:rsidRPr="00B43577">
              <w:rPr>
                <w:rFonts w:ascii="Arial Narrow" w:hAnsi="Arial Narrow" w:cs="Arial"/>
                <w:sz w:val="20"/>
                <w:szCs w:val="20"/>
              </w:rPr>
              <w:t>Authority Required - In Writing</w:t>
            </w:r>
          </w:p>
          <w:p w:rsidR="002D5EFF" w:rsidRPr="00B43577" w:rsidRDefault="002D5EFF" w:rsidP="0043790F">
            <w:pPr>
              <w:spacing w:line="360" w:lineRule="auto"/>
              <w:rPr>
                <w:rFonts w:ascii="Arial Narrow" w:hAnsi="Arial Narrow" w:cs="Arial"/>
                <w:sz w:val="20"/>
                <w:szCs w:val="20"/>
              </w:rPr>
            </w:pPr>
            <w:r w:rsidRPr="00B43577">
              <w:rPr>
                <w:rFonts w:ascii="Arial Narrow" w:hAnsi="Arial Narrow" w:cs="Arial"/>
                <w:sz w:val="20"/>
                <w:szCs w:val="20"/>
              </w:rPr>
              <w:fldChar w:fldCharType="begin">
                <w:ffData>
                  <w:name w:val="Check3"/>
                  <w:enabled/>
                  <w:calcOnExit w:val="0"/>
                  <w:checkBox>
                    <w:sizeAuto/>
                    <w:default w:val="0"/>
                  </w:checkBox>
                </w:ffData>
              </w:fldChar>
            </w:r>
            <w:r w:rsidRPr="00B43577">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B43577">
              <w:rPr>
                <w:rFonts w:ascii="Arial Narrow" w:hAnsi="Arial Narrow" w:cs="Arial"/>
                <w:sz w:val="20"/>
                <w:szCs w:val="20"/>
              </w:rPr>
              <w:fldChar w:fldCharType="end"/>
            </w:r>
            <w:r w:rsidRPr="00B43577">
              <w:rPr>
                <w:rFonts w:ascii="Arial Narrow" w:hAnsi="Arial Narrow" w:cs="Arial"/>
                <w:sz w:val="20"/>
                <w:szCs w:val="20"/>
              </w:rPr>
              <w:t>Authority Required - Telephone</w:t>
            </w:r>
          </w:p>
          <w:p w:rsidR="002D5EFF" w:rsidRPr="00B43577" w:rsidRDefault="002D5EFF" w:rsidP="0043790F">
            <w:pPr>
              <w:spacing w:line="360" w:lineRule="auto"/>
              <w:rPr>
                <w:rFonts w:ascii="Arial Narrow" w:hAnsi="Arial Narrow" w:cs="Arial"/>
                <w:sz w:val="20"/>
                <w:szCs w:val="20"/>
              </w:rPr>
            </w:pPr>
            <w:r w:rsidRPr="00B43577">
              <w:rPr>
                <w:rFonts w:ascii="Arial Narrow" w:hAnsi="Arial Narrow" w:cs="Arial"/>
                <w:sz w:val="20"/>
                <w:szCs w:val="20"/>
              </w:rPr>
              <w:fldChar w:fldCharType="begin">
                <w:ffData>
                  <w:name w:val=""/>
                  <w:enabled/>
                  <w:calcOnExit w:val="0"/>
                  <w:checkBox>
                    <w:sizeAuto/>
                    <w:default w:val="0"/>
                  </w:checkBox>
                </w:ffData>
              </w:fldChar>
            </w:r>
            <w:r w:rsidRPr="00B43577">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B43577">
              <w:rPr>
                <w:rFonts w:ascii="Arial Narrow" w:hAnsi="Arial Narrow" w:cs="Arial"/>
                <w:sz w:val="20"/>
                <w:szCs w:val="20"/>
              </w:rPr>
              <w:fldChar w:fldCharType="end"/>
            </w:r>
            <w:r w:rsidRPr="00B43577">
              <w:rPr>
                <w:rFonts w:ascii="Arial Narrow" w:hAnsi="Arial Narrow" w:cs="Arial"/>
                <w:sz w:val="20"/>
                <w:szCs w:val="20"/>
              </w:rPr>
              <w:t>Authority Required – Emergency</w:t>
            </w:r>
          </w:p>
          <w:p w:rsidR="002D5EFF" w:rsidRPr="00B43577" w:rsidRDefault="002D5EFF" w:rsidP="0043790F">
            <w:pPr>
              <w:spacing w:line="360" w:lineRule="auto"/>
              <w:rPr>
                <w:rFonts w:ascii="Arial Narrow" w:hAnsi="Arial Narrow" w:cs="Arial"/>
                <w:sz w:val="20"/>
                <w:szCs w:val="20"/>
              </w:rPr>
            </w:pPr>
            <w:r w:rsidRPr="00B43577">
              <w:rPr>
                <w:rFonts w:ascii="Arial Narrow" w:hAnsi="Arial Narrow" w:cs="Arial"/>
                <w:sz w:val="20"/>
                <w:szCs w:val="20"/>
              </w:rPr>
              <w:fldChar w:fldCharType="begin">
                <w:ffData>
                  <w:name w:val="Check5"/>
                  <w:enabled/>
                  <w:calcOnExit w:val="0"/>
                  <w:checkBox>
                    <w:sizeAuto/>
                    <w:default w:val="0"/>
                  </w:checkBox>
                </w:ffData>
              </w:fldChar>
            </w:r>
            <w:r w:rsidRPr="00B43577">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B43577">
              <w:rPr>
                <w:rFonts w:ascii="Arial Narrow" w:hAnsi="Arial Narrow" w:cs="Arial"/>
                <w:sz w:val="20"/>
                <w:szCs w:val="20"/>
              </w:rPr>
              <w:fldChar w:fldCharType="end"/>
            </w:r>
            <w:r w:rsidRPr="00B43577">
              <w:rPr>
                <w:rFonts w:ascii="Arial Narrow" w:hAnsi="Arial Narrow" w:cs="Arial"/>
                <w:sz w:val="20"/>
                <w:szCs w:val="20"/>
              </w:rPr>
              <w:t>Authority Required - Electronic</w:t>
            </w:r>
          </w:p>
          <w:p w:rsidR="002D5EFF" w:rsidRDefault="00CB4853" w:rsidP="0043790F">
            <w:pPr>
              <w:spacing w:line="360" w:lineRule="auto"/>
              <w:rPr>
                <w:rFonts w:ascii="Arial" w:hAnsi="Arial"/>
                <w:sz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Pr>
                <w:rFonts w:ascii="Arial Narrow" w:hAnsi="Arial Narrow" w:cs="Arial"/>
                <w:sz w:val="20"/>
                <w:szCs w:val="20"/>
              </w:rPr>
              <w:fldChar w:fldCharType="end"/>
            </w:r>
            <w:r w:rsidR="002D5EFF" w:rsidRPr="00B43577">
              <w:rPr>
                <w:rFonts w:ascii="Arial Narrow" w:hAnsi="Arial Narrow" w:cs="Arial"/>
                <w:sz w:val="20"/>
                <w:szCs w:val="20"/>
              </w:rPr>
              <w:t>Streamlined</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260CE3" w:rsidRDefault="002D5EFF" w:rsidP="0043790F">
            <w:pPr>
              <w:jc w:val="both"/>
              <w:rPr>
                <w:rFonts w:ascii="Arial Narrow" w:hAnsi="Arial Narrow" w:cs="Arial"/>
                <w:b/>
                <w:sz w:val="20"/>
                <w:szCs w:val="20"/>
              </w:rPr>
            </w:pPr>
            <w:r w:rsidRPr="00260CE3">
              <w:rPr>
                <w:rFonts w:ascii="Arial Narrow" w:hAnsi="Arial Narrow" w:cs="Arial"/>
                <w:b/>
                <w:sz w:val="20"/>
                <w:szCs w:val="20"/>
              </w:rPr>
              <w:t>Clinical criteria:</w:t>
            </w:r>
          </w:p>
          <w:p w:rsidR="002D5EFF" w:rsidRPr="00260CE3" w:rsidRDefault="002D5EFF" w:rsidP="0043790F">
            <w:pPr>
              <w:jc w:val="both"/>
              <w:rPr>
                <w:rFonts w:ascii="Arial Narrow" w:hAnsi="Arial Narrow" w:cs="Arial"/>
                <w:i/>
                <w:sz w:val="20"/>
                <w:szCs w:val="20"/>
              </w:rPr>
            </w:pPr>
          </w:p>
          <w:p w:rsidR="002D5EFF" w:rsidRPr="00260CE3" w:rsidRDefault="002D5EFF" w:rsidP="0043790F">
            <w:pPr>
              <w:jc w:val="both"/>
              <w:rPr>
                <w:rFonts w:ascii="Arial Narrow" w:hAnsi="Arial Narrow" w:cs="Arial"/>
                <w:sz w:val="20"/>
                <w:szCs w:val="20"/>
              </w:rPr>
            </w:pPr>
          </w:p>
        </w:tc>
        <w:tc>
          <w:tcPr>
            <w:tcW w:w="6520" w:type="dxa"/>
            <w:gridSpan w:val="5"/>
            <w:tcBorders>
              <w:top w:val="single" w:sz="4" w:space="0" w:color="auto"/>
              <w:left w:val="single" w:sz="4" w:space="0" w:color="auto"/>
              <w:bottom w:val="single" w:sz="4" w:space="0" w:color="auto"/>
              <w:right w:val="single" w:sz="4" w:space="0" w:color="auto"/>
            </w:tcBorders>
          </w:tcPr>
          <w:p w:rsidR="002D5EFF" w:rsidRPr="00B734B5" w:rsidRDefault="002D5EFF" w:rsidP="0043790F">
            <w:pPr>
              <w:tabs>
                <w:tab w:val="left" w:pos="990"/>
              </w:tabs>
              <w:rPr>
                <w:rFonts w:ascii="Arial" w:hAnsi="Arial"/>
                <w:sz w:val="20"/>
              </w:rPr>
            </w:pPr>
            <w:r w:rsidRPr="00B734B5">
              <w:rPr>
                <w:rFonts w:ascii="Arial" w:hAnsi="Arial"/>
                <w:sz w:val="20"/>
              </w:rPr>
              <w:t>The condition must be metastatic (stage D),</w:t>
            </w:r>
          </w:p>
          <w:p w:rsidR="002D5EFF" w:rsidRPr="00B734B5" w:rsidRDefault="002D5EFF" w:rsidP="0043790F">
            <w:pPr>
              <w:tabs>
                <w:tab w:val="left" w:pos="990"/>
              </w:tabs>
              <w:rPr>
                <w:rFonts w:ascii="Arial" w:hAnsi="Arial"/>
                <w:sz w:val="20"/>
              </w:rPr>
            </w:pPr>
          </w:p>
          <w:p w:rsidR="002D5EFF" w:rsidRPr="00B734B5" w:rsidRDefault="002D5EFF" w:rsidP="0043790F">
            <w:pPr>
              <w:tabs>
                <w:tab w:val="left" w:pos="990"/>
              </w:tabs>
              <w:rPr>
                <w:rFonts w:ascii="Arial" w:hAnsi="Arial"/>
                <w:sz w:val="20"/>
              </w:rPr>
            </w:pPr>
            <w:r w:rsidRPr="00B734B5">
              <w:rPr>
                <w:rFonts w:ascii="Arial" w:hAnsi="Arial"/>
                <w:sz w:val="20"/>
              </w:rPr>
              <w:t>AND</w:t>
            </w:r>
          </w:p>
          <w:p w:rsidR="002D5EFF" w:rsidRPr="00B734B5" w:rsidRDefault="002D5EFF" w:rsidP="0043790F">
            <w:pPr>
              <w:tabs>
                <w:tab w:val="left" w:pos="990"/>
              </w:tabs>
              <w:rPr>
                <w:rFonts w:ascii="Arial" w:hAnsi="Arial"/>
                <w:sz w:val="20"/>
              </w:rPr>
            </w:pPr>
          </w:p>
          <w:p w:rsidR="002D5EFF" w:rsidRPr="00B734B5" w:rsidRDefault="002D5EFF" w:rsidP="0043790F">
            <w:pPr>
              <w:tabs>
                <w:tab w:val="left" w:pos="990"/>
              </w:tabs>
              <w:rPr>
                <w:rFonts w:ascii="Arial" w:hAnsi="Arial"/>
                <w:sz w:val="20"/>
              </w:rPr>
            </w:pPr>
            <w:r w:rsidRPr="00B734B5">
              <w:rPr>
                <w:rFonts w:ascii="Arial" w:hAnsi="Arial"/>
                <w:sz w:val="20"/>
              </w:rPr>
              <w:t xml:space="preserve">Patient must require a combination of an </w:t>
            </w:r>
            <w:proofErr w:type="spellStart"/>
            <w:r w:rsidRPr="00B734B5">
              <w:rPr>
                <w:rFonts w:ascii="Arial" w:hAnsi="Arial"/>
                <w:sz w:val="20"/>
              </w:rPr>
              <w:t>antiandrogen</w:t>
            </w:r>
            <w:proofErr w:type="spellEnd"/>
            <w:r w:rsidRPr="00B734B5">
              <w:rPr>
                <w:rFonts w:ascii="Arial" w:hAnsi="Arial"/>
                <w:sz w:val="20"/>
              </w:rPr>
              <w:t xml:space="preserve"> and a </w:t>
            </w:r>
            <w:proofErr w:type="spellStart"/>
            <w:r w:rsidRPr="00B734B5">
              <w:rPr>
                <w:rFonts w:ascii="Arial" w:hAnsi="Arial"/>
                <w:sz w:val="20"/>
              </w:rPr>
              <w:t>GnRH</w:t>
            </w:r>
            <w:proofErr w:type="spellEnd"/>
            <w:r w:rsidRPr="00B734B5">
              <w:rPr>
                <w:rFonts w:ascii="Arial" w:hAnsi="Arial"/>
                <w:sz w:val="20"/>
              </w:rPr>
              <w:t xml:space="preserve"> (LH-RH) agonist.</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AA3BA9" w:rsidRDefault="002D5EFF" w:rsidP="0043790F">
            <w:pPr>
              <w:jc w:val="both"/>
              <w:rPr>
                <w:rFonts w:ascii="Arial Narrow" w:hAnsi="Arial Narrow" w:cs="Arial"/>
                <w:b/>
                <w:sz w:val="20"/>
                <w:szCs w:val="20"/>
              </w:rPr>
            </w:pPr>
            <w:r w:rsidRPr="00260CE3">
              <w:rPr>
                <w:rFonts w:ascii="Arial Narrow" w:hAnsi="Arial Narrow" w:cs="Arial"/>
                <w:b/>
                <w:sz w:val="20"/>
                <w:szCs w:val="20"/>
              </w:rPr>
              <w:t>Administrative Advice</w:t>
            </w:r>
          </w:p>
          <w:p w:rsidR="002D5EFF" w:rsidRPr="00260CE3" w:rsidRDefault="002D5EFF" w:rsidP="0043790F">
            <w:pPr>
              <w:jc w:val="both"/>
              <w:rPr>
                <w:rFonts w:ascii="Arial Narrow" w:hAnsi="Arial Narrow" w:cs="Arial"/>
                <w:i/>
                <w:sz w:val="20"/>
                <w:szCs w:val="20"/>
              </w:rPr>
            </w:pPr>
          </w:p>
        </w:tc>
        <w:tc>
          <w:tcPr>
            <w:tcW w:w="6520" w:type="dxa"/>
            <w:gridSpan w:val="5"/>
            <w:tcBorders>
              <w:top w:val="single" w:sz="4" w:space="0" w:color="auto"/>
              <w:left w:val="single" w:sz="4" w:space="0" w:color="auto"/>
              <w:bottom w:val="single" w:sz="4" w:space="0" w:color="auto"/>
              <w:right w:val="single" w:sz="4" w:space="0" w:color="auto"/>
            </w:tcBorders>
          </w:tcPr>
          <w:p w:rsidR="002D5EFF" w:rsidRPr="00B734B5" w:rsidRDefault="002D5EFF" w:rsidP="0043790F">
            <w:pPr>
              <w:tabs>
                <w:tab w:val="left" w:pos="990"/>
              </w:tabs>
              <w:rPr>
                <w:rFonts w:ascii="Arial" w:hAnsi="Arial"/>
                <w:b/>
                <w:sz w:val="20"/>
                <w:u w:val="single"/>
              </w:rPr>
            </w:pPr>
            <w:r w:rsidRPr="00B734B5">
              <w:rPr>
                <w:rFonts w:ascii="Arial" w:hAnsi="Arial"/>
                <w:b/>
                <w:sz w:val="20"/>
                <w:u w:val="single"/>
              </w:rPr>
              <w:t>Note</w:t>
            </w:r>
          </w:p>
          <w:p w:rsidR="002D5EFF" w:rsidRPr="00B734B5" w:rsidRDefault="002D5EFF" w:rsidP="0043790F">
            <w:pPr>
              <w:tabs>
                <w:tab w:val="left" w:pos="990"/>
              </w:tabs>
              <w:rPr>
                <w:rFonts w:ascii="Arial" w:hAnsi="Arial"/>
                <w:sz w:val="20"/>
              </w:rPr>
            </w:pPr>
            <w:r w:rsidRPr="00B734B5">
              <w:rPr>
                <w:rFonts w:ascii="Arial" w:hAnsi="Arial"/>
                <w:sz w:val="20"/>
              </w:rPr>
              <w:t>No increase in the maximum quantity or number of units may be authorised.</w:t>
            </w:r>
          </w:p>
          <w:p w:rsidR="002D5EFF" w:rsidRPr="00B734B5" w:rsidRDefault="002D5EFF" w:rsidP="0043790F">
            <w:pPr>
              <w:tabs>
                <w:tab w:val="left" w:pos="990"/>
              </w:tabs>
              <w:rPr>
                <w:rFonts w:ascii="Arial" w:hAnsi="Arial"/>
                <w:sz w:val="20"/>
              </w:rPr>
            </w:pPr>
          </w:p>
          <w:p w:rsidR="002D5EFF" w:rsidRPr="00B734B5" w:rsidRDefault="002D5EFF" w:rsidP="0043790F">
            <w:pPr>
              <w:tabs>
                <w:tab w:val="left" w:pos="990"/>
              </w:tabs>
              <w:rPr>
                <w:rFonts w:ascii="Arial" w:hAnsi="Arial"/>
                <w:b/>
                <w:sz w:val="20"/>
                <w:u w:val="single"/>
              </w:rPr>
            </w:pPr>
            <w:r w:rsidRPr="00B734B5">
              <w:rPr>
                <w:rFonts w:ascii="Arial" w:hAnsi="Arial"/>
                <w:b/>
                <w:sz w:val="20"/>
                <w:u w:val="single"/>
              </w:rPr>
              <w:t>Note</w:t>
            </w:r>
          </w:p>
          <w:p w:rsidR="002D5EFF" w:rsidRPr="00B734B5" w:rsidRDefault="002D5EFF" w:rsidP="0043790F">
            <w:pPr>
              <w:tabs>
                <w:tab w:val="left" w:pos="990"/>
              </w:tabs>
              <w:rPr>
                <w:rFonts w:ascii="Arial" w:hAnsi="Arial"/>
                <w:sz w:val="20"/>
              </w:rPr>
            </w:pPr>
            <w:r w:rsidRPr="00B734B5">
              <w:rPr>
                <w:rFonts w:ascii="Arial" w:hAnsi="Arial"/>
                <w:sz w:val="20"/>
              </w:rPr>
              <w:t>No increase in the maximum number of repeats may be authorised.</w:t>
            </w:r>
          </w:p>
        </w:tc>
      </w:tr>
    </w:tbl>
    <w:p w:rsidR="002D5EFF" w:rsidRDefault="002D5EFF" w:rsidP="002D5EFF">
      <w:pPr>
        <w:pStyle w:val="ListParagraph"/>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985"/>
        <w:gridCol w:w="1134"/>
        <w:gridCol w:w="850"/>
        <w:gridCol w:w="709"/>
        <w:gridCol w:w="1417"/>
        <w:gridCol w:w="2410"/>
      </w:tblGrid>
      <w:tr w:rsidR="002D5EFF" w:rsidRPr="0039782C" w:rsidTr="002D5EFF">
        <w:trPr>
          <w:cantSplit/>
          <w:trHeight w:val="471"/>
        </w:trPr>
        <w:tc>
          <w:tcPr>
            <w:tcW w:w="3119" w:type="dxa"/>
            <w:gridSpan w:val="2"/>
            <w:tcBorders>
              <w:bottom w:val="single" w:sz="4" w:space="0" w:color="auto"/>
            </w:tcBorders>
          </w:tcPr>
          <w:p w:rsidR="002D5EFF" w:rsidRPr="001721C1" w:rsidRDefault="002D5EFF" w:rsidP="0043790F">
            <w:pPr>
              <w:keepNext/>
              <w:ind w:left="-108"/>
              <w:jc w:val="both"/>
              <w:rPr>
                <w:rFonts w:ascii="Arial Narrow" w:hAnsi="Arial Narrow" w:cs="Arial"/>
                <w:b/>
                <w:sz w:val="20"/>
                <w:szCs w:val="20"/>
              </w:rPr>
            </w:pPr>
            <w:r w:rsidRPr="001721C1">
              <w:rPr>
                <w:rFonts w:ascii="Arial Narrow" w:hAnsi="Arial Narrow" w:cs="Arial"/>
                <w:b/>
                <w:sz w:val="20"/>
                <w:szCs w:val="20"/>
              </w:rPr>
              <w:t>Name, Restriction,</w:t>
            </w:r>
          </w:p>
          <w:p w:rsidR="002D5EFF" w:rsidRPr="001721C1" w:rsidRDefault="002D5EFF" w:rsidP="0043790F">
            <w:pPr>
              <w:keepNext/>
              <w:ind w:left="-108"/>
              <w:jc w:val="both"/>
              <w:rPr>
                <w:rFonts w:ascii="Arial Narrow" w:hAnsi="Arial Narrow" w:cs="Arial"/>
                <w:b/>
                <w:sz w:val="20"/>
                <w:szCs w:val="20"/>
              </w:rPr>
            </w:pPr>
            <w:r w:rsidRPr="001721C1">
              <w:rPr>
                <w:rFonts w:ascii="Arial Narrow" w:hAnsi="Arial Narrow" w:cs="Arial"/>
                <w:b/>
                <w:sz w:val="20"/>
                <w:szCs w:val="20"/>
              </w:rPr>
              <w:t>Manner of administration and form</w:t>
            </w:r>
          </w:p>
        </w:tc>
        <w:tc>
          <w:tcPr>
            <w:tcW w:w="850" w:type="dxa"/>
            <w:tcBorders>
              <w:bottom w:val="single" w:sz="4" w:space="0" w:color="auto"/>
            </w:tcBorders>
          </w:tcPr>
          <w:p w:rsidR="002D5EFF" w:rsidRPr="001721C1" w:rsidRDefault="002D5EFF" w:rsidP="0043790F">
            <w:pPr>
              <w:keepNext/>
              <w:ind w:left="-108"/>
              <w:jc w:val="both"/>
              <w:rPr>
                <w:rFonts w:ascii="Arial Narrow" w:hAnsi="Arial Narrow" w:cs="Arial"/>
                <w:b/>
                <w:sz w:val="20"/>
                <w:szCs w:val="20"/>
              </w:rPr>
            </w:pPr>
            <w:r w:rsidRPr="001721C1">
              <w:rPr>
                <w:rFonts w:ascii="Arial Narrow" w:hAnsi="Arial Narrow" w:cs="Arial"/>
                <w:b/>
                <w:sz w:val="20"/>
                <w:szCs w:val="20"/>
              </w:rPr>
              <w:t>Max.</w:t>
            </w:r>
          </w:p>
          <w:p w:rsidR="002D5EFF" w:rsidRPr="001721C1" w:rsidRDefault="002D5EFF" w:rsidP="0043790F">
            <w:pPr>
              <w:keepNext/>
              <w:ind w:left="-108"/>
              <w:jc w:val="both"/>
              <w:rPr>
                <w:rFonts w:ascii="Arial Narrow" w:hAnsi="Arial Narrow" w:cs="Arial"/>
                <w:b/>
                <w:sz w:val="20"/>
                <w:szCs w:val="20"/>
              </w:rPr>
            </w:pPr>
            <w:proofErr w:type="spellStart"/>
            <w:r w:rsidRPr="001721C1">
              <w:rPr>
                <w:rFonts w:ascii="Arial Narrow" w:hAnsi="Arial Narrow" w:cs="Arial"/>
                <w:b/>
                <w:sz w:val="20"/>
                <w:szCs w:val="20"/>
              </w:rPr>
              <w:t>Qty</w:t>
            </w:r>
            <w:proofErr w:type="spellEnd"/>
          </w:p>
        </w:tc>
        <w:tc>
          <w:tcPr>
            <w:tcW w:w="709" w:type="dxa"/>
            <w:tcBorders>
              <w:bottom w:val="single" w:sz="4" w:space="0" w:color="auto"/>
            </w:tcBorders>
          </w:tcPr>
          <w:p w:rsidR="002D5EFF" w:rsidRPr="001721C1" w:rsidRDefault="002D5EFF" w:rsidP="0043790F">
            <w:pPr>
              <w:keepNext/>
              <w:ind w:left="-108"/>
              <w:jc w:val="both"/>
              <w:rPr>
                <w:rFonts w:ascii="Arial Narrow" w:hAnsi="Arial Narrow" w:cs="Arial"/>
                <w:b/>
                <w:sz w:val="20"/>
                <w:szCs w:val="20"/>
              </w:rPr>
            </w:pPr>
            <w:r w:rsidRPr="001721C1">
              <w:rPr>
                <w:rFonts w:ascii="Arial Narrow" w:hAnsi="Arial Narrow" w:cs="Arial"/>
                <w:b/>
                <w:sz w:val="20"/>
                <w:szCs w:val="20"/>
              </w:rPr>
              <w:t>№.of</w:t>
            </w:r>
          </w:p>
          <w:p w:rsidR="002D5EFF" w:rsidRPr="001721C1" w:rsidRDefault="002D5EFF" w:rsidP="0043790F">
            <w:pPr>
              <w:keepNext/>
              <w:ind w:left="-108"/>
              <w:jc w:val="both"/>
              <w:rPr>
                <w:rFonts w:ascii="Arial Narrow" w:hAnsi="Arial Narrow" w:cs="Arial"/>
                <w:b/>
                <w:sz w:val="20"/>
                <w:szCs w:val="20"/>
              </w:rPr>
            </w:pPr>
            <w:proofErr w:type="spellStart"/>
            <w:r w:rsidRPr="001721C1">
              <w:rPr>
                <w:rFonts w:ascii="Arial Narrow" w:hAnsi="Arial Narrow" w:cs="Arial"/>
                <w:b/>
                <w:sz w:val="20"/>
                <w:szCs w:val="20"/>
              </w:rPr>
              <w:t>Rpts</w:t>
            </w:r>
            <w:proofErr w:type="spellEnd"/>
          </w:p>
        </w:tc>
        <w:tc>
          <w:tcPr>
            <w:tcW w:w="3827" w:type="dxa"/>
            <w:gridSpan w:val="2"/>
            <w:tcBorders>
              <w:bottom w:val="single" w:sz="4" w:space="0" w:color="auto"/>
            </w:tcBorders>
          </w:tcPr>
          <w:p w:rsidR="002D5EFF" w:rsidRPr="001721C1" w:rsidRDefault="002D5EFF" w:rsidP="0043790F">
            <w:pPr>
              <w:keepNext/>
              <w:jc w:val="both"/>
              <w:rPr>
                <w:rFonts w:ascii="Arial Narrow" w:hAnsi="Arial Narrow" w:cs="Arial"/>
                <w:b/>
                <w:sz w:val="20"/>
                <w:szCs w:val="20"/>
                <w:lang w:val="fr-FR"/>
              </w:rPr>
            </w:pPr>
            <w:r w:rsidRPr="001721C1">
              <w:rPr>
                <w:rFonts w:ascii="Arial Narrow" w:hAnsi="Arial Narrow" w:cs="Arial"/>
                <w:b/>
                <w:sz w:val="20"/>
                <w:szCs w:val="20"/>
              </w:rPr>
              <w:t>Proprietary Name and Manufacturer</w:t>
            </w:r>
          </w:p>
        </w:tc>
      </w:tr>
      <w:tr w:rsidR="002D5EFF" w:rsidRPr="00260CE3" w:rsidTr="002D5EFF">
        <w:trPr>
          <w:cantSplit/>
          <w:trHeight w:val="577"/>
        </w:trPr>
        <w:tc>
          <w:tcPr>
            <w:tcW w:w="3119" w:type="dxa"/>
            <w:gridSpan w:val="2"/>
          </w:tcPr>
          <w:p w:rsidR="002D5EFF" w:rsidRPr="001721C1" w:rsidRDefault="002D5EFF" w:rsidP="0043790F">
            <w:pPr>
              <w:keepNext/>
              <w:ind w:left="-108"/>
              <w:jc w:val="both"/>
              <w:rPr>
                <w:rFonts w:ascii="Arial Narrow" w:hAnsi="Arial Narrow" w:cs="Arial"/>
                <w:smallCaps/>
                <w:sz w:val="20"/>
                <w:szCs w:val="20"/>
              </w:rPr>
            </w:pPr>
            <w:r w:rsidRPr="001721C1">
              <w:rPr>
                <w:rFonts w:ascii="Arial Narrow" w:hAnsi="Arial Narrow" w:cs="Arial"/>
                <w:smallCaps/>
                <w:sz w:val="20"/>
                <w:szCs w:val="20"/>
              </w:rPr>
              <w:t>LEUPRORELIN AND BICALUTAMIDE</w:t>
            </w:r>
          </w:p>
          <w:p w:rsidR="002D5EFF" w:rsidRPr="001721C1" w:rsidRDefault="002D5EFF" w:rsidP="0043790F">
            <w:pPr>
              <w:keepNext/>
              <w:ind w:left="-108"/>
              <w:jc w:val="both"/>
              <w:rPr>
                <w:rFonts w:ascii="Arial Narrow" w:hAnsi="Arial Narrow" w:cs="Arial"/>
                <w:sz w:val="20"/>
                <w:szCs w:val="20"/>
              </w:rPr>
            </w:pPr>
            <w:proofErr w:type="spellStart"/>
            <w:r w:rsidRPr="001721C1">
              <w:rPr>
                <w:rFonts w:ascii="Arial Narrow" w:hAnsi="Arial Narrow" w:cs="Arial"/>
                <w:sz w:val="20"/>
                <w:szCs w:val="20"/>
              </w:rPr>
              <w:t>leuprorelin</w:t>
            </w:r>
            <w:proofErr w:type="spellEnd"/>
            <w:r w:rsidRPr="001721C1">
              <w:rPr>
                <w:rFonts w:ascii="Arial Narrow" w:hAnsi="Arial Narrow" w:cs="Arial"/>
                <w:sz w:val="20"/>
                <w:szCs w:val="20"/>
              </w:rPr>
              <w:t xml:space="preserve"> acetate 22.5 mg injection: modified release [1 syringe] (&amp;) inert substance diluent [1 syringe], (&amp;) </w:t>
            </w:r>
            <w:proofErr w:type="spellStart"/>
            <w:r w:rsidRPr="001721C1">
              <w:rPr>
                <w:rFonts w:ascii="Arial Narrow" w:hAnsi="Arial Narrow" w:cs="Arial"/>
                <w:sz w:val="20"/>
                <w:szCs w:val="20"/>
              </w:rPr>
              <w:t>bicalutamide</w:t>
            </w:r>
            <w:proofErr w:type="spellEnd"/>
            <w:r w:rsidRPr="001721C1">
              <w:rPr>
                <w:rFonts w:ascii="Arial Narrow" w:hAnsi="Arial Narrow" w:cs="Arial"/>
                <w:sz w:val="20"/>
                <w:szCs w:val="20"/>
              </w:rPr>
              <w:t xml:space="preserve"> 50 mg tablet [28 tablets], 1 pack</w:t>
            </w:r>
          </w:p>
        </w:tc>
        <w:tc>
          <w:tcPr>
            <w:tcW w:w="850" w:type="dxa"/>
          </w:tcPr>
          <w:p w:rsidR="002D5EFF" w:rsidRPr="001721C1" w:rsidRDefault="002D5EFF" w:rsidP="0043790F">
            <w:pPr>
              <w:keepNext/>
              <w:ind w:left="-108"/>
              <w:jc w:val="both"/>
              <w:rPr>
                <w:rFonts w:ascii="Arial Narrow" w:hAnsi="Arial Narrow" w:cs="Arial"/>
                <w:sz w:val="20"/>
                <w:szCs w:val="20"/>
              </w:rPr>
            </w:pPr>
          </w:p>
          <w:p w:rsidR="002D5EFF" w:rsidRPr="001721C1" w:rsidRDefault="002D5EFF" w:rsidP="0043790F">
            <w:pPr>
              <w:keepNext/>
              <w:ind w:left="-108"/>
              <w:jc w:val="both"/>
              <w:rPr>
                <w:rFonts w:ascii="Arial Narrow" w:hAnsi="Arial Narrow" w:cs="Arial"/>
                <w:sz w:val="20"/>
                <w:szCs w:val="20"/>
              </w:rPr>
            </w:pPr>
            <w:r w:rsidRPr="001721C1">
              <w:rPr>
                <w:rFonts w:ascii="Arial Narrow" w:hAnsi="Arial Narrow" w:cs="Arial"/>
                <w:sz w:val="20"/>
                <w:szCs w:val="20"/>
              </w:rPr>
              <w:t>1</w:t>
            </w:r>
          </w:p>
        </w:tc>
        <w:tc>
          <w:tcPr>
            <w:tcW w:w="709" w:type="dxa"/>
          </w:tcPr>
          <w:p w:rsidR="002D5EFF" w:rsidRPr="001721C1" w:rsidRDefault="002D5EFF" w:rsidP="0043790F">
            <w:pPr>
              <w:keepNext/>
              <w:ind w:left="-108"/>
              <w:jc w:val="both"/>
              <w:rPr>
                <w:rFonts w:ascii="Arial Narrow" w:hAnsi="Arial Narrow" w:cs="Arial"/>
                <w:sz w:val="20"/>
                <w:szCs w:val="20"/>
              </w:rPr>
            </w:pPr>
          </w:p>
          <w:p w:rsidR="002D5EFF" w:rsidRPr="001721C1" w:rsidRDefault="002D5EFF" w:rsidP="0043790F">
            <w:pPr>
              <w:keepNext/>
              <w:ind w:left="-108"/>
              <w:jc w:val="both"/>
              <w:rPr>
                <w:rFonts w:ascii="Arial Narrow" w:hAnsi="Arial Narrow" w:cs="Arial"/>
                <w:sz w:val="20"/>
                <w:szCs w:val="20"/>
              </w:rPr>
            </w:pPr>
            <w:r w:rsidRPr="001721C1">
              <w:rPr>
                <w:rFonts w:ascii="Arial Narrow" w:hAnsi="Arial Narrow" w:cs="Arial"/>
                <w:sz w:val="20"/>
                <w:szCs w:val="20"/>
              </w:rPr>
              <w:t>0</w:t>
            </w:r>
          </w:p>
        </w:tc>
        <w:tc>
          <w:tcPr>
            <w:tcW w:w="1417" w:type="dxa"/>
          </w:tcPr>
          <w:p w:rsidR="002D5EFF" w:rsidRPr="001721C1" w:rsidRDefault="002D5EFF" w:rsidP="0043790F">
            <w:pPr>
              <w:keepNext/>
              <w:jc w:val="both"/>
              <w:rPr>
                <w:rFonts w:ascii="Arial Narrow" w:hAnsi="Arial Narrow" w:cs="Arial"/>
                <w:sz w:val="20"/>
                <w:szCs w:val="20"/>
              </w:rPr>
            </w:pPr>
          </w:p>
          <w:p w:rsidR="002D5EFF" w:rsidRPr="001721C1" w:rsidRDefault="002D5EFF" w:rsidP="0043790F">
            <w:pPr>
              <w:keepNext/>
              <w:jc w:val="both"/>
              <w:rPr>
                <w:rFonts w:ascii="Arial Narrow" w:hAnsi="Arial Narrow" w:cs="Arial"/>
                <w:sz w:val="20"/>
                <w:szCs w:val="20"/>
              </w:rPr>
            </w:pPr>
            <w:proofErr w:type="spellStart"/>
            <w:r w:rsidRPr="001721C1">
              <w:rPr>
                <w:rFonts w:ascii="Arial Narrow" w:hAnsi="Arial Narrow"/>
                <w:smallCaps/>
                <w:sz w:val="20"/>
                <w:szCs w:val="20"/>
              </w:rPr>
              <w:t>Bi</w:t>
            </w:r>
            <w:proofErr w:type="spellEnd"/>
            <w:r w:rsidRPr="001721C1">
              <w:rPr>
                <w:rFonts w:ascii="Arial Narrow" w:hAnsi="Arial Narrow"/>
                <w:smallCaps/>
                <w:sz w:val="20"/>
                <w:szCs w:val="20"/>
              </w:rPr>
              <w:t xml:space="preserve"> ELIGARD </w:t>
            </w:r>
            <w:r w:rsidRPr="001721C1">
              <w:rPr>
                <w:rFonts w:ascii="Arial Narrow" w:hAnsi="Arial Narrow"/>
                <w:sz w:val="20"/>
              </w:rPr>
              <w:t>CP®</w:t>
            </w:r>
          </w:p>
        </w:tc>
        <w:tc>
          <w:tcPr>
            <w:tcW w:w="2410" w:type="dxa"/>
          </w:tcPr>
          <w:p w:rsidR="002D5EFF" w:rsidRPr="001721C1" w:rsidRDefault="002D5EFF" w:rsidP="0043790F">
            <w:pPr>
              <w:keepNext/>
              <w:jc w:val="both"/>
              <w:rPr>
                <w:rFonts w:ascii="Arial Narrow" w:hAnsi="Arial Narrow" w:cs="Arial"/>
                <w:sz w:val="20"/>
                <w:szCs w:val="20"/>
              </w:rPr>
            </w:pPr>
          </w:p>
          <w:p w:rsidR="002D5EFF" w:rsidRPr="001721C1" w:rsidRDefault="002D5EFF" w:rsidP="0043790F">
            <w:pPr>
              <w:keepNext/>
              <w:jc w:val="both"/>
              <w:rPr>
                <w:rFonts w:ascii="Arial Narrow" w:hAnsi="Arial Narrow" w:cs="Arial"/>
                <w:sz w:val="20"/>
                <w:szCs w:val="20"/>
              </w:rPr>
            </w:pPr>
            <w:proofErr w:type="spellStart"/>
            <w:r w:rsidRPr="001721C1">
              <w:rPr>
                <w:rFonts w:ascii="Arial Narrow" w:hAnsi="Arial Narrow"/>
                <w:sz w:val="20"/>
              </w:rPr>
              <w:t>Tolmar</w:t>
            </w:r>
            <w:proofErr w:type="spellEnd"/>
            <w:r w:rsidRPr="001721C1">
              <w:rPr>
                <w:rFonts w:ascii="Arial Narrow" w:hAnsi="Arial Narrow"/>
                <w:sz w:val="20"/>
              </w:rPr>
              <w:t xml:space="preserve"> Australia Pty Ltd (TL)</w:t>
            </w:r>
          </w:p>
        </w:tc>
      </w:tr>
      <w:tr w:rsidR="002D5EFF" w:rsidRPr="00260CE3" w:rsidTr="0043790F">
        <w:trPr>
          <w:cantSplit/>
          <w:trHeight w:val="360"/>
        </w:trPr>
        <w:tc>
          <w:tcPr>
            <w:tcW w:w="8505" w:type="dxa"/>
            <w:gridSpan w:val="6"/>
            <w:tcBorders>
              <w:bottom w:val="single" w:sz="4" w:space="0" w:color="auto"/>
            </w:tcBorders>
          </w:tcPr>
          <w:p w:rsidR="002D5EFF" w:rsidRPr="001721C1" w:rsidRDefault="002D5EFF" w:rsidP="0043790F">
            <w:pPr>
              <w:jc w:val="both"/>
              <w:rPr>
                <w:rFonts w:ascii="Arial Narrow" w:hAnsi="Arial Narrow" w:cs="Arial"/>
                <w:sz w:val="20"/>
                <w:szCs w:val="20"/>
              </w:rPr>
            </w:pP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 xml:space="preserve">Category / </w:t>
            </w:r>
          </w:p>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Program</w:t>
            </w: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2D5EFF" w:rsidP="0043790F">
            <w:pPr>
              <w:rPr>
                <w:rFonts w:ascii="Arial Narrow" w:hAnsi="Arial Narrow" w:cs="Arial"/>
                <w:sz w:val="20"/>
                <w:szCs w:val="20"/>
              </w:rPr>
            </w:pPr>
            <w:r w:rsidRPr="001721C1">
              <w:rPr>
                <w:rFonts w:ascii="Arial Narrow" w:hAnsi="Arial Narrow" w:cs="Arial"/>
                <w:sz w:val="20"/>
                <w:szCs w:val="20"/>
              </w:rPr>
              <w:t>GENERAL – General Schedule (Code GE)</w:t>
            </w:r>
          </w:p>
          <w:p w:rsidR="002D5EFF" w:rsidRPr="001721C1" w:rsidRDefault="002D5EFF" w:rsidP="0043790F">
            <w:pPr>
              <w:rPr>
                <w:rFonts w:ascii="Arial Narrow" w:hAnsi="Arial Narrow" w:cs="Arial"/>
                <w:sz w:val="20"/>
                <w:szCs w:val="20"/>
              </w:rPr>
            </w:pP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Prescriber type:</w:t>
            </w: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2D5EFF" w:rsidP="0043790F">
            <w:pPr>
              <w:rPr>
                <w:rFonts w:ascii="Arial Narrow" w:hAnsi="Arial Narrow" w:cs="Arial"/>
                <w:sz w:val="20"/>
                <w:szCs w:val="20"/>
              </w:rPr>
            </w:pPr>
            <w:r w:rsidRPr="001721C1">
              <w:rPr>
                <w:rFonts w:ascii="Arial Narrow" w:hAnsi="Arial Narrow" w:cs="Arial"/>
                <w:sz w:val="20"/>
                <w:szCs w:val="20"/>
              </w:rPr>
              <w:fldChar w:fldCharType="begin">
                <w:ffData>
                  <w:name w:val="Check1"/>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 xml:space="preserve">Dental  </w:t>
            </w:r>
            <w:r w:rsidRPr="001721C1">
              <w:rPr>
                <w:rFonts w:ascii="Arial Narrow" w:hAnsi="Arial Narrow" w:cs="Arial"/>
                <w:sz w:val="20"/>
                <w:szCs w:val="20"/>
              </w:rPr>
              <w:fldChar w:fldCharType="begin">
                <w:ffData>
                  <w:name w:val=""/>
                  <w:enabled/>
                  <w:calcOnExit w:val="0"/>
                  <w:checkBox>
                    <w:sizeAuto/>
                    <w:default w:val="1"/>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 xml:space="preserve">Medical Practitioners  </w:t>
            </w:r>
            <w:r w:rsidRPr="001721C1">
              <w:rPr>
                <w:rFonts w:ascii="Arial Narrow" w:hAnsi="Arial Narrow" w:cs="Arial"/>
                <w:sz w:val="20"/>
                <w:szCs w:val="20"/>
              </w:rPr>
              <w:fldChar w:fldCharType="begin">
                <w:ffData>
                  <w:name w:val="Check3"/>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 xml:space="preserve">Nurse practitioners  </w:t>
            </w:r>
            <w:r w:rsidRPr="001721C1">
              <w:rPr>
                <w:rFonts w:ascii="Arial Narrow" w:hAnsi="Arial Narrow" w:cs="Arial"/>
                <w:sz w:val="20"/>
                <w:szCs w:val="20"/>
              </w:rPr>
              <w:fldChar w:fldCharType="begin">
                <w:ffData>
                  <w:name w:val=""/>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Optometrists</w:t>
            </w:r>
          </w:p>
          <w:p w:rsidR="002D5EFF" w:rsidRPr="001721C1" w:rsidRDefault="002D5EFF" w:rsidP="0043790F">
            <w:pPr>
              <w:rPr>
                <w:rFonts w:ascii="Arial Narrow" w:hAnsi="Arial Narrow" w:cs="Arial"/>
                <w:sz w:val="20"/>
                <w:szCs w:val="20"/>
              </w:rPr>
            </w:pPr>
            <w:r w:rsidRPr="001721C1">
              <w:rPr>
                <w:rFonts w:ascii="Arial Narrow" w:hAnsi="Arial Narrow" w:cs="Arial"/>
                <w:sz w:val="20"/>
                <w:szCs w:val="20"/>
              </w:rPr>
              <w:fldChar w:fldCharType="begin">
                <w:ffData>
                  <w:name w:val="Check5"/>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Midwives</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Condition:</w:t>
            </w: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2D5EFF" w:rsidP="0043790F">
            <w:pPr>
              <w:tabs>
                <w:tab w:val="left" w:pos="990"/>
              </w:tabs>
              <w:rPr>
                <w:rFonts w:ascii="Arial Narrow" w:hAnsi="Arial Narrow"/>
                <w:sz w:val="20"/>
              </w:rPr>
            </w:pPr>
            <w:r w:rsidRPr="001721C1">
              <w:rPr>
                <w:rFonts w:ascii="Arial Narrow" w:hAnsi="Arial Narrow"/>
                <w:sz w:val="20"/>
              </w:rPr>
              <w:t>Carcinoma of the prostate</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PBS Indication:</w:t>
            </w: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2D5EFF" w:rsidP="0043790F">
            <w:pPr>
              <w:tabs>
                <w:tab w:val="left" w:pos="990"/>
              </w:tabs>
              <w:rPr>
                <w:rFonts w:ascii="Arial Narrow" w:hAnsi="Arial Narrow"/>
                <w:sz w:val="20"/>
              </w:rPr>
            </w:pPr>
            <w:r w:rsidRPr="001721C1">
              <w:rPr>
                <w:rFonts w:ascii="Arial Narrow" w:hAnsi="Arial Narrow"/>
                <w:sz w:val="20"/>
              </w:rPr>
              <w:t>Carcinoma of the prostate</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Restriction Level / Method:</w:t>
            </w:r>
          </w:p>
          <w:p w:rsidR="002D5EFF" w:rsidRPr="001721C1" w:rsidRDefault="002D5EFF" w:rsidP="0043790F">
            <w:pPr>
              <w:rPr>
                <w:rFonts w:ascii="Arial Narrow" w:hAnsi="Arial Narrow" w:cs="Arial"/>
                <w:sz w:val="20"/>
                <w:szCs w:val="20"/>
              </w:rPr>
            </w:pP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CB4853" w:rsidP="0043790F">
            <w:pPr>
              <w:spacing w:line="360" w:lineRule="auto"/>
              <w:rPr>
                <w:rFonts w:ascii="Arial Narrow" w:hAnsi="Arial Narrow" w:cs="Arial"/>
                <w:sz w:val="20"/>
                <w:szCs w:val="20"/>
              </w:rPr>
            </w:pPr>
            <w:r w:rsidRPr="001721C1">
              <w:rPr>
                <w:rFonts w:ascii="Arial Narrow" w:hAnsi="Arial Narrow" w:cs="Arial"/>
                <w:sz w:val="20"/>
                <w:szCs w:val="20"/>
              </w:rPr>
              <w:fldChar w:fldCharType="begin">
                <w:ffData>
                  <w:name w:val=""/>
                  <w:enabled/>
                  <w:calcOnExit w:val="0"/>
                  <w:checkBox>
                    <w:sizeAuto/>
                    <w:default w:val="1"/>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002D5EFF" w:rsidRPr="001721C1">
              <w:rPr>
                <w:rFonts w:ascii="Arial Narrow" w:hAnsi="Arial Narrow" w:cs="Arial"/>
                <w:sz w:val="20"/>
                <w:szCs w:val="20"/>
              </w:rPr>
              <w:t>Restricted benefit</w:t>
            </w:r>
          </w:p>
          <w:p w:rsidR="002D5EFF" w:rsidRPr="001721C1" w:rsidRDefault="002D5EFF" w:rsidP="0043790F">
            <w:pPr>
              <w:spacing w:line="360" w:lineRule="auto"/>
              <w:rPr>
                <w:rFonts w:ascii="Arial Narrow" w:hAnsi="Arial Narrow" w:cs="Arial"/>
                <w:sz w:val="20"/>
                <w:szCs w:val="20"/>
              </w:rPr>
            </w:pPr>
            <w:r w:rsidRPr="001721C1">
              <w:rPr>
                <w:rFonts w:ascii="Arial Narrow" w:hAnsi="Arial Narrow" w:cs="Arial"/>
                <w:sz w:val="20"/>
                <w:szCs w:val="20"/>
              </w:rPr>
              <w:fldChar w:fldCharType="begin">
                <w:ffData>
                  <w:name w:val=""/>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Authority Required - In Writing</w:t>
            </w:r>
          </w:p>
          <w:p w:rsidR="002D5EFF" w:rsidRPr="001721C1" w:rsidRDefault="002D5EFF" w:rsidP="0043790F">
            <w:pPr>
              <w:spacing w:line="360" w:lineRule="auto"/>
              <w:rPr>
                <w:rFonts w:ascii="Arial Narrow" w:hAnsi="Arial Narrow" w:cs="Arial"/>
                <w:sz w:val="20"/>
                <w:szCs w:val="20"/>
              </w:rPr>
            </w:pPr>
            <w:r w:rsidRPr="001721C1">
              <w:rPr>
                <w:rFonts w:ascii="Arial Narrow" w:hAnsi="Arial Narrow" w:cs="Arial"/>
                <w:sz w:val="20"/>
                <w:szCs w:val="20"/>
              </w:rPr>
              <w:fldChar w:fldCharType="begin">
                <w:ffData>
                  <w:name w:val="Check3"/>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Authority Required - Telephone</w:t>
            </w:r>
          </w:p>
          <w:p w:rsidR="002D5EFF" w:rsidRPr="001721C1" w:rsidRDefault="002D5EFF" w:rsidP="0043790F">
            <w:pPr>
              <w:spacing w:line="360" w:lineRule="auto"/>
              <w:rPr>
                <w:rFonts w:ascii="Arial Narrow" w:hAnsi="Arial Narrow" w:cs="Arial"/>
                <w:sz w:val="20"/>
                <w:szCs w:val="20"/>
              </w:rPr>
            </w:pPr>
            <w:r w:rsidRPr="001721C1">
              <w:rPr>
                <w:rFonts w:ascii="Arial Narrow" w:hAnsi="Arial Narrow" w:cs="Arial"/>
                <w:sz w:val="20"/>
                <w:szCs w:val="20"/>
              </w:rPr>
              <w:fldChar w:fldCharType="begin">
                <w:ffData>
                  <w:name w:val=""/>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Authority Required – Emergency</w:t>
            </w:r>
          </w:p>
          <w:p w:rsidR="002D5EFF" w:rsidRPr="001721C1" w:rsidRDefault="002D5EFF" w:rsidP="0043790F">
            <w:pPr>
              <w:spacing w:line="360" w:lineRule="auto"/>
              <w:rPr>
                <w:rFonts w:ascii="Arial Narrow" w:hAnsi="Arial Narrow" w:cs="Arial"/>
                <w:sz w:val="20"/>
                <w:szCs w:val="20"/>
              </w:rPr>
            </w:pPr>
            <w:r w:rsidRPr="001721C1">
              <w:rPr>
                <w:rFonts w:ascii="Arial Narrow" w:hAnsi="Arial Narrow" w:cs="Arial"/>
                <w:sz w:val="20"/>
                <w:szCs w:val="20"/>
              </w:rPr>
              <w:fldChar w:fldCharType="begin">
                <w:ffData>
                  <w:name w:val="Check5"/>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Authority Required - Electronic</w:t>
            </w:r>
          </w:p>
          <w:p w:rsidR="002D5EFF" w:rsidRPr="001721C1" w:rsidRDefault="00CB4853" w:rsidP="0043790F">
            <w:pPr>
              <w:spacing w:line="360" w:lineRule="auto"/>
              <w:rPr>
                <w:rFonts w:ascii="Arial Narrow" w:hAnsi="Arial Narrow"/>
                <w:sz w:val="20"/>
              </w:rPr>
            </w:pPr>
            <w:r w:rsidRPr="001721C1">
              <w:rPr>
                <w:rFonts w:ascii="Arial Narrow" w:hAnsi="Arial Narrow" w:cs="Arial"/>
                <w:sz w:val="20"/>
                <w:szCs w:val="20"/>
              </w:rPr>
              <w:fldChar w:fldCharType="begin">
                <w:ffData>
                  <w:name w:val=""/>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002D5EFF" w:rsidRPr="001721C1">
              <w:rPr>
                <w:rFonts w:ascii="Arial Narrow" w:hAnsi="Arial Narrow" w:cs="Arial"/>
                <w:sz w:val="20"/>
                <w:szCs w:val="20"/>
              </w:rPr>
              <w:t>Streamlined</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Clinical criteria:</w:t>
            </w:r>
          </w:p>
          <w:p w:rsidR="002D5EFF" w:rsidRPr="001721C1" w:rsidRDefault="002D5EFF" w:rsidP="0043790F">
            <w:pPr>
              <w:jc w:val="both"/>
              <w:rPr>
                <w:rFonts w:ascii="Arial Narrow" w:hAnsi="Arial Narrow" w:cs="Arial"/>
                <w:i/>
                <w:sz w:val="20"/>
                <w:szCs w:val="20"/>
              </w:rPr>
            </w:pPr>
          </w:p>
          <w:p w:rsidR="002D5EFF" w:rsidRPr="001721C1" w:rsidRDefault="002D5EFF" w:rsidP="0043790F">
            <w:pPr>
              <w:jc w:val="both"/>
              <w:rPr>
                <w:rFonts w:ascii="Arial Narrow" w:hAnsi="Arial Narrow" w:cs="Arial"/>
                <w:sz w:val="20"/>
                <w:szCs w:val="20"/>
              </w:rPr>
            </w:pP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2D5EFF" w:rsidP="0043790F">
            <w:pPr>
              <w:tabs>
                <w:tab w:val="left" w:pos="990"/>
              </w:tabs>
              <w:rPr>
                <w:rFonts w:ascii="Arial Narrow" w:hAnsi="Arial Narrow"/>
                <w:sz w:val="20"/>
              </w:rPr>
            </w:pPr>
            <w:r w:rsidRPr="001721C1">
              <w:rPr>
                <w:rFonts w:ascii="Arial Narrow" w:hAnsi="Arial Narrow"/>
                <w:sz w:val="20"/>
              </w:rPr>
              <w:t>The condition must be metastatic (stage D),</w:t>
            </w:r>
          </w:p>
          <w:p w:rsidR="002D5EFF" w:rsidRPr="001721C1" w:rsidRDefault="002D5EFF" w:rsidP="0043790F">
            <w:pPr>
              <w:tabs>
                <w:tab w:val="left" w:pos="990"/>
              </w:tabs>
              <w:rPr>
                <w:rFonts w:ascii="Arial Narrow" w:hAnsi="Arial Narrow"/>
                <w:sz w:val="20"/>
              </w:rPr>
            </w:pPr>
          </w:p>
          <w:p w:rsidR="002D5EFF" w:rsidRPr="001721C1" w:rsidRDefault="002D5EFF" w:rsidP="0043790F">
            <w:pPr>
              <w:tabs>
                <w:tab w:val="left" w:pos="990"/>
              </w:tabs>
              <w:rPr>
                <w:rFonts w:ascii="Arial Narrow" w:hAnsi="Arial Narrow"/>
                <w:sz w:val="20"/>
              </w:rPr>
            </w:pPr>
            <w:r w:rsidRPr="001721C1">
              <w:rPr>
                <w:rFonts w:ascii="Arial Narrow" w:hAnsi="Arial Narrow"/>
                <w:sz w:val="20"/>
              </w:rPr>
              <w:t>AND</w:t>
            </w:r>
          </w:p>
          <w:p w:rsidR="002D5EFF" w:rsidRPr="001721C1" w:rsidRDefault="002D5EFF" w:rsidP="0043790F">
            <w:pPr>
              <w:tabs>
                <w:tab w:val="left" w:pos="990"/>
              </w:tabs>
              <w:rPr>
                <w:rFonts w:ascii="Arial Narrow" w:hAnsi="Arial Narrow"/>
                <w:sz w:val="20"/>
              </w:rPr>
            </w:pPr>
          </w:p>
          <w:p w:rsidR="002D5EFF" w:rsidRPr="001721C1" w:rsidRDefault="002D5EFF" w:rsidP="0043790F">
            <w:pPr>
              <w:tabs>
                <w:tab w:val="left" w:pos="990"/>
              </w:tabs>
              <w:rPr>
                <w:rFonts w:ascii="Arial Narrow" w:hAnsi="Arial Narrow"/>
                <w:sz w:val="20"/>
              </w:rPr>
            </w:pPr>
            <w:r w:rsidRPr="001721C1">
              <w:rPr>
                <w:rFonts w:ascii="Arial Narrow" w:hAnsi="Arial Narrow"/>
                <w:sz w:val="20"/>
              </w:rPr>
              <w:t xml:space="preserve">Patient must require a combination of an </w:t>
            </w:r>
            <w:proofErr w:type="spellStart"/>
            <w:r w:rsidRPr="001721C1">
              <w:rPr>
                <w:rFonts w:ascii="Arial Narrow" w:hAnsi="Arial Narrow"/>
                <w:sz w:val="20"/>
              </w:rPr>
              <w:t>antiandrogen</w:t>
            </w:r>
            <w:proofErr w:type="spellEnd"/>
            <w:r w:rsidRPr="001721C1">
              <w:rPr>
                <w:rFonts w:ascii="Arial Narrow" w:hAnsi="Arial Narrow"/>
                <w:sz w:val="20"/>
              </w:rPr>
              <w:t xml:space="preserve"> and a </w:t>
            </w:r>
            <w:proofErr w:type="spellStart"/>
            <w:r w:rsidRPr="001721C1">
              <w:rPr>
                <w:rFonts w:ascii="Arial Narrow" w:hAnsi="Arial Narrow"/>
                <w:sz w:val="20"/>
              </w:rPr>
              <w:t>GnRH</w:t>
            </w:r>
            <w:proofErr w:type="spellEnd"/>
            <w:r w:rsidRPr="001721C1">
              <w:rPr>
                <w:rFonts w:ascii="Arial Narrow" w:hAnsi="Arial Narrow"/>
                <w:sz w:val="20"/>
              </w:rPr>
              <w:t xml:space="preserve"> (LH-RH) agonist.</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Administrative Advice</w:t>
            </w:r>
          </w:p>
          <w:p w:rsidR="002D5EFF" w:rsidRPr="001721C1" w:rsidRDefault="002D5EFF" w:rsidP="0043790F">
            <w:pPr>
              <w:jc w:val="both"/>
              <w:rPr>
                <w:rFonts w:ascii="Arial Narrow" w:hAnsi="Arial Narrow" w:cs="Arial"/>
                <w:i/>
                <w:sz w:val="20"/>
                <w:szCs w:val="20"/>
              </w:rPr>
            </w:pP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2D5EFF" w:rsidP="0043790F">
            <w:pPr>
              <w:tabs>
                <w:tab w:val="left" w:pos="990"/>
              </w:tabs>
              <w:rPr>
                <w:rFonts w:ascii="Arial Narrow" w:hAnsi="Arial Narrow"/>
                <w:b/>
                <w:sz w:val="20"/>
                <w:u w:val="single"/>
              </w:rPr>
            </w:pPr>
            <w:r w:rsidRPr="001721C1">
              <w:rPr>
                <w:rFonts w:ascii="Arial Narrow" w:hAnsi="Arial Narrow"/>
                <w:b/>
                <w:sz w:val="20"/>
                <w:u w:val="single"/>
              </w:rPr>
              <w:t>Note</w:t>
            </w:r>
          </w:p>
          <w:p w:rsidR="002D5EFF" w:rsidRPr="001721C1" w:rsidRDefault="002D5EFF" w:rsidP="0043790F">
            <w:pPr>
              <w:tabs>
                <w:tab w:val="left" w:pos="990"/>
              </w:tabs>
              <w:rPr>
                <w:rFonts w:ascii="Arial Narrow" w:hAnsi="Arial Narrow"/>
                <w:sz w:val="20"/>
              </w:rPr>
            </w:pPr>
            <w:r w:rsidRPr="001721C1">
              <w:rPr>
                <w:rFonts w:ascii="Arial Narrow" w:hAnsi="Arial Narrow"/>
                <w:sz w:val="20"/>
              </w:rPr>
              <w:t>No increase in the maximum quantity or number of units may be authorised.</w:t>
            </w:r>
          </w:p>
          <w:p w:rsidR="002D5EFF" w:rsidRPr="001721C1" w:rsidRDefault="002D5EFF" w:rsidP="0043790F">
            <w:pPr>
              <w:tabs>
                <w:tab w:val="left" w:pos="990"/>
              </w:tabs>
              <w:rPr>
                <w:rFonts w:ascii="Arial Narrow" w:hAnsi="Arial Narrow"/>
                <w:sz w:val="20"/>
              </w:rPr>
            </w:pPr>
          </w:p>
          <w:p w:rsidR="002D5EFF" w:rsidRPr="001721C1" w:rsidRDefault="002D5EFF" w:rsidP="0043790F">
            <w:pPr>
              <w:tabs>
                <w:tab w:val="left" w:pos="990"/>
              </w:tabs>
              <w:rPr>
                <w:rFonts w:ascii="Arial Narrow" w:hAnsi="Arial Narrow"/>
                <w:b/>
                <w:sz w:val="20"/>
                <w:u w:val="single"/>
              </w:rPr>
            </w:pPr>
            <w:r w:rsidRPr="001721C1">
              <w:rPr>
                <w:rFonts w:ascii="Arial Narrow" w:hAnsi="Arial Narrow"/>
                <w:b/>
                <w:sz w:val="20"/>
                <w:u w:val="single"/>
              </w:rPr>
              <w:t>Note</w:t>
            </w:r>
          </w:p>
          <w:p w:rsidR="002D5EFF" w:rsidRPr="001721C1" w:rsidRDefault="002D5EFF" w:rsidP="0043790F">
            <w:pPr>
              <w:tabs>
                <w:tab w:val="left" w:pos="990"/>
              </w:tabs>
              <w:rPr>
                <w:rFonts w:ascii="Arial Narrow" w:hAnsi="Arial Narrow"/>
                <w:sz w:val="20"/>
              </w:rPr>
            </w:pPr>
            <w:r w:rsidRPr="001721C1">
              <w:rPr>
                <w:rFonts w:ascii="Arial Narrow" w:hAnsi="Arial Narrow"/>
                <w:sz w:val="20"/>
              </w:rPr>
              <w:t>No increase in the maximum number of repeats may be authorised.</w:t>
            </w:r>
          </w:p>
        </w:tc>
      </w:tr>
    </w:tbl>
    <w:p w:rsidR="00CB4853" w:rsidRDefault="00CB4853" w:rsidP="002D5EFF">
      <w:pPr>
        <w:pStyle w:val="ListParagraph"/>
        <w:jc w:val="both"/>
        <w:rPr>
          <w:rFonts w:ascii="Arial" w:hAnsi="Arial"/>
          <w:sz w:val="22"/>
          <w:szCs w:val="22"/>
        </w:rPr>
      </w:pPr>
    </w:p>
    <w:p w:rsidR="002D5EFF" w:rsidRPr="00CB4853" w:rsidRDefault="00CB4853" w:rsidP="00CB4853">
      <w:pPr>
        <w:rPr>
          <w:rFonts w:ascii="Arial" w:hAnsi="Arial"/>
          <w:sz w:val="22"/>
          <w:szCs w:val="22"/>
        </w:rPr>
      </w:pPr>
      <w:r>
        <w:rPr>
          <w:rFonts w:ascii="Arial" w:hAnsi="Arial"/>
          <w:sz w:val="22"/>
          <w:szCs w:val="22"/>
        </w:rPr>
        <w:br w:type="page"/>
      </w:r>
    </w:p>
    <w:tbl>
      <w:tblPr>
        <w:tblW w:w="8505" w:type="dxa"/>
        <w:tblInd w:w="817" w:type="dxa"/>
        <w:tblLayout w:type="fixed"/>
        <w:tblLook w:val="0000" w:firstRow="0" w:lastRow="0" w:firstColumn="0" w:lastColumn="0" w:noHBand="0" w:noVBand="0"/>
      </w:tblPr>
      <w:tblGrid>
        <w:gridCol w:w="1985"/>
        <w:gridCol w:w="1134"/>
        <w:gridCol w:w="850"/>
        <w:gridCol w:w="709"/>
        <w:gridCol w:w="1417"/>
        <w:gridCol w:w="2410"/>
      </w:tblGrid>
      <w:tr w:rsidR="00CB4853" w:rsidRPr="0039782C" w:rsidTr="00CB4853">
        <w:trPr>
          <w:cantSplit/>
          <w:trHeight w:val="471"/>
        </w:trPr>
        <w:tc>
          <w:tcPr>
            <w:tcW w:w="3119" w:type="dxa"/>
            <w:gridSpan w:val="2"/>
            <w:tcBorders>
              <w:bottom w:val="single" w:sz="4" w:space="0" w:color="auto"/>
            </w:tcBorders>
          </w:tcPr>
          <w:p w:rsidR="00CB4853" w:rsidRPr="001721C1" w:rsidRDefault="00CB4853" w:rsidP="0043790F">
            <w:pPr>
              <w:keepNext/>
              <w:ind w:left="-108"/>
              <w:jc w:val="both"/>
              <w:rPr>
                <w:rFonts w:ascii="Arial Narrow" w:hAnsi="Arial Narrow" w:cs="Arial"/>
                <w:b/>
                <w:sz w:val="20"/>
                <w:szCs w:val="20"/>
              </w:rPr>
            </w:pPr>
            <w:r w:rsidRPr="001721C1">
              <w:rPr>
                <w:rFonts w:ascii="Arial Narrow" w:hAnsi="Arial Narrow" w:cs="Arial"/>
                <w:b/>
                <w:sz w:val="20"/>
                <w:szCs w:val="20"/>
              </w:rPr>
              <w:lastRenderedPageBreak/>
              <w:t>Name, Restriction,</w:t>
            </w:r>
          </w:p>
          <w:p w:rsidR="00CB4853" w:rsidRPr="001721C1" w:rsidRDefault="00CB4853" w:rsidP="0043790F">
            <w:pPr>
              <w:keepNext/>
              <w:ind w:left="-108"/>
              <w:jc w:val="both"/>
              <w:rPr>
                <w:rFonts w:ascii="Arial Narrow" w:hAnsi="Arial Narrow" w:cs="Arial"/>
                <w:b/>
                <w:sz w:val="20"/>
                <w:szCs w:val="20"/>
              </w:rPr>
            </w:pPr>
            <w:r w:rsidRPr="001721C1">
              <w:rPr>
                <w:rFonts w:ascii="Arial Narrow" w:hAnsi="Arial Narrow" w:cs="Arial"/>
                <w:b/>
                <w:sz w:val="20"/>
                <w:szCs w:val="20"/>
              </w:rPr>
              <w:t>Manner of administration and form</w:t>
            </w:r>
          </w:p>
        </w:tc>
        <w:tc>
          <w:tcPr>
            <w:tcW w:w="850" w:type="dxa"/>
            <w:tcBorders>
              <w:bottom w:val="single" w:sz="4" w:space="0" w:color="auto"/>
            </w:tcBorders>
          </w:tcPr>
          <w:p w:rsidR="00CB4853" w:rsidRPr="001721C1" w:rsidRDefault="00CB4853" w:rsidP="0043790F">
            <w:pPr>
              <w:keepNext/>
              <w:ind w:left="-108"/>
              <w:jc w:val="both"/>
              <w:rPr>
                <w:rFonts w:ascii="Arial Narrow" w:hAnsi="Arial Narrow" w:cs="Arial"/>
                <w:b/>
                <w:sz w:val="20"/>
                <w:szCs w:val="20"/>
              </w:rPr>
            </w:pPr>
            <w:r w:rsidRPr="001721C1">
              <w:rPr>
                <w:rFonts w:ascii="Arial Narrow" w:hAnsi="Arial Narrow" w:cs="Arial"/>
                <w:b/>
                <w:sz w:val="20"/>
                <w:szCs w:val="20"/>
              </w:rPr>
              <w:t>Max.</w:t>
            </w:r>
          </w:p>
          <w:p w:rsidR="00CB4853" w:rsidRPr="001721C1" w:rsidRDefault="00CB4853" w:rsidP="0043790F">
            <w:pPr>
              <w:keepNext/>
              <w:ind w:left="-108"/>
              <w:jc w:val="both"/>
              <w:rPr>
                <w:rFonts w:ascii="Arial Narrow" w:hAnsi="Arial Narrow" w:cs="Arial"/>
                <w:b/>
                <w:sz w:val="20"/>
                <w:szCs w:val="20"/>
              </w:rPr>
            </w:pPr>
            <w:proofErr w:type="spellStart"/>
            <w:r w:rsidRPr="001721C1">
              <w:rPr>
                <w:rFonts w:ascii="Arial Narrow" w:hAnsi="Arial Narrow" w:cs="Arial"/>
                <w:b/>
                <w:sz w:val="20"/>
                <w:szCs w:val="20"/>
              </w:rPr>
              <w:t>Qty</w:t>
            </w:r>
            <w:proofErr w:type="spellEnd"/>
          </w:p>
        </w:tc>
        <w:tc>
          <w:tcPr>
            <w:tcW w:w="709" w:type="dxa"/>
            <w:tcBorders>
              <w:bottom w:val="single" w:sz="4" w:space="0" w:color="auto"/>
            </w:tcBorders>
          </w:tcPr>
          <w:p w:rsidR="00CB4853" w:rsidRPr="001721C1" w:rsidRDefault="00CB4853" w:rsidP="0043790F">
            <w:pPr>
              <w:keepNext/>
              <w:ind w:left="-108"/>
              <w:jc w:val="both"/>
              <w:rPr>
                <w:rFonts w:ascii="Arial Narrow" w:hAnsi="Arial Narrow" w:cs="Arial"/>
                <w:b/>
                <w:sz w:val="20"/>
                <w:szCs w:val="20"/>
              </w:rPr>
            </w:pPr>
            <w:r w:rsidRPr="001721C1">
              <w:rPr>
                <w:rFonts w:ascii="Arial Narrow" w:hAnsi="Arial Narrow" w:cs="Arial"/>
                <w:b/>
                <w:sz w:val="20"/>
                <w:szCs w:val="20"/>
              </w:rPr>
              <w:t>№.of</w:t>
            </w:r>
          </w:p>
          <w:p w:rsidR="00CB4853" w:rsidRPr="001721C1" w:rsidRDefault="00CB4853" w:rsidP="0043790F">
            <w:pPr>
              <w:keepNext/>
              <w:ind w:left="-108"/>
              <w:jc w:val="both"/>
              <w:rPr>
                <w:rFonts w:ascii="Arial Narrow" w:hAnsi="Arial Narrow" w:cs="Arial"/>
                <w:b/>
                <w:sz w:val="20"/>
                <w:szCs w:val="20"/>
              </w:rPr>
            </w:pPr>
            <w:proofErr w:type="spellStart"/>
            <w:r w:rsidRPr="001721C1">
              <w:rPr>
                <w:rFonts w:ascii="Arial Narrow" w:hAnsi="Arial Narrow" w:cs="Arial"/>
                <w:b/>
                <w:sz w:val="20"/>
                <w:szCs w:val="20"/>
              </w:rPr>
              <w:t>Rpts</w:t>
            </w:r>
            <w:proofErr w:type="spellEnd"/>
          </w:p>
        </w:tc>
        <w:tc>
          <w:tcPr>
            <w:tcW w:w="3827" w:type="dxa"/>
            <w:gridSpan w:val="2"/>
            <w:tcBorders>
              <w:bottom w:val="single" w:sz="4" w:space="0" w:color="auto"/>
            </w:tcBorders>
          </w:tcPr>
          <w:p w:rsidR="00CB4853" w:rsidRPr="001721C1" w:rsidRDefault="00CB4853" w:rsidP="0043790F">
            <w:pPr>
              <w:keepNext/>
              <w:jc w:val="both"/>
              <w:rPr>
                <w:rFonts w:ascii="Arial Narrow" w:hAnsi="Arial Narrow" w:cs="Arial"/>
                <w:b/>
                <w:sz w:val="20"/>
                <w:szCs w:val="20"/>
                <w:lang w:val="fr-FR"/>
              </w:rPr>
            </w:pPr>
            <w:r w:rsidRPr="001721C1">
              <w:rPr>
                <w:rFonts w:ascii="Arial Narrow" w:hAnsi="Arial Narrow" w:cs="Arial"/>
                <w:b/>
                <w:sz w:val="20"/>
                <w:szCs w:val="20"/>
              </w:rPr>
              <w:t>Proprietary Name and Manufacturer</w:t>
            </w:r>
          </w:p>
        </w:tc>
      </w:tr>
      <w:tr w:rsidR="00CB4853" w:rsidRPr="00260CE3" w:rsidTr="00CB4853">
        <w:trPr>
          <w:cantSplit/>
          <w:trHeight w:val="577"/>
        </w:trPr>
        <w:tc>
          <w:tcPr>
            <w:tcW w:w="3119" w:type="dxa"/>
            <w:gridSpan w:val="2"/>
          </w:tcPr>
          <w:p w:rsidR="00CB4853" w:rsidRPr="001721C1" w:rsidRDefault="00CB4853" w:rsidP="0043790F">
            <w:pPr>
              <w:keepNext/>
              <w:ind w:left="-108"/>
              <w:jc w:val="both"/>
              <w:rPr>
                <w:rFonts w:ascii="Arial Narrow" w:hAnsi="Arial Narrow" w:cs="Arial"/>
                <w:smallCaps/>
                <w:sz w:val="20"/>
                <w:szCs w:val="20"/>
              </w:rPr>
            </w:pPr>
            <w:r w:rsidRPr="001721C1">
              <w:rPr>
                <w:rFonts w:ascii="Arial Narrow" w:hAnsi="Arial Narrow" w:cs="Arial"/>
                <w:smallCaps/>
                <w:sz w:val="20"/>
                <w:szCs w:val="20"/>
              </w:rPr>
              <w:t>LEUPRORELIN AND BICALUTAMIDE</w:t>
            </w:r>
          </w:p>
          <w:p w:rsidR="00CB4853" w:rsidRPr="001721C1" w:rsidRDefault="00CB4853" w:rsidP="0043790F">
            <w:pPr>
              <w:keepNext/>
              <w:ind w:left="-108"/>
              <w:jc w:val="both"/>
              <w:rPr>
                <w:rFonts w:ascii="Arial Narrow" w:hAnsi="Arial Narrow" w:cs="Arial"/>
                <w:sz w:val="20"/>
                <w:szCs w:val="20"/>
              </w:rPr>
            </w:pPr>
            <w:proofErr w:type="spellStart"/>
            <w:r w:rsidRPr="001721C1">
              <w:rPr>
                <w:rFonts w:ascii="Arial Narrow" w:hAnsi="Arial Narrow" w:cs="Arial"/>
                <w:sz w:val="20"/>
                <w:szCs w:val="20"/>
              </w:rPr>
              <w:t>leuprorelin</w:t>
            </w:r>
            <w:proofErr w:type="spellEnd"/>
            <w:r w:rsidRPr="001721C1">
              <w:rPr>
                <w:rFonts w:ascii="Arial Narrow" w:hAnsi="Arial Narrow" w:cs="Arial"/>
                <w:sz w:val="20"/>
                <w:szCs w:val="20"/>
              </w:rPr>
              <w:t xml:space="preserve"> acetate 22.5 mg injection: modified release [1 syringe] (&amp;) inert substance diluent [1 syringe], (&amp;) </w:t>
            </w:r>
            <w:proofErr w:type="spellStart"/>
            <w:r w:rsidRPr="001721C1">
              <w:rPr>
                <w:rFonts w:ascii="Arial Narrow" w:hAnsi="Arial Narrow" w:cs="Arial"/>
                <w:sz w:val="20"/>
                <w:szCs w:val="20"/>
              </w:rPr>
              <w:t>bicalutamide</w:t>
            </w:r>
            <w:proofErr w:type="spellEnd"/>
            <w:r w:rsidRPr="001721C1">
              <w:rPr>
                <w:rFonts w:ascii="Arial Narrow" w:hAnsi="Arial Narrow" w:cs="Arial"/>
                <w:sz w:val="20"/>
                <w:szCs w:val="20"/>
              </w:rPr>
              <w:t xml:space="preserve"> 50 mg tablet [84 tablets], 1 pack</w:t>
            </w:r>
          </w:p>
        </w:tc>
        <w:tc>
          <w:tcPr>
            <w:tcW w:w="850" w:type="dxa"/>
          </w:tcPr>
          <w:p w:rsidR="00CB4853" w:rsidRPr="001721C1" w:rsidRDefault="00CB4853" w:rsidP="0043790F">
            <w:pPr>
              <w:keepNext/>
              <w:ind w:left="-108"/>
              <w:jc w:val="both"/>
              <w:rPr>
                <w:rFonts w:ascii="Arial Narrow" w:hAnsi="Arial Narrow" w:cs="Arial"/>
                <w:sz w:val="20"/>
                <w:szCs w:val="20"/>
              </w:rPr>
            </w:pPr>
          </w:p>
          <w:p w:rsidR="00CB4853" w:rsidRPr="001721C1" w:rsidRDefault="00CB4853" w:rsidP="0043790F">
            <w:pPr>
              <w:keepNext/>
              <w:ind w:left="-108"/>
              <w:jc w:val="both"/>
              <w:rPr>
                <w:rFonts w:ascii="Arial Narrow" w:hAnsi="Arial Narrow" w:cs="Arial"/>
                <w:sz w:val="20"/>
                <w:szCs w:val="20"/>
              </w:rPr>
            </w:pPr>
            <w:r w:rsidRPr="001721C1">
              <w:rPr>
                <w:rFonts w:ascii="Arial Narrow" w:hAnsi="Arial Narrow" w:cs="Arial"/>
                <w:sz w:val="20"/>
                <w:szCs w:val="20"/>
              </w:rPr>
              <w:t>1</w:t>
            </w:r>
          </w:p>
        </w:tc>
        <w:tc>
          <w:tcPr>
            <w:tcW w:w="709" w:type="dxa"/>
          </w:tcPr>
          <w:p w:rsidR="00CB4853" w:rsidRPr="001721C1" w:rsidRDefault="00CB4853" w:rsidP="0043790F">
            <w:pPr>
              <w:keepNext/>
              <w:ind w:left="-108"/>
              <w:jc w:val="both"/>
              <w:rPr>
                <w:rFonts w:ascii="Arial Narrow" w:hAnsi="Arial Narrow" w:cs="Arial"/>
                <w:sz w:val="20"/>
                <w:szCs w:val="20"/>
              </w:rPr>
            </w:pPr>
          </w:p>
          <w:p w:rsidR="00CB4853" w:rsidRPr="001721C1" w:rsidRDefault="00CB4853" w:rsidP="0043790F">
            <w:pPr>
              <w:keepNext/>
              <w:ind w:left="-108"/>
              <w:jc w:val="both"/>
              <w:rPr>
                <w:rFonts w:ascii="Arial Narrow" w:hAnsi="Arial Narrow" w:cs="Arial"/>
                <w:sz w:val="20"/>
                <w:szCs w:val="20"/>
              </w:rPr>
            </w:pPr>
            <w:r w:rsidRPr="001721C1">
              <w:rPr>
                <w:rFonts w:ascii="Arial Narrow" w:hAnsi="Arial Narrow" w:cs="Arial"/>
                <w:sz w:val="20"/>
                <w:szCs w:val="20"/>
              </w:rPr>
              <w:t>1</w:t>
            </w:r>
          </w:p>
        </w:tc>
        <w:tc>
          <w:tcPr>
            <w:tcW w:w="1417" w:type="dxa"/>
          </w:tcPr>
          <w:p w:rsidR="00CB4853" w:rsidRPr="001721C1" w:rsidRDefault="00CB4853" w:rsidP="0043790F">
            <w:pPr>
              <w:keepNext/>
              <w:jc w:val="both"/>
              <w:rPr>
                <w:rFonts w:ascii="Arial Narrow" w:hAnsi="Arial Narrow" w:cs="Arial"/>
                <w:sz w:val="20"/>
                <w:szCs w:val="20"/>
              </w:rPr>
            </w:pPr>
          </w:p>
          <w:p w:rsidR="00CB4853" w:rsidRPr="001721C1" w:rsidRDefault="00CB4853" w:rsidP="0043790F">
            <w:pPr>
              <w:keepNext/>
              <w:jc w:val="both"/>
              <w:rPr>
                <w:rFonts w:ascii="Arial Narrow" w:hAnsi="Arial Narrow" w:cs="Arial"/>
                <w:sz w:val="20"/>
                <w:szCs w:val="20"/>
              </w:rPr>
            </w:pPr>
            <w:proofErr w:type="spellStart"/>
            <w:r w:rsidRPr="001721C1">
              <w:rPr>
                <w:rFonts w:ascii="Arial Narrow" w:hAnsi="Arial Narrow"/>
                <w:smallCaps/>
                <w:sz w:val="20"/>
                <w:szCs w:val="20"/>
              </w:rPr>
              <w:t>Bi</w:t>
            </w:r>
            <w:proofErr w:type="spellEnd"/>
            <w:r w:rsidRPr="001721C1">
              <w:rPr>
                <w:rFonts w:ascii="Arial Narrow" w:hAnsi="Arial Narrow"/>
                <w:smallCaps/>
                <w:sz w:val="20"/>
                <w:szCs w:val="20"/>
              </w:rPr>
              <w:t xml:space="preserve"> ELIGARD </w:t>
            </w:r>
            <w:r w:rsidRPr="001721C1">
              <w:rPr>
                <w:rFonts w:ascii="Arial Narrow" w:hAnsi="Arial Narrow"/>
                <w:sz w:val="20"/>
                <w:szCs w:val="20"/>
              </w:rPr>
              <w:t>CP®</w:t>
            </w:r>
          </w:p>
        </w:tc>
        <w:tc>
          <w:tcPr>
            <w:tcW w:w="2410" w:type="dxa"/>
          </w:tcPr>
          <w:p w:rsidR="00CB4853" w:rsidRPr="001721C1" w:rsidRDefault="00CB4853" w:rsidP="0043790F">
            <w:pPr>
              <w:keepNext/>
              <w:jc w:val="both"/>
              <w:rPr>
                <w:rFonts w:ascii="Arial Narrow" w:hAnsi="Arial Narrow" w:cs="Arial"/>
                <w:sz w:val="20"/>
                <w:szCs w:val="20"/>
              </w:rPr>
            </w:pPr>
          </w:p>
          <w:p w:rsidR="00CB4853" w:rsidRPr="001721C1" w:rsidRDefault="00CB4853" w:rsidP="0043790F">
            <w:pPr>
              <w:keepNext/>
              <w:jc w:val="both"/>
              <w:rPr>
                <w:rFonts w:ascii="Arial Narrow" w:hAnsi="Arial Narrow" w:cs="Arial"/>
                <w:sz w:val="20"/>
                <w:szCs w:val="20"/>
              </w:rPr>
            </w:pPr>
            <w:proofErr w:type="spellStart"/>
            <w:r w:rsidRPr="001721C1">
              <w:rPr>
                <w:rFonts w:ascii="Arial Narrow" w:hAnsi="Arial Narrow"/>
                <w:sz w:val="20"/>
                <w:szCs w:val="20"/>
              </w:rPr>
              <w:t>Tolmar</w:t>
            </w:r>
            <w:proofErr w:type="spellEnd"/>
            <w:r w:rsidRPr="001721C1">
              <w:rPr>
                <w:rFonts w:ascii="Arial Narrow" w:hAnsi="Arial Narrow"/>
                <w:sz w:val="20"/>
                <w:szCs w:val="20"/>
              </w:rPr>
              <w:t xml:space="preserve"> Australia Pty Ltd (TL)</w:t>
            </w:r>
          </w:p>
        </w:tc>
      </w:tr>
      <w:tr w:rsidR="002D5EFF" w:rsidRPr="00260CE3" w:rsidTr="0043790F">
        <w:trPr>
          <w:cantSplit/>
          <w:trHeight w:val="360"/>
        </w:trPr>
        <w:tc>
          <w:tcPr>
            <w:tcW w:w="8505" w:type="dxa"/>
            <w:gridSpan w:val="6"/>
            <w:tcBorders>
              <w:bottom w:val="single" w:sz="4" w:space="0" w:color="auto"/>
            </w:tcBorders>
          </w:tcPr>
          <w:p w:rsidR="002D5EFF" w:rsidRPr="001721C1" w:rsidRDefault="002D5EFF" w:rsidP="0043790F">
            <w:pPr>
              <w:jc w:val="both"/>
              <w:rPr>
                <w:rFonts w:ascii="Arial Narrow" w:hAnsi="Arial Narrow" w:cs="Arial"/>
                <w:sz w:val="20"/>
                <w:szCs w:val="20"/>
              </w:rPr>
            </w:pP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 xml:space="preserve">Category / </w:t>
            </w:r>
          </w:p>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Program</w:t>
            </w: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2D5EFF" w:rsidP="0043790F">
            <w:pPr>
              <w:rPr>
                <w:rFonts w:ascii="Arial Narrow" w:hAnsi="Arial Narrow" w:cs="Arial"/>
                <w:sz w:val="20"/>
                <w:szCs w:val="20"/>
              </w:rPr>
            </w:pPr>
            <w:r w:rsidRPr="001721C1">
              <w:rPr>
                <w:rFonts w:ascii="Arial Narrow" w:hAnsi="Arial Narrow" w:cs="Arial"/>
                <w:sz w:val="20"/>
                <w:szCs w:val="20"/>
              </w:rPr>
              <w:t>GENERAL – General Schedule (Code GE)</w:t>
            </w:r>
          </w:p>
          <w:p w:rsidR="002D5EFF" w:rsidRPr="001721C1" w:rsidRDefault="002D5EFF" w:rsidP="0043790F">
            <w:pPr>
              <w:rPr>
                <w:rFonts w:ascii="Arial Narrow" w:hAnsi="Arial Narrow" w:cs="Arial"/>
                <w:sz w:val="20"/>
                <w:szCs w:val="20"/>
              </w:rPr>
            </w:pP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Prescriber type:</w:t>
            </w: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2D5EFF" w:rsidP="0043790F">
            <w:pPr>
              <w:rPr>
                <w:rFonts w:ascii="Arial Narrow" w:hAnsi="Arial Narrow" w:cs="Arial"/>
                <w:sz w:val="20"/>
                <w:szCs w:val="20"/>
              </w:rPr>
            </w:pPr>
            <w:r w:rsidRPr="001721C1">
              <w:rPr>
                <w:rFonts w:ascii="Arial Narrow" w:hAnsi="Arial Narrow" w:cs="Arial"/>
                <w:sz w:val="20"/>
                <w:szCs w:val="20"/>
              </w:rPr>
              <w:fldChar w:fldCharType="begin">
                <w:ffData>
                  <w:name w:val="Check1"/>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 xml:space="preserve">Dental  </w:t>
            </w:r>
            <w:r w:rsidRPr="001721C1">
              <w:rPr>
                <w:rFonts w:ascii="Arial Narrow" w:hAnsi="Arial Narrow" w:cs="Arial"/>
                <w:sz w:val="20"/>
                <w:szCs w:val="20"/>
              </w:rPr>
              <w:fldChar w:fldCharType="begin">
                <w:ffData>
                  <w:name w:val=""/>
                  <w:enabled/>
                  <w:calcOnExit w:val="0"/>
                  <w:checkBox>
                    <w:sizeAuto/>
                    <w:default w:val="1"/>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 xml:space="preserve">Medical Practitioners  </w:t>
            </w:r>
            <w:r w:rsidRPr="001721C1">
              <w:rPr>
                <w:rFonts w:ascii="Arial Narrow" w:hAnsi="Arial Narrow" w:cs="Arial"/>
                <w:sz w:val="20"/>
                <w:szCs w:val="20"/>
              </w:rPr>
              <w:fldChar w:fldCharType="begin">
                <w:ffData>
                  <w:name w:val="Check3"/>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 xml:space="preserve">Nurse practitioners  </w:t>
            </w:r>
            <w:r w:rsidRPr="001721C1">
              <w:rPr>
                <w:rFonts w:ascii="Arial Narrow" w:hAnsi="Arial Narrow" w:cs="Arial"/>
                <w:sz w:val="20"/>
                <w:szCs w:val="20"/>
              </w:rPr>
              <w:fldChar w:fldCharType="begin">
                <w:ffData>
                  <w:name w:val=""/>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Optometrists</w:t>
            </w:r>
          </w:p>
          <w:p w:rsidR="002D5EFF" w:rsidRPr="001721C1" w:rsidRDefault="002D5EFF" w:rsidP="0043790F">
            <w:pPr>
              <w:rPr>
                <w:rFonts w:ascii="Arial Narrow" w:hAnsi="Arial Narrow" w:cs="Arial"/>
                <w:sz w:val="20"/>
                <w:szCs w:val="20"/>
              </w:rPr>
            </w:pPr>
            <w:r w:rsidRPr="001721C1">
              <w:rPr>
                <w:rFonts w:ascii="Arial Narrow" w:hAnsi="Arial Narrow" w:cs="Arial"/>
                <w:sz w:val="20"/>
                <w:szCs w:val="20"/>
              </w:rPr>
              <w:fldChar w:fldCharType="begin">
                <w:ffData>
                  <w:name w:val="Check5"/>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Midwives</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Condition:</w:t>
            </w: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2D5EFF" w:rsidP="0043790F">
            <w:pPr>
              <w:tabs>
                <w:tab w:val="left" w:pos="990"/>
              </w:tabs>
              <w:rPr>
                <w:rFonts w:ascii="Arial Narrow" w:hAnsi="Arial Narrow"/>
                <w:sz w:val="20"/>
                <w:szCs w:val="20"/>
              </w:rPr>
            </w:pPr>
            <w:r w:rsidRPr="001721C1">
              <w:rPr>
                <w:rFonts w:ascii="Arial Narrow" w:hAnsi="Arial Narrow"/>
                <w:sz w:val="20"/>
                <w:szCs w:val="20"/>
              </w:rPr>
              <w:t>Carcinoma of the prostate</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PBS Indication:</w:t>
            </w: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2D5EFF" w:rsidP="0043790F">
            <w:pPr>
              <w:tabs>
                <w:tab w:val="left" w:pos="990"/>
              </w:tabs>
              <w:rPr>
                <w:rFonts w:ascii="Arial Narrow" w:hAnsi="Arial Narrow"/>
                <w:sz w:val="20"/>
                <w:szCs w:val="20"/>
              </w:rPr>
            </w:pPr>
            <w:r w:rsidRPr="001721C1">
              <w:rPr>
                <w:rFonts w:ascii="Arial Narrow" w:hAnsi="Arial Narrow"/>
                <w:sz w:val="20"/>
                <w:szCs w:val="20"/>
              </w:rPr>
              <w:t>Carcinoma of the prostate</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Restriction Level / Method:</w:t>
            </w:r>
          </w:p>
          <w:p w:rsidR="002D5EFF" w:rsidRPr="001721C1" w:rsidRDefault="002D5EFF" w:rsidP="0043790F">
            <w:pPr>
              <w:rPr>
                <w:rFonts w:ascii="Arial Narrow" w:hAnsi="Arial Narrow" w:cs="Arial"/>
                <w:sz w:val="20"/>
                <w:szCs w:val="20"/>
              </w:rPr>
            </w:pP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CB4853" w:rsidP="0043790F">
            <w:pPr>
              <w:spacing w:line="360" w:lineRule="auto"/>
              <w:rPr>
                <w:rFonts w:ascii="Arial Narrow" w:hAnsi="Arial Narrow" w:cs="Arial"/>
                <w:sz w:val="20"/>
                <w:szCs w:val="20"/>
              </w:rPr>
            </w:pPr>
            <w:r w:rsidRPr="001721C1">
              <w:rPr>
                <w:rFonts w:ascii="Arial Narrow" w:hAnsi="Arial Narrow" w:cs="Arial"/>
                <w:sz w:val="20"/>
                <w:szCs w:val="20"/>
              </w:rPr>
              <w:fldChar w:fldCharType="begin">
                <w:ffData>
                  <w:name w:val=""/>
                  <w:enabled/>
                  <w:calcOnExit w:val="0"/>
                  <w:checkBox>
                    <w:sizeAuto/>
                    <w:default w:val="1"/>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002D5EFF" w:rsidRPr="001721C1">
              <w:rPr>
                <w:rFonts w:ascii="Arial Narrow" w:hAnsi="Arial Narrow" w:cs="Arial"/>
                <w:sz w:val="20"/>
                <w:szCs w:val="20"/>
              </w:rPr>
              <w:t>Restricted benefit</w:t>
            </w:r>
          </w:p>
          <w:p w:rsidR="002D5EFF" w:rsidRPr="001721C1" w:rsidRDefault="002D5EFF" w:rsidP="0043790F">
            <w:pPr>
              <w:spacing w:line="360" w:lineRule="auto"/>
              <w:rPr>
                <w:rFonts w:ascii="Arial Narrow" w:hAnsi="Arial Narrow" w:cs="Arial"/>
                <w:sz w:val="20"/>
                <w:szCs w:val="20"/>
              </w:rPr>
            </w:pPr>
            <w:r w:rsidRPr="001721C1">
              <w:rPr>
                <w:rFonts w:ascii="Arial Narrow" w:hAnsi="Arial Narrow" w:cs="Arial"/>
                <w:sz w:val="20"/>
                <w:szCs w:val="20"/>
              </w:rPr>
              <w:fldChar w:fldCharType="begin">
                <w:ffData>
                  <w:name w:val=""/>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Authority Required - In Writing</w:t>
            </w:r>
          </w:p>
          <w:p w:rsidR="002D5EFF" w:rsidRPr="001721C1" w:rsidRDefault="002D5EFF" w:rsidP="0043790F">
            <w:pPr>
              <w:spacing w:line="360" w:lineRule="auto"/>
              <w:rPr>
                <w:rFonts w:ascii="Arial Narrow" w:hAnsi="Arial Narrow" w:cs="Arial"/>
                <w:sz w:val="20"/>
                <w:szCs w:val="20"/>
              </w:rPr>
            </w:pPr>
            <w:r w:rsidRPr="001721C1">
              <w:rPr>
                <w:rFonts w:ascii="Arial Narrow" w:hAnsi="Arial Narrow" w:cs="Arial"/>
                <w:sz w:val="20"/>
                <w:szCs w:val="20"/>
              </w:rPr>
              <w:fldChar w:fldCharType="begin">
                <w:ffData>
                  <w:name w:val="Check3"/>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Authority Required - Telephone</w:t>
            </w:r>
          </w:p>
          <w:p w:rsidR="002D5EFF" w:rsidRPr="001721C1" w:rsidRDefault="002D5EFF" w:rsidP="0043790F">
            <w:pPr>
              <w:spacing w:line="360" w:lineRule="auto"/>
              <w:rPr>
                <w:rFonts w:ascii="Arial Narrow" w:hAnsi="Arial Narrow" w:cs="Arial"/>
                <w:sz w:val="20"/>
                <w:szCs w:val="20"/>
              </w:rPr>
            </w:pPr>
            <w:r w:rsidRPr="001721C1">
              <w:rPr>
                <w:rFonts w:ascii="Arial Narrow" w:hAnsi="Arial Narrow" w:cs="Arial"/>
                <w:sz w:val="20"/>
                <w:szCs w:val="20"/>
              </w:rPr>
              <w:fldChar w:fldCharType="begin">
                <w:ffData>
                  <w:name w:val=""/>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Authority Required – Emergency</w:t>
            </w:r>
          </w:p>
          <w:p w:rsidR="002D5EFF" w:rsidRPr="001721C1" w:rsidRDefault="002D5EFF" w:rsidP="0043790F">
            <w:pPr>
              <w:spacing w:line="360" w:lineRule="auto"/>
              <w:rPr>
                <w:rFonts w:ascii="Arial Narrow" w:hAnsi="Arial Narrow" w:cs="Arial"/>
                <w:sz w:val="20"/>
                <w:szCs w:val="20"/>
              </w:rPr>
            </w:pPr>
            <w:r w:rsidRPr="001721C1">
              <w:rPr>
                <w:rFonts w:ascii="Arial Narrow" w:hAnsi="Arial Narrow" w:cs="Arial"/>
                <w:sz w:val="20"/>
                <w:szCs w:val="20"/>
              </w:rPr>
              <w:fldChar w:fldCharType="begin">
                <w:ffData>
                  <w:name w:val="Check5"/>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Pr="001721C1">
              <w:rPr>
                <w:rFonts w:ascii="Arial Narrow" w:hAnsi="Arial Narrow" w:cs="Arial"/>
                <w:sz w:val="20"/>
                <w:szCs w:val="20"/>
              </w:rPr>
              <w:t>Authority Required - Electronic</w:t>
            </w:r>
          </w:p>
          <w:p w:rsidR="002D5EFF" w:rsidRPr="001721C1" w:rsidRDefault="00CB4853" w:rsidP="0043790F">
            <w:pPr>
              <w:spacing w:line="360" w:lineRule="auto"/>
              <w:rPr>
                <w:rFonts w:ascii="Arial Narrow" w:hAnsi="Arial Narrow"/>
                <w:sz w:val="20"/>
                <w:szCs w:val="20"/>
              </w:rPr>
            </w:pPr>
            <w:r w:rsidRPr="001721C1">
              <w:rPr>
                <w:rFonts w:ascii="Arial Narrow" w:hAnsi="Arial Narrow" w:cs="Arial"/>
                <w:sz w:val="20"/>
                <w:szCs w:val="20"/>
              </w:rPr>
              <w:fldChar w:fldCharType="begin">
                <w:ffData>
                  <w:name w:val=""/>
                  <w:enabled/>
                  <w:calcOnExit w:val="0"/>
                  <w:checkBox>
                    <w:sizeAuto/>
                    <w:default w:val="0"/>
                  </w:checkBox>
                </w:ffData>
              </w:fldChar>
            </w:r>
            <w:r w:rsidRPr="001721C1">
              <w:rPr>
                <w:rFonts w:ascii="Arial Narrow" w:hAnsi="Arial Narrow" w:cs="Arial"/>
                <w:sz w:val="20"/>
                <w:szCs w:val="20"/>
              </w:rPr>
              <w:instrText xml:space="preserve"> FORMCHECKBOX </w:instrText>
            </w:r>
            <w:r w:rsidR="00A76BEB">
              <w:rPr>
                <w:rFonts w:ascii="Arial Narrow" w:hAnsi="Arial Narrow" w:cs="Arial"/>
                <w:sz w:val="20"/>
                <w:szCs w:val="20"/>
              </w:rPr>
            </w:r>
            <w:r w:rsidR="00A76BEB">
              <w:rPr>
                <w:rFonts w:ascii="Arial Narrow" w:hAnsi="Arial Narrow" w:cs="Arial"/>
                <w:sz w:val="20"/>
                <w:szCs w:val="20"/>
              </w:rPr>
              <w:fldChar w:fldCharType="separate"/>
            </w:r>
            <w:r w:rsidRPr="001721C1">
              <w:rPr>
                <w:rFonts w:ascii="Arial Narrow" w:hAnsi="Arial Narrow" w:cs="Arial"/>
                <w:sz w:val="20"/>
                <w:szCs w:val="20"/>
              </w:rPr>
              <w:fldChar w:fldCharType="end"/>
            </w:r>
            <w:r w:rsidR="002D5EFF" w:rsidRPr="001721C1">
              <w:rPr>
                <w:rFonts w:ascii="Arial Narrow" w:hAnsi="Arial Narrow" w:cs="Arial"/>
                <w:sz w:val="20"/>
                <w:szCs w:val="20"/>
              </w:rPr>
              <w:t>Streamlined</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Clinical criteria:</w:t>
            </w:r>
          </w:p>
          <w:p w:rsidR="002D5EFF" w:rsidRPr="001721C1" w:rsidRDefault="002D5EFF" w:rsidP="0043790F">
            <w:pPr>
              <w:jc w:val="both"/>
              <w:rPr>
                <w:rFonts w:ascii="Arial Narrow" w:hAnsi="Arial Narrow" w:cs="Arial"/>
                <w:i/>
                <w:sz w:val="20"/>
                <w:szCs w:val="20"/>
              </w:rPr>
            </w:pPr>
          </w:p>
          <w:p w:rsidR="002D5EFF" w:rsidRPr="001721C1" w:rsidRDefault="002D5EFF" w:rsidP="0043790F">
            <w:pPr>
              <w:jc w:val="both"/>
              <w:rPr>
                <w:rFonts w:ascii="Arial Narrow" w:hAnsi="Arial Narrow" w:cs="Arial"/>
                <w:sz w:val="20"/>
                <w:szCs w:val="20"/>
              </w:rPr>
            </w:pP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2D5EFF" w:rsidP="0043790F">
            <w:pPr>
              <w:tabs>
                <w:tab w:val="left" w:pos="990"/>
              </w:tabs>
              <w:rPr>
                <w:rFonts w:ascii="Arial Narrow" w:hAnsi="Arial Narrow"/>
                <w:sz w:val="20"/>
                <w:szCs w:val="20"/>
              </w:rPr>
            </w:pPr>
            <w:r w:rsidRPr="001721C1">
              <w:rPr>
                <w:rFonts w:ascii="Arial Narrow" w:hAnsi="Arial Narrow"/>
                <w:sz w:val="20"/>
                <w:szCs w:val="20"/>
              </w:rPr>
              <w:t>The condition must be metastatic (stage D),</w:t>
            </w:r>
          </w:p>
          <w:p w:rsidR="002D5EFF" w:rsidRPr="001721C1" w:rsidRDefault="002D5EFF" w:rsidP="0043790F">
            <w:pPr>
              <w:tabs>
                <w:tab w:val="left" w:pos="990"/>
              </w:tabs>
              <w:rPr>
                <w:rFonts w:ascii="Arial Narrow" w:hAnsi="Arial Narrow"/>
                <w:sz w:val="20"/>
                <w:szCs w:val="20"/>
              </w:rPr>
            </w:pPr>
          </w:p>
          <w:p w:rsidR="002D5EFF" w:rsidRPr="001721C1" w:rsidRDefault="002D5EFF" w:rsidP="0043790F">
            <w:pPr>
              <w:tabs>
                <w:tab w:val="left" w:pos="990"/>
              </w:tabs>
              <w:rPr>
                <w:rFonts w:ascii="Arial Narrow" w:hAnsi="Arial Narrow"/>
                <w:sz w:val="20"/>
                <w:szCs w:val="20"/>
              </w:rPr>
            </w:pPr>
            <w:r w:rsidRPr="001721C1">
              <w:rPr>
                <w:rFonts w:ascii="Arial Narrow" w:hAnsi="Arial Narrow"/>
                <w:sz w:val="20"/>
                <w:szCs w:val="20"/>
              </w:rPr>
              <w:t>AND</w:t>
            </w:r>
          </w:p>
          <w:p w:rsidR="002D5EFF" w:rsidRPr="001721C1" w:rsidRDefault="002D5EFF" w:rsidP="0043790F">
            <w:pPr>
              <w:tabs>
                <w:tab w:val="left" w:pos="990"/>
              </w:tabs>
              <w:rPr>
                <w:rFonts w:ascii="Arial Narrow" w:hAnsi="Arial Narrow"/>
                <w:sz w:val="20"/>
                <w:szCs w:val="20"/>
              </w:rPr>
            </w:pPr>
          </w:p>
          <w:p w:rsidR="002D5EFF" w:rsidRPr="001721C1" w:rsidRDefault="002D5EFF" w:rsidP="0043790F">
            <w:pPr>
              <w:tabs>
                <w:tab w:val="left" w:pos="990"/>
              </w:tabs>
              <w:rPr>
                <w:rFonts w:ascii="Arial Narrow" w:hAnsi="Arial Narrow"/>
                <w:sz w:val="20"/>
                <w:szCs w:val="20"/>
              </w:rPr>
            </w:pPr>
            <w:r w:rsidRPr="001721C1">
              <w:rPr>
                <w:rFonts w:ascii="Arial Narrow" w:hAnsi="Arial Narrow"/>
                <w:sz w:val="20"/>
                <w:szCs w:val="20"/>
              </w:rPr>
              <w:t xml:space="preserve">Patient must require a combination of an </w:t>
            </w:r>
            <w:proofErr w:type="spellStart"/>
            <w:r w:rsidRPr="001721C1">
              <w:rPr>
                <w:rFonts w:ascii="Arial Narrow" w:hAnsi="Arial Narrow"/>
                <w:sz w:val="20"/>
                <w:szCs w:val="20"/>
              </w:rPr>
              <w:t>antiandrogen</w:t>
            </w:r>
            <w:proofErr w:type="spellEnd"/>
            <w:r w:rsidRPr="001721C1">
              <w:rPr>
                <w:rFonts w:ascii="Arial Narrow" w:hAnsi="Arial Narrow"/>
                <w:sz w:val="20"/>
                <w:szCs w:val="20"/>
              </w:rPr>
              <w:t xml:space="preserve"> and a </w:t>
            </w:r>
            <w:proofErr w:type="spellStart"/>
            <w:r w:rsidRPr="001721C1">
              <w:rPr>
                <w:rFonts w:ascii="Arial Narrow" w:hAnsi="Arial Narrow"/>
                <w:sz w:val="20"/>
                <w:szCs w:val="20"/>
              </w:rPr>
              <w:t>GnRH</w:t>
            </w:r>
            <w:proofErr w:type="spellEnd"/>
            <w:r w:rsidRPr="001721C1">
              <w:rPr>
                <w:rFonts w:ascii="Arial Narrow" w:hAnsi="Arial Narrow"/>
                <w:sz w:val="20"/>
                <w:szCs w:val="20"/>
              </w:rPr>
              <w:t xml:space="preserve"> (LH-RH) agonist.</w:t>
            </w:r>
          </w:p>
        </w:tc>
      </w:tr>
      <w:tr w:rsidR="002D5EFF" w:rsidRPr="00260CE3" w:rsidTr="004379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5EFF" w:rsidRPr="001721C1" w:rsidRDefault="002D5EFF" w:rsidP="0043790F">
            <w:pPr>
              <w:jc w:val="both"/>
              <w:rPr>
                <w:rFonts w:ascii="Arial Narrow" w:hAnsi="Arial Narrow" w:cs="Arial"/>
                <w:b/>
                <w:sz w:val="20"/>
                <w:szCs w:val="20"/>
              </w:rPr>
            </w:pPr>
            <w:r w:rsidRPr="001721C1">
              <w:rPr>
                <w:rFonts w:ascii="Arial Narrow" w:hAnsi="Arial Narrow" w:cs="Arial"/>
                <w:b/>
                <w:sz w:val="20"/>
                <w:szCs w:val="20"/>
              </w:rPr>
              <w:t>Administrative Advice</w:t>
            </w:r>
          </w:p>
          <w:p w:rsidR="002D5EFF" w:rsidRPr="001721C1" w:rsidRDefault="002D5EFF" w:rsidP="0043790F">
            <w:pPr>
              <w:jc w:val="both"/>
              <w:rPr>
                <w:rFonts w:ascii="Arial Narrow" w:hAnsi="Arial Narrow" w:cs="Arial"/>
                <w:i/>
                <w:sz w:val="20"/>
                <w:szCs w:val="20"/>
              </w:rPr>
            </w:pPr>
          </w:p>
        </w:tc>
        <w:tc>
          <w:tcPr>
            <w:tcW w:w="6520" w:type="dxa"/>
            <w:gridSpan w:val="5"/>
            <w:tcBorders>
              <w:top w:val="single" w:sz="4" w:space="0" w:color="auto"/>
              <w:left w:val="single" w:sz="4" w:space="0" w:color="auto"/>
              <w:bottom w:val="single" w:sz="4" w:space="0" w:color="auto"/>
              <w:right w:val="single" w:sz="4" w:space="0" w:color="auto"/>
            </w:tcBorders>
          </w:tcPr>
          <w:p w:rsidR="002D5EFF" w:rsidRPr="001721C1" w:rsidRDefault="002D5EFF" w:rsidP="0043790F">
            <w:pPr>
              <w:tabs>
                <w:tab w:val="left" w:pos="990"/>
              </w:tabs>
              <w:rPr>
                <w:rFonts w:ascii="Arial Narrow" w:hAnsi="Arial Narrow"/>
                <w:b/>
                <w:sz w:val="20"/>
                <w:szCs w:val="20"/>
                <w:u w:val="single"/>
              </w:rPr>
            </w:pPr>
            <w:r w:rsidRPr="001721C1">
              <w:rPr>
                <w:rFonts w:ascii="Arial Narrow" w:hAnsi="Arial Narrow"/>
                <w:b/>
                <w:sz w:val="20"/>
                <w:szCs w:val="20"/>
                <w:u w:val="single"/>
              </w:rPr>
              <w:t>Note</w:t>
            </w:r>
          </w:p>
          <w:p w:rsidR="002D5EFF" w:rsidRPr="001721C1" w:rsidRDefault="002D5EFF" w:rsidP="0043790F">
            <w:pPr>
              <w:tabs>
                <w:tab w:val="left" w:pos="990"/>
              </w:tabs>
              <w:rPr>
                <w:rFonts w:ascii="Arial Narrow" w:hAnsi="Arial Narrow"/>
                <w:sz w:val="20"/>
                <w:szCs w:val="20"/>
              </w:rPr>
            </w:pPr>
            <w:r w:rsidRPr="001721C1">
              <w:rPr>
                <w:rFonts w:ascii="Arial Narrow" w:hAnsi="Arial Narrow"/>
                <w:sz w:val="20"/>
                <w:szCs w:val="20"/>
              </w:rPr>
              <w:t>No increase in the maximum quantity or number of units may be authorised.</w:t>
            </w:r>
          </w:p>
          <w:p w:rsidR="002D5EFF" w:rsidRPr="001721C1" w:rsidRDefault="002D5EFF" w:rsidP="0043790F">
            <w:pPr>
              <w:tabs>
                <w:tab w:val="left" w:pos="990"/>
              </w:tabs>
              <w:rPr>
                <w:rFonts w:ascii="Arial Narrow" w:hAnsi="Arial Narrow"/>
                <w:sz w:val="20"/>
                <w:szCs w:val="20"/>
              </w:rPr>
            </w:pPr>
          </w:p>
          <w:p w:rsidR="002D5EFF" w:rsidRPr="001721C1" w:rsidRDefault="002D5EFF" w:rsidP="0043790F">
            <w:pPr>
              <w:tabs>
                <w:tab w:val="left" w:pos="990"/>
              </w:tabs>
              <w:rPr>
                <w:rFonts w:ascii="Arial Narrow" w:hAnsi="Arial Narrow"/>
                <w:b/>
                <w:sz w:val="20"/>
                <w:szCs w:val="20"/>
                <w:u w:val="single"/>
              </w:rPr>
            </w:pPr>
            <w:r w:rsidRPr="001721C1">
              <w:rPr>
                <w:rFonts w:ascii="Arial Narrow" w:hAnsi="Arial Narrow"/>
                <w:b/>
                <w:sz w:val="20"/>
                <w:szCs w:val="20"/>
                <w:u w:val="single"/>
              </w:rPr>
              <w:t>Note</w:t>
            </w:r>
          </w:p>
          <w:p w:rsidR="002D5EFF" w:rsidRPr="001721C1" w:rsidRDefault="002D5EFF" w:rsidP="0043790F">
            <w:pPr>
              <w:tabs>
                <w:tab w:val="left" w:pos="990"/>
              </w:tabs>
              <w:rPr>
                <w:rFonts w:ascii="Arial Narrow" w:hAnsi="Arial Narrow"/>
                <w:sz w:val="20"/>
                <w:szCs w:val="20"/>
              </w:rPr>
            </w:pPr>
            <w:r w:rsidRPr="001721C1">
              <w:rPr>
                <w:rFonts w:ascii="Arial Narrow" w:hAnsi="Arial Narrow"/>
                <w:sz w:val="20"/>
                <w:szCs w:val="20"/>
              </w:rPr>
              <w:t>No increase in the maximum number of repeats may be authorised.</w:t>
            </w:r>
          </w:p>
        </w:tc>
      </w:tr>
    </w:tbl>
    <w:p w:rsidR="002D5EFF" w:rsidRPr="002D5EFF" w:rsidRDefault="002D5EFF" w:rsidP="002D5EFF">
      <w:pPr>
        <w:widowControl w:val="0"/>
        <w:jc w:val="both"/>
        <w:rPr>
          <w:rFonts w:ascii="Arial" w:hAnsi="Arial" w:cs="Arial"/>
          <w:b/>
          <w:bCs/>
          <w:snapToGrid w:val="0"/>
          <w:sz w:val="22"/>
          <w:szCs w:val="20"/>
          <w:highlight w:val="yellow"/>
        </w:rPr>
      </w:pPr>
    </w:p>
    <w:p w:rsidR="00947AAA" w:rsidRPr="002C1D6B" w:rsidRDefault="00947AAA" w:rsidP="002C1D6B">
      <w:pPr>
        <w:pStyle w:val="Heading1"/>
      </w:pPr>
      <w:r w:rsidRPr="002C1D6B">
        <w:t>Context for Decision</w:t>
      </w:r>
    </w:p>
    <w:p w:rsidR="00947AAA" w:rsidRDefault="00947AAA" w:rsidP="00947AAA">
      <w:pPr>
        <w:ind w:left="720"/>
        <w:rPr>
          <w:bCs/>
        </w:rPr>
      </w:pPr>
    </w:p>
    <w:p w:rsidR="00947AAA" w:rsidRPr="00947AAA" w:rsidRDefault="00947AAA" w:rsidP="00947AAA">
      <w:pPr>
        <w:ind w:left="720"/>
        <w:rPr>
          <w:rFonts w:ascii="Arial" w:hAnsi="Arial" w:cs="Arial"/>
          <w:bCs/>
          <w:sz w:val="22"/>
          <w:szCs w:val="22"/>
        </w:rPr>
      </w:pPr>
      <w:r w:rsidRPr="00947AAA">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47AAA" w:rsidRPr="00867481" w:rsidRDefault="00947AAA" w:rsidP="00947AAA">
      <w:pPr>
        <w:ind w:left="720"/>
        <w:rPr>
          <w:bCs/>
        </w:rPr>
      </w:pPr>
    </w:p>
    <w:p w:rsidR="00AA67BB" w:rsidRPr="002C1D6B" w:rsidRDefault="00947AAA" w:rsidP="002C1D6B">
      <w:pPr>
        <w:pStyle w:val="Heading1"/>
      </w:pPr>
      <w:r w:rsidRPr="002C1D6B">
        <w:t>Sponsor’s Comment</w:t>
      </w:r>
      <w:r w:rsidRPr="002C1D6B">
        <w:tab/>
      </w:r>
    </w:p>
    <w:p w:rsidR="00AA67BB" w:rsidRPr="00AA67BB" w:rsidRDefault="00AA67BB" w:rsidP="00AA67BB">
      <w:pPr>
        <w:rPr>
          <w:lang w:val="en-GB"/>
        </w:rPr>
      </w:pPr>
    </w:p>
    <w:p w:rsidR="00B449FC" w:rsidRPr="00D84934" w:rsidRDefault="00B449FC" w:rsidP="00B449FC">
      <w:pPr>
        <w:ind w:left="720"/>
        <w:jc w:val="both"/>
        <w:rPr>
          <w:rFonts w:ascii="Arial" w:hAnsi="Arial"/>
          <w:sz w:val="22"/>
          <w:szCs w:val="22"/>
        </w:rPr>
      </w:pPr>
      <w:r>
        <w:rPr>
          <w:rFonts w:ascii="Arial" w:hAnsi="Arial"/>
          <w:sz w:val="22"/>
          <w:szCs w:val="22"/>
        </w:rPr>
        <w:t xml:space="preserve">TOLMAR Australia welcomes the PBAC decision and is pleased that Bi ELIGARD </w:t>
      </w:r>
      <w:proofErr w:type="spellStart"/>
      <w:r>
        <w:rPr>
          <w:rFonts w:ascii="Arial" w:hAnsi="Arial"/>
          <w:sz w:val="22"/>
          <w:szCs w:val="22"/>
        </w:rPr>
        <w:t>cp</w:t>
      </w:r>
      <w:proofErr w:type="spellEnd"/>
      <w:r>
        <w:rPr>
          <w:rFonts w:ascii="Arial" w:hAnsi="Arial" w:cs="Arial"/>
          <w:sz w:val="22"/>
          <w:szCs w:val="22"/>
        </w:rPr>
        <w:t>®</w:t>
      </w:r>
      <w:r>
        <w:rPr>
          <w:rFonts w:ascii="Arial" w:hAnsi="Arial"/>
          <w:sz w:val="22"/>
          <w:szCs w:val="22"/>
        </w:rPr>
        <w:t xml:space="preserve"> will now be available for patients with metastatic (Stage D) </w:t>
      </w:r>
      <w:bookmarkStart w:id="1" w:name="_GoBack"/>
      <w:bookmarkEnd w:id="1"/>
      <w:r>
        <w:rPr>
          <w:rFonts w:ascii="Arial" w:hAnsi="Arial"/>
          <w:sz w:val="22"/>
          <w:szCs w:val="22"/>
        </w:rPr>
        <w:t>carcinoma of the prostate.</w:t>
      </w:r>
    </w:p>
    <w:p w:rsidR="00F64CC1" w:rsidRPr="00D84934" w:rsidRDefault="00F64CC1" w:rsidP="00727EB7">
      <w:pPr>
        <w:jc w:val="both"/>
        <w:rPr>
          <w:rFonts w:ascii="Arial" w:hAnsi="Arial"/>
          <w:sz w:val="22"/>
          <w:szCs w:val="22"/>
        </w:rPr>
      </w:pPr>
    </w:p>
    <w:sectPr w:rsidR="00F64CC1" w:rsidRPr="00D84934" w:rsidSect="00CB597A">
      <w:headerReference w:type="even" r:id="rId9"/>
      <w:headerReference w:type="default" r:id="rId10"/>
      <w:footerReference w:type="even" r:id="rId11"/>
      <w:footerReference w:type="default" r:id="rId12"/>
      <w:footerReference w:type="first" r:id="rId13"/>
      <w:pgSz w:w="11906" w:h="16838" w:code="9"/>
      <w:pgMar w:top="1440" w:right="1440" w:bottom="1440" w:left="156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FE" w:rsidRDefault="001219FE">
      <w:r>
        <w:separator/>
      </w:r>
    </w:p>
    <w:p w:rsidR="001219FE" w:rsidRDefault="001219FE"/>
  </w:endnote>
  <w:endnote w:type="continuationSeparator" w:id="0">
    <w:p w:rsidR="001219FE" w:rsidRDefault="001219FE">
      <w:r>
        <w:continuationSeparator/>
      </w:r>
    </w:p>
    <w:p w:rsidR="001219FE" w:rsidRDefault="00121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35"/>
      <w:gridCol w:w="1252"/>
      <w:gridCol w:w="3935"/>
    </w:tblGrid>
    <w:tr w:rsidR="001219FE" w:rsidTr="005A3173">
      <w:trPr>
        <w:trHeight w:val="151"/>
      </w:trPr>
      <w:tc>
        <w:tcPr>
          <w:tcW w:w="2250" w:type="pct"/>
          <w:tcBorders>
            <w:top w:val="nil"/>
            <w:left w:val="nil"/>
            <w:bottom w:val="single" w:sz="4" w:space="0" w:color="4F81BD"/>
            <w:right w:val="nil"/>
          </w:tcBorders>
        </w:tcPr>
        <w:p w:rsidR="001219FE" w:rsidRPr="005A3173" w:rsidRDefault="001219F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219FE" w:rsidRPr="005A3173" w:rsidRDefault="001219F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219FE" w:rsidRPr="005A3173" w:rsidRDefault="001219FE" w:rsidP="005A3173">
          <w:pPr>
            <w:pStyle w:val="Header"/>
            <w:spacing w:line="276" w:lineRule="auto"/>
            <w:rPr>
              <w:rFonts w:ascii="Calibri" w:eastAsia="MS Gothic" w:hAnsi="Calibri"/>
              <w:b/>
              <w:bCs/>
              <w:color w:val="4F81BD"/>
            </w:rPr>
          </w:pPr>
        </w:p>
      </w:tc>
    </w:tr>
    <w:tr w:rsidR="001219FE" w:rsidTr="005A3173">
      <w:trPr>
        <w:trHeight w:val="150"/>
      </w:trPr>
      <w:tc>
        <w:tcPr>
          <w:tcW w:w="2250" w:type="pct"/>
          <w:tcBorders>
            <w:top w:val="single" w:sz="4" w:space="0" w:color="4F81BD"/>
            <w:left w:val="nil"/>
            <w:bottom w:val="nil"/>
            <w:right w:val="nil"/>
          </w:tcBorders>
        </w:tcPr>
        <w:p w:rsidR="001219FE" w:rsidRPr="005A3173" w:rsidRDefault="001219FE" w:rsidP="005A3173">
          <w:pPr>
            <w:pStyle w:val="Header"/>
            <w:spacing w:line="276" w:lineRule="auto"/>
            <w:rPr>
              <w:rFonts w:ascii="Calibri" w:eastAsia="MS Gothic" w:hAnsi="Calibri"/>
              <w:b/>
              <w:bCs/>
              <w:color w:val="4F81BD"/>
            </w:rPr>
          </w:pPr>
        </w:p>
      </w:tc>
      <w:tc>
        <w:tcPr>
          <w:tcW w:w="0" w:type="auto"/>
          <w:vMerge/>
          <w:vAlign w:val="center"/>
          <w:hideMark/>
        </w:tcPr>
        <w:p w:rsidR="001219FE" w:rsidRPr="005A3173" w:rsidRDefault="001219FE" w:rsidP="005A3173">
          <w:pPr>
            <w:rPr>
              <w:rFonts w:ascii="Calibri" w:hAnsi="Calibri"/>
              <w:color w:val="365F91"/>
              <w:sz w:val="22"/>
              <w:szCs w:val="22"/>
            </w:rPr>
          </w:pPr>
        </w:p>
      </w:tc>
      <w:tc>
        <w:tcPr>
          <w:tcW w:w="2250" w:type="pct"/>
          <w:tcBorders>
            <w:top w:val="single" w:sz="4" w:space="0" w:color="4F81BD"/>
            <w:left w:val="nil"/>
            <w:bottom w:val="nil"/>
            <w:right w:val="nil"/>
          </w:tcBorders>
        </w:tcPr>
        <w:p w:rsidR="001219FE" w:rsidRPr="005A3173" w:rsidRDefault="001219FE" w:rsidP="005A3173">
          <w:pPr>
            <w:pStyle w:val="Header"/>
            <w:spacing w:line="276" w:lineRule="auto"/>
            <w:rPr>
              <w:rFonts w:ascii="Calibri" w:eastAsia="MS Gothic" w:hAnsi="Calibri"/>
              <w:b/>
              <w:bCs/>
              <w:color w:val="4F81BD"/>
            </w:rPr>
          </w:pPr>
        </w:p>
      </w:tc>
    </w:tr>
  </w:tbl>
  <w:p w:rsidR="001219FE" w:rsidRDefault="001219F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19FE" w:rsidRDefault="001219FE">
    <w:pPr>
      <w:pStyle w:val="Footer"/>
    </w:pPr>
  </w:p>
  <w:p w:rsidR="001219FE" w:rsidRDefault="001219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991652"/>
      <w:docPartObj>
        <w:docPartGallery w:val="Page Numbers (Bottom of Page)"/>
        <w:docPartUnique/>
      </w:docPartObj>
    </w:sdtPr>
    <w:sdtEndPr>
      <w:rPr>
        <w:rFonts w:ascii="Arial" w:hAnsi="Arial" w:cs="Arial"/>
        <w:noProof/>
      </w:rPr>
    </w:sdtEndPr>
    <w:sdtContent>
      <w:p w:rsidR="001219FE" w:rsidRPr="00857598" w:rsidRDefault="001219FE">
        <w:pPr>
          <w:pStyle w:val="Footer"/>
          <w:jc w:val="center"/>
          <w:rPr>
            <w:rFonts w:ascii="Arial" w:hAnsi="Arial" w:cs="Arial"/>
          </w:rPr>
        </w:pPr>
        <w:r w:rsidRPr="00857598">
          <w:rPr>
            <w:rFonts w:ascii="Arial" w:hAnsi="Arial" w:cs="Arial"/>
          </w:rPr>
          <w:fldChar w:fldCharType="begin"/>
        </w:r>
        <w:r w:rsidRPr="00857598">
          <w:rPr>
            <w:rFonts w:ascii="Arial" w:hAnsi="Arial" w:cs="Arial"/>
          </w:rPr>
          <w:instrText xml:space="preserve"> PAGE   \* MERGEFORMAT </w:instrText>
        </w:r>
        <w:r w:rsidRPr="00857598">
          <w:rPr>
            <w:rFonts w:ascii="Arial" w:hAnsi="Arial" w:cs="Arial"/>
          </w:rPr>
          <w:fldChar w:fldCharType="separate"/>
        </w:r>
        <w:r w:rsidR="00A76BEB">
          <w:rPr>
            <w:rFonts w:ascii="Arial" w:hAnsi="Arial" w:cs="Arial"/>
            <w:noProof/>
          </w:rPr>
          <w:t>12</w:t>
        </w:r>
        <w:r w:rsidRPr="00857598">
          <w:rPr>
            <w:rFonts w:ascii="Arial" w:hAnsi="Arial" w:cs="Arial"/>
            <w:noProof/>
          </w:rPr>
          <w:fldChar w:fldCharType="end"/>
        </w:r>
      </w:p>
    </w:sdtContent>
  </w:sdt>
  <w:p w:rsidR="001219FE" w:rsidRDefault="001219FE"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35"/>
      <w:gridCol w:w="1252"/>
      <w:gridCol w:w="3935"/>
    </w:tblGrid>
    <w:tr w:rsidR="001219FE" w:rsidTr="005A3173">
      <w:trPr>
        <w:trHeight w:val="151"/>
      </w:trPr>
      <w:tc>
        <w:tcPr>
          <w:tcW w:w="2250" w:type="pct"/>
          <w:tcBorders>
            <w:top w:val="nil"/>
            <w:left w:val="nil"/>
            <w:bottom w:val="single" w:sz="4" w:space="0" w:color="4F81BD"/>
            <w:right w:val="nil"/>
          </w:tcBorders>
        </w:tcPr>
        <w:p w:rsidR="001219FE" w:rsidRPr="005A3173" w:rsidRDefault="001219F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219FE" w:rsidRPr="005A3173" w:rsidRDefault="001219F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219FE" w:rsidRPr="005A3173" w:rsidRDefault="001219FE" w:rsidP="005A3173">
          <w:pPr>
            <w:pStyle w:val="Header"/>
            <w:spacing w:line="276" w:lineRule="auto"/>
            <w:rPr>
              <w:rFonts w:ascii="Calibri" w:eastAsia="MS Gothic" w:hAnsi="Calibri"/>
              <w:b/>
              <w:bCs/>
              <w:color w:val="4F81BD"/>
            </w:rPr>
          </w:pPr>
        </w:p>
      </w:tc>
    </w:tr>
    <w:tr w:rsidR="001219FE" w:rsidTr="005A3173">
      <w:trPr>
        <w:trHeight w:val="150"/>
      </w:trPr>
      <w:tc>
        <w:tcPr>
          <w:tcW w:w="2250" w:type="pct"/>
          <w:tcBorders>
            <w:top w:val="single" w:sz="4" w:space="0" w:color="4F81BD"/>
            <w:left w:val="nil"/>
            <w:bottom w:val="nil"/>
            <w:right w:val="nil"/>
          </w:tcBorders>
        </w:tcPr>
        <w:p w:rsidR="001219FE" w:rsidRPr="005A3173" w:rsidRDefault="001219FE" w:rsidP="005A3173">
          <w:pPr>
            <w:pStyle w:val="Header"/>
            <w:spacing w:line="276" w:lineRule="auto"/>
            <w:rPr>
              <w:rFonts w:ascii="Calibri" w:eastAsia="MS Gothic" w:hAnsi="Calibri"/>
              <w:b/>
              <w:bCs/>
              <w:color w:val="4F81BD"/>
            </w:rPr>
          </w:pPr>
        </w:p>
      </w:tc>
      <w:tc>
        <w:tcPr>
          <w:tcW w:w="0" w:type="auto"/>
          <w:vMerge/>
          <w:vAlign w:val="center"/>
          <w:hideMark/>
        </w:tcPr>
        <w:p w:rsidR="001219FE" w:rsidRPr="005A3173" w:rsidRDefault="001219FE" w:rsidP="005A3173">
          <w:pPr>
            <w:rPr>
              <w:rFonts w:ascii="Calibri" w:hAnsi="Calibri"/>
              <w:color w:val="365F91"/>
              <w:sz w:val="22"/>
              <w:szCs w:val="22"/>
            </w:rPr>
          </w:pPr>
        </w:p>
      </w:tc>
      <w:tc>
        <w:tcPr>
          <w:tcW w:w="2250" w:type="pct"/>
          <w:tcBorders>
            <w:top w:val="single" w:sz="4" w:space="0" w:color="4F81BD"/>
            <w:left w:val="nil"/>
            <w:bottom w:val="nil"/>
            <w:right w:val="nil"/>
          </w:tcBorders>
        </w:tcPr>
        <w:p w:rsidR="001219FE" w:rsidRPr="005A3173" w:rsidRDefault="001219F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35"/>
      <w:gridCol w:w="1252"/>
      <w:gridCol w:w="3935"/>
    </w:tblGrid>
    <w:tr w:rsidR="001219FE" w:rsidTr="005A3173">
      <w:trPr>
        <w:trHeight w:val="151"/>
      </w:trPr>
      <w:tc>
        <w:tcPr>
          <w:tcW w:w="2250" w:type="pct"/>
          <w:tcBorders>
            <w:top w:val="nil"/>
            <w:left w:val="nil"/>
            <w:bottom w:val="single" w:sz="4" w:space="0" w:color="4F81BD"/>
            <w:right w:val="nil"/>
          </w:tcBorders>
        </w:tcPr>
        <w:p w:rsidR="001219FE" w:rsidRPr="005A3173" w:rsidRDefault="001219F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219FE" w:rsidRPr="005A3173" w:rsidRDefault="001219F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219FE" w:rsidRPr="005A3173" w:rsidRDefault="001219FE" w:rsidP="005A3173">
          <w:pPr>
            <w:pStyle w:val="Header"/>
            <w:spacing w:line="276" w:lineRule="auto"/>
            <w:rPr>
              <w:rFonts w:ascii="Calibri" w:eastAsia="MS Gothic" w:hAnsi="Calibri"/>
              <w:b/>
              <w:bCs/>
              <w:color w:val="4F81BD"/>
            </w:rPr>
          </w:pPr>
        </w:p>
      </w:tc>
    </w:tr>
    <w:tr w:rsidR="001219FE" w:rsidTr="005A3173">
      <w:trPr>
        <w:trHeight w:val="150"/>
      </w:trPr>
      <w:tc>
        <w:tcPr>
          <w:tcW w:w="2250" w:type="pct"/>
          <w:tcBorders>
            <w:top w:val="single" w:sz="4" w:space="0" w:color="4F81BD"/>
            <w:left w:val="nil"/>
            <w:bottom w:val="nil"/>
            <w:right w:val="nil"/>
          </w:tcBorders>
        </w:tcPr>
        <w:p w:rsidR="001219FE" w:rsidRPr="005A3173" w:rsidRDefault="001219FE" w:rsidP="005A3173">
          <w:pPr>
            <w:pStyle w:val="Header"/>
            <w:spacing w:line="276" w:lineRule="auto"/>
            <w:rPr>
              <w:rFonts w:ascii="Calibri" w:eastAsia="MS Gothic" w:hAnsi="Calibri"/>
              <w:b/>
              <w:bCs/>
              <w:color w:val="4F81BD"/>
            </w:rPr>
          </w:pPr>
        </w:p>
      </w:tc>
      <w:tc>
        <w:tcPr>
          <w:tcW w:w="0" w:type="auto"/>
          <w:vMerge/>
          <w:vAlign w:val="center"/>
          <w:hideMark/>
        </w:tcPr>
        <w:p w:rsidR="001219FE" w:rsidRPr="005A3173" w:rsidRDefault="001219FE" w:rsidP="005A3173">
          <w:pPr>
            <w:rPr>
              <w:rFonts w:ascii="Calibri" w:hAnsi="Calibri"/>
              <w:color w:val="365F91"/>
              <w:sz w:val="22"/>
              <w:szCs w:val="22"/>
            </w:rPr>
          </w:pPr>
        </w:p>
      </w:tc>
      <w:tc>
        <w:tcPr>
          <w:tcW w:w="2250" w:type="pct"/>
          <w:tcBorders>
            <w:top w:val="single" w:sz="4" w:space="0" w:color="4F81BD"/>
            <w:left w:val="nil"/>
            <w:bottom w:val="nil"/>
            <w:right w:val="nil"/>
          </w:tcBorders>
        </w:tcPr>
        <w:p w:rsidR="001219FE" w:rsidRPr="005A3173" w:rsidRDefault="001219FE" w:rsidP="005A3173">
          <w:pPr>
            <w:pStyle w:val="Header"/>
            <w:spacing w:line="276" w:lineRule="auto"/>
            <w:rPr>
              <w:rFonts w:ascii="Calibri" w:eastAsia="MS Gothic" w:hAnsi="Calibri"/>
              <w:b/>
              <w:bCs/>
              <w:color w:val="4F81BD"/>
            </w:rPr>
          </w:pPr>
        </w:p>
      </w:tc>
    </w:tr>
  </w:tbl>
  <w:p w:rsidR="001219FE" w:rsidRPr="007C0F57" w:rsidRDefault="001219F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219FE" w:rsidRPr="007C0F57" w:rsidRDefault="001219FE" w:rsidP="007C0F57">
    <w:pPr>
      <w:pStyle w:val="Footer"/>
      <w:jc w:val="center"/>
      <w:rPr>
        <w:b/>
        <w:i/>
        <w:sz w:val="20"/>
        <w:szCs w:val="20"/>
      </w:rPr>
    </w:pPr>
    <w:r w:rsidRPr="007C0F57">
      <w:rPr>
        <w:b/>
        <w:i/>
        <w:sz w:val="20"/>
        <w:szCs w:val="20"/>
      </w:rPr>
      <w:t>Commercial-in-Confidence</w:t>
    </w:r>
  </w:p>
  <w:p w:rsidR="001219FE" w:rsidRDefault="001219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FE" w:rsidRDefault="001219FE">
      <w:r>
        <w:separator/>
      </w:r>
    </w:p>
    <w:p w:rsidR="001219FE" w:rsidRDefault="001219FE"/>
  </w:footnote>
  <w:footnote w:type="continuationSeparator" w:id="0">
    <w:p w:rsidR="001219FE" w:rsidRDefault="001219FE">
      <w:r>
        <w:continuationSeparator/>
      </w:r>
    </w:p>
    <w:p w:rsidR="001219FE" w:rsidRDefault="001219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977"/>
      <w:gridCol w:w="1252"/>
      <w:gridCol w:w="3778"/>
    </w:tblGrid>
    <w:tr w:rsidR="001219FE" w:rsidRPr="008E0D90" w:rsidTr="00A06225">
      <w:trPr>
        <w:trHeight w:val="151"/>
      </w:trPr>
      <w:tc>
        <w:tcPr>
          <w:tcW w:w="2389" w:type="pct"/>
          <w:tcBorders>
            <w:top w:val="nil"/>
            <w:left w:val="nil"/>
            <w:bottom w:val="single" w:sz="4" w:space="0" w:color="4F81BD"/>
            <w:right w:val="nil"/>
          </w:tcBorders>
        </w:tcPr>
        <w:p w:rsidR="001219FE" w:rsidRPr="00A06225" w:rsidRDefault="001219FE">
          <w:pPr>
            <w:pStyle w:val="Header"/>
            <w:spacing w:line="276" w:lineRule="auto"/>
            <w:rPr>
              <w:rFonts w:ascii="Cambria" w:eastAsia="MS Gothic" w:hAnsi="Cambria"/>
              <w:b/>
              <w:bCs/>
              <w:color w:val="4F81BD"/>
            </w:rPr>
          </w:pPr>
        </w:p>
      </w:tc>
      <w:tc>
        <w:tcPr>
          <w:tcW w:w="333" w:type="pct"/>
          <w:vMerge w:val="restart"/>
          <w:noWrap/>
          <w:vAlign w:val="center"/>
          <w:hideMark/>
        </w:tcPr>
        <w:p w:rsidR="001219FE" w:rsidRPr="00A06225" w:rsidRDefault="001219F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219FE" w:rsidRPr="00A06225" w:rsidRDefault="001219FE">
          <w:pPr>
            <w:pStyle w:val="Header"/>
            <w:spacing w:line="276" w:lineRule="auto"/>
            <w:rPr>
              <w:rFonts w:ascii="Cambria" w:eastAsia="MS Gothic" w:hAnsi="Cambria"/>
              <w:b/>
              <w:bCs/>
              <w:color w:val="4F81BD"/>
            </w:rPr>
          </w:pPr>
        </w:p>
      </w:tc>
    </w:tr>
    <w:tr w:rsidR="001219FE" w:rsidRPr="008E0D90" w:rsidTr="00A06225">
      <w:trPr>
        <w:trHeight w:val="150"/>
      </w:trPr>
      <w:tc>
        <w:tcPr>
          <w:tcW w:w="2389" w:type="pct"/>
          <w:tcBorders>
            <w:top w:val="single" w:sz="4" w:space="0" w:color="4F81BD"/>
            <w:left w:val="nil"/>
            <w:bottom w:val="nil"/>
            <w:right w:val="nil"/>
          </w:tcBorders>
        </w:tcPr>
        <w:p w:rsidR="001219FE" w:rsidRPr="00A06225" w:rsidRDefault="001219FE">
          <w:pPr>
            <w:pStyle w:val="Header"/>
            <w:spacing w:line="276" w:lineRule="auto"/>
            <w:rPr>
              <w:rFonts w:ascii="Cambria" w:eastAsia="MS Gothic" w:hAnsi="Cambria"/>
              <w:b/>
              <w:bCs/>
              <w:color w:val="4F81BD"/>
            </w:rPr>
          </w:pPr>
        </w:p>
      </w:tc>
      <w:tc>
        <w:tcPr>
          <w:tcW w:w="0" w:type="auto"/>
          <w:vMerge/>
          <w:vAlign w:val="center"/>
          <w:hideMark/>
        </w:tcPr>
        <w:p w:rsidR="001219FE" w:rsidRPr="00A06225" w:rsidRDefault="001219FE">
          <w:pPr>
            <w:rPr>
              <w:rFonts w:ascii="Cambria" w:hAnsi="Cambria"/>
              <w:color w:val="4F81BD"/>
              <w:sz w:val="22"/>
              <w:szCs w:val="22"/>
            </w:rPr>
          </w:pPr>
        </w:p>
      </w:tc>
      <w:tc>
        <w:tcPr>
          <w:tcW w:w="2278" w:type="pct"/>
          <w:tcBorders>
            <w:top w:val="single" w:sz="4" w:space="0" w:color="4F81BD"/>
            <w:left w:val="nil"/>
            <w:bottom w:val="nil"/>
            <w:right w:val="nil"/>
          </w:tcBorders>
        </w:tcPr>
        <w:p w:rsidR="001219FE" w:rsidRPr="00A06225" w:rsidRDefault="001219FE">
          <w:pPr>
            <w:pStyle w:val="Header"/>
            <w:spacing w:line="276" w:lineRule="auto"/>
            <w:rPr>
              <w:rFonts w:ascii="Cambria" w:eastAsia="MS Gothic" w:hAnsi="Cambria"/>
              <w:b/>
              <w:bCs/>
              <w:color w:val="4F81BD"/>
            </w:rPr>
          </w:pPr>
        </w:p>
      </w:tc>
    </w:tr>
  </w:tbl>
  <w:p w:rsidR="001219FE" w:rsidRDefault="001219FE">
    <w:pPr>
      <w:pStyle w:val="Header"/>
    </w:pPr>
  </w:p>
  <w:p w:rsidR="001219FE" w:rsidRDefault="001219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FE" w:rsidRPr="00DF217D" w:rsidRDefault="001219FE" w:rsidP="00555708">
    <w:pPr>
      <w:pStyle w:val="Header"/>
      <w:ind w:left="360"/>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 </w:t>
    </w:r>
    <w:r>
      <w:rPr>
        <w:rFonts w:ascii="Arial" w:hAnsi="Arial" w:cs="Arial"/>
        <w:i/>
        <w:color w:val="808080"/>
        <w:sz w:val="22"/>
      </w:rPr>
      <w:t xml:space="preserve">July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1219FE" w:rsidRDefault="001219FE"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multilevel"/>
    <w:tmpl w:val="6DF84134"/>
    <w:lvl w:ilvl="0">
      <w:start w:val="1"/>
      <w:numFmt w:val="decimal"/>
      <w:pStyle w:val="Heading1"/>
      <w:lvlText w:val="%1"/>
      <w:lvlJc w:val="left"/>
      <w:pPr>
        <w:tabs>
          <w:tab w:val="num" w:pos="643"/>
        </w:tabs>
        <w:ind w:left="643" w:hanging="360"/>
      </w:pPr>
      <w:rPr>
        <w:rFonts w:hint="default"/>
        <w:i w:val="0"/>
        <w:sz w:val="22"/>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3" w:hanging="720"/>
      </w:pPr>
      <w:rPr>
        <w:rFonts w:hint="default"/>
        <w:i w:val="0"/>
      </w:rPr>
    </w:lvl>
    <w:lvl w:ilvl="3">
      <w:start w:val="1"/>
      <w:numFmt w:val="decimal"/>
      <w:isLgl/>
      <w:lvlText w:val="%1.%2.%3.%4"/>
      <w:lvlJc w:val="left"/>
      <w:pPr>
        <w:ind w:left="1003" w:hanging="720"/>
      </w:pPr>
      <w:rPr>
        <w:rFonts w:hint="default"/>
        <w:i w:val="0"/>
      </w:rPr>
    </w:lvl>
    <w:lvl w:ilvl="4">
      <w:start w:val="1"/>
      <w:numFmt w:val="decimal"/>
      <w:isLgl/>
      <w:lvlText w:val="%1.%2.%3.%4.%5"/>
      <w:lvlJc w:val="left"/>
      <w:pPr>
        <w:ind w:left="1363" w:hanging="1080"/>
      </w:pPr>
      <w:rPr>
        <w:rFonts w:hint="default"/>
        <w:i w:val="0"/>
      </w:rPr>
    </w:lvl>
    <w:lvl w:ilvl="5">
      <w:start w:val="1"/>
      <w:numFmt w:val="decimal"/>
      <w:isLgl/>
      <w:lvlText w:val="%1.%2.%3.%4.%5.%6"/>
      <w:lvlJc w:val="left"/>
      <w:pPr>
        <w:ind w:left="1363" w:hanging="1080"/>
      </w:pPr>
      <w:rPr>
        <w:rFonts w:hint="default"/>
        <w:i w:val="0"/>
      </w:rPr>
    </w:lvl>
    <w:lvl w:ilvl="6">
      <w:start w:val="1"/>
      <w:numFmt w:val="decimal"/>
      <w:isLgl/>
      <w:lvlText w:val="%1.%2.%3.%4.%5.%6.%7"/>
      <w:lvlJc w:val="left"/>
      <w:pPr>
        <w:ind w:left="1723" w:hanging="1440"/>
      </w:pPr>
      <w:rPr>
        <w:rFonts w:hint="default"/>
        <w:i w:val="0"/>
      </w:rPr>
    </w:lvl>
    <w:lvl w:ilvl="7">
      <w:start w:val="1"/>
      <w:numFmt w:val="decimal"/>
      <w:isLgl/>
      <w:lvlText w:val="%1.%2.%3.%4.%5.%6.%7.%8"/>
      <w:lvlJc w:val="left"/>
      <w:pPr>
        <w:ind w:left="1723" w:hanging="1440"/>
      </w:pPr>
      <w:rPr>
        <w:rFonts w:hint="default"/>
        <w:i w:val="0"/>
      </w:rPr>
    </w:lvl>
    <w:lvl w:ilvl="8">
      <w:start w:val="1"/>
      <w:numFmt w:val="decimal"/>
      <w:isLgl/>
      <w:lvlText w:val="%1.%2.%3.%4.%5.%6.%7.%8.%9"/>
      <w:lvlJc w:val="left"/>
      <w:pPr>
        <w:ind w:left="2083" w:hanging="1800"/>
      </w:pPr>
      <w:rPr>
        <w:rFonts w:hint="default"/>
        <w:i w:val="0"/>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BDC76D7"/>
    <w:multiLevelType w:val="hybridMultilevel"/>
    <w:tmpl w:val="D4E4C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1D74ED9"/>
    <w:multiLevelType w:val="hybridMultilevel"/>
    <w:tmpl w:val="4420CC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4A555A14"/>
    <w:multiLevelType w:val="multilevel"/>
    <w:tmpl w:val="A476AEC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3137D05"/>
    <w:multiLevelType w:val="hybridMultilevel"/>
    <w:tmpl w:val="DA30EF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753664E9"/>
    <w:multiLevelType w:val="hybridMultilevel"/>
    <w:tmpl w:val="014894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784D033C"/>
    <w:multiLevelType w:val="multilevel"/>
    <w:tmpl w:val="7CA098F0"/>
    <w:lvl w:ilvl="0">
      <w:start w:val="1"/>
      <w:numFmt w:val="decimal"/>
      <w:lvlText w:val="%1"/>
      <w:lvlJc w:val="left"/>
      <w:pPr>
        <w:ind w:left="720" w:hanging="720"/>
      </w:pPr>
      <w:rPr>
        <w:rFonts w:hint="default"/>
        <w:b/>
        <w:sz w:val="22"/>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0"/>
  </w:num>
  <w:num w:numId="4">
    <w:abstractNumId w:val="7"/>
  </w:num>
  <w:num w:numId="5">
    <w:abstractNumId w:val="4"/>
  </w:num>
  <w:num w:numId="6">
    <w:abstractNumId w:val="9"/>
  </w:num>
  <w:num w:numId="7">
    <w:abstractNumId w:val="6"/>
  </w:num>
  <w:num w:numId="8">
    <w:abstractNumId w:val="8"/>
  </w:num>
  <w:num w:numId="9">
    <w:abstractNumId w:val="3"/>
  </w:num>
  <w:num w:numId="10">
    <w:abstractNumId w:val="2"/>
  </w:num>
  <w:num w:numId="11">
    <w:abstractNumId w:val="5"/>
  </w:num>
  <w:num w:numId="12">
    <w:abstractNumId w:val="0"/>
  </w:num>
  <w:num w:numId="13">
    <w:abstractNumId w:val="0"/>
  </w:num>
  <w:num w:numId="14">
    <w:abstractNumId w:val="0"/>
  </w:num>
  <w:num w:numId="15">
    <w:abstractNumId w:val="0"/>
  </w:num>
  <w:num w:numId="16">
    <w:abstractNumId w:val="0"/>
    <w:lvlOverride w:ilvl="0">
      <w:startOverride w:val="3"/>
    </w:lvlOverride>
  </w:num>
  <w:num w:numId="17">
    <w:abstractNumId w:val="0"/>
  </w:num>
  <w:num w:numId="18">
    <w:abstractNumId w:val="0"/>
    <w:lvlOverride w:ilvl="0">
      <w:startOverride w:val="4"/>
    </w:lvlOverride>
    <w:lvlOverride w:ilvl="1">
      <w:startOverride w:val="1"/>
    </w:lvlOverride>
  </w:num>
  <w:num w:numId="19">
    <w:abstractNumId w:val="0"/>
    <w:lvlOverride w:ilvl="0">
      <w:startOverride w:val="4"/>
    </w:lvlOverride>
    <w:lvlOverride w:ilvl="1">
      <w:startOverride w:val="1"/>
    </w:lvlOverride>
  </w:num>
  <w:num w:numId="20">
    <w:abstractNumId w:val="0"/>
    <w:lvlOverride w:ilvl="0">
      <w:startOverride w:val="5"/>
    </w:lvlOverride>
    <w:lvlOverride w:ilvl="1">
      <w:startOverride w:val="1"/>
    </w:lvlOverride>
  </w:num>
  <w:num w:numId="21">
    <w:abstractNumId w:val="0"/>
    <w:lvlOverride w:ilvl="0">
      <w:startOverride w:val="5"/>
    </w:lvlOverride>
    <w:lvlOverride w:ilvl="1">
      <w:startOverride w:val="1"/>
    </w:lvlOverride>
  </w:num>
  <w:num w:numId="22">
    <w:abstractNumId w:val="11"/>
    <w:lvlOverride w:ilvl="0">
      <w:lvl w:ilvl="0">
        <w:start w:val="1"/>
        <w:numFmt w:val="decimal"/>
        <w:lvlText w:val="%1"/>
        <w:lvlJc w:val="left"/>
        <w:pPr>
          <w:ind w:left="720" w:hanging="720"/>
        </w:pPr>
        <w:rPr>
          <w:rFonts w:hint="default"/>
          <w:b/>
          <w:sz w:val="22"/>
        </w:rPr>
      </w:lvl>
    </w:lvlOverride>
    <w:lvlOverride w:ilvl="1">
      <w:lvl w:ilvl="1">
        <w:start w:val="1"/>
        <w:numFmt w:val="decimal"/>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3">
    <w:abstractNumId w:val="0"/>
  </w:num>
  <w:num w:numId="24">
    <w:abstractNumId w:val="0"/>
  </w:num>
  <w:num w:numId="25">
    <w:abstractNumId w:val="0"/>
  </w:num>
  <w:num w:numId="26">
    <w:abstractNumId w:val="10"/>
  </w:num>
  <w:num w:numId="27">
    <w:abstractNumId w:val="0"/>
  </w:num>
  <w:num w:numId="28">
    <w:abstractNumId w:val="0"/>
  </w:num>
  <w:num w:numId="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0014"/>
    <w:rsid w:val="0002464A"/>
    <w:rsid w:val="00024CD0"/>
    <w:rsid w:val="0003106B"/>
    <w:rsid w:val="0003360E"/>
    <w:rsid w:val="000421A1"/>
    <w:rsid w:val="0004240E"/>
    <w:rsid w:val="00045E26"/>
    <w:rsid w:val="000501CD"/>
    <w:rsid w:val="000514B5"/>
    <w:rsid w:val="00060E64"/>
    <w:rsid w:val="00066755"/>
    <w:rsid w:val="00077143"/>
    <w:rsid w:val="000969AD"/>
    <w:rsid w:val="000B2B9E"/>
    <w:rsid w:val="000B558D"/>
    <w:rsid w:val="000C322E"/>
    <w:rsid w:val="000C6996"/>
    <w:rsid w:val="000D23BA"/>
    <w:rsid w:val="000E3415"/>
    <w:rsid w:val="000E38D2"/>
    <w:rsid w:val="000E681E"/>
    <w:rsid w:val="000E706A"/>
    <w:rsid w:val="000F4E6A"/>
    <w:rsid w:val="001043CB"/>
    <w:rsid w:val="001107BF"/>
    <w:rsid w:val="001164D4"/>
    <w:rsid w:val="001219FE"/>
    <w:rsid w:val="0012417C"/>
    <w:rsid w:val="00142395"/>
    <w:rsid w:val="00142714"/>
    <w:rsid w:val="001452ED"/>
    <w:rsid w:val="00146A06"/>
    <w:rsid w:val="001531ED"/>
    <w:rsid w:val="00156636"/>
    <w:rsid w:val="0016042D"/>
    <w:rsid w:val="00166244"/>
    <w:rsid w:val="001721C1"/>
    <w:rsid w:val="00181E6E"/>
    <w:rsid w:val="001830CE"/>
    <w:rsid w:val="00185F4C"/>
    <w:rsid w:val="0018643B"/>
    <w:rsid w:val="00196307"/>
    <w:rsid w:val="00196A0D"/>
    <w:rsid w:val="001B017F"/>
    <w:rsid w:val="001B5129"/>
    <w:rsid w:val="001C1195"/>
    <w:rsid w:val="001C7816"/>
    <w:rsid w:val="00212020"/>
    <w:rsid w:val="00213CFB"/>
    <w:rsid w:val="00222FA6"/>
    <w:rsid w:val="002373FF"/>
    <w:rsid w:val="00237F32"/>
    <w:rsid w:val="00247EB1"/>
    <w:rsid w:val="0025134A"/>
    <w:rsid w:val="00271BA1"/>
    <w:rsid w:val="002730C3"/>
    <w:rsid w:val="00273628"/>
    <w:rsid w:val="00277505"/>
    <w:rsid w:val="002844DD"/>
    <w:rsid w:val="0029128A"/>
    <w:rsid w:val="0029458F"/>
    <w:rsid w:val="002A104C"/>
    <w:rsid w:val="002A4960"/>
    <w:rsid w:val="002B1AE6"/>
    <w:rsid w:val="002B30F8"/>
    <w:rsid w:val="002C0027"/>
    <w:rsid w:val="002C1D6B"/>
    <w:rsid w:val="002C212F"/>
    <w:rsid w:val="002C73CF"/>
    <w:rsid w:val="002D454B"/>
    <w:rsid w:val="002D5EFF"/>
    <w:rsid w:val="002E1B1B"/>
    <w:rsid w:val="002E3153"/>
    <w:rsid w:val="002E72CA"/>
    <w:rsid w:val="002F08EB"/>
    <w:rsid w:val="00326E79"/>
    <w:rsid w:val="003270C1"/>
    <w:rsid w:val="0032755E"/>
    <w:rsid w:val="00330A92"/>
    <w:rsid w:val="0033356F"/>
    <w:rsid w:val="003367EF"/>
    <w:rsid w:val="00341134"/>
    <w:rsid w:val="00341AE4"/>
    <w:rsid w:val="00343C45"/>
    <w:rsid w:val="00352D51"/>
    <w:rsid w:val="00380102"/>
    <w:rsid w:val="003872CF"/>
    <w:rsid w:val="0039033A"/>
    <w:rsid w:val="00392083"/>
    <w:rsid w:val="003960AA"/>
    <w:rsid w:val="0039782C"/>
    <w:rsid w:val="003A0C34"/>
    <w:rsid w:val="003A5B4A"/>
    <w:rsid w:val="003B23C5"/>
    <w:rsid w:val="003B2A75"/>
    <w:rsid w:val="003B4BE8"/>
    <w:rsid w:val="003B5FF7"/>
    <w:rsid w:val="003D4AC4"/>
    <w:rsid w:val="003D63B7"/>
    <w:rsid w:val="003E32F5"/>
    <w:rsid w:val="003E468B"/>
    <w:rsid w:val="003F5C8C"/>
    <w:rsid w:val="004330FD"/>
    <w:rsid w:val="0043614D"/>
    <w:rsid w:val="00436BC9"/>
    <w:rsid w:val="0043790F"/>
    <w:rsid w:val="004465BD"/>
    <w:rsid w:val="004616C9"/>
    <w:rsid w:val="00466ADA"/>
    <w:rsid w:val="00476245"/>
    <w:rsid w:val="00481F81"/>
    <w:rsid w:val="00482763"/>
    <w:rsid w:val="00485940"/>
    <w:rsid w:val="004958EC"/>
    <w:rsid w:val="004A16E5"/>
    <w:rsid w:val="004A2484"/>
    <w:rsid w:val="004A5A85"/>
    <w:rsid w:val="004B5640"/>
    <w:rsid w:val="004B7184"/>
    <w:rsid w:val="004C1BD7"/>
    <w:rsid w:val="004C5529"/>
    <w:rsid w:val="004C691D"/>
    <w:rsid w:val="004E27F2"/>
    <w:rsid w:val="004E692D"/>
    <w:rsid w:val="00501554"/>
    <w:rsid w:val="00501FCB"/>
    <w:rsid w:val="00514CD7"/>
    <w:rsid w:val="005151AD"/>
    <w:rsid w:val="005319B2"/>
    <w:rsid w:val="00532C74"/>
    <w:rsid w:val="00534E2E"/>
    <w:rsid w:val="00544552"/>
    <w:rsid w:val="00555708"/>
    <w:rsid w:val="005767E6"/>
    <w:rsid w:val="00581932"/>
    <w:rsid w:val="005951A3"/>
    <w:rsid w:val="005963BB"/>
    <w:rsid w:val="00597405"/>
    <w:rsid w:val="005A3173"/>
    <w:rsid w:val="005A3223"/>
    <w:rsid w:val="005A3DA3"/>
    <w:rsid w:val="005A52C4"/>
    <w:rsid w:val="005B1174"/>
    <w:rsid w:val="005C039B"/>
    <w:rsid w:val="005D03AB"/>
    <w:rsid w:val="005D5017"/>
    <w:rsid w:val="005E43EB"/>
    <w:rsid w:val="00601A91"/>
    <w:rsid w:val="00602BA3"/>
    <w:rsid w:val="00614159"/>
    <w:rsid w:val="00617C00"/>
    <w:rsid w:val="006238BF"/>
    <w:rsid w:val="006263BF"/>
    <w:rsid w:val="0062748A"/>
    <w:rsid w:val="006302B3"/>
    <w:rsid w:val="00630A2C"/>
    <w:rsid w:val="0063474B"/>
    <w:rsid w:val="00651169"/>
    <w:rsid w:val="00653D69"/>
    <w:rsid w:val="00660612"/>
    <w:rsid w:val="00670A76"/>
    <w:rsid w:val="006711AA"/>
    <w:rsid w:val="00672B57"/>
    <w:rsid w:val="00675622"/>
    <w:rsid w:val="0068293A"/>
    <w:rsid w:val="006906DB"/>
    <w:rsid w:val="006A12A5"/>
    <w:rsid w:val="006A3B2E"/>
    <w:rsid w:val="006B0D94"/>
    <w:rsid w:val="006B485D"/>
    <w:rsid w:val="006C708E"/>
    <w:rsid w:val="006D6EC7"/>
    <w:rsid w:val="006E4C80"/>
    <w:rsid w:val="006F5125"/>
    <w:rsid w:val="0070125B"/>
    <w:rsid w:val="007174BB"/>
    <w:rsid w:val="0072023D"/>
    <w:rsid w:val="00723402"/>
    <w:rsid w:val="00727EB7"/>
    <w:rsid w:val="0076420C"/>
    <w:rsid w:val="007753C2"/>
    <w:rsid w:val="0077749E"/>
    <w:rsid w:val="00782746"/>
    <w:rsid w:val="007838B8"/>
    <w:rsid w:val="007A6D9A"/>
    <w:rsid w:val="007C0F57"/>
    <w:rsid w:val="007C40B6"/>
    <w:rsid w:val="007C729F"/>
    <w:rsid w:val="007E1D28"/>
    <w:rsid w:val="007E6836"/>
    <w:rsid w:val="007F2641"/>
    <w:rsid w:val="007F7C36"/>
    <w:rsid w:val="008006C0"/>
    <w:rsid w:val="00806796"/>
    <w:rsid w:val="00814A6A"/>
    <w:rsid w:val="008151D6"/>
    <w:rsid w:val="00822D8C"/>
    <w:rsid w:val="00826F6D"/>
    <w:rsid w:val="00827D2E"/>
    <w:rsid w:val="00834EE0"/>
    <w:rsid w:val="0083578A"/>
    <w:rsid w:val="00836B08"/>
    <w:rsid w:val="00851F6C"/>
    <w:rsid w:val="00854DB9"/>
    <w:rsid w:val="00856DDD"/>
    <w:rsid w:val="00857598"/>
    <w:rsid w:val="00860403"/>
    <w:rsid w:val="008615C0"/>
    <w:rsid w:val="00863E68"/>
    <w:rsid w:val="0086513D"/>
    <w:rsid w:val="00882085"/>
    <w:rsid w:val="00883188"/>
    <w:rsid w:val="00892BF0"/>
    <w:rsid w:val="00897D58"/>
    <w:rsid w:val="008A1956"/>
    <w:rsid w:val="008A4937"/>
    <w:rsid w:val="008A56B2"/>
    <w:rsid w:val="008B3041"/>
    <w:rsid w:val="008C337B"/>
    <w:rsid w:val="008D1B5C"/>
    <w:rsid w:val="008D3C82"/>
    <w:rsid w:val="008D447E"/>
    <w:rsid w:val="008D7A41"/>
    <w:rsid w:val="008E3507"/>
    <w:rsid w:val="008E3680"/>
    <w:rsid w:val="008E5870"/>
    <w:rsid w:val="008F1434"/>
    <w:rsid w:val="008F7355"/>
    <w:rsid w:val="00904AA8"/>
    <w:rsid w:val="009067B7"/>
    <w:rsid w:val="0092206F"/>
    <w:rsid w:val="00930937"/>
    <w:rsid w:val="00933DE6"/>
    <w:rsid w:val="00933E6C"/>
    <w:rsid w:val="00942160"/>
    <w:rsid w:val="00947AAA"/>
    <w:rsid w:val="00951512"/>
    <w:rsid w:val="009602C5"/>
    <w:rsid w:val="009643FA"/>
    <w:rsid w:val="00974C21"/>
    <w:rsid w:val="0099664D"/>
    <w:rsid w:val="009B0F67"/>
    <w:rsid w:val="009C703C"/>
    <w:rsid w:val="009D1BA9"/>
    <w:rsid w:val="009D3CAA"/>
    <w:rsid w:val="009F4E46"/>
    <w:rsid w:val="009F5B65"/>
    <w:rsid w:val="009F5F2E"/>
    <w:rsid w:val="009F7B12"/>
    <w:rsid w:val="00A06225"/>
    <w:rsid w:val="00A06708"/>
    <w:rsid w:val="00A128E6"/>
    <w:rsid w:val="00A31FF6"/>
    <w:rsid w:val="00A37C8D"/>
    <w:rsid w:val="00A5273B"/>
    <w:rsid w:val="00A53A9D"/>
    <w:rsid w:val="00A55FEE"/>
    <w:rsid w:val="00A62C1A"/>
    <w:rsid w:val="00A6426D"/>
    <w:rsid w:val="00A70622"/>
    <w:rsid w:val="00A70977"/>
    <w:rsid w:val="00A76BEB"/>
    <w:rsid w:val="00A8390C"/>
    <w:rsid w:val="00A928BD"/>
    <w:rsid w:val="00AA3BA9"/>
    <w:rsid w:val="00AA4D1C"/>
    <w:rsid w:val="00AA63F4"/>
    <w:rsid w:val="00AA67BB"/>
    <w:rsid w:val="00AC193C"/>
    <w:rsid w:val="00AC5206"/>
    <w:rsid w:val="00AD4AD6"/>
    <w:rsid w:val="00AE087B"/>
    <w:rsid w:val="00AE11A5"/>
    <w:rsid w:val="00AE13E2"/>
    <w:rsid w:val="00AE32D6"/>
    <w:rsid w:val="00AF68CC"/>
    <w:rsid w:val="00B1059E"/>
    <w:rsid w:val="00B205AA"/>
    <w:rsid w:val="00B22E84"/>
    <w:rsid w:val="00B23669"/>
    <w:rsid w:val="00B25F75"/>
    <w:rsid w:val="00B303EB"/>
    <w:rsid w:val="00B366DA"/>
    <w:rsid w:val="00B43E90"/>
    <w:rsid w:val="00B449FC"/>
    <w:rsid w:val="00B467DC"/>
    <w:rsid w:val="00B50027"/>
    <w:rsid w:val="00B56118"/>
    <w:rsid w:val="00B6773F"/>
    <w:rsid w:val="00B801BA"/>
    <w:rsid w:val="00B82D93"/>
    <w:rsid w:val="00BA6F2E"/>
    <w:rsid w:val="00BB1F42"/>
    <w:rsid w:val="00BB69F5"/>
    <w:rsid w:val="00BB7EC3"/>
    <w:rsid w:val="00BC12A8"/>
    <w:rsid w:val="00BC4B9A"/>
    <w:rsid w:val="00BD784C"/>
    <w:rsid w:val="00BF4CB6"/>
    <w:rsid w:val="00C00DA7"/>
    <w:rsid w:val="00C065EC"/>
    <w:rsid w:val="00C11924"/>
    <w:rsid w:val="00C12768"/>
    <w:rsid w:val="00C1493A"/>
    <w:rsid w:val="00C249E4"/>
    <w:rsid w:val="00C27B58"/>
    <w:rsid w:val="00C32290"/>
    <w:rsid w:val="00C35996"/>
    <w:rsid w:val="00C45871"/>
    <w:rsid w:val="00C5237D"/>
    <w:rsid w:val="00C5342C"/>
    <w:rsid w:val="00C6256A"/>
    <w:rsid w:val="00C7778A"/>
    <w:rsid w:val="00C86CDE"/>
    <w:rsid w:val="00C91449"/>
    <w:rsid w:val="00C91784"/>
    <w:rsid w:val="00C92D10"/>
    <w:rsid w:val="00CB4853"/>
    <w:rsid w:val="00CB597A"/>
    <w:rsid w:val="00CC1ED7"/>
    <w:rsid w:val="00CE10C4"/>
    <w:rsid w:val="00CE27B5"/>
    <w:rsid w:val="00CE4603"/>
    <w:rsid w:val="00CF3C64"/>
    <w:rsid w:val="00D01E28"/>
    <w:rsid w:val="00D0321E"/>
    <w:rsid w:val="00D07CBC"/>
    <w:rsid w:val="00D10646"/>
    <w:rsid w:val="00D1455A"/>
    <w:rsid w:val="00D16E20"/>
    <w:rsid w:val="00D3138B"/>
    <w:rsid w:val="00D3280C"/>
    <w:rsid w:val="00D3406A"/>
    <w:rsid w:val="00D469B2"/>
    <w:rsid w:val="00D50402"/>
    <w:rsid w:val="00D741EB"/>
    <w:rsid w:val="00D84934"/>
    <w:rsid w:val="00D91271"/>
    <w:rsid w:val="00DA2CB5"/>
    <w:rsid w:val="00DA4BAC"/>
    <w:rsid w:val="00DB3A78"/>
    <w:rsid w:val="00DB49A3"/>
    <w:rsid w:val="00DD61E2"/>
    <w:rsid w:val="00DE6D27"/>
    <w:rsid w:val="00DF217D"/>
    <w:rsid w:val="00DF26A7"/>
    <w:rsid w:val="00E04426"/>
    <w:rsid w:val="00E164B3"/>
    <w:rsid w:val="00E16910"/>
    <w:rsid w:val="00E51BB0"/>
    <w:rsid w:val="00E63311"/>
    <w:rsid w:val="00E65E54"/>
    <w:rsid w:val="00E80155"/>
    <w:rsid w:val="00E848C0"/>
    <w:rsid w:val="00E91B96"/>
    <w:rsid w:val="00E941A1"/>
    <w:rsid w:val="00E95CE3"/>
    <w:rsid w:val="00EA2825"/>
    <w:rsid w:val="00EA617D"/>
    <w:rsid w:val="00EA6F68"/>
    <w:rsid w:val="00EB5088"/>
    <w:rsid w:val="00EB5A9B"/>
    <w:rsid w:val="00ED1644"/>
    <w:rsid w:val="00ED16AD"/>
    <w:rsid w:val="00ED2593"/>
    <w:rsid w:val="00ED385B"/>
    <w:rsid w:val="00ED4427"/>
    <w:rsid w:val="00EF44A0"/>
    <w:rsid w:val="00EF4FED"/>
    <w:rsid w:val="00F050BD"/>
    <w:rsid w:val="00F05657"/>
    <w:rsid w:val="00F06483"/>
    <w:rsid w:val="00F229C3"/>
    <w:rsid w:val="00F25578"/>
    <w:rsid w:val="00F258E5"/>
    <w:rsid w:val="00F27985"/>
    <w:rsid w:val="00F300BC"/>
    <w:rsid w:val="00F3334E"/>
    <w:rsid w:val="00F50EC4"/>
    <w:rsid w:val="00F564B3"/>
    <w:rsid w:val="00F57A6D"/>
    <w:rsid w:val="00F638CC"/>
    <w:rsid w:val="00F64CC1"/>
    <w:rsid w:val="00F72EA2"/>
    <w:rsid w:val="00F75A80"/>
    <w:rsid w:val="00F8247A"/>
    <w:rsid w:val="00F936B5"/>
    <w:rsid w:val="00F9629A"/>
    <w:rsid w:val="00F9655A"/>
    <w:rsid w:val="00FA512A"/>
    <w:rsid w:val="00FA5883"/>
    <w:rsid w:val="00FA6055"/>
    <w:rsid w:val="00FB322F"/>
    <w:rsid w:val="00FB3786"/>
    <w:rsid w:val="00FB442F"/>
    <w:rsid w:val="00FC1929"/>
    <w:rsid w:val="00FC5B46"/>
    <w:rsid w:val="00FD3390"/>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024CD0"/>
    <w:pPr>
      <w:numPr>
        <w:numId w:val="3"/>
      </w:numPr>
      <w:tabs>
        <w:tab w:val="clear" w:pos="643"/>
        <w:tab w:val="num" w:pos="0"/>
      </w:tabs>
      <w:ind w:hanging="643"/>
      <w:jc w:val="both"/>
      <w:outlineLvl w:val="0"/>
    </w:pPr>
    <w:rPr>
      <w:rFonts w:ascii="Arial" w:hAnsi="Arial"/>
      <w:b/>
      <w:sz w:val="22"/>
      <w:szCs w:val="22"/>
    </w:rPr>
  </w:style>
  <w:style w:type="paragraph" w:styleId="Heading2">
    <w:name w:val="heading 2"/>
    <w:basedOn w:val="Heading1"/>
    <w:next w:val="Normal"/>
    <w:qFormat/>
    <w:rsid w:val="002C1D6B"/>
    <w:pPr>
      <w:numPr>
        <w:numId w:val="0"/>
      </w:numPr>
      <w:ind w:left="-284"/>
      <w:outlineLvl w:val="1"/>
    </w:pPr>
    <w:rPr>
      <w:i/>
      <w:snapToGrid w:val="0"/>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024CD0"/>
    <w:pPr>
      <w:spacing w:after="300"/>
      <w:contextualSpacing/>
      <w:outlineLvl w:val="0"/>
    </w:pPr>
    <w:rPr>
      <w:rFonts w:ascii="Arial Bold" w:eastAsiaTheme="majorEastAsia" w:hAnsi="Arial Bold" w:cstheme="majorBidi"/>
      <w:b/>
      <w:spacing w:val="5"/>
      <w:kern w:val="28"/>
      <w:sz w:val="28"/>
      <w:szCs w:val="28"/>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024CD0"/>
    <w:rPr>
      <w:rFonts w:ascii="Arial Bold" w:eastAsiaTheme="majorEastAsia" w:hAnsi="Arial Bold" w:cstheme="majorBidi"/>
      <w:b/>
      <w:spacing w:val="5"/>
      <w:kern w:val="28"/>
      <w:sz w:val="28"/>
      <w:szCs w:val="28"/>
    </w:rPr>
  </w:style>
  <w:style w:type="character" w:customStyle="1" w:styleId="ListParagraphChar">
    <w:name w:val="List Paragraph Char"/>
    <w:aliases w:val="BulletPoints Char"/>
    <w:basedOn w:val="DefaultParagraphFont"/>
    <w:link w:val="ListParagraph"/>
    <w:uiPriority w:val="72"/>
    <w:rsid w:val="00077143"/>
    <w:rPr>
      <w:sz w:val="24"/>
      <w:szCs w:val="24"/>
    </w:rPr>
  </w:style>
  <w:style w:type="character" w:styleId="FollowedHyperlink">
    <w:name w:val="FollowedHyperlink"/>
    <w:basedOn w:val="DefaultParagraphFont"/>
    <w:rsid w:val="002F08EB"/>
    <w:rPr>
      <w:color w:val="800080" w:themeColor="followedHyperlink"/>
      <w:u w:val="single"/>
    </w:rPr>
  </w:style>
  <w:style w:type="paragraph" w:customStyle="1" w:styleId="Table">
    <w:name w:val="Table"/>
    <w:basedOn w:val="Normal"/>
    <w:link w:val="TableChar"/>
    <w:qFormat/>
    <w:rsid w:val="00482763"/>
    <w:pPr>
      <w:jc w:val="both"/>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482763"/>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482763"/>
    <w:rPr>
      <w:rFonts w:ascii="Candara" w:hAnsi="Candara"/>
      <w:b/>
      <w:sz w:val="20"/>
      <w:lang w:val="en-AU"/>
    </w:rPr>
  </w:style>
  <w:style w:type="paragraph" w:customStyle="1" w:styleId="TableCentre">
    <w:name w:val="Table Centre"/>
    <w:basedOn w:val="Table"/>
    <w:link w:val="TableCentreChar"/>
    <w:qFormat/>
    <w:rsid w:val="00EA6F68"/>
    <w:pPr>
      <w:jc w:val="center"/>
    </w:pPr>
  </w:style>
  <w:style w:type="character" w:customStyle="1" w:styleId="TableCentreChar">
    <w:name w:val="Table Centre Char"/>
    <w:basedOn w:val="TableChar"/>
    <w:link w:val="TableCentre"/>
    <w:rsid w:val="00EA6F68"/>
    <w:rPr>
      <w:rFonts w:ascii="Candara" w:eastAsiaTheme="majorEastAsia" w:hAnsi="Candara" w:cstheme="majorBidi"/>
      <w:szCs w:val="22"/>
      <w:lang w:eastAsia="en-US" w:bidi="en-US"/>
    </w:rPr>
  </w:style>
  <w:style w:type="paragraph" w:customStyle="1" w:styleId="TableLeft">
    <w:name w:val="Table Left"/>
    <w:basedOn w:val="Normal"/>
    <w:link w:val="TableLeftChar"/>
    <w:uiPriority w:val="99"/>
    <w:qFormat/>
    <w:rsid w:val="002C0027"/>
    <w:pPr>
      <w:jc w:val="both"/>
    </w:pPr>
    <w:rPr>
      <w:rFonts w:ascii="Calibri" w:hAnsi="Calibri"/>
      <w:sz w:val="20"/>
      <w:szCs w:val="22"/>
      <w:lang w:eastAsia="en-US"/>
    </w:rPr>
  </w:style>
  <w:style w:type="character" w:customStyle="1" w:styleId="TableLeftChar">
    <w:name w:val="Table Left Char"/>
    <w:basedOn w:val="DefaultParagraphFont"/>
    <w:link w:val="TableLeft"/>
    <w:uiPriority w:val="99"/>
    <w:locked/>
    <w:rsid w:val="002C0027"/>
    <w:rPr>
      <w:rFonts w:ascii="Calibri" w:hAnsi="Calibri"/>
      <w:szCs w:val="22"/>
      <w:lang w:eastAsia="en-US"/>
    </w:rPr>
  </w:style>
  <w:style w:type="paragraph" w:customStyle="1" w:styleId="PBACHeading1">
    <w:name w:val="PBAC Heading 1"/>
    <w:basedOn w:val="ListParagraph"/>
    <w:qFormat/>
    <w:rsid w:val="00857598"/>
    <w:pPr>
      <w:spacing w:before="240" w:after="120"/>
      <w:ind w:hanging="720"/>
      <w:jc w:val="both"/>
    </w:pPr>
    <w:rPr>
      <w:b/>
      <w:szCs w:val="22"/>
      <w:lang w:eastAsia="en-US"/>
    </w:rPr>
  </w:style>
  <w:style w:type="character" w:styleId="IntenseReference">
    <w:name w:val="Intense Reference"/>
    <w:basedOn w:val="DefaultParagraphFont"/>
    <w:uiPriority w:val="32"/>
    <w:rsid w:val="00851F6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024CD0"/>
    <w:pPr>
      <w:numPr>
        <w:numId w:val="3"/>
      </w:numPr>
      <w:tabs>
        <w:tab w:val="clear" w:pos="643"/>
        <w:tab w:val="num" w:pos="0"/>
      </w:tabs>
      <w:ind w:hanging="643"/>
      <w:jc w:val="both"/>
      <w:outlineLvl w:val="0"/>
    </w:pPr>
    <w:rPr>
      <w:rFonts w:ascii="Arial" w:hAnsi="Arial"/>
      <w:b/>
      <w:sz w:val="22"/>
      <w:szCs w:val="22"/>
    </w:rPr>
  </w:style>
  <w:style w:type="paragraph" w:styleId="Heading2">
    <w:name w:val="heading 2"/>
    <w:basedOn w:val="Heading1"/>
    <w:next w:val="Normal"/>
    <w:qFormat/>
    <w:rsid w:val="002C1D6B"/>
    <w:pPr>
      <w:numPr>
        <w:numId w:val="0"/>
      </w:numPr>
      <w:ind w:left="-284"/>
      <w:outlineLvl w:val="1"/>
    </w:pPr>
    <w:rPr>
      <w:i/>
      <w:snapToGrid w:val="0"/>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024CD0"/>
    <w:pPr>
      <w:spacing w:after="300"/>
      <w:contextualSpacing/>
      <w:outlineLvl w:val="0"/>
    </w:pPr>
    <w:rPr>
      <w:rFonts w:ascii="Arial Bold" w:eastAsiaTheme="majorEastAsia" w:hAnsi="Arial Bold" w:cstheme="majorBidi"/>
      <w:b/>
      <w:spacing w:val="5"/>
      <w:kern w:val="28"/>
      <w:sz w:val="28"/>
      <w:szCs w:val="28"/>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024CD0"/>
    <w:rPr>
      <w:rFonts w:ascii="Arial Bold" w:eastAsiaTheme="majorEastAsia" w:hAnsi="Arial Bold" w:cstheme="majorBidi"/>
      <w:b/>
      <w:spacing w:val="5"/>
      <w:kern w:val="28"/>
      <w:sz w:val="28"/>
      <w:szCs w:val="28"/>
    </w:rPr>
  </w:style>
  <w:style w:type="character" w:customStyle="1" w:styleId="ListParagraphChar">
    <w:name w:val="List Paragraph Char"/>
    <w:aliases w:val="BulletPoints Char"/>
    <w:basedOn w:val="DefaultParagraphFont"/>
    <w:link w:val="ListParagraph"/>
    <w:uiPriority w:val="72"/>
    <w:rsid w:val="00077143"/>
    <w:rPr>
      <w:sz w:val="24"/>
      <w:szCs w:val="24"/>
    </w:rPr>
  </w:style>
  <w:style w:type="character" w:styleId="FollowedHyperlink">
    <w:name w:val="FollowedHyperlink"/>
    <w:basedOn w:val="DefaultParagraphFont"/>
    <w:rsid w:val="002F08EB"/>
    <w:rPr>
      <w:color w:val="800080" w:themeColor="followedHyperlink"/>
      <w:u w:val="single"/>
    </w:rPr>
  </w:style>
  <w:style w:type="paragraph" w:customStyle="1" w:styleId="Table">
    <w:name w:val="Table"/>
    <w:basedOn w:val="Normal"/>
    <w:link w:val="TableChar"/>
    <w:qFormat/>
    <w:rsid w:val="00482763"/>
    <w:pPr>
      <w:jc w:val="both"/>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482763"/>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482763"/>
    <w:rPr>
      <w:rFonts w:ascii="Candara" w:hAnsi="Candara"/>
      <w:b/>
      <w:sz w:val="20"/>
      <w:lang w:val="en-AU"/>
    </w:rPr>
  </w:style>
  <w:style w:type="paragraph" w:customStyle="1" w:styleId="TableCentre">
    <w:name w:val="Table Centre"/>
    <w:basedOn w:val="Table"/>
    <w:link w:val="TableCentreChar"/>
    <w:qFormat/>
    <w:rsid w:val="00EA6F68"/>
    <w:pPr>
      <w:jc w:val="center"/>
    </w:pPr>
  </w:style>
  <w:style w:type="character" w:customStyle="1" w:styleId="TableCentreChar">
    <w:name w:val="Table Centre Char"/>
    <w:basedOn w:val="TableChar"/>
    <w:link w:val="TableCentre"/>
    <w:rsid w:val="00EA6F68"/>
    <w:rPr>
      <w:rFonts w:ascii="Candara" w:eastAsiaTheme="majorEastAsia" w:hAnsi="Candara" w:cstheme="majorBidi"/>
      <w:szCs w:val="22"/>
      <w:lang w:eastAsia="en-US" w:bidi="en-US"/>
    </w:rPr>
  </w:style>
  <w:style w:type="paragraph" w:customStyle="1" w:styleId="TableLeft">
    <w:name w:val="Table Left"/>
    <w:basedOn w:val="Normal"/>
    <w:link w:val="TableLeftChar"/>
    <w:uiPriority w:val="99"/>
    <w:qFormat/>
    <w:rsid w:val="002C0027"/>
    <w:pPr>
      <w:jc w:val="both"/>
    </w:pPr>
    <w:rPr>
      <w:rFonts w:ascii="Calibri" w:hAnsi="Calibri"/>
      <w:sz w:val="20"/>
      <w:szCs w:val="22"/>
      <w:lang w:eastAsia="en-US"/>
    </w:rPr>
  </w:style>
  <w:style w:type="character" w:customStyle="1" w:styleId="TableLeftChar">
    <w:name w:val="Table Left Char"/>
    <w:basedOn w:val="DefaultParagraphFont"/>
    <w:link w:val="TableLeft"/>
    <w:uiPriority w:val="99"/>
    <w:locked/>
    <w:rsid w:val="002C0027"/>
    <w:rPr>
      <w:rFonts w:ascii="Calibri" w:hAnsi="Calibri"/>
      <w:szCs w:val="22"/>
      <w:lang w:eastAsia="en-US"/>
    </w:rPr>
  </w:style>
  <w:style w:type="paragraph" w:customStyle="1" w:styleId="PBACHeading1">
    <w:name w:val="PBAC Heading 1"/>
    <w:basedOn w:val="ListParagraph"/>
    <w:qFormat/>
    <w:rsid w:val="00857598"/>
    <w:pPr>
      <w:spacing w:before="240" w:after="120"/>
      <w:ind w:hanging="720"/>
      <w:jc w:val="both"/>
    </w:pPr>
    <w:rPr>
      <w:b/>
      <w:szCs w:val="22"/>
      <w:lang w:eastAsia="en-US"/>
    </w:rPr>
  </w:style>
  <w:style w:type="character" w:styleId="IntenseReference">
    <w:name w:val="Intense Reference"/>
    <w:basedOn w:val="DefaultParagraphFont"/>
    <w:uiPriority w:val="32"/>
    <w:rsid w:val="00851F6C"/>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4D55B-B6B9-4A92-9C1F-526DD721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3071</Words>
  <Characters>21768</Characters>
  <Application>Microsoft Office Word</Application>
  <DocSecurity>0</DocSecurity>
  <Lines>181</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2016-09-19T01:40:00Z</dcterms:created>
  <dcterms:modified xsi:type="dcterms:W3CDTF">2016-10-26T22:15:00Z</dcterms:modified>
</cp:coreProperties>
</file>