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CB6" w:rsidRPr="00F34CCB" w:rsidRDefault="00A25FD2" w:rsidP="00F34CCB">
      <w:pPr>
        <w:pStyle w:val="Title"/>
      </w:pPr>
      <w:bookmarkStart w:id="0" w:name="_Toc451348686"/>
      <w:bookmarkStart w:id="1" w:name="_Toc341702043"/>
      <w:bookmarkStart w:id="2" w:name="_Toc380742621"/>
      <w:bookmarkStart w:id="3" w:name="_Toc380746188"/>
      <w:bookmarkStart w:id="4" w:name="_Toc380746314"/>
      <w:bookmarkStart w:id="5" w:name="_Toc380746595"/>
      <w:r w:rsidRPr="0088408E">
        <w:t>6</w:t>
      </w:r>
      <w:r w:rsidR="003649A2" w:rsidRPr="0088408E">
        <w:t>.</w:t>
      </w:r>
      <w:r w:rsidRPr="0088408E">
        <w:t>04</w:t>
      </w:r>
      <w:r w:rsidR="003649A2" w:rsidRPr="0088408E">
        <w:tab/>
      </w:r>
      <w:r w:rsidR="003649A2" w:rsidRPr="00F34CCB">
        <w:t xml:space="preserve">omalizumab, </w:t>
      </w:r>
    </w:p>
    <w:p w:rsidR="001A3CB6" w:rsidRPr="00F34CCB" w:rsidRDefault="00DB542A" w:rsidP="00F34CCB">
      <w:pPr>
        <w:pStyle w:val="Title"/>
        <w:ind w:left="720"/>
      </w:pPr>
      <w:r w:rsidRPr="00F34CCB">
        <w:t>pre-filled syringe for sub</w:t>
      </w:r>
      <w:r w:rsidR="008D1A86" w:rsidRPr="00F34CCB">
        <w:t>cutaneous injection</w:t>
      </w:r>
      <w:r w:rsidR="003649A2" w:rsidRPr="00F34CCB">
        <w:t xml:space="preserve">, </w:t>
      </w:r>
      <w:r w:rsidR="008D1A86" w:rsidRPr="00F34CCB">
        <w:t xml:space="preserve">75 </w:t>
      </w:r>
      <w:r w:rsidR="009166CC" w:rsidRPr="00F34CCB">
        <w:t>mg/0.5ml, 150 mg/ml</w:t>
      </w:r>
      <w:r w:rsidR="003649A2" w:rsidRPr="00F34CCB">
        <w:t xml:space="preserve">, </w:t>
      </w:r>
    </w:p>
    <w:p w:rsidR="003649A2" w:rsidRPr="00F34CCB" w:rsidRDefault="003649A2" w:rsidP="00F34CCB">
      <w:pPr>
        <w:pStyle w:val="Title"/>
        <w:ind w:firstLine="720"/>
      </w:pPr>
      <w:proofErr w:type="gramStart"/>
      <w:r w:rsidRPr="00F34CCB">
        <w:t>Xolair®, Novartis.</w:t>
      </w:r>
      <w:bookmarkEnd w:id="0"/>
      <w:proofErr w:type="gramEnd"/>
    </w:p>
    <w:p w:rsidR="00056AA5" w:rsidRDefault="00056AA5" w:rsidP="00202680">
      <w:pPr>
        <w:pStyle w:val="PBACHeading1"/>
        <w:keepNext/>
        <w:numPr>
          <w:ilvl w:val="0"/>
          <w:numId w:val="0"/>
        </w:numPr>
      </w:pPr>
      <w:bookmarkStart w:id="6" w:name="_Toc451348688"/>
    </w:p>
    <w:p w:rsidR="00660F7D" w:rsidRPr="0088408E" w:rsidRDefault="00660F7D" w:rsidP="00202680">
      <w:pPr>
        <w:pStyle w:val="PBACHeading1"/>
        <w:keepNext/>
        <w:numPr>
          <w:ilvl w:val="0"/>
          <w:numId w:val="0"/>
        </w:numPr>
      </w:pPr>
    </w:p>
    <w:p w:rsidR="003649A2" w:rsidRPr="00F34CCB" w:rsidRDefault="003649A2" w:rsidP="00F34CCB">
      <w:pPr>
        <w:pStyle w:val="Heading1"/>
      </w:pPr>
      <w:r w:rsidRPr="00F34CCB">
        <w:t>Purpose of Application</w:t>
      </w:r>
      <w:bookmarkEnd w:id="6"/>
    </w:p>
    <w:p w:rsidR="003649A2" w:rsidRPr="0088408E" w:rsidRDefault="003649A2" w:rsidP="00AA6C37">
      <w:pPr>
        <w:keepNext/>
        <w:rPr>
          <w:szCs w:val="22"/>
        </w:rPr>
      </w:pPr>
    </w:p>
    <w:p w:rsidR="003649A2" w:rsidRPr="0088408E" w:rsidRDefault="003649A2" w:rsidP="001F69C2">
      <w:pPr>
        <w:pStyle w:val="ListParagraph"/>
        <w:keepNext/>
        <w:numPr>
          <w:ilvl w:val="1"/>
          <w:numId w:val="2"/>
        </w:numPr>
      </w:pPr>
      <w:r w:rsidRPr="0088408E">
        <w:t>The submission requested a written Authority Required Section 100</w:t>
      </w:r>
      <w:r w:rsidR="00DB542A" w:rsidRPr="0088408E">
        <w:t xml:space="preserve"> (Highly Specialised Drugs Program)</w:t>
      </w:r>
      <w:r w:rsidRPr="0088408E">
        <w:t xml:space="preserve"> listing for omalizumab for treatment of severe allergic asthma in patients aged 6 to less than 12 years.</w:t>
      </w:r>
    </w:p>
    <w:p w:rsidR="00885A9A" w:rsidRPr="0088408E" w:rsidRDefault="00885A9A" w:rsidP="003649A2"/>
    <w:p w:rsidR="001156E4" w:rsidRPr="0088408E" w:rsidRDefault="001156E4" w:rsidP="003649A2"/>
    <w:p w:rsidR="003649A2" w:rsidRPr="0088408E" w:rsidRDefault="00CF0007" w:rsidP="00F34CCB">
      <w:pPr>
        <w:pStyle w:val="Heading1"/>
      </w:pPr>
      <w:bookmarkStart w:id="7" w:name="_Toc451348689"/>
      <w:r w:rsidRPr="0088408E">
        <w:t xml:space="preserve">Proposed </w:t>
      </w:r>
      <w:r w:rsidR="003649A2" w:rsidRPr="0088408E">
        <w:t>listing</w:t>
      </w:r>
      <w:bookmarkEnd w:id="7"/>
    </w:p>
    <w:p w:rsidR="003649A2" w:rsidRPr="0088408E" w:rsidRDefault="003649A2" w:rsidP="003649A2"/>
    <w:p w:rsidR="003649A2" w:rsidRPr="0088408E" w:rsidRDefault="003649A2" w:rsidP="001F69C2">
      <w:pPr>
        <w:pStyle w:val="ListParagraph"/>
        <w:widowControl/>
        <w:numPr>
          <w:ilvl w:val="1"/>
          <w:numId w:val="2"/>
        </w:numPr>
        <w:rPr>
          <w:szCs w:val="22"/>
        </w:rPr>
      </w:pPr>
      <w:r w:rsidRPr="0088408E">
        <w:rPr>
          <w:szCs w:val="22"/>
        </w:rPr>
        <w:t xml:space="preserve">The </w:t>
      </w:r>
      <w:r w:rsidR="008F13ED" w:rsidRPr="0088408E">
        <w:rPr>
          <w:szCs w:val="22"/>
        </w:rPr>
        <w:t xml:space="preserve">listing proposed in the </w:t>
      </w:r>
      <w:r w:rsidRPr="0088408E">
        <w:rPr>
          <w:szCs w:val="22"/>
        </w:rPr>
        <w:t xml:space="preserve">submission </w:t>
      </w:r>
      <w:r w:rsidR="008F13ED" w:rsidRPr="0088408E">
        <w:rPr>
          <w:szCs w:val="22"/>
        </w:rPr>
        <w:t>was based</w:t>
      </w:r>
      <w:r w:rsidRPr="0088408E">
        <w:rPr>
          <w:szCs w:val="22"/>
        </w:rPr>
        <w:t xml:space="preserve"> on the adolescent/adult PBS restriction of omalizumab</w:t>
      </w:r>
      <w:r w:rsidR="00AA6C37" w:rsidRPr="0088408E">
        <w:rPr>
          <w:szCs w:val="22"/>
        </w:rPr>
        <w:t xml:space="preserve">, </w:t>
      </w:r>
      <w:r w:rsidR="008F13ED" w:rsidRPr="0088408E">
        <w:rPr>
          <w:szCs w:val="22"/>
        </w:rPr>
        <w:t xml:space="preserve">with a few changes </w:t>
      </w:r>
      <w:r w:rsidR="00AA6C37" w:rsidRPr="0088408E">
        <w:rPr>
          <w:szCs w:val="22"/>
        </w:rPr>
        <w:t>for the proposed</w:t>
      </w:r>
      <w:r w:rsidRPr="0088408E">
        <w:rPr>
          <w:szCs w:val="22"/>
        </w:rPr>
        <w:t xml:space="preserve"> paediatric population</w:t>
      </w:r>
      <w:r w:rsidR="00AA6C37" w:rsidRPr="0088408E">
        <w:rPr>
          <w:szCs w:val="22"/>
        </w:rPr>
        <w:t>.</w:t>
      </w:r>
      <w:r w:rsidR="005E68D5" w:rsidRPr="0088408E">
        <w:rPr>
          <w:szCs w:val="22"/>
        </w:rPr>
        <w:t xml:space="preserve"> The two key changes were:</w:t>
      </w:r>
      <w:r w:rsidR="00AA6C37" w:rsidRPr="0088408E">
        <w:rPr>
          <w:szCs w:val="22"/>
        </w:rPr>
        <w:t xml:space="preserve"> </w:t>
      </w:r>
    </w:p>
    <w:p w:rsidR="005E68D5" w:rsidRPr="0088408E" w:rsidRDefault="005E68D5" w:rsidP="001F69C2">
      <w:pPr>
        <w:pStyle w:val="ListParagraph"/>
        <w:widowControl/>
        <w:numPr>
          <w:ilvl w:val="2"/>
          <w:numId w:val="2"/>
        </w:numPr>
        <w:ind w:left="1134" w:hanging="425"/>
        <w:rPr>
          <w:szCs w:val="22"/>
        </w:rPr>
      </w:pPr>
      <w:r w:rsidRPr="0088408E">
        <w:rPr>
          <w:szCs w:val="22"/>
        </w:rPr>
        <w:t xml:space="preserve">The required number of exacerbations in the previous 12 months was increased to at least two, </w:t>
      </w:r>
      <w:r w:rsidR="005358B4" w:rsidRPr="0088408E">
        <w:rPr>
          <w:szCs w:val="22"/>
        </w:rPr>
        <w:t>compared with</w:t>
      </w:r>
      <w:r w:rsidRPr="0088408E">
        <w:rPr>
          <w:szCs w:val="22"/>
        </w:rPr>
        <w:t xml:space="preserve"> at least one in the adolescent/adult population. This was appropriate, as clinicians provided advice to the submission that a higher number of exacerbations would be needed before they would consider omalizumab</w:t>
      </w:r>
      <w:r w:rsidR="00805C16" w:rsidRPr="0088408E">
        <w:rPr>
          <w:szCs w:val="22"/>
        </w:rPr>
        <w:t>; and</w:t>
      </w:r>
    </w:p>
    <w:p w:rsidR="008F032B" w:rsidRPr="0088408E" w:rsidRDefault="003649A2" w:rsidP="001F69C2">
      <w:pPr>
        <w:pStyle w:val="ListParagraph"/>
        <w:widowControl/>
        <w:numPr>
          <w:ilvl w:val="2"/>
          <w:numId w:val="2"/>
        </w:numPr>
        <w:ind w:left="1134" w:hanging="425"/>
        <w:rPr>
          <w:szCs w:val="22"/>
        </w:rPr>
      </w:pPr>
      <w:r w:rsidRPr="0088408E">
        <w:rPr>
          <w:szCs w:val="22"/>
        </w:rPr>
        <w:t>A criterion for adequate response to omalizumab was added in the paediatric restriction</w:t>
      </w:r>
      <w:r w:rsidR="005E68D5" w:rsidRPr="0088408E">
        <w:rPr>
          <w:szCs w:val="22"/>
        </w:rPr>
        <w:t xml:space="preserve">: </w:t>
      </w:r>
      <w:r w:rsidRPr="0088408E">
        <w:rPr>
          <w:szCs w:val="22"/>
        </w:rPr>
        <w:t xml:space="preserve">‘a reduction in time-adjusted exacerbation rate </w:t>
      </w:r>
      <w:r w:rsidR="005358B4" w:rsidRPr="0088408E">
        <w:rPr>
          <w:szCs w:val="22"/>
        </w:rPr>
        <w:t>compared with</w:t>
      </w:r>
      <w:r w:rsidRPr="0088408E">
        <w:rPr>
          <w:szCs w:val="22"/>
        </w:rPr>
        <w:t xml:space="preserve"> 12</w:t>
      </w:r>
      <w:r w:rsidR="00C74C1E">
        <w:rPr>
          <w:szCs w:val="22"/>
        </w:rPr>
        <w:t> </w:t>
      </w:r>
      <w:r w:rsidRPr="0088408E">
        <w:rPr>
          <w:szCs w:val="22"/>
        </w:rPr>
        <w:t>months prior to baseline’</w:t>
      </w:r>
      <w:r w:rsidR="005E68D5" w:rsidRPr="0088408E">
        <w:rPr>
          <w:szCs w:val="22"/>
        </w:rPr>
        <w:t>.</w:t>
      </w:r>
      <w:r w:rsidRPr="0088408E">
        <w:rPr>
          <w:szCs w:val="22"/>
        </w:rPr>
        <w:t xml:space="preserve">  </w:t>
      </w:r>
      <w:r w:rsidR="008843C9" w:rsidRPr="0088408E">
        <w:rPr>
          <w:szCs w:val="22"/>
        </w:rPr>
        <w:t>T</w:t>
      </w:r>
      <w:r w:rsidRPr="0088408E">
        <w:rPr>
          <w:szCs w:val="22"/>
        </w:rPr>
        <w:t>he minimum required reduction</w:t>
      </w:r>
      <w:r w:rsidR="008843C9" w:rsidRPr="0088408E">
        <w:rPr>
          <w:szCs w:val="22"/>
        </w:rPr>
        <w:t xml:space="preserve"> was not specified</w:t>
      </w:r>
      <w:r w:rsidRPr="0088408E">
        <w:rPr>
          <w:szCs w:val="22"/>
        </w:rPr>
        <w:t xml:space="preserve">. </w:t>
      </w:r>
      <w:r w:rsidR="005C2985" w:rsidRPr="0088408E">
        <w:rPr>
          <w:szCs w:val="22"/>
        </w:rPr>
        <w:t>The PBAC considered this criterion was appropriate.</w:t>
      </w:r>
    </w:p>
    <w:p w:rsidR="003649A2" w:rsidRPr="0088408E" w:rsidRDefault="003649A2" w:rsidP="00DB0950">
      <w:pPr>
        <w:widowControl/>
        <w:rPr>
          <w:szCs w:val="22"/>
        </w:rPr>
      </w:pPr>
    </w:p>
    <w:p w:rsidR="008F032B" w:rsidRPr="0088408E" w:rsidRDefault="008F032B" w:rsidP="008F032B">
      <w:pPr>
        <w:pStyle w:val="ListParagraph"/>
        <w:widowControl/>
        <w:numPr>
          <w:ilvl w:val="1"/>
          <w:numId w:val="2"/>
        </w:numPr>
        <w:rPr>
          <w:szCs w:val="22"/>
        </w:rPr>
      </w:pPr>
      <w:r w:rsidRPr="0088408E">
        <w:t>The submission requested the same effective price as for the current restriction of omalizumab</w:t>
      </w:r>
      <w:r w:rsidR="008843C9" w:rsidRPr="0088408E">
        <w:t>.</w:t>
      </w:r>
      <w:r w:rsidRPr="0088408E">
        <w:t xml:space="preserve"> </w:t>
      </w:r>
      <w:r w:rsidR="008843C9" w:rsidRPr="0088408E">
        <w:t>During evaluation</w:t>
      </w:r>
      <w:r w:rsidR="00077842">
        <w:t>,</w:t>
      </w:r>
      <w:r w:rsidR="008843C9" w:rsidRPr="0088408E">
        <w:t xml:space="preserve"> a new </w:t>
      </w:r>
      <w:r w:rsidR="0099191B" w:rsidRPr="00077842">
        <w:t>Special Pricing Arrangement (SPA)</w:t>
      </w:r>
      <w:r w:rsidRPr="00077842">
        <w:t xml:space="preserve"> </w:t>
      </w:r>
      <w:r w:rsidR="008843C9" w:rsidRPr="00077842">
        <w:t>was agreed between the Department and the Sponsor</w:t>
      </w:r>
      <w:r w:rsidR="00671932" w:rsidRPr="00077842">
        <w:t xml:space="preserve"> of </w:t>
      </w:r>
      <w:proofErr w:type="spellStart"/>
      <w:r w:rsidR="00671932" w:rsidRPr="00077842">
        <w:t>omalizumab</w:t>
      </w:r>
      <w:proofErr w:type="spellEnd"/>
      <w:r w:rsidR="008843C9" w:rsidRPr="00077842">
        <w:t>. Under the new agreement the effective price for omalizumab had been reduced</w:t>
      </w:r>
      <w:r w:rsidR="008843C9" w:rsidRPr="0088408E">
        <w:t xml:space="preserve"> to $</w:t>
      </w:r>
      <w:r w:rsidR="00F34CCB">
        <w:rPr>
          <w:noProof/>
          <w:color w:val="000000"/>
          <w:highlight w:val="black"/>
        </w:rPr>
        <w:t>''''''''''''''''''</w:t>
      </w:r>
      <w:r w:rsidR="008843C9" w:rsidRPr="0088408E">
        <w:t xml:space="preserve"> for 75</w:t>
      </w:r>
      <w:r w:rsidR="00C74C1E">
        <w:t> </w:t>
      </w:r>
      <w:r w:rsidR="008843C9" w:rsidRPr="0088408E">
        <w:t>mg and $</w:t>
      </w:r>
      <w:r w:rsidR="00F34CCB">
        <w:rPr>
          <w:noProof/>
          <w:color w:val="000000"/>
          <w:highlight w:val="black"/>
        </w:rPr>
        <w:t>''''''''''''''''</w:t>
      </w:r>
      <w:r w:rsidR="008843C9" w:rsidRPr="0088408E">
        <w:t xml:space="preserve"> for 150</w:t>
      </w:r>
      <w:r w:rsidR="00C74C1E">
        <w:t> </w:t>
      </w:r>
      <w:r w:rsidR="008843C9" w:rsidRPr="0088408E">
        <w:t>mg.</w:t>
      </w:r>
      <w:r w:rsidRPr="0088408E">
        <w:t xml:space="preserve"> </w:t>
      </w:r>
    </w:p>
    <w:p w:rsidR="003649A2" w:rsidRPr="0088408E" w:rsidRDefault="003649A2" w:rsidP="003649A2">
      <w:pPr>
        <w:pStyle w:val="PBACHeading1"/>
        <w:numPr>
          <w:ilvl w:val="0"/>
          <w:numId w:val="0"/>
        </w:numPr>
        <w:ind w:left="720" w:hanging="720"/>
      </w:pPr>
    </w:p>
    <w:p w:rsidR="003628BC" w:rsidRPr="0088408E" w:rsidRDefault="003628BC" w:rsidP="001F69C2">
      <w:pPr>
        <w:pStyle w:val="ListParagraph"/>
        <w:widowControl/>
        <w:numPr>
          <w:ilvl w:val="1"/>
          <w:numId w:val="2"/>
        </w:numPr>
        <w:rPr>
          <w:szCs w:val="22"/>
        </w:rPr>
      </w:pPr>
      <w:r w:rsidRPr="0088408E">
        <w:rPr>
          <w:szCs w:val="22"/>
        </w:rPr>
        <w:t xml:space="preserve">The </w:t>
      </w:r>
      <w:r w:rsidR="00C325D3" w:rsidRPr="0088408E">
        <w:rPr>
          <w:szCs w:val="22"/>
        </w:rPr>
        <w:t>evaluation</w:t>
      </w:r>
      <w:r w:rsidRPr="0088408E">
        <w:rPr>
          <w:szCs w:val="22"/>
        </w:rPr>
        <w:t xml:space="preserve"> proposed the inclusion of a grandfathering clause in the restriction. The P</w:t>
      </w:r>
      <w:r w:rsidR="008624EB" w:rsidRPr="0088408E">
        <w:rPr>
          <w:szCs w:val="22"/>
        </w:rPr>
        <w:t>re-</w:t>
      </w:r>
      <w:r w:rsidRPr="0088408E">
        <w:rPr>
          <w:szCs w:val="22"/>
        </w:rPr>
        <w:t>S</w:t>
      </w:r>
      <w:r w:rsidR="008624EB" w:rsidRPr="0088408E">
        <w:rPr>
          <w:szCs w:val="22"/>
        </w:rPr>
        <w:t>ub-</w:t>
      </w:r>
      <w:r w:rsidRPr="0088408E">
        <w:rPr>
          <w:szCs w:val="22"/>
        </w:rPr>
        <w:t>C</w:t>
      </w:r>
      <w:r w:rsidR="008624EB" w:rsidRPr="0088408E">
        <w:rPr>
          <w:szCs w:val="22"/>
        </w:rPr>
        <w:t xml:space="preserve">ommittee </w:t>
      </w:r>
      <w:r w:rsidRPr="0088408E">
        <w:rPr>
          <w:szCs w:val="22"/>
        </w:rPr>
        <w:t>R</w:t>
      </w:r>
      <w:r w:rsidR="008624EB" w:rsidRPr="0088408E">
        <w:rPr>
          <w:szCs w:val="22"/>
        </w:rPr>
        <w:t>esponse (PSCR</w:t>
      </w:r>
      <w:r w:rsidRPr="0088408E">
        <w:rPr>
          <w:szCs w:val="22"/>
        </w:rPr>
        <w:t>) considered that the number of paediatric patients currently treated with omalizumab for severe allergic asthma was likely to be under 10, and agreed that a grandfathering clause for these patients would be appropriate.</w:t>
      </w:r>
    </w:p>
    <w:p w:rsidR="008843C9" w:rsidRPr="0088408E" w:rsidRDefault="008843C9" w:rsidP="008843C9">
      <w:pPr>
        <w:widowControl/>
        <w:rPr>
          <w:szCs w:val="22"/>
        </w:rPr>
      </w:pPr>
    </w:p>
    <w:p w:rsidR="00386B49" w:rsidRPr="0088408E" w:rsidRDefault="00386B49" w:rsidP="00660F7D">
      <w:pPr>
        <w:ind w:firstLine="720"/>
        <w:rPr>
          <w:bCs/>
          <w:szCs w:val="22"/>
        </w:rPr>
      </w:pPr>
      <w:r w:rsidRPr="0088408E">
        <w:rPr>
          <w:bCs/>
          <w:i/>
          <w:szCs w:val="22"/>
        </w:rPr>
        <w:t>For more detail on PBAC’s view, see section 7 “PBAC outcome”</w:t>
      </w:r>
    </w:p>
    <w:p w:rsidR="00386B49" w:rsidRPr="0088408E" w:rsidRDefault="00386B49" w:rsidP="003649A2">
      <w:pPr>
        <w:widowControl/>
        <w:rPr>
          <w:szCs w:val="22"/>
        </w:rPr>
      </w:pPr>
    </w:p>
    <w:p w:rsidR="003649A2" w:rsidRPr="0088408E" w:rsidRDefault="003649A2" w:rsidP="003649A2"/>
    <w:p w:rsidR="003649A2" w:rsidRPr="0088408E" w:rsidRDefault="003649A2" w:rsidP="00F34CCB">
      <w:pPr>
        <w:pStyle w:val="Heading1"/>
      </w:pPr>
      <w:bookmarkStart w:id="8" w:name="_Toc451348690"/>
      <w:r w:rsidRPr="0088408E">
        <w:t>Background</w:t>
      </w:r>
      <w:bookmarkEnd w:id="8"/>
    </w:p>
    <w:p w:rsidR="003649A2" w:rsidRPr="0088408E" w:rsidRDefault="003649A2" w:rsidP="003649A2">
      <w:pPr>
        <w:rPr>
          <w:szCs w:val="22"/>
        </w:rPr>
      </w:pPr>
    </w:p>
    <w:p w:rsidR="003649A2" w:rsidRPr="0088408E" w:rsidRDefault="00FD248E" w:rsidP="001F69C2">
      <w:pPr>
        <w:pStyle w:val="ListParagraph"/>
        <w:widowControl/>
        <w:numPr>
          <w:ilvl w:val="1"/>
          <w:numId w:val="2"/>
        </w:numPr>
        <w:rPr>
          <w:szCs w:val="22"/>
        </w:rPr>
      </w:pPr>
      <w:r w:rsidRPr="0088408E">
        <w:rPr>
          <w:b/>
          <w:bCs/>
          <w:szCs w:val="22"/>
        </w:rPr>
        <w:t>TGA status:</w:t>
      </w:r>
      <w:r w:rsidRPr="0088408E">
        <w:rPr>
          <w:bCs/>
          <w:szCs w:val="22"/>
        </w:rPr>
        <w:t xml:space="preserve"> </w:t>
      </w:r>
      <w:r w:rsidR="003649A2" w:rsidRPr="0088408E">
        <w:rPr>
          <w:szCs w:val="22"/>
        </w:rPr>
        <w:t>Omalizumab was approved for registration by the TGA for paediatric asthma in January 2016.</w:t>
      </w:r>
    </w:p>
    <w:p w:rsidR="003649A2" w:rsidRPr="0088408E" w:rsidRDefault="003649A2" w:rsidP="003649A2">
      <w:pPr>
        <w:pStyle w:val="ListParagraph"/>
        <w:rPr>
          <w:szCs w:val="22"/>
        </w:rPr>
      </w:pPr>
      <w:r w:rsidRPr="0088408E">
        <w:t xml:space="preserve"> </w:t>
      </w:r>
    </w:p>
    <w:p w:rsidR="003649A2" w:rsidRPr="0088408E" w:rsidRDefault="003649A2" w:rsidP="001F69C2">
      <w:pPr>
        <w:pStyle w:val="ListParagraph"/>
        <w:widowControl/>
        <w:numPr>
          <w:ilvl w:val="1"/>
          <w:numId w:val="2"/>
        </w:numPr>
        <w:rPr>
          <w:szCs w:val="22"/>
        </w:rPr>
      </w:pPr>
      <w:r w:rsidRPr="0088408E">
        <w:rPr>
          <w:szCs w:val="22"/>
        </w:rPr>
        <w:t xml:space="preserve">This is the first PBAC consideration for omalizumab in the paediatric population. </w:t>
      </w:r>
    </w:p>
    <w:p w:rsidR="003649A2" w:rsidRPr="0088408E" w:rsidRDefault="003649A2" w:rsidP="003649A2">
      <w:pPr>
        <w:pStyle w:val="ListParagraph"/>
        <w:rPr>
          <w:szCs w:val="22"/>
        </w:rPr>
      </w:pPr>
    </w:p>
    <w:p w:rsidR="003649A2" w:rsidRPr="0088408E" w:rsidRDefault="003649A2" w:rsidP="001F69C2">
      <w:pPr>
        <w:pStyle w:val="ListParagraph"/>
        <w:widowControl/>
        <w:numPr>
          <w:ilvl w:val="1"/>
          <w:numId w:val="2"/>
        </w:numPr>
      </w:pPr>
      <w:bookmarkStart w:id="9" w:name="_Toc450203542"/>
      <w:r w:rsidRPr="0088408E">
        <w:lastRenderedPageBreak/>
        <w:t xml:space="preserve">Omalizumab </w:t>
      </w:r>
      <w:r w:rsidR="00EC5F86" w:rsidRPr="0088408E">
        <w:t>was first recommended for listing in November 2010 and is</w:t>
      </w:r>
      <w:r w:rsidRPr="0088408E">
        <w:t xml:space="preserve"> currently PBS-listed as a Section 100 (Highly Specialised Drugs Program) written authority required item for the treatment of adolescents and adults with uncontrolled severe allergic asthma who have failed to achieve adequate control despite optimised asthma therapy, have a total serum immunoglobulin E (IgE) of ≥ </w:t>
      </w:r>
      <w:r w:rsidR="00805C16" w:rsidRPr="0088408E">
        <w:t>76</w:t>
      </w:r>
      <w:r w:rsidRPr="0088408E">
        <w:t> IU/mL, and who fulfil certain criteria.</w:t>
      </w:r>
      <w:bookmarkEnd w:id="9"/>
      <w:r w:rsidRPr="0088408E">
        <w:t xml:space="preserve"> </w:t>
      </w:r>
      <w:r w:rsidR="00EC5F86" w:rsidRPr="0088408E">
        <w:t xml:space="preserve">In making the recommendation, the PBAC considered the rate of clinically significant asthma exacerbations and rate of severe asthma exacerbations as the primary outcomes of interest. </w:t>
      </w:r>
    </w:p>
    <w:p w:rsidR="003649A2" w:rsidRPr="0088408E" w:rsidRDefault="003649A2" w:rsidP="003649A2">
      <w:pPr>
        <w:pStyle w:val="PBACHeading1"/>
        <w:numPr>
          <w:ilvl w:val="0"/>
          <w:numId w:val="0"/>
        </w:numPr>
        <w:ind w:left="720"/>
        <w:rPr>
          <w:b w:val="0"/>
        </w:rPr>
      </w:pPr>
    </w:p>
    <w:p w:rsidR="003649A2" w:rsidRPr="0088408E" w:rsidRDefault="003649A2" w:rsidP="001F69C2">
      <w:pPr>
        <w:pStyle w:val="ListParagraph"/>
        <w:widowControl/>
        <w:numPr>
          <w:ilvl w:val="1"/>
          <w:numId w:val="2"/>
        </w:numPr>
      </w:pPr>
      <w:bookmarkStart w:id="10" w:name="_Toc450203543"/>
      <w:r w:rsidRPr="0088408E">
        <w:t>In November 2015, the PBAC recommended amendment to the PBS restriction of omalizumab 75 mg and 150 mg pre-filled syringe to allow patients with a baseline IgE 30–75 IU/mL who met all other existing PBS eligibility criteria to have the opportunity to trial omalizumab for their severe allergic asthma on the basis that it should be available only under special arrangements under Section 100 (Highly Specialise</w:t>
      </w:r>
      <w:r w:rsidR="00405F02" w:rsidRPr="0088408E">
        <w:t xml:space="preserve">d Drugs Program). </w:t>
      </w:r>
      <w:bookmarkEnd w:id="10"/>
    </w:p>
    <w:p w:rsidR="003649A2" w:rsidRPr="0088408E" w:rsidRDefault="003649A2" w:rsidP="009166CC"/>
    <w:p w:rsidR="003649A2" w:rsidRPr="0088408E" w:rsidRDefault="003649A2" w:rsidP="001F69C2">
      <w:pPr>
        <w:pStyle w:val="ListParagraph"/>
        <w:widowControl/>
        <w:numPr>
          <w:ilvl w:val="1"/>
          <w:numId w:val="2"/>
        </w:numPr>
      </w:pPr>
      <w:bookmarkStart w:id="11" w:name="_Toc450203544"/>
      <w:r w:rsidRPr="0088408E">
        <w:t xml:space="preserve">In November 2015, the PBAC also considered and recommended the application to list omalizumab for patients with chronic </w:t>
      </w:r>
      <w:r w:rsidR="00EC5F86" w:rsidRPr="0088408E">
        <w:t>spontaneous</w:t>
      </w:r>
      <w:r w:rsidRPr="0088408E">
        <w:t xml:space="preserve"> urticaria. The listing </w:t>
      </w:r>
      <w:r w:rsidR="00405F02" w:rsidRPr="0088408E">
        <w:t>was</w:t>
      </w:r>
      <w:r w:rsidRPr="0088408E">
        <w:t xml:space="preserve"> yet to be imple</w:t>
      </w:r>
      <w:r w:rsidR="00EC5F86" w:rsidRPr="0088408E">
        <w:t>mented</w:t>
      </w:r>
      <w:r w:rsidRPr="0088408E">
        <w:t>.</w:t>
      </w:r>
      <w:bookmarkEnd w:id="11"/>
    </w:p>
    <w:p w:rsidR="00B7544E" w:rsidRPr="0088408E" w:rsidRDefault="00B7544E" w:rsidP="00226EDE">
      <w:pPr>
        <w:widowControl/>
      </w:pPr>
    </w:p>
    <w:p w:rsidR="00B7544E" w:rsidRPr="0088408E" w:rsidRDefault="00B7544E" w:rsidP="00226EDE">
      <w:pPr>
        <w:widowControl/>
      </w:pPr>
    </w:p>
    <w:p w:rsidR="003649A2" w:rsidRPr="0088408E" w:rsidRDefault="003649A2" w:rsidP="00F34CCB">
      <w:pPr>
        <w:pStyle w:val="Heading1"/>
      </w:pPr>
      <w:bookmarkStart w:id="12" w:name="_Toc451348691"/>
      <w:r w:rsidRPr="0088408E">
        <w:t>Clinical place for the proposed therapy</w:t>
      </w:r>
      <w:bookmarkEnd w:id="12"/>
    </w:p>
    <w:p w:rsidR="003649A2" w:rsidRPr="0088408E" w:rsidRDefault="003649A2" w:rsidP="003649A2">
      <w:pPr>
        <w:rPr>
          <w:szCs w:val="22"/>
        </w:rPr>
      </w:pPr>
    </w:p>
    <w:p w:rsidR="003649A2" w:rsidRPr="0088408E" w:rsidRDefault="003649A2" w:rsidP="001F69C2">
      <w:pPr>
        <w:pStyle w:val="ListParagraph"/>
        <w:widowControl/>
        <w:numPr>
          <w:ilvl w:val="1"/>
          <w:numId w:val="2"/>
        </w:numPr>
      </w:pPr>
      <w:r w:rsidRPr="0088408E">
        <w:t xml:space="preserve">Allergic asthma is caused by allergens to which a person has been sensitised, which result in over-producing IgE antibodies directed against the allergen. Subsequent exposure to the allergen, after sensitisation, elicits an allergic response, release of inflammatory mediators, leading to symptoms such as airway narrowing, chest tightness, coughing and wheezing. </w:t>
      </w:r>
    </w:p>
    <w:p w:rsidR="003649A2" w:rsidRPr="0088408E" w:rsidRDefault="003649A2" w:rsidP="003649A2">
      <w:pPr>
        <w:widowControl/>
      </w:pPr>
    </w:p>
    <w:p w:rsidR="003649A2" w:rsidRPr="0088408E" w:rsidRDefault="003649A2" w:rsidP="001F69C2">
      <w:pPr>
        <w:pStyle w:val="ListParagraph"/>
        <w:widowControl/>
        <w:numPr>
          <w:ilvl w:val="1"/>
          <w:numId w:val="2"/>
        </w:numPr>
        <w:rPr>
          <w:szCs w:val="22"/>
        </w:rPr>
      </w:pPr>
      <w:r w:rsidRPr="0088408E">
        <w:t>Omalizumab, administered as a subcutaneous injection, is an add-on treatment for the management of severe allergic asthma for patients who are treated with maximal recommended asthma maintenance medication, yet remain symptomatic.</w:t>
      </w:r>
      <w:r w:rsidRPr="0088408E">
        <w:rPr>
          <w:szCs w:val="22"/>
        </w:rPr>
        <w:t xml:space="preserve"> Omalizumab will be a last-line therapy. </w:t>
      </w:r>
    </w:p>
    <w:p w:rsidR="00037EDA" w:rsidRPr="0088408E" w:rsidRDefault="00037EDA" w:rsidP="006C48D4">
      <w:pPr>
        <w:pStyle w:val="ListParagraph"/>
        <w:rPr>
          <w:szCs w:val="22"/>
        </w:rPr>
      </w:pPr>
    </w:p>
    <w:p w:rsidR="00037EDA" w:rsidRPr="0088408E" w:rsidRDefault="006C48D4" w:rsidP="001F69C2">
      <w:pPr>
        <w:pStyle w:val="ListParagraph"/>
        <w:widowControl/>
        <w:numPr>
          <w:ilvl w:val="1"/>
          <w:numId w:val="2"/>
        </w:numPr>
        <w:rPr>
          <w:szCs w:val="22"/>
        </w:rPr>
      </w:pPr>
      <w:r w:rsidRPr="0088408E">
        <w:rPr>
          <w:szCs w:val="22"/>
        </w:rPr>
        <w:t xml:space="preserve">The PBAC noted there is a clinical need for omalizumab. The PBAC </w:t>
      </w:r>
      <w:r w:rsidR="00DD4AB4" w:rsidRPr="0088408E">
        <w:rPr>
          <w:szCs w:val="22"/>
        </w:rPr>
        <w:t>considered that</w:t>
      </w:r>
      <w:r w:rsidR="0007392E" w:rsidRPr="0088408E">
        <w:rPr>
          <w:szCs w:val="22"/>
        </w:rPr>
        <w:t xml:space="preserve"> </w:t>
      </w:r>
      <w:r w:rsidR="00C00EE8" w:rsidRPr="0088408E">
        <w:rPr>
          <w:szCs w:val="22"/>
        </w:rPr>
        <w:t xml:space="preserve">omalizumab would be beneficial to the </w:t>
      </w:r>
      <w:r w:rsidRPr="0088408E">
        <w:rPr>
          <w:szCs w:val="22"/>
        </w:rPr>
        <w:t xml:space="preserve">small paediatric population that would use the </w:t>
      </w:r>
      <w:r w:rsidR="00C00EE8" w:rsidRPr="0088408E">
        <w:rPr>
          <w:szCs w:val="22"/>
        </w:rPr>
        <w:t>proposed therapy because</w:t>
      </w:r>
      <w:r w:rsidRPr="0088408E">
        <w:rPr>
          <w:szCs w:val="22"/>
        </w:rPr>
        <w:t xml:space="preserve"> </w:t>
      </w:r>
      <w:r w:rsidRPr="00624DC7">
        <w:rPr>
          <w:bCs/>
        </w:rPr>
        <w:t xml:space="preserve">there </w:t>
      </w:r>
      <w:r w:rsidR="0001365B" w:rsidRPr="00624DC7">
        <w:rPr>
          <w:bCs/>
        </w:rPr>
        <w:t>are currently limited options</w:t>
      </w:r>
      <w:r w:rsidRPr="00624DC7">
        <w:rPr>
          <w:bCs/>
        </w:rPr>
        <w:t xml:space="preserve"> available to treat</w:t>
      </w:r>
      <w:r w:rsidR="0001365B" w:rsidRPr="00624DC7">
        <w:rPr>
          <w:bCs/>
        </w:rPr>
        <w:t xml:space="preserve"> severe allergic asthma in</w:t>
      </w:r>
      <w:r w:rsidRPr="00624DC7">
        <w:rPr>
          <w:bCs/>
        </w:rPr>
        <w:t xml:space="preserve"> this group and that long term oral steroid use is unfavourable. </w:t>
      </w:r>
    </w:p>
    <w:p w:rsidR="00377BB4" w:rsidRPr="0088408E" w:rsidRDefault="00377BB4" w:rsidP="00297523">
      <w:pPr>
        <w:widowControl/>
        <w:rPr>
          <w:szCs w:val="22"/>
        </w:rPr>
      </w:pPr>
    </w:p>
    <w:p w:rsidR="00386B49" w:rsidRPr="0088408E" w:rsidRDefault="00386B49" w:rsidP="00660F7D">
      <w:pPr>
        <w:ind w:firstLine="720"/>
        <w:rPr>
          <w:bCs/>
          <w:szCs w:val="22"/>
        </w:rPr>
      </w:pPr>
      <w:r w:rsidRPr="0088408E">
        <w:rPr>
          <w:bCs/>
          <w:i/>
          <w:szCs w:val="22"/>
        </w:rPr>
        <w:t>For more detail on PBAC’s view, see section 7 “PBAC outcome”</w:t>
      </w:r>
    </w:p>
    <w:p w:rsidR="00386B49" w:rsidRPr="0088408E" w:rsidRDefault="00386B49" w:rsidP="00297523">
      <w:pPr>
        <w:widowControl/>
        <w:rPr>
          <w:szCs w:val="22"/>
        </w:rPr>
      </w:pPr>
    </w:p>
    <w:p w:rsidR="003649A2" w:rsidRPr="0088408E" w:rsidRDefault="003649A2" w:rsidP="003649A2">
      <w:pPr>
        <w:pStyle w:val="Header"/>
        <w:rPr>
          <w:szCs w:val="22"/>
        </w:rPr>
      </w:pPr>
    </w:p>
    <w:p w:rsidR="003649A2" w:rsidRPr="0088408E" w:rsidRDefault="003649A2" w:rsidP="00F34CCB">
      <w:pPr>
        <w:pStyle w:val="Heading1"/>
      </w:pPr>
      <w:bookmarkStart w:id="13" w:name="_Toc451348692"/>
      <w:r w:rsidRPr="0088408E">
        <w:t>Comparator</w:t>
      </w:r>
      <w:bookmarkEnd w:id="13"/>
    </w:p>
    <w:p w:rsidR="003649A2" w:rsidRPr="0088408E" w:rsidRDefault="003649A2" w:rsidP="003649A2"/>
    <w:p w:rsidR="00037EDA" w:rsidRPr="0088408E" w:rsidRDefault="003649A2" w:rsidP="006C48D4">
      <w:pPr>
        <w:pStyle w:val="ListParagraph"/>
        <w:widowControl/>
        <w:numPr>
          <w:ilvl w:val="1"/>
          <w:numId w:val="2"/>
        </w:numPr>
        <w:rPr>
          <w:szCs w:val="22"/>
        </w:rPr>
      </w:pPr>
      <w:r w:rsidRPr="0088408E">
        <w:t xml:space="preserve">The comparator was placebo plus optimised asthma therapy. This was an appropriate comparator. </w:t>
      </w:r>
    </w:p>
    <w:p w:rsidR="003649A2" w:rsidRPr="0088408E" w:rsidRDefault="003649A2" w:rsidP="003649A2">
      <w:pPr>
        <w:rPr>
          <w:szCs w:val="22"/>
        </w:rPr>
      </w:pPr>
    </w:p>
    <w:p w:rsidR="00386B49" w:rsidRPr="0088408E" w:rsidRDefault="00386B49" w:rsidP="00660F7D">
      <w:pPr>
        <w:ind w:firstLine="720"/>
        <w:rPr>
          <w:bCs/>
          <w:szCs w:val="22"/>
        </w:rPr>
      </w:pPr>
      <w:r w:rsidRPr="0088408E">
        <w:rPr>
          <w:bCs/>
          <w:i/>
          <w:szCs w:val="22"/>
        </w:rPr>
        <w:t>For more detail on PBAC’s view, see section 7 “PBAC outcome”</w:t>
      </w:r>
    </w:p>
    <w:p w:rsidR="00386B49" w:rsidRPr="0088408E" w:rsidRDefault="00386B49" w:rsidP="003649A2">
      <w:pPr>
        <w:rPr>
          <w:szCs w:val="22"/>
        </w:rPr>
      </w:pPr>
    </w:p>
    <w:p w:rsidR="003649A2" w:rsidRPr="0088408E" w:rsidRDefault="003649A2" w:rsidP="003649A2">
      <w:pPr>
        <w:rPr>
          <w:szCs w:val="22"/>
        </w:rPr>
      </w:pPr>
    </w:p>
    <w:p w:rsidR="003649A2" w:rsidRPr="0088408E" w:rsidRDefault="003649A2" w:rsidP="00F34CCB">
      <w:pPr>
        <w:pStyle w:val="Heading1"/>
      </w:pPr>
      <w:bookmarkStart w:id="14" w:name="_Toc451348693"/>
      <w:r w:rsidRPr="0088408E">
        <w:lastRenderedPageBreak/>
        <w:t>Consideration of the evidence</w:t>
      </w:r>
      <w:bookmarkEnd w:id="14"/>
    </w:p>
    <w:p w:rsidR="003649A2" w:rsidRPr="0088408E" w:rsidRDefault="003649A2" w:rsidP="003649A2"/>
    <w:p w:rsidR="00575530" w:rsidRPr="00F34CCB" w:rsidRDefault="00575530" w:rsidP="00F34CCB">
      <w:pPr>
        <w:pStyle w:val="Heading2"/>
      </w:pPr>
      <w:r w:rsidRPr="00F34CCB">
        <w:t>Sponsor hearing</w:t>
      </w:r>
    </w:p>
    <w:p w:rsidR="00DA2551" w:rsidRPr="0088408E" w:rsidRDefault="00DA2551" w:rsidP="00575530">
      <w:pPr>
        <w:rPr>
          <w:b/>
          <w:bCs/>
          <w:szCs w:val="22"/>
        </w:rPr>
      </w:pPr>
    </w:p>
    <w:p w:rsidR="00575530" w:rsidRDefault="00364DE0" w:rsidP="00364DE0">
      <w:pPr>
        <w:widowControl/>
        <w:numPr>
          <w:ilvl w:val="1"/>
          <w:numId w:val="2"/>
        </w:numPr>
        <w:spacing w:after="120"/>
        <w:rPr>
          <w:bCs/>
          <w:szCs w:val="22"/>
        </w:rPr>
      </w:pPr>
      <w:r>
        <w:rPr>
          <w:bCs/>
          <w:szCs w:val="22"/>
        </w:rPr>
        <w:t xml:space="preserve">The </w:t>
      </w:r>
      <w:r w:rsidRPr="0088408E">
        <w:rPr>
          <w:bCs/>
          <w:szCs w:val="22"/>
        </w:rPr>
        <w:t>sponsor requested a hearing for this item. At the hearing, the clinician estimated that approximately 100 children will be eligible for omalizumab in the proposed age group, confirmed the dose regime stated in the product information is used in practice and noted the anaphylaxis risks involved with subcutaneous injections. The PBAC noted the patient numbers presented were consistent with the estimates in the submission and considered that the hearing was informative as it provided a clinical perspective on treating severe asthma in the proposed population grou</w:t>
      </w:r>
      <w:r>
        <w:rPr>
          <w:bCs/>
          <w:szCs w:val="22"/>
        </w:rPr>
        <w:t>p.</w:t>
      </w:r>
    </w:p>
    <w:p w:rsidR="00575530" w:rsidRPr="00DA2551" w:rsidRDefault="00575530" w:rsidP="00F34CCB">
      <w:pPr>
        <w:pStyle w:val="Heading2"/>
      </w:pPr>
      <w:r w:rsidRPr="00DA2551">
        <w:t>Consumer comments</w:t>
      </w:r>
    </w:p>
    <w:p w:rsidR="00DA2551" w:rsidRPr="0088408E" w:rsidRDefault="00DA2551" w:rsidP="00DD4AB4">
      <w:pPr>
        <w:rPr>
          <w:b/>
          <w:bCs/>
          <w:szCs w:val="22"/>
        </w:rPr>
      </w:pPr>
    </w:p>
    <w:p w:rsidR="00753577" w:rsidRPr="0088408E" w:rsidRDefault="00575530" w:rsidP="00DD4AB4">
      <w:pPr>
        <w:widowControl/>
        <w:numPr>
          <w:ilvl w:val="1"/>
          <w:numId w:val="2"/>
        </w:numPr>
        <w:spacing w:after="120"/>
        <w:rPr>
          <w:bCs/>
          <w:szCs w:val="22"/>
        </w:rPr>
      </w:pPr>
      <w:r w:rsidRPr="0088408E">
        <w:rPr>
          <w:bCs/>
          <w:szCs w:val="22"/>
        </w:rPr>
        <w:t>The PBAC noted and welcomed the input from organisations (</w:t>
      </w:r>
      <w:r w:rsidR="00753577" w:rsidRPr="0088408E">
        <w:rPr>
          <w:bCs/>
          <w:szCs w:val="22"/>
        </w:rPr>
        <w:t>2</w:t>
      </w:r>
      <w:r w:rsidRPr="0088408E">
        <w:rPr>
          <w:bCs/>
          <w:szCs w:val="22"/>
        </w:rPr>
        <w:t xml:space="preserve">) via the Consumer Comments facility on the PBS website.  The comments described a range of benefits of treatment with </w:t>
      </w:r>
      <w:r w:rsidR="00753577" w:rsidRPr="0088408E">
        <w:rPr>
          <w:bCs/>
          <w:szCs w:val="22"/>
        </w:rPr>
        <w:t xml:space="preserve">omalizumab </w:t>
      </w:r>
      <w:r w:rsidRPr="0088408E">
        <w:rPr>
          <w:bCs/>
          <w:szCs w:val="22"/>
        </w:rPr>
        <w:t xml:space="preserve">including </w:t>
      </w:r>
      <w:r w:rsidR="00753577" w:rsidRPr="0088408E">
        <w:rPr>
          <w:bCs/>
          <w:szCs w:val="22"/>
        </w:rPr>
        <w:t>improved asthma control and quality of life, reduced days missed from school, reduced short-acting bronchodilator use, significantly reduced asthma exacerbation rates, clinical benefits as a result of reduced oral corticosteroid use, reduced daily inhaled corticosteroid dosage and subsequent side-effects and decreased healthcare utilisation, hospital and outpatient services.</w:t>
      </w:r>
      <w:r w:rsidR="00235DD6" w:rsidRPr="0088408E">
        <w:rPr>
          <w:bCs/>
          <w:szCs w:val="22"/>
        </w:rPr>
        <w:t xml:space="preserve"> </w:t>
      </w:r>
    </w:p>
    <w:p w:rsidR="003649A2" w:rsidRPr="00DA2551" w:rsidRDefault="003649A2" w:rsidP="00F34CCB">
      <w:pPr>
        <w:pStyle w:val="Heading2"/>
      </w:pPr>
      <w:bookmarkStart w:id="15" w:name="_Toc451348694"/>
      <w:r w:rsidRPr="00DA2551">
        <w:t>Clinical trials</w:t>
      </w:r>
      <w:bookmarkEnd w:id="15"/>
    </w:p>
    <w:p w:rsidR="003649A2" w:rsidRPr="0088408E" w:rsidRDefault="003649A2" w:rsidP="003649A2">
      <w:pPr>
        <w:rPr>
          <w:szCs w:val="22"/>
        </w:rPr>
      </w:pPr>
    </w:p>
    <w:p w:rsidR="005E68D5" w:rsidRPr="0088408E" w:rsidRDefault="003649A2" w:rsidP="001F69C2">
      <w:pPr>
        <w:pStyle w:val="ListParagraph"/>
        <w:widowControl/>
        <w:numPr>
          <w:ilvl w:val="1"/>
          <w:numId w:val="2"/>
        </w:numPr>
        <w:rPr>
          <w:szCs w:val="22"/>
        </w:rPr>
      </w:pPr>
      <w:r w:rsidRPr="0088408E">
        <w:t xml:space="preserve">The submission was based on one head-to-head randomised control trial comparing omalizumab plus optimised asthma therapy to placebo plus optimised asthma therapy (n = 628) and six supplementary before/after studies. Within the key trial (IA05), </w:t>
      </w:r>
      <w:r w:rsidR="005E68D5" w:rsidRPr="0088408E">
        <w:t xml:space="preserve">the modified intention-to-treat (mITT) and </w:t>
      </w:r>
      <w:r w:rsidRPr="0088408E">
        <w:t>one pre-specified subgroup analysis (IA05-EU) w</w:t>
      </w:r>
      <w:r w:rsidR="005E68D5" w:rsidRPr="0088408E">
        <w:t>ere</w:t>
      </w:r>
      <w:r w:rsidRPr="0088408E">
        <w:t xml:space="preserve"> presented. Th</w:t>
      </w:r>
      <w:r w:rsidR="005E68D5" w:rsidRPr="0088408E">
        <w:t>e IA05-EU</w:t>
      </w:r>
      <w:r w:rsidRPr="0088408E">
        <w:t xml:space="preserve"> subgroup included patients who were treated at baseline with inhaled corticosteroids (ICS) greater or equal to 500 µg fluticasone and a long acting beta-2 agonist (LABA). This subgroup reflected most closely the proposed PBS restriction. </w:t>
      </w:r>
    </w:p>
    <w:p w:rsidR="005E68D5" w:rsidRPr="0088408E" w:rsidRDefault="005E68D5" w:rsidP="005E68D5">
      <w:pPr>
        <w:pStyle w:val="ListParagraph"/>
        <w:widowControl/>
        <w:rPr>
          <w:szCs w:val="22"/>
        </w:rPr>
      </w:pPr>
    </w:p>
    <w:p w:rsidR="005E68D5" w:rsidRPr="0088408E" w:rsidRDefault="005174E7" w:rsidP="001F69C2">
      <w:pPr>
        <w:pStyle w:val="ListParagraph"/>
        <w:widowControl/>
        <w:numPr>
          <w:ilvl w:val="1"/>
          <w:numId w:val="2"/>
        </w:numPr>
        <w:rPr>
          <w:szCs w:val="22"/>
        </w:rPr>
      </w:pPr>
      <w:r w:rsidRPr="0088408E">
        <w:t>Additionally, t</w:t>
      </w:r>
      <w:r w:rsidR="003649A2" w:rsidRPr="0088408E">
        <w:t>hree ad hoc subgroups of the IA05-EU subgroup were presented in the submission</w:t>
      </w:r>
      <w:r w:rsidR="005E68D5" w:rsidRPr="0088408E">
        <w:t xml:space="preserve"> (IA05-EU Responder; IA05-EU ≥3 Exacerbations; and IA05-EU ≥3</w:t>
      </w:r>
      <w:r w:rsidR="00C04028" w:rsidRPr="0088408E">
        <w:t> </w:t>
      </w:r>
      <w:r w:rsidR="005E68D5" w:rsidRPr="0088408E">
        <w:t>Exacerbations and Responder)</w:t>
      </w:r>
      <w:r w:rsidR="003649A2" w:rsidRPr="0088408E">
        <w:t xml:space="preserve">. </w:t>
      </w:r>
      <w:r w:rsidR="005E68D5" w:rsidRPr="0088408E">
        <w:rPr>
          <w:szCs w:val="22"/>
        </w:rPr>
        <w:t>The IA05-EU ≥3 Exacerbations subgroup analysis was not relevant due to the population having more severe disease than the proposed PBS restriction population. The other two ad hoc subgro</w:t>
      </w:r>
      <w:r w:rsidR="00C04028" w:rsidRPr="0088408E">
        <w:rPr>
          <w:szCs w:val="22"/>
        </w:rPr>
        <w:t>up analysis, IA05</w:t>
      </w:r>
      <w:r w:rsidR="00C04028" w:rsidRPr="0088408E">
        <w:rPr>
          <w:szCs w:val="22"/>
        </w:rPr>
        <w:noBreakHyphen/>
      </w:r>
      <w:r w:rsidR="00C81BE8" w:rsidRPr="0088408E">
        <w:rPr>
          <w:szCs w:val="22"/>
        </w:rPr>
        <w:t>EU Responder</w:t>
      </w:r>
      <w:r w:rsidR="005E68D5" w:rsidRPr="0088408E">
        <w:rPr>
          <w:szCs w:val="22"/>
        </w:rPr>
        <w:t xml:space="preserve"> and IA05-EU ≥3 Exacerbations &amp; Responder, relied on the global evaluation of treatment effectiveness (GETE) tool to measure responders. There were a number of </w:t>
      </w:r>
      <w:r w:rsidR="00CF273F" w:rsidRPr="0088408E">
        <w:rPr>
          <w:szCs w:val="22"/>
        </w:rPr>
        <w:t xml:space="preserve">issues </w:t>
      </w:r>
      <w:r w:rsidR="005E68D5" w:rsidRPr="0088408E">
        <w:rPr>
          <w:szCs w:val="22"/>
        </w:rPr>
        <w:t xml:space="preserve">with these two ad hoc analyses groups: </w:t>
      </w:r>
    </w:p>
    <w:p w:rsidR="005E68D5" w:rsidRPr="0088408E" w:rsidRDefault="005E68D5" w:rsidP="001F69C2">
      <w:pPr>
        <w:pStyle w:val="ListParagraph"/>
        <w:widowControl/>
        <w:numPr>
          <w:ilvl w:val="2"/>
          <w:numId w:val="6"/>
        </w:numPr>
        <w:ind w:left="1134" w:hanging="425"/>
        <w:rPr>
          <w:szCs w:val="22"/>
        </w:rPr>
      </w:pPr>
      <w:r w:rsidRPr="0088408E">
        <w:rPr>
          <w:szCs w:val="22"/>
        </w:rPr>
        <w:t>The placebo arm contained both responders and non-responders (measured by the GETE tool), while the treatment arm only consisted of responders. This was a biased comparison; and</w:t>
      </w:r>
    </w:p>
    <w:p w:rsidR="005E68D5" w:rsidRPr="0088408E" w:rsidRDefault="005E68D5" w:rsidP="001F69C2">
      <w:pPr>
        <w:pStyle w:val="ListParagraph"/>
        <w:widowControl/>
        <w:numPr>
          <w:ilvl w:val="2"/>
          <w:numId w:val="6"/>
        </w:numPr>
        <w:ind w:left="1134" w:hanging="425"/>
        <w:rPr>
          <w:szCs w:val="22"/>
        </w:rPr>
      </w:pPr>
      <w:r w:rsidRPr="0088408E">
        <w:rPr>
          <w:szCs w:val="22"/>
        </w:rPr>
        <w:t>The use of the GETE tool as a proxy for patient response might be unreasonable. When considering omalizumab for adolescents/adults in November 2009, the PBAC commented</w:t>
      </w:r>
      <w:r w:rsidRPr="0088408E">
        <w:t xml:space="preserve">: </w:t>
      </w:r>
    </w:p>
    <w:p w:rsidR="005E68D5" w:rsidRPr="0088408E" w:rsidRDefault="005E68D5" w:rsidP="005E68D5">
      <w:pPr>
        <w:pStyle w:val="ListParagraph"/>
        <w:widowControl/>
        <w:ind w:left="1560"/>
        <w:rPr>
          <w:szCs w:val="22"/>
        </w:rPr>
      </w:pPr>
      <w:r w:rsidRPr="0088408E">
        <w:rPr>
          <w:szCs w:val="22"/>
        </w:rPr>
        <w:t xml:space="preserve">“The results of the meta-analysis suggest there is no statistically significant difference between treatment with omalizumab + OAT and OAT alone in investigator GETE assessment of response </w:t>
      </w:r>
      <w:r w:rsidRPr="00A75A6E">
        <w:rPr>
          <w:szCs w:val="22"/>
        </w:rPr>
        <w:t xml:space="preserve">[RR </w:t>
      </w:r>
      <w:r w:rsidR="00F34CCB">
        <w:rPr>
          <w:noProof/>
          <w:color w:val="000000"/>
          <w:szCs w:val="22"/>
          <w:highlight w:val="black"/>
        </w:rPr>
        <w:t>'''''''''''</w:t>
      </w:r>
      <w:r w:rsidRPr="00A75A6E">
        <w:rPr>
          <w:szCs w:val="22"/>
        </w:rPr>
        <w:t xml:space="preserve">, 95% CI </w:t>
      </w:r>
      <w:r w:rsidR="00F34CCB">
        <w:rPr>
          <w:noProof/>
          <w:color w:val="000000"/>
          <w:szCs w:val="22"/>
          <w:highlight w:val="black"/>
        </w:rPr>
        <w:t>''''''''''''''' '''''''''''</w:t>
      </w:r>
      <w:r w:rsidRPr="00A75A6E">
        <w:rPr>
          <w:szCs w:val="22"/>
        </w:rPr>
        <w:t>]</w:t>
      </w:r>
      <w:r w:rsidRPr="0088408E">
        <w:rPr>
          <w:szCs w:val="22"/>
        </w:rPr>
        <w:t>.” (</w:t>
      </w:r>
      <w:r w:rsidR="00340827" w:rsidRPr="0088408E">
        <w:rPr>
          <w:szCs w:val="22"/>
        </w:rPr>
        <w:t xml:space="preserve">Paragraph 5.7.23, </w:t>
      </w:r>
      <w:r w:rsidR="00072E1E" w:rsidRPr="0088408E">
        <w:rPr>
          <w:szCs w:val="22"/>
        </w:rPr>
        <w:t xml:space="preserve">November 2009 PBAC </w:t>
      </w:r>
      <w:r w:rsidR="00340827" w:rsidRPr="0088408E">
        <w:rPr>
          <w:szCs w:val="22"/>
        </w:rPr>
        <w:t>Minutes</w:t>
      </w:r>
      <w:r w:rsidRPr="0088408E">
        <w:rPr>
          <w:szCs w:val="22"/>
        </w:rPr>
        <w:t>); and</w:t>
      </w:r>
    </w:p>
    <w:p w:rsidR="005E68D5" w:rsidRPr="0088408E" w:rsidRDefault="005E68D5" w:rsidP="005E68D5">
      <w:pPr>
        <w:pStyle w:val="ListParagraph"/>
        <w:widowControl/>
        <w:ind w:left="1560"/>
        <w:rPr>
          <w:szCs w:val="22"/>
        </w:rPr>
      </w:pPr>
      <w:r w:rsidRPr="0088408E">
        <w:rPr>
          <w:szCs w:val="22"/>
        </w:rPr>
        <w:lastRenderedPageBreak/>
        <w:t>“The ESC considered that the use of dichotomised GETE scores is not supported in the literature and introduced additional uncertainty in the economic evaluation.  The PBAC noted while the proportion of responders and non-responders appears to favour treatment with omalizumab, no statistical analysis of the results was reported in the submission.” (</w:t>
      </w:r>
      <w:r w:rsidR="00340827" w:rsidRPr="0088408E">
        <w:rPr>
          <w:szCs w:val="22"/>
        </w:rPr>
        <w:t xml:space="preserve">Paragraph 5.7.14, </w:t>
      </w:r>
      <w:r w:rsidR="00722D5F" w:rsidRPr="0088408E">
        <w:rPr>
          <w:szCs w:val="22"/>
        </w:rPr>
        <w:t xml:space="preserve">November 2009 PBAC </w:t>
      </w:r>
      <w:r w:rsidR="00AD28C4" w:rsidRPr="0088408E">
        <w:rPr>
          <w:szCs w:val="22"/>
        </w:rPr>
        <w:t>Minutes</w:t>
      </w:r>
      <w:r w:rsidRPr="0088408E">
        <w:rPr>
          <w:szCs w:val="22"/>
        </w:rPr>
        <w:t>)</w:t>
      </w:r>
    </w:p>
    <w:p w:rsidR="003649A2" w:rsidRPr="0088408E" w:rsidRDefault="003649A2" w:rsidP="003649A2">
      <w:pPr>
        <w:widowControl/>
        <w:rPr>
          <w:szCs w:val="22"/>
        </w:rPr>
      </w:pPr>
    </w:p>
    <w:p w:rsidR="00D015FF" w:rsidRPr="0088408E" w:rsidRDefault="003649A2" w:rsidP="00F34CCB">
      <w:pPr>
        <w:pStyle w:val="ListParagraph"/>
        <w:widowControl/>
        <w:numPr>
          <w:ilvl w:val="1"/>
          <w:numId w:val="2"/>
        </w:numPr>
        <w:jc w:val="left"/>
        <w:rPr>
          <w:rStyle w:val="CommentReference"/>
        </w:rPr>
      </w:pPr>
      <w:r w:rsidRPr="00F34CCB">
        <w:rPr>
          <w:szCs w:val="22"/>
        </w:rPr>
        <w:t xml:space="preserve">Details of the trials presented in the submission are provided in the table below.  </w:t>
      </w:r>
    </w:p>
    <w:p w:rsidR="00660F7D" w:rsidRDefault="00660F7D">
      <w:pPr>
        <w:widowControl/>
        <w:jc w:val="left"/>
        <w:rPr>
          <w:rStyle w:val="CommentReference"/>
        </w:rPr>
      </w:pPr>
      <w:r>
        <w:rPr>
          <w:rStyle w:val="CommentReference"/>
        </w:rPr>
        <w:br w:type="page"/>
      </w:r>
    </w:p>
    <w:p w:rsidR="003649A2" w:rsidRPr="0088408E" w:rsidRDefault="003649A2" w:rsidP="003649A2">
      <w:pPr>
        <w:ind w:firstLine="720"/>
        <w:rPr>
          <w:rStyle w:val="CommentReference"/>
        </w:rPr>
      </w:pPr>
      <w:r w:rsidRPr="0088408E">
        <w:rPr>
          <w:rStyle w:val="CommentReference"/>
        </w:rPr>
        <w:lastRenderedPageBreak/>
        <w:t>Table 1: 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10"/>
        <w:gridCol w:w="6095"/>
        <w:gridCol w:w="1540"/>
      </w:tblGrid>
      <w:tr w:rsidR="003649A2" w:rsidRPr="0088408E" w:rsidTr="00433A4D">
        <w:trPr>
          <w:cantSplit/>
          <w:tblHeader/>
        </w:trPr>
        <w:tc>
          <w:tcPr>
            <w:tcW w:w="425" w:type="pct"/>
          </w:tcPr>
          <w:p w:rsidR="003649A2" w:rsidRPr="0088408E" w:rsidRDefault="003649A2" w:rsidP="00433A4D">
            <w:pPr>
              <w:jc w:val="left"/>
              <w:rPr>
                <w:rFonts w:ascii="Arial Narrow" w:hAnsi="Arial Narrow"/>
                <w:b/>
                <w:sz w:val="20"/>
              </w:rPr>
            </w:pPr>
            <w:r w:rsidRPr="0088408E">
              <w:rPr>
                <w:rFonts w:ascii="Arial Narrow" w:hAnsi="Arial Narrow"/>
                <w:b/>
                <w:sz w:val="20"/>
              </w:rPr>
              <w:t>Trial ID</w:t>
            </w:r>
          </w:p>
        </w:tc>
        <w:tc>
          <w:tcPr>
            <w:tcW w:w="3652" w:type="pct"/>
          </w:tcPr>
          <w:p w:rsidR="003649A2" w:rsidRPr="0088408E" w:rsidRDefault="003649A2" w:rsidP="00433A4D">
            <w:pPr>
              <w:jc w:val="center"/>
              <w:rPr>
                <w:rFonts w:ascii="Arial Narrow" w:hAnsi="Arial Narrow"/>
                <w:b/>
                <w:sz w:val="20"/>
              </w:rPr>
            </w:pPr>
            <w:r w:rsidRPr="0088408E">
              <w:rPr>
                <w:rFonts w:ascii="Arial Narrow" w:hAnsi="Arial Narrow"/>
                <w:b/>
                <w:sz w:val="20"/>
              </w:rPr>
              <w:t>Protocol title/ Publication title</w:t>
            </w:r>
          </w:p>
        </w:tc>
        <w:tc>
          <w:tcPr>
            <w:tcW w:w="923" w:type="pct"/>
          </w:tcPr>
          <w:p w:rsidR="003649A2" w:rsidRPr="0088408E" w:rsidRDefault="003649A2" w:rsidP="00433A4D">
            <w:pPr>
              <w:jc w:val="center"/>
              <w:rPr>
                <w:rFonts w:ascii="Arial Narrow" w:hAnsi="Arial Narrow"/>
                <w:b/>
                <w:sz w:val="20"/>
              </w:rPr>
            </w:pPr>
            <w:r w:rsidRPr="0088408E">
              <w:rPr>
                <w:rFonts w:ascii="Arial Narrow" w:hAnsi="Arial Narrow"/>
                <w:b/>
                <w:sz w:val="20"/>
              </w:rPr>
              <w:t>Publication citation</w:t>
            </w:r>
          </w:p>
        </w:tc>
      </w:tr>
      <w:tr w:rsidR="003649A2" w:rsidRPr="0088408E" w:rsidTr="00433A4D">
        <w:trPr>
          <w:cantSplit/>
        </w:trPr>
        <w:tc>
          <w:tcPr>
            <w:tcW w:w="5000" w:type="pct"/>
            <w:gridSpan w:val="3"/>
          </w:tcPr>
          <w:p w:rsidR="003649A2" w:rsidRPr="0088408E" w:rsidRDefault="003649A2" w:rsidP="00433A4D">
            <w:pPr>
              <w:jc w:val="left"/>
              <w:rPr>
                <w:rFonts w:ascii="Arial Narrow" w:hAnsi="Arial Narrow"/>
                <w:b/>
                <w:sz w:val="20"/>
              </w:rPr>
            </w:pPr>
            <w:r w:rsidRPr="0088408E">
              <w:rPr>
                <w:rFonts w:ascii="Arial Narrow" w:hAnsi="Arial Narrow"/>
                <w:b/>
                <w:sz w:val="20"/>
              </w:rPr>
              <w:t>Direct randomised trial</w:t>
            </w:r>
          </w:p>
        </w:tc>
      </w:tr>
      <w:tr w:rsidR="00F34CCB" w:rsidRPr="0088408E" w:rsidTr="00F34CCB">
        <w:trPr>
          <w:cantSplit/>
          <w:trHeight w:val="727"/>
        </w:trPr>
        <w:tc>
          <w:tcPr>
            <w:tcW w:w="425" w:type="pct"/>
            <w:vMerge w:val="restart"/>
          </w:tcPr>
          <w:p w:rsidR="00F34CCB" w:rsidRPr="0088408E" w:rsidRDefault="00F34CCB" w:rsidP="00433A4D">
            <w:pPr>
              <w:rPr>
                <w:rFonts w:ascii="Arial Narrow" w:hAnsi="Arial Narrow"/>
                <w:sz w:val="20"/>
              </w:rPr>
            </w:pPr>
            <w:r w:rsidRPr="0088408E">
              <w:rPr>
                <w:rFonts w:ascii="Arial Narrow" w:hAnsi="Arial Narrow"/>
                <w:sz w:val="20"/>
              </w:rPr>
              <w:t>IA05</w:t>
            </w:r>
          </w:p>
        </w:tc>
        <w:tc>
          <w:tcPr>
            <w:tcW w:w="3652" w:type="pct"/>
            <w:tcBorders>
              <w:bottom w:val="nil"/>
            </w:tcBorders>
          </w:tcPr>
          <w:p w:rsidR="00F34CCB" w:rsidRDefault="00F34CCB" w:rsidP="00F34CCB">
            <w:pPr>
              <w:jc w:val="left"/>
              <w:rPr>
                <w:rFonts w:ascii="Arial Narrow" w:hAnsi="Arial Narrow"/>
                <w:sz w:val="20"/>
              </w:rPr>
            </w:pPr>
            <w:r w:rsidRPr="0088408E">
              <w:rPr>
                <w:rFonts w:ascii="Arial Narrow" w:hAnsi="Arial Narrow"/>
                <w:sz w:val="20"/>
              </w:rPr>
              <w:t>Novartis. A 1 year, randomized, double blind, parallel-group, placebo-controlled, multicenter evaluation of efficacy, safety, pharmacokinetics and pharmacodynamics of omalizumab in children (6 - &lt;12 years) with moderate-severe, persistent, inadequately controlled allergic asthma.</w:t>
            </w:r>
          </w:p>
          <w:p w:rsidR="00F34CCB" w:rsidRPr="0088408E" w:rsidRDefault="00F34CCB" w:rsidP="00F34CCB">
            <w:pPr>
              <w:jc w:val="left"/>
              <w:rPr>
                <w:rFonts w:ascii="Arial Narrow" w:hAnsi="Arial Narrow"/>
                <w:sz w:val="20"/>
              </w:rPr>
            </w:pPr>
          </w:p>
        </w:tc>
        <w:tc>
          <w:tcPr>
            <w:tcW w:w="923" w:type="pct"/>
            <w:tcBorders>
              <w:bottom w:val="nil"/>
            </w:tcBorders>
          </w:tcPr>
          <w:p w:rsidR="00F34CCB" w:rsidRPr="0088408E" w:rsidRDefault="00F34CCB" w:rsidP="00433A4D">
            <w:pPr>
              <w:rPr>
                <w:rFonts w:ascii="Arial Narrow" w:hAnsi="Arial Narrow"/>
                <w:sz w:val="20"/>
              </w:rPr>
            </w:pPr>
            <w:r w:rsidRPr="0088408E">
              <w:rPr>
                <w:rFonts w:ascii="Arial Narrow" w:hAnsi="Arial Narrow"/>
                <w:sz w:val="20"/>
              </w:rPr>
              <w:t>June 2008</w:t>
            </w:r>
          </w:p>
        </w:tc>
      </w:tr>
      <w:tr w:rsidR="00F34CCB" w:rsidRPr="0088408E" w:rsidTr="00F34CCB">
        <w:trPr>
          <w:cantSplit/>
          <w:trHeight w:val="727"/>
        </w:trPr>
        <w:tc>
          <w:tcPr>
            <w:tcW w:w="425" w:type="pct"/>
            <w:vMerge/>
          </w:tcPr>
          <w:p w:rsidR="00F34CCB" w:rsidRPr="0088408E" w:rsidRDefault="00F34CCB" w:rsidP="00433A4D">
            <w:pPr>
              <w:rPr>
                <w:rFonts w:ascii="Arial Narrow" w:hAnsi="Arial Narrow"/>
                <w:sz w:val="20"/>
              </w:rPr>
            </w:pPr>
          </w:p>
        </w:tc>
        <w:tc>
          <w:tcPr>
            <w:tcW w:w="3652" w:type="pct"/>
            <w:tcBorders>
              <w:top w:val="nil"/>
            </w:tcBorders>
          </w:tcPr>
          <w:p w:rsidR="00F34CCB" w:rsidRPr="0088408E" w:rsidRDefault="00F34CCB" w:rsidP="00433A4D">
            <w:pPr>
              <w:jc w:val="left"/>
              <w:rPr>
                <w:rFonts w:ascii="Arial Narrow" w:hAnsi="Arial Narrow"/>
                <w:sz w:val="20"/>
              </w:rPr>
            </w:pPr>
            <w:r w:rsidRPr="0088408E">
              <w:rPr>
                <w:rFonts w:ascii="Arial Narrow" w:hAnsi="Arial Narrow"/>
                <w:sz w:val="20"/>
              </w:rPr>
              <w:t xml:space="preserve">Lanier B, Bridges T, </w:t>
            </w:r>
            <w:proofErr w:type="spellStart"/>
            <w:r w:rsidRPr="0088408E">
              <w:rPr>
                <w:rFonts w:ascii="Arial Narrow" w:hAnsi="Arial Narrow"/>
                <w:sz w:val="20"/>
              </w:rPr>
              <w:t>Kulus</w:t>
            </w:r>
            <w:proofErr w:type="spellEnd"/>
            <w:r w:rsidRPr="0088408E">
              <w:rPr>
                <w:rFonts w:ascii="Arial Narrow" w:hAnsi="Arial Narrow"/>
                <w:sz w:val="20"/>
              </w:rPr>
              <w:t xml:space="preserve"> M, </w:t>
            </w:r>
            <w:r w:rsidRPr="0088408E">
              <w:rPr>
                <w:rFonts w:ascii="Arial Narrow" w:hAnsi="Arial Narrow"/>
                <w:i/>
                <w:sz w:val="20"/>
              </w:rPr>
              <w:t>et al</w:t>
            </w:r>
            <w:r w:rsidRPr="0088408E">
              <w:rPr>
                <w:rFonts w:ascii="Arial Narrow" w:hAnsi="Arial Narrow"/>
                <w:sz w:val="20"/>
              </w:rPr>
              <w:t xml:space="preserve">. </w:t>
            </w:r>
            <w:proofErr w:type="spellStart"/>
            <w:r w:rsidRPr="0088408E">
              <w:rPr>
                <w:rFonts w:ascii="Arial Narrow" w:hAnsi="Arial Narrow"/>
                <w:sz w:val="20"/>
              </w:rPr>
              <w:t>Omalizumab</w:t>
            </w:r>
            <w:proofErr w:type="spellEnd"/>
            <w:r w:rsidRPr="0088408E">
              <w:rPr>
                <w:rFonts w:ascii="Arial Narrow" w:hAnsi="Arial Narrow"/>
                <w:sz w:val="20"/>
              </w:rPr>
              <w:t xml:space="preserve"> for the treatment of exacerbations in children with inadequately controlled allergic (</w:t>
            </w:r>
            <w:proofErr w:type="spellStart"/>
            <w:r w:rsidRPr="0088408E">
              <w:rPr>
                <w:rFonts w:ascii="Arial Narrow" w:hAnsi="Arial Narrow"/>
                <w:sz w:val="20"/>
              </w:rPr>
              <w:t>IgE</w:t>
            </w:r>
            <w:proofErr w:type="spellEnd"/>
            <w:r w:rsidRPr="0088408E">
              <w:rPr>
                <w:rFonts w:ascii="Arial Narrow" w:hAnsi="Arial Narrow"/>
                <w:sz w:val="20"/>
              </w:rPr>
              <w:t>-mediated) asthma.</w:t>
            </w:r>
          </w:p>
        </w:tc>
        <w:tc>
          <w:tcPr>
            <w:tcW w:w="923" w:type="pct"/>
            <w:tcBorders>
              <w:top w:val="nil"/>
            </w:tcBorders>
          </w:tcPr>
          <w:p w:rsidR="00F34CCB" w:rsidRPr="0088408E" w:rsidRDefault="00F34CCB" w:rsidP="00433A4D">
            <w:pPr>
              <w:rPr>
                <w:rFonts w:ascii="Arial Narrow" w:hAnsi="Arial Narrow"/>
                <w:sz w:val="20"/>
              </w:rPr>
            </w:pPr>
            <w:r w:rsidRPr="0088408E">
              <w:rPr>
                <w:rFonts w:ascii="Arial Narrow" w:hAnsi="Arial Narrow"/>
                <w:sz w:val="20"/>
              </w:rPr>
              <w:t xml:space="preserve">2009 J Allergy </w:t>
            </w:r>
            <w:proofErr w:type="spellStart"/>
            <w:r w:rsidRPr="0088408E">
              <w:rPr>
                <w:rFonts w:ascii="Arial Narrow" w:hAnsi="Arial Narrow"/>
                <w:sz w:val="20"/>
              </w:rPr>
              <w:t>Clin</w:t>
            </w:r>
            <w:proofErr w:type="spellEnd"/>
            <w:r w:rsidRPr="0088408E">
              <w:rPr>
                <w:rFonts w:ascii="Arial Narrow" w:hAnsi="Arial Narrow"/>
                <w:sz w:val="20"/>
              </w:rPr>
              <w:t xml:space="preserve"> </w:t>
            </w:r>
            <w:proofErr w:type="spellStart"/>
            <w:r w:rsidRPr="0088408E">
              <w:rPr>
                <w:rFonts w:ascii="Arial Narrow" w:hAnsi="Arial Narrow"/>
                <w:sz w:val="20"/>
              </w:rPr>
              <w:t>Immunol</w:t>
            </w:r>
            <w:proofErr w:type="spellEnd"/>
            <w:r w:rsidRPr="0088408E">
              <w:rPr>
                <w:rFonts w:ascii="Arial Narrow" w:hAnsi="Arial Narrow"/>
                <w:sz w:val="20"/>
              </w:rPr>
              <w:t xml:space="preserve"> 124: 1210-1216</w:t>
            </w:r>
          </w:p>
        </w:tc>
      </w:tr>
      <w:tr w:rsidR="003649A2" w:rsidRPr="0088408E" w:rsidTr="00433A4D">
        <w:trPr>
          <w:cantSplit/>
        </w:trPr>
        <w:tc>
          <w:tcPr>
            <w:tcW w:w="425" w:type="pct"/>
          </w:tcPr>
          <w:p w:rsidR="003649A2" w:rsidRPr="0088408E" w:rsidRDefault="003649A2" w:rsidP="00433A4D">
            <w:pPr>
              <w:rPr>
                <w:rFonts w:ascii="Arial Narrow" w:hAnsi="Arial Narrow"/>
                <w:sz w:val="20"/>
              </w:rPr>
            </w:pPr>
            <w:r w:rsidRPr="0088408E">
              <w:rPr>
                <w:rFonts w:ascii="Arial Narrow" w:hAnsi="Arial Narrow"/>
                <w:sz w:val="20"/>
              </w:rPr>
              <w:t>IA05-EU</w:t>
            </w:r>
          </w:p>
        </w:tc>
        <w:tc>
          <w:tcPr>
            <w:tcW w:w="3652" w:type="pct"/>
          </w:tcPr>
          <w:p w:rsidR="003649A2" w:rsidRPr="0088408E" w:rsidRDefault="003649A2" w:rsidP="00433A4D">
            <w:pPr>
              <w:rPr>
                <w:rFonts w:ascii="Arial Narrow" w:hAnsi="Arial Narrow"/>
                <w:sz w:val="20"/>
              </w:rPr>
            </w:pPr>
            <w:r w:rsidRPr="0088408E">
              <w:rPr>
                <w:rFonts w:ascii="Arial Narrow" w:hAnsi="Arial Narrow"/>
                <w:sz w:val="20"/>
              </w:rPr>
              <w:t>Novartis registration document 2.7.3: Summary of Clinical Efficacy allergic asthma in children 6-&lt;12 years of age.</w:t>
            </w:r>
          </w:p>
          <w:p w:rsidR="003649A2" w:rsidRPr="0088408E" w:rsidRDefault="003649A2" w:rsidP="00433A4D">
            <w:pPr>
              <w:rPr>
                <w:rFonts w:ascii="Arial Narrow" w:hAnsi="Arial Narrow"/>
                <w:sz w:val="20"/>
              </w:rPr>
            </w:pPr>
          </w:p>
          <w:p w:rsidR="003649A2" w:rsidRPr="0088408E" w:rsidRDefault="003649A2" w:rsidP="00433A4D">
            <w:pPr>
              <w:rPr>
                <w:rFonts w:ascii="Arial Narrow" w:hAnsi="Arial Narrow"/>
                <w:sz w:val="20"/>
              </w:rPr>
            </w:pPr>
            <w:r w:rsidRPr="0088408E">
              <w:rPr>
                <w:rFonts w:ascii="Arial Narrow" w:hAnsi="Arial Narrow"/>
                <w:sz w:val="20"/>
              </w:rPr>
              <w:t xml:space="preserve">Kulus M, Hebert J, Garcia E, </w:t>
            </w:r>
            <w:r w:rsidRPr="0088408E">
              <w:rPr>
                <w:rFonts w:ascii="Arial Narrow" w:hAnsi="Arial Narrow"/>
                <w:i/>
                <w:sz w:val="20"/>
              </w:rPr>
              <w:t>et al</w:t>
            </w:r>
            <w:r w:rsidRPr="0088408E">
              <w:rPr>
                <w:rFonts w:ascii="Arial Narrow" w:hAnsi="Arial Narrow"/>
                <w:sz w:val="20"/>
              </w:rPr>
              <w:t>. Omalizumab in children with inadequately controlled severe allergic (IgE-mediated) asthma.</w:t>
            </w:r>
          </w:p>
        </w:tc>
        <w:tc>
          <w:tcPr>
            <w:tcW w:w="923" w:type="pct"/>
          </w:tcPr>
          <w:p w:rsidR="003649A2" w:rsidRPr="0088408E" w:rsidRDefault="003649A2" w:rsidP="00433A4D">
            <w:pPr>
              <w:rPr>
                <w:rFonts w:ascii="Arial Narrow" w:hAnsi="Arial Narrow"/>
                <w:sz w:val="20"/>
              </w:rPr>
            </w:pPr>
            <w:r w:rsidRPr="0088408E">
              <w:rPr>
                <w:rFonts w:ascii="Arial Narrow" w:hAnsi="Arial Narrow"/>
                <w:sz w:val="20"/>
              </w:rPr>
              <w:t>October  2014</w:t>
            </w:r>
          </w:p>
          <w:p w:rsidR="003649A2" w:rsidRPr="0088408E" w:rsidRDefault="003649A2" w:rsidP="00433A4D">
            <w:pPr>
              <w:rPr>
                <w:rFonts w:ascii="Arial Narrow" w:hAnsi="Arial Narrow"/>
                <w:sz w:val="20"/>
              </w:rPr>
            </w:pPr>
          </w:p>
          <w:p w:rsidR="003649A2" w:rsidRPr="0088408E" w:rsidRDefault="003649A2" w:rsidP="00433A4D">
            <w:pPr>
              <w:rPr>
                <w:rFonts w:ascii="Arial Narrow" w:hAnsi="Arial Narrow"/>
                <w:sz w:val="20"/>
              </w:rPr>
            </w:pPr>
            <w:r w:rsidRPr="0088408E">
              <w:rPr>
                <w:rFonts w:ascii="Arial Narrow" w:hAnsi="Arial Narrow"/>
                <w:sz w:val="20"/>
              </w:rPr>
              <w:t>2010 Curr Med Res Opin 26(6):1285-1293</w:t>
            </w:r>
          </w:p>
        </w:tc>
      </w:tr>
      <w:tr w:rsidR="003649A2" w:rsidRPr="0088408E" w:rsidTr="00433A4D">
        <w:trPr>
          <w:cantSplit/>
        </w:trPr>
        <w:tc>
          <w:tcPr>
            <w:tcW w:w="5000" w:type="pct"/>
            <w:gridSpan w:val="3"/>
          </w:tcPr>
          <w:p w:rsidR="003649A2" w:rsidRPr="0088408E" w:rsidRDefault="003649A2" w:rsidP="00433A4D">
            <w:pPr>
              <w:jc w:val="left"/>
              <w:rPr>
                <w:rFonts w:ascii="Arial Narrow" w:hAnsi="Arial Narrow"/>
                <w:b/>
                <w:sz w:val="20"/>
              </w:rPr>
            </w:pPr>
            <w:r w:rsidRPr="0088408E">
              <w:rPr>
                <w:rFonts w:ascii="Arial Narrow" w:hAnsi="Arial Narrow"/>
                <w:b/>
                <w:sz w:val="20"/>
              </w:rPr>
              <w:t>Supplementary studies</w:t>
            </w:r>
          </w:p>
        </w:tc>
      </w:tr>
      <w:tr w:rsidR="00F34CCB" w:rsidRPr="0088408E" w:rsidTr="00F34CCB">
        <w:trPr>
          <w:cantSplit/>
          <w:trHeight w:val="727"/>
        </w:trPr>
        <w:tc>
          <w:tcPr>
            <w:tcW w:w="425" w:type="pct"/>
            <w:vMerge w:val="restart"/>
          </w:tcPr>
          <w:p w:rsidR="00F34CCB" w:rsidRPr="0088408E" w:rsidRDefault="00F34CCB" w:rsidP="00433A4D">
            <w:pPr>
              <w:jc w:val="left"/>
              <w:rPr>
                <w:rFonts w:ascii="Arial Narrow" w:hAnsi="Arial Narrow"/>
                <w:sz w:val="20"/>
              </w:rPr>
            </w:pPr>
            <w:r w:rsidRPr="0088408E">
              <w:rPr>
                <w:rFonts w:ascii="Arial Narrow" w:hAnsi="Arial Narrow"/>
                <w:sz w:val="20"/>
              </w:rPr>
              <w:t>1301</w:t>
            </w:r>
          </w:p>
        </w:tc>
        <w:tc>
          <w:tcPr>
            <w:tcW w:w="3652" w:type="pct"/>
            <w:tcBorders>
              <w:bottom w:val="nil"/>
            </w:tcBorders>
          </w:tcPr>
          <w:p w:rsidR="00F34CCB" w:rsidRPr="0088408E" w:rsidRDefault="00F34CCB" w:rsidP="00433A4D">
            <w:pPr>
              <w:jc w:val="left"/>
              <w:rPr>
                <w:rFonts w:ascii="Arial Narrow" w:hAnsi="Arial Narrow"/>
                <w:sz w:val="20"/>
              </w:rPr>
            </w:pPr>
            <w:r w:rsidRPr="0088408E">
              <w:rPr>
                <w:rFonts w:ascii="Arial Narrow" w:hAnsi="Arial Narrow"/>
                <w:sz w:val="20"/>
              </w:rPr>
              <w:t>Novartis. A 24 week, open label, multi-center evaluation of pharmacokinetics and pharmacodynamics, efficacy and safety of omalizumab in Japanese children (6-15 years) with inadequately controlled allergic asthma despite current recommended treatment.</w:t>
            </w:r>
          </w:p>
          <w:p w:rsidR="00F34CCB" w:rsidRPr="0088408E" w:rsidRDefault="00F34CCB" w:rsidP="00433A4D">
            <w:pPr>
              <w:jc w:val="left"/>
              <w:rPr>
                <w:rFonts w:ascii="Arial Narrow" w:hAnsi="Arial Narrow"/>
                <w:b/>
                <w:sz w:val="20"/>
              </w:rPr>
            </w:pPr>
          </w:p>
        </w:tc>
        <w:tc>
          <w:tcPr>
            <w:tcW w:w="923" w:type="pct"/>
            <w:tcBorders>
              <w:bottom w:val="nil"/>
            </w:tcBorders>
          </w:tcPr>
          <w:p w:rsidR="00F34CCB" w:rsidRPr="0088408E" w:rsidRDefault="00F34CCB" w:rsidP="00433A4D">
            <w:pPr>
              <w:jc w:val="left"/>
              <w:rPr>
                <w:rFonts w:ascii="Arial Narrow" w:hAnsi="Arial Narrow"/>
                <w:sz w:val="20"/>
              </w:rPr>
            </w:pPr>
            <w:r w:rsidRPr="0088408E">
              <w:rPr>
                <w:rFonts w:ascii="Arial Narrow" w:hAnsi="Arial Narrow"/>
                <w:sz w:val="20"/>
              </w:rPr>
              <w:t>Sept 2012</w:t>
            </w:r>
          </w:p>
          <w:p w:rsidR="00F34CCB" w:rsidRPr="0088408E" w:rsidRDefault="00F34CCB" w:rsidP="00433A4D">
            <w:pPr>
              <w:jc w:val="left"/>
              <w:rPr>
                <w:rFonts w:ascii="Arial Narrow" w:hAnsi="Arial Narrow"/>
                <w:b/>
                <w:sz w:val="20"/>
              </w:rPr>
            </w:pPr>
          </w:p>
        </w:tc>
      </w:tr>
      <w:tr w:rsidR="00F34CCB" w:rsidRPr="0088408E" w:rsidTr="00F34CCB">
        <w:trPr>
          <w:cantSplit/>
          <w:trHeight w:val="727"/>
        </w:trPr>
        <w:tc>
          <w:tcPr>
            <w:tcW w:w="425" w:type="pct"/>
            <w:vMerge/>
          </w:tcPr>
          <w:p w:rsidR="00F34CCB" w:rsidRPr="0088408E" w:rsidRDefault="00F34CCB" w:rsidP="00433A4D">
            <w:pPr>
              <w:jc w:val="left"/>
              <w:rPr>
                <w:rFonts w:ascii="Arial Narrow" w:hAnsi="Arial Narrow"/>
                <w:sz w:val="20"/>
              </w:rPr>
            </w:pPr>
          </w:p>
        </w:tc>
        <w:tc>
          <w:tcPr>
            <w:tcW w:w="3652" w:type="pct"/>
            <w:tcBorders>
              <w:top w:val="nil"/>
            </w:tcBorders>
          </w:tcPr>
          <w:p w:rsidR="00F34CCB" w:rsidRPr="0088408E" w:rsidRDefault="00F34CCB" w:rsidP="00433A4D">
            <w:pPr>
              <w:jc w:val="left"/>
              <w:rPr>
                <w:rFonts w:ascii="Arial Narrow" w:hAnsi="Arial Narrow"/>
                <w:sz w:val="20"/>
              </w:rPr>
            </w:pPr>
            <w:proofErr w:type="spellStart"/>
            <w:r w:rsidRPr="0088408E">
              <w:rPr>
                <w:rFonts w:ascii="Arial Narrow" w:hAnsi="Arial Narrow"/>
                <w:sz w:val="20"/>
              </w:rPr>
              <w:t>Odajima</w:t>
            </w:r>
            <w:proofErr w:type="spellEnd"/>
            <w:r w:rsidRPr="0088408E">
              <w:rPr>
                <w:rFonts w:ascii="Arial Narrow" w:hAnsi="Arial Narrow"/>
                <w:sz w:val="20"/>
              </w:rPr>
              <w:t xml:space="preserve"> H, </w:t>
            </w:r>
            <w:proofErr w:type="spellStart"/>
            <w:r w:rsidRPr="0088408E">
              <w:rPr>
                <w:rFonts w:ascii="Arial Narrow" w:hAnsi="Arial Narrow"/>
                <w:sz w:val="20"/>
              </w:rPr>
              <w:t>Ebisawa</w:t>
            </w:r>
            <w:proofErr w:type="spellEnd"/>
            <w:r w:rsidRPr="0088408E">
              <w:rPr>
                <w:rFonts w:ascii="Arial Narrow" w:hAnsi="Arial Narrow"/>
                <w:sz w:val="20"/>
              </w:rPr>
              <w:t xml:space="preserve"> M, </w:t>
            </w:r>
            <w:proofErr w:type="spellStart"/>
            <w:r w:rsidRPr="0088408E">
              <w:rPr>
                <w:rFonts w:ascii="Arial Narrow" w:hAnsi="Arial Narrow"/>
                <w:sz w:val="20"/>
              </w:rPr>
              <w:t>Nagakura</w:t>
            </w:r>
            <w:proofErr w:type="spellEnd"/>
            <w:r w:rsidRPr="0088408E">
              <w:rPr>
                <w:rFonts w:ascii="Arial Narrow" w:hAnsi="Arial Narrow"/>
                <w:sz w:val="20"/>
              </w:rPr>
              <w:t xml:space="preserve"> T, </w:t>
            </w:r>
            <w:r w:rsidRPr="0088408E">
              <w:rPr>
                <w:rFonts w:ascii="Arial Narrow" w:hAnsi="Arial Narrow"/>
                <w:i/>
                <w:sz w:val="20"/>
              </w:rPr>
              <w:t>et al.</w:t>
            </w:r>
            <w:r w:rsidRPr="0088408E">
              <w:rPr>
                <w:rFonts w:ascii="Arial Narrow" w:hAnsi="Arial Narrow"/>
                <w:sz w:val="20"/>
              </w:rPr>
              <w:t xml:space="preserve"> </w:t>
            </w:r>
            <w:proofErr w:type="spellStart"/>
            <w:r w:rsidRPr="0088408E">
              <w:rPr>
                <w:rFonts w:ascii="Arial Narrow" w:hAnsi="Arial Narrow"/>
                <w:sz w:val="20"/>
              </w:rPr>
              <w:t>Omalizumab</w:t>
            </w:r>
            <w:proofErr w:type="spellEnd"/>
            <w:r w:rsidRPr="0088408E">
              <w:rPr>
                <w:rFonts w:ascii="Arial Narrow" w:hAnsi="Arial Narrow"/>
                <w:sz w:val="20"/>
              </w:rPr>
              <w:t xml:space="preserve"> in Japanese children with severe allergic asthma uncontrolled with standard therapy.</w:t>
            </w:r>
          </w:p>
        </w:tc>
        <w:tc>
          <w:tcPr>
            <w:tcW w:w="923" w:type="pct"/>
            <w:tcBorders>
              <w:top w:val="nil"/>
            </w:tcBorders>
          </w:tcPr>
          <w:p w:rsidR="00F34CCB" w:rsidRPr="0088408E" w:rsidRDefault="00F34CCB" w:rsidP="00433A4D">
            <w:pPr>
              <w:jc w:val="left"/>
              <w:rPr>
                <w:rFonts w:ascii="Arial Narrow" w:hAnsi="Arial Narrow"/>
                <w:sz w:val="20"/>
              </w:rPr>
            </w:pPr>
            <w:r w:rsidRPr="0088408E">
              <w:rPr>
                <w:rFonts w:ascii="Arial Narrow" w:hAnsi="Arial Narrow"/>
                <w:sz w:val="20"/>
              </w:rPr>
              <w:t xml:space="preserve">2015 </w:t>
            </w:r>
            <w:proofErr w:type="spellStart"/>
            <w:r w:rsidRPr="0088408E">
              <w:rPr>
                <w:rFonts w:ascii="Arial Narrow" w:hAnsi="Arial Narrow"/>
                <w:sz w:val="20"/>
              </w:rPr>
              <w:t>Allergology</w:t>
            </w:r>
            <w:proofErr w:type="spellEnd"/>
            <w:r w:rsidRPr="0088408E">
              <w:rPr>
                <w:rFonts w:ascii="Arial Narrow" w:hAnsi="Arial Narrow"/>
                <w:sz w:val="20"/>
              </w:rPr>
              <w:t xml:space="preserve"> International 64(4): 364-370</w:t>
            </w:r>
          </w:p>
        </w:tc>
      </w:tr>
      <w:tr w:rsidR="003649A2" w:rsidRPr="0088408E" w:rsidTr="00433A4D">
        <w:trPr>
          <w:cantSplit/>
        </w:trPr>
        <w:tc>
          <w:tcPr>
            <w:tcW w:w="425" w:type="pct"/>
          </w:tcPr>
          <w:p w:rsidR="003649A2" w:rsidRPr="0088408E" w:rsidRDefault="003649A2" w:rsidP="00433A4D">
            <w:pPr>
              <w:jc w:val="left"/>
              <w:rPr>
                <w:rFonts w:ascii="Arial Narrow" w:hAnsi="Arial Narrow"/>
                <w:sz w:val="20"/>
              </w:rPr>
            </w:pPr>
            <w:r w:rsidRPr="0088408E">
              <w:rPr>
                <w:rFonts w:ascii="Arial Narrow" w:hAnsi="Arial Narrow"/>
                <w:sz w:val="20"/>
              </w:rPr>
              <w:t>FRA-1</w:t>
            </w:r>
          </w:p>
        </w:tc>
        <w:tc>
          <w:tcPr>
            <w:tcW w:w="3652" w:type="pct"/>
          </w:tcPr>
          <w:p w:rsidR="003649A2" w:rsidRPr="0088408E" w:rsidRDefault="003649A2" w:rsidP="00433A4D">
            <w:pPr>
              <w:jc w:val="left"/>
              <w:rPr>
                <w:rFonts w:ascii="Arial Narrow" w:hAnsi="Arial Narrow"/>
                <w:sz w:val="20"/>
              </w:rPr>
            </w:pPr>
            <w:r w:rsidRPr="0088408E">
              <w:rPr>
                <w:rFonts w:ascii="Arial Narrow" w:hAnsi="Arial Narrow"/>
                <w:sz w:val="20"/>
              </w:rPr>
              <w:t xml:space="preserve">Deschildre A, Marguet C, Salleron J, </w:t>
            </w:r>
            <w:r w:rsidRPr="0088408E">
              <w:rPr>
                <w:rFonts w:ascii="Arial Narrow" w:hAnsi="Arial Narrow"/>
                <w:i/>
                <w:sz w:val="20"/>
              </w:rPr>
              <w:t>et al</w:t>
            </w:r>
            <w:r w:rsidRPr="0088408E">
              <w:rPr>
                <w:rFonts w:ascii="Arial Narrow" w:hAnsi="Arial Narrow"/>
                <w:sz w:val="20"/>
              </w:rPr>
              <w:t>. Add-on omalizumab in children with severe allergic asthma: a 1-year real life survey</w:t>
            </w:r>
          </w:p>
          <w:p w:rsidR="003649A2" w:rsidRPr="0088408E" w:rsidRDefault="003649A2" w:rsidP="00433A4D">
            <w:pPr>
              <w:jc w:val="left"/>
              <w:rPr>
                <w:rFonts w:ascii="Arial Narrow" w:hAnsi="Arial Narrow"/>
                <w:sz w:val="20"/>
              </w:rPr>
            </w:pPr>
          </w:p>
          <w:p w:rsidR="003649A2" w:rsidRPr="0088408E" w:rsidRDefault="003649A2" w:rsidP="00433A4D">
            <w:pPr>
              <w:jc w:val="left"/>
              <w:rPr>
                <w:rFonts w:ascii="Arial Narrow" w:hAnsi="Arial Narrow"/>
                <w:sz w:val="20"/>
              </w:rPr>
            </w:pPr>
            <w:r w:rsidRPr="0088408E">
              <w:rPr>
                <w:rFonts w:ascii="Arial Narrow" w:hAnsi="Arial Narrow"/>
                <w:sz w:val="20"/>
              </w:rPr>
              <w:t>Deschildre A. Real-life long-term omalizumab therapy in children with severe allergic asthma</w:t>
            </w:r>
          </w:p>
        </w:tc>
        <w:tc>
          <w:tcPr>
            <w:tcW w:w="923" w:type="pct"/>
          </w:tcPr>
          <w:p w:rsidR="003649A2" w:rsidRPr="0088408E" w:rsidRDefault="003649A2" w:rsidP="00433A4D">
            <w:pPr>
              <w:jc w:val="left"/>
              <w:rPr>
                <w:rFonts w:ascii="Arial Narrow" w:hAnsi="Arial Narrow"/>
                <w:sz w:val="20"/>
              </w:rPr>
            </w:pPr>
            <w:r w:rsidRPr="0088408E">
              <w:rPr>
                <w:rFonts w:ascii="Arial Narrow" w:hAnsi="Arial Narrow"/>
                <w:sz w:val="20"/>
              </w:rPr>
              <w:t>2013 Eur Respir J 42(5):1224-33</w:t>
            </w:r>
          </w:p>
          <w:p w:rsidR="003649A2" w:rsidRPr="0088408E" w:rsidRDefault="003649A2" w:rsidP="00433A4D">
            <w:pPr>
              <w:jc w:val="left"/>
              <w:rPr>
                <w:rFonts w:ascii="Arial Narrow" w:hAnsi="Arial Narrow"/>
                <w:sz w:val="20"/>
              </w:rPr>
            </w:pPr>
          </w:p>
          <w:p w:rsidR="003649A2" w:rsidRPr="0088408E" w:rsidRDefault="000D2120" w:rsidP="00433A4D">
            <w:pPr>
              <w:jc w:val="left"/>
              <w:rPr>
                <w:rFonts w:ascii="Arial Narrow" w:hAnsi="Arial Narrow"/>
                <w:sz w:val="20"/>
              </w:rPr>
            </w:pPr>
            <w:r w:rsidRPr="004F47C0">
              <w:rPr>
                <w:rFonts w:ascii="Arial Narrow" w:hAnsi="Arial Narrow"/>
                <w:sz w:val="20"/>
                <w:lang w:val="fr-FR"/>
              </w:rPr>
              <w:t xml:space="preserve">2015 ERJ </w:t>
            </w:r>
            <w:r>
              <w:rPr>
                <w:rFonts w:ascii="Arial Narrow" w:hAnsi="Arial Narrow"/>
                <w:sz w:val="20"/>
                <w:lang w:val="fr-FR"/>
              </w:rPr>
              <w:t xml:space="preserve"> 46(3):856-9</w:t>
            </w:r>
          </w:p>
        </w:tc>
      </w:tr>
      <w:tr w:rsidR="003649A2" w:rsidRPr="0088408E" w:rsidTr="00433A4D">
        <w:trPr>
          <w:cantSplit/>
        </w:trPr>
        <w:tc>
          <w:tcPr>
            <w:tcW w:w="425" w:type="pct"/>
          </w:tcPr>
          <w:p w:rsidR="003649A2" w:rsidRPr="0088408E" w:rsidRDefault="003649A2" w:rsidP="00433A4D">
            <w:pPr>
              <w:jc w:val="left"/>
              <w:rPr>
                <w:rFonts w:ascii="Arial Narrow" w:hAnsi="Arial Narrow"/>
                <w:sz w:val="20"/>
              </w:rPr>
            </w:pPr>
            <w:r w:rsidRPr="0088408E">
              <w:rPr>
                <w:rFonts w:ascii="Arial Narrow" w:hAnsi="Arial Narrow"/>
                <w:sz w:val="20"/>
              </w:rPr>
              <w:t>UK-1</w:t>
            </w:r>
          </w:p>
        </w:tc>
        <w:tc>
          <w:tcPr>
            <w:tcW w:w="3652" w:type="pct"/>
          </w:tcPr>
          <w:p w:rsidR="003649A2" w:rsidRPr="0088408E" w:rsidRDefault="003649A2" w:rsidP="00433A4D">
            <w:pPr>
              <w:jc w:val="left"/>
              <w:rPr>
                <w:rFonts w:ascii="Arial Narrow" w:hAnsi="Arial Narrow"/>
                <w:sz w:val="20"/>
              </w:rPr>
            </w:pPr>
            <w:r w:rsidRPr="0088408E">
              <w:rPr>
                <w:rFonts w:ascii="Arial Narrow" w:hAnsi="Arial Narrow"/>
                <w:sz w:val="20"/>
              </w:rPr>
              <w:t xml:space="preserve">Brodlie M, McKean MC, Moss S, </w:t>
            </w:r>
            <w:r w:rsidRPr="0088408E">
              <w:rPr>
                <w:rFonts w:ascii="Arial Narrow" w:hAnsi="Arial Narrow"/>
                <w:i/>
                <w:sz w:val="20"/>
              </w:rPr>
              <w:t>et al</w:t>
            </w:r>
            <w:r w:rsidRPr="0088408E">
              <w:rPr>
                <w:rFonts w:ascii="Arial Narrow" w:hAnsi="Arial Narrow"/>
                <w:sz w:val="20"/>
              </w:rPr>
              <w:t>. The oral corticosteroid-sparing effect of omalizumab in children with severe asthma.</w:t>
            </w:r>
          </w:p>
        </w:tc>
        <w:tc>
          <w:tcPr>
            <w:tcW w:w="923" w:type="pct"/>
          </w:tcPr>
          <w:p w:rsidR="003649A2" w:rsidRPr="0088408E" w:rsidRDefault="003649A2" w:rsidP="00433A4D">
            <w:pPr>
              <w:jc w:val="left"/>
              <w:rPr>
                <w:rFonts w:ascii="Arial Narrow" w:hAnsi="Arial Narrow"/>
                <w:sz w:val="20"/>
              </w:rPr>
            </w:pPr>
            <w:r w:rsidRPr="0088408E">
              <w:rPr>
                <w:rFonts w:ascii="Arial Narrow" w:hAnsi="Arial Narrow"/>
                <w:sz w:val="20"/>
              </w:rPr>
              <w:t>2012 Arch Dis Child 97(7):604-09</w:t>
            </w:r>
          </w:p>
        </w:tc>
      </w:tr>
      <w:tr w:rsidR="003649A2" w:rsidRPr="0088408E" w:rsidTr="00433A4D">
        <w:trPr>
          <w:cantSplit/>
        </w:trPr>
        <w:tc>
          <w:tcPr>
            <w:tcW w:w="425" w:type="pct"/>
          </w:tcPr>
          <w:p w:rsidR="003649A2" w:rsidRPr="0088408E" w:rsidRDefault="003649A2" w:rsidP="00433A4D">
            <w:pPr>
              <w:jc w:val="left"/>
              <w:rPr>
                <w:rFonts w:ascii="Arial Narrow" w:hAnsi="Arial Narrow"/>
                <w:sz w:val="20"/>
              </w:rPr>
            </w:pPr>
            <w:r w:rsidRPr="0088408E">
              <w:rPr>
                <w:rFonts w:ascii="Arial Narrow" w:hAnsi="Arial Narrow"/>
                <w:sz w:val="20"/>
              </w:rPr>
              <w:t>UK-2</w:t>
            </w:r>
          </w:p>
        </w:tc>
        <w:tc>
          <w:tcPr>
            <w:tcW w:w="3652" w:type="pct"/>
          </w:tcPr>
          <w:p w:rsidR="003649A2" w:rsidRPr="0088408E" w:rsidRDefault="003649A2" w:rsidP="00433A4D">
            <w:pPr>
              <w:tabs>
                <w:tab w:val="left" w:pos="3606"/>
              </w:tabs>
              <w:jc w:val="left"/>
              <w:rPr>
                <w:rFonts w:ascii="Arial Narrow" w:hAnsi="Arial Narrow"/>
                <w:sz w:val="20"/>
              </w:rPr>
            </w:pPr>
            <w:r w:rsidRPr="0088408E">
              <w:rPr>
                <w:rFonts w:ascii="Arial Narrow" w:hAnsi="Arial Narrow"/>
                <w:sz w:val="20"/>
              </w:rPr>
              <w:t xml:space="preserve">Bossley C, Gupta A, Ullman N, </w:t>
            </w:r>
            <w:r w:rsidRPr="0088408E">
              <w:rPr>
                <w:rFonts w:ascii="Arial Narrow" w:hAnsi="Arial Narrow"/>
                <w:i/>
                <w:sz w:val="20"/>
              </w:rPr>
              <w:t>et al</w:t>
            </w:r>
            <w:r w:rsidRPr="0088408E">
              <w:rPr>
                <w:rFonts w:ascii="Arial Narrow" w:hAnsi="Arial Narrow"/>
                <w:sz w:val="20"/>
              </w:rPr>
              <w:t>. Omalizumab in children with severe asthma (SA): Which Parameters improve after a 16 week trial?</w:t>
            </w:r>
          </w:p>
        </w:tc>
        <w:tc>
          <w:tcPr>
            <w:tcW w:w="923" w:type="pct"/>
          </w:tcPr>
          <w:p w:rsidR="003649A2" w:rsidRPr="0088408E" w:rsidRDefault="003649A2" w:rsidP="00433A4D">
            <w:pPr>
              <w:jc w:val="left"/>
              <w:rPr>
                <w:rFonts w:ascii="Arial Narrow" w:hAnsi="Arial Narrow"/>
                <w:sz w:val="20"/>
              </w:rPr>
            </w:pPr>
            <w:r w:rsidRPr="0088408E">
              <w:rPr>
                <w:rFonts w:ascii="Arial Narrow" w:hAnsi="Arial Narrow"/>
                <w:sz w:val="20"/>
              </w:rPr>
              <w:t>2010. Eur Resp Soc, Ann Congress (Abs P2641)</w:t>
            </w:r>
          </w:p>
        </w:tc>
      </w:tr>
      <w:tr w:rsidR="003649A2" w:rsidRPr="0088408E" w:rsidTr="00433A4D">
        <w:trPr>
          <w:cantSplit/>
        </w:trPr>
        <w:tc>
          <w:tcPr>
            <w:tcW w:w="425" w:type="pct"/>
          </w:tcPr>
          <w:p w:rsidR="003649A2" w:rsidRPr="0088408E" w:rsidRDefault="003649A2" w:rsidP="00433A4D">
            <w:pPr>
              <w:jc w:val="left"/>
              <w:rPr>
                <w:rFonts w:ascii="Arial Narrow" w:hAnsi="Arial Narrow"/>
                <w:sz w:val="20"/>
              </w:rPr>
            </w:pPr>
            <w:r w:rsidRPr="0088408E">
              <w:rPr>
                <w:rFonts w:ascii="Arial Narrow" w:hAnsi="Arial Narrow"/>
                <w:sz w:val="20"/>
              </w:rPr>
              <w:t>DE09</w:t>
            </w:r>
          </w:p>
        </w:tc>
        <w:tc>
          <w:tcPr>
            <w:tcW w:w="3652" w:type="pct"/>
          </w:tcPr>
          <w:p w:rsidR="003649A2" w:rsidRDefault="003649A2" w:rsidP="00433A4D">
            <w:pPr>
              <w:jc w:val="left"/>
              <w:rPr>
                <w:rFonts w:ascii="Arial Narrow" w:hAnsi="Arial Narrow"/>
                <w:sz w:val="20"/>
              </w:rPr>
            </w:pPr>
            <w:r w:rsidRPr="0088408E">
              <w:rPr>
                <w:rFonts w:ascii="Arial Narrow" w:hAnsi="Arial Narrow"/>
                <w:sz w:val="20"/>
              </w:rPr>
              <w:t>Novartis: X-HALE: (Observation of Xolair therapy under daily clinical practice Physical activity and quality of life in children and adolescents from 6 to &lt;18 years).</w:t>
            </w:r>
          </w:p>
          <w:p w:rsidR="000D2120" w:rsidRDefault="000D2120" w:rsidP="00433A4D">
            <w:pPr>
              <w:jc w:val="left"/>
              <w:rPr>
                <w:rFonts w:ascii="Arial Narrow" w:hAnsi="Arial Narrow"/>
                <w:sz w:val="20"/>
              </w:rPr>
            </w:pPr>
          </w:p>
          <w:p w:rsidR="000D2120" w:rsidRPr="0088408E" w:rsidRDefault="000D2120" w:rsidP="00433A4D">
            <w:pPr>
              <w:jc w:val="left"/>
              <w:rPr>
                <w:rFonts w:ascii="Arial Narrow" w:hAnsi="Arial Narrow"/>
                <w:sz w:val="20"/>
              </w:rPr>
            </w:pPr>
            <w:r w:rsidRPr="004F47C0">
              <w:rPr>
                <w:rFonts w:ascii="Arial Narrow" w:hAnsi="Arial Narrow"/>
                <w:sz w:val="20"/>
              </w:rPr>
              <w:t xml:space="preserve">Kopp M, </w:t>
            </w:r>
            <w:proofErr w:type="spellStart"/>
            <w:r w:rsidRPr="004F47C0">
              <w:rPr>
                <w:rFonts w:ascii="Arial Narrow" w:hAnsi="Arial Narrow"/>
                <w:sz w:val="20"/>
              </w:rPr>
              <w:t>Watz</w:t>
            </w:r>
            <w:proofErr w:type="spellEnd"/>
            <w:r w:rsidRPr="004F47C0">
              <w:rPr>
                <w:rFonts w:ascii="Arial Narrow" w:hAnsi="Arial Narrow"/>
                <w:sz w:val="20"/>
              </w:rPr>
              <w:t xml:space="preserve"> H, </w:t>
            </w:r>
            <w:proofErr w:type="spellStart"/>
            <w:r w:rsidRPr="004F47C0">
              <w:rPr>
                <w:rFonts w:ascii="Arial Narrow" w:hAnsi="Arial Narrow"/>
                <w:sz w:val="20"/>
              </w:rPr>
              <w:t>Lerche</w:t>
            </w:r>
            <w:proofErr w:type="spellEnd"/>
            <w:r w:rsidRPr="004F47C0">
              <w:rPr>
                <w:rFonts w:ascii="Arial Narrow" w:hAnsi="Arial Narrow"/>
                <w:sz w:val="20"/>
              </w:rPr>
              <w:t xml:space="preserve"> K. Effects of </w:t>
            </w:r>
            <w:proofErr w:type="spellStart"/>
            <w:r w:rsidRPr="004F47C0">
              <w:rPr>
                <w:rFonts w:ascii="Arial Narrow" w:hAnsi="Arial Narrow"/>
                <w:sz w:val="20"/>
              </w:rPr>
              <w:t>Xolair</w:t>
            </w:r>
            <w:proofErr w:type="spellEnd"/>
            <w:r w:rsidRPr="004F47C0">
              <w:rPr>
                <w:rFonts w:ascii="Arial Narrow" w:hAnsi="Arial Narrow"/>
                <w:sz w:val="20"/>
              </w:rPr>
              <w:t xml:space="preserve"> in children: The X-HALE Study</w:t>
            </w:r>
          </w:p>
        </w:tc>
        <w:tc>
          <w:tcPr>
            <w:tcW w:w="923" w:type="pct"/>
          </w:tcPr>
          <w:p w:rsidR="003649A2" w:rsidRDefault="003649A2" w:rsidP="00433A4D">
            <w:pPr>
              <w:jc w:val="left"/>
              <w:rPr>
                <w:rFonts w:ascii="Arial Narrow" w:hAnsi="Arial Narrow"/>
                <w:sz w:val="20"/>
              </w:rPr>
            </w:pPr>
            <w:r w:rsidRPr="0088408E">
              <w:rPr>
                <w:rFonts w:ascii="Arial Narrow" w:hAnsi="Arial Narrow"/>
                <w:sz w:val="20"/>
              </w:rPr>
              <w:t>2013 CSR</w:t>
            </w:r>
          </w:p>
          <w:p w:rsidR="000D2120" w:rsidRDefault="000D2120" w:rsidP="00433A4D">
            <w:pPr>
              <w:jc w:val="left"/>
              <w:rPr>
                <w:rFonts w:ascii="Arial Narrow" w:hAnsi="Arial Narrow"/>
                <w:sz w:val="20"/>
              </w:rPr>
            </w:pPr>
          </w:p>
          <w:p w:rsidR="000D2120" w:rsidRDefault="000D2120" w:rsidP="00433A4D">
            <w:pPr>
              <w:jc w:val="left"/>
              <w:rPr>
                <w:rFonts w:ascii="Arial Narrow" w:hAnsi="Arial Narrow"/>
                <w:sz w:val="20"/>
              </w:rPr>
            </w:pPr>
          </w:p>
          <w:p w:rsidR="000D2120" w:rsidRPr="0088408E" w:rsidRDefault="000D2120" w:rsidP="00433A4D">
            <w:pPr>
              <w:jc w:val="left"/>
              <w:rPr>
                <w:rFonts w:ascii="Arial Narrow" w:hAnsi="Arial Narrow"/>
                <w:sz w:val="20"/>
              </w:rPr>
            </w:pPr>
            <w:r w:rsidRPr="004F47C0">
              <w:rPr>
                <w:rFonts w:ascii="Arial Narrow" w:hAnsi="Arial Narrow"/>
                <w:sz w:val="20"/>
                <w:lang w:val="fr-FR"/>
              </w:rPr>
              <w:t xml:space="preserve">2013 </w:t>
            </w:r>
            <w:proofErr w:type="spellStart"/>
            <w:r w:rsidRPr="004F47C0">
              <w:rPr>
                <w:rFonts w:ascii="Arial Narrow" w:hAnsi="Arial Narrow"/>
                <w:sz w:val="20"/>
                <w:lang w:val="fr-FR"/>
              </w:rPr>
              <w:t>Eur</w:t>
            </w:r>
            <w:proofErr w:type="spellEnd"/>
            <w:r w:rsidRPr="004F47C0">
              <w:rPr>
                <w:rFonts w:ascii="Arial Narrow" w:hAnsi="Arial Narrow"/>
                <w:sz w:val="20"/>
                <w:lang w:val="fr-FR"/>
              </w:rPr>
              <w:t xml:space="preserve"> </w:t>
            </w:r>
            <w:proofErr w:type="spellStart"/>
            <w:r w:rsidRPr="004F47C0">
              <w:rPr>
                <w:rFonts w:ascii="Arial Narrow" w:hAnsi="Arial Narrow"/>
                <w:sz w:val="20"/>
                <w:lang w:val="fr-FR"/>
              </w:rPr>
              <w:t>Resp</w:t>
            </w:r>
            <w:proofErr w:type="spellEnd"/>
            <w:r w:rsidRPr="004F47C0">
              <w:rPr>
                <w:rFonts w:ascii="Arial Narrow" w:hAnsi="Arial Narrow"/>
                <w:sz w:val="20"/>
                <w:lang w:val="fr-FR"/>
              </w:rPr>
              <w:t xml:space="preserve"> Soc </w:t>
            </w:r>
            <w:proofErr w:type="spellStart"/>
            <w:r w:rsidRPr="004F47C0">
              <w:rPr>
                <w:rFonts w:ascii="Arial Narrow" w:hAnsi="Arial Narrow"/>
                <w:sz w:val="20"/>
                <w:lang w:val="fr-FR"/>
              </w:rPr>
              <w:t>Conf</w:t>
            </w:r>
            <w:proofErr w:type="spellEnd"/>
            <w:r w:rsidRPr="004F47C0">
              <w:rPr>
                <w:rFonts w:ascii="Arial Narrow" w:hAnsi="Arial Narrow"/>
                <w:sz w:val="20"/>
                <w:lang w:val="fr-FR"/>
              </w:rPr>
              <w:t xml:space="preserve">  (Abs P1133)</w:t>
            </w:r>
          </w:p>
        </w:tc>
      </w:tr>
      <w:tr w:rsidR="003649A2" w:rsidRPr="0088408E" w:rsidTr="00433A4D">
        <w:trPr>
          <w:cantSplit/>
        </w:trPr>
        <w:tc>
          <w:tcPr>
            <w:tcW w:w="425" w:type="pct"/>
          </w:tcPr>
          <w:p w:rsidR="003649A2" w:rsidRPr="0088408E" w:rsidRDefault="003649A2" w:rsidP="00433A4D">
            <w:pPr>
              <w:jc w:val="left"/>
              <w:rPr>
                <w:rFonts w:ascii="Arial Narrow" w:hAnsi="Arial Narrow"/>
                <w:sz w:val="20"/>
              </w:rPr>
            </w:pPr>
            <w:r w:rsidRPr="0088408E">
              <w:rPr>
                <w:rFonts w:ascii="Arial Narrow" w:hAnsi="Arial Narrow"/>
                <w:sz w:val="20"/>
              </w:rPr>
              <w:t>GER-1</w:t>
            </w:r>
          </w:p>
        </w:tc>
        <w:tc>
          <w:tcPr>
            <w:tcW w:w="3652" w:type="pct"/>
          </w:tcPr>
          <w:p w:rsidR="003649A2" w:rsidRPr="0088408E" w:rsidRDefault="003649A2" w:rsidP="00433A4D">
            <w:pPr>
              <w:jc w:val="left"/>
              <w:rPr>
                <w:rFonts w:ascii="Arial Narrow" w:hAnsi="Arial Narrow"/>
                <w:sz w:val="20"/>
              </w:rPr>
            </w:pPr>
            <w:r w:rsidRPr="0088408E">
              <w:rPr>
                <w:rFonts w:ascii="Arial Narrow" w:hAnsi="Arial Narrow"/>
                <w:sz w:val="20"/>
              </w:rPr>
              <w:t xml:space="preserve">Steiss JO, Strohner P, Zimmer KP </w:t>
            </w:r>
            <w:r w:rsidRPr="0088408E">
              <w:rPr>
                <w:rFonts w:ascii="Arial Narrow" w:hAnsi="Arial Narrow"/>
                <w:i/>
                <w:sz w:val="20"/>
              </w:rPr>
              <w:t>et al</w:t>
            </w:r>
            <w:r w:rsidRPr="0088408E">
              <w:rPr>
                <w:rFonts w:ascii="Arial Narrow" w:hAnsi="Arial Narrow"/>
                <w:sz w:val="20"/>
              </w:rPr>
              <w:t>. Reduction of the total IgE level by Omalizumab in children and adolescents.</w:t>
            </w:r>
          </w:p>
          <w:p w:rsidR="003649A2" w:rsidRPr="0088408E" w:rsidRDefault="003649A2" w:rsidP="00433A4D">
            <w:pPr>
              <w:jc w:val="left"/>
              <w:rPr>
                <w:rFonts w:ascii="Arial Narrow" w:hAnsi="Arial Narrow"/>
                <w:sz w:val="20"/>
              </w:rPr>
            </w:pPr>
          </w:p>
          <w:p w:rsidR="003649A2" w:rsidRPr="0088408E" w:rsidRDefault="003649A2" w:rsidP="00433A4D">
            <w:pPr>
              <w:jc w:val="left"/>
              <w:rPr>
                <w:rFonts w:ascii="Arial Narrow" w:hAnsi="Arial Narrow"/>
                <w:sz w:val="20"/>
              </w:rPr>
            </w:pPr>
            <w:r w:rsidRPr="0088408E">
              <w:rPr>
                <w:rFonts w:ascii="Arial Narrow" w:hAnsi="Arial Narrow"/>
                <w:sz w:val="20"/>
              </w:rPr>
              <w:t xml:space="preserve">Steiss JO, Schmidt A, Nahrlich L </w:t>
            </w:r>
            <w:r w:rsidRPr="0088408E">
              <w:rPr>
                <w:rFonts w:ascii="Arial Narrow" w:hAnsi="Arial Narrow"/>
                <w:i/>
                <w:sz w:val="20"/>
              </w:rPr>
              <w:t>et al</w:t>
            </w:r>
            <w:r w:rsidRPr="0088408E">
              <w:rPr>
                <w:rFonts w:ascii="Arial Narrow" w:hAnsi="Arial Narrow"/>
                <w:sz w:val="20"/>
              </w:rPr>
              <w:t>. Immunoglobulin E monitoring and reduction of omalizumab therapy in children and adolescents.</w:t>
            </w:r>
          </w:p>
        </w:tc>
        <w:tc>
          <w:tcPr>
            <w:tcW w:w="923" w:type="pct"/>
          </w:tcPr>
          <w:p w:rsidR="003649A2" w:rsidRPr="0088408E" w:rsidRDefault="003649A2" w:rsidP="00433A4D">
            <w:pPr>
              <w:jc w:val="left"/>
              <w:rPr>
                <w:rFonts w:ascii="Arial Narrow" w:hAnsi="Arial Narrow"/>
                <w:sz w:val="20"/>
              </w:rPr>
            </w:pPr>
            <w:r w:rsidRPr="0088408E">
              <w:rPr>
                <w:rFonts w:ascii="Arial Narrow" w:hAnsi="Arial Narrow"/>
                <w:sz w:val="20"/>
              </w:rPr>
              <w:t>2008 J Asthma 45:233-36</w:t>
            </w:r>
          </w:p>
          <w:p w:rsidR="003649A2" w:rsidRPr="0088408E" w:rsidRDefault="003649A2" w:rsidP="00433A4D">
            <w:pPr>
              <w:jc w:val="left"/>
              <w:rPr>
                <w:rFonts w:ascii="Arial Narrow" w:hAnsi="Arial Narrow"/>
                <w:sz w:val="20"/>
              </w:rPr>
            </w:pPr>
            <w:r w:rsidRPr="0088408E">
              <w:rPr>
                <w:rFonts w:ascii="Arial Narrow" w:hAnsi="Arial Narrow"/>
                <w:sz w:val="20"/>
              </w:rPr>
              <w:t>2012 Allergy Asthma Proc 3:77-81</w:t>
            </w:r>
          </w:p>
        </w:tc>
      </w:tr>
    </w:tbl>
    <w:p w:rsidR="003649A2" w:rsidRPr="0088408E" w:rsidRDefault="003649A2" w:rsidP="003649A2">
      <w:pPr>
        <w:pStyle w:val="TableFooter"/>
        <w:ind w:firstLine="720"/>
        <w:rPr>
          <w:szCs w:val="22"/>
        </w:rPr>
      </w:pPr>
      <w:r w:rsidRPr="0088408E">
        <w:t>Source: Table 8-10, pp47-50 of the submission</w:t>
      </w:r>
    </w:p>
    <w:p w:rsidR="003649A2" w:rsidRPr="0088408E" w:rsidRDefault="003649A2" w:rsidP="003649A2">
      <w:pPr>
        <w:widowControl/>
        <w:rPr>
          <w:szCs w:val="22"/>
        </w:rPr>
      </w:pPr>
    </w:p>
    <w:p w:rsidR="003649A2" w:rsidRPr="0088408E" w:rsidRDefault="003649A2" w:rsidP="001F69C2">
      <w:pPr>
        <w:pStyle w:val="ListParagraph"/>
        <w:widowControl/>
        <w:numPr>
          <w:ilvl w:val="1"/>
          <w:numId w:val="2"/>
        </w:numPr>
        <w:rPr>
          <w:szCs w:val="22"/>
        </w:rPr>
      </w:pPr>
      <w:r w:rsidRPr="0088408E">
        <w:rPr>
          <w:szCs w:val="22"/>
        </w:rPr>
        <w:t xml:space="preserve">The key features of the direct randomised trial </w:t>
      </w:r>
      <w:r w:rsidR="008624EB" w:rsidRPr="0088408E">
        <w:rPr>
          <w:szCs w:val="22"/>
        </w:rPr>
        <w:t>are</w:t>
      </w:r>
      <w:r w:rsidRPr="0088408E">
        <w:rPr>
          <w:szCs w:val="22"/>
        </w:rPr>
        <w:t xml:space="preserve"> summarised in the</w:t>
      </w:r>
      <w:r w:rsidR="00D84E60" w:rsidRPr="0088408E">
        <w:rPr>
          <w:szCs w:val="22"/>
        </w:rPr>
        <w:t xml:space="preserve"> following</w:t>
      </w:r>
      <w:r w:rsidRPr="0088408E">
        <w:rPr>
          <w:szCs w:val="22"/>
        </w:rPr>
        <w:t xml:space="preserve"> tab</w:t>
      </w:r>
      <w:r w:rsidR="008624EB" w:rsidRPr="0088408E">
        <w:rPr>
          <w:szCs w:val="22"/>
        </w:rPr>
        <w:t>le</w:t>
      </w:r>
      <w:r w:rsidRPr="0088408E">
        <w:rPr>
          <w:szCs w:val="22"/>
        </w:rPr>
        <w:t>.</w:t>
      </w:r>
    </w:p>
    <w:p w:rsidR="003649A2" w:rsidRPr="0088408E" w:rsidRDefault="003649A2" w:rsidP="003649A2">
      <w:pPr>
        <w:widowControl/>
        <w:rPr>
          <w:szCs w:val="22"/>
        </w:rPr>
      </w:pPr>
    </w:p>
    <w:p w:rsidR="00D015FF" w:rsidRPr="0088408E" w:rsidRDefault="00D015FF">
      <w:pPr>
        <w:widowControl/>
        <w:jc w:val="left"/>
        <w:rPr>
          <w:rStyle w:val="CommentReference"/>
        </w:rPr>
      </w:pPr>
    </w:p>
    <w:p w:rsidR="00660F7D" w:rsidRDefault="00660F7D">
      <w:pPr>
        <w:widowControl/>
        <w:jc w:val="left"/>
        <w:rPr>
          <w:rStyle w:val="CommentReference"/>
        </w:rPr>
      </w:pPr>
      <w:r>
        <w:rPr>
          <w:rStyle w:val="CommentReference"/>
        </w:rPr>
        <w:br w:type="page"/>
      </w:r>
    </w:p>
    <w:p w:rsidR="003649A2" w:rsidRPr="0088408E" w:rsidRDefault="003649A2" w:rsidP="003649A2">
      <w:pPr>
        <w:ind w:firstLine="720"/>
        <w:rPr>
          <w:rStyle w:val="CommentReference"/>
        </w:rPr>
      </w:pPr>
      <w:r w:rsidRPr="0088408E">
        <w:rPr>
          <w:rStyle w:val="CommentReference"/>
        </w:rPr>
        <w:lastRenderedPageBreak/>
        <w:t>Table 2: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1"/>
        <w:gridCol w:w="471"/>
        <w:gridCol w:w="1540"/>
        <w:gridCol w:w="758"/>
        <w:gridCol w:w="2051"/>
        <w:gridCol w:w="2130"/>
        <w:gridCol w:w="544"/>
      </w:tblGrid>
      <w:tr w:rsidR="003649A2" w:rsidRPr="0088408E" w:rsidTr="007B3AFF">
        <w:trPr>
          <w:tblHeader/>
        </w:trPr>
        <w:tc>
          <w:tcPr>
            <w:tcW w:w="510" w:type="pct"/>
            <w:shd w:val="clear" w:color="auto" w:fill="auto"/>
            <w:vAlign w:val="center"/>
          </w:tcPr>
          <w:p w:rsidR="003649A2" w:rsidRPr="00624DC7" w:rsidRDefault="003649A2" w:rsidP="00433A4D">
            <w:pPr>
              <w:jc w:val="left"/>
              <w:rPr>
                <w:rFonts w:ascii="Arial Narrow" w:hAnsi="Arial Narrow"/>
                <w:b/>
                <w:sz w:val="20"/>
              </w:rPr>
            </w:pPr>
            <w:r w:rsidRPr="00624DC7">
              <w:rPr>
                <w:rFonts w:ascii="Arial Narrow" w:hAnsi="Arial Narrow"/>
                <w:b/>
                <w:sz w:val="20"/>
              </w:rPr>
              <w:t>Trial</w:t>
            </w:r>
          </w:p>
        </w:tc>
        <w:tc>
          <w:tcPr>
            <w:tcW w:w="282" w:type="pct"/>
            <w:shd w:val="clear" w:color="auto" w:fill="auto"/>
            <w:vAlign w:val="center"/>
          </w:tcPr>
          <w:p w:rsidR="003649A2" w:rsidRPr="00624DC7" w:rsidRDefault="003649A2" w:rsidP="00433A4D">
            <w:pPr>
              <w:jc w:val="center"/>
              <w:rPr>
                <w:rFonts w:ascii="Arial Narrow" w:hAnsi="Arial Narrow"/>
                <w:b/>
                <w:sz w:val="20"/>
              </w:rPr>
            </w:pPr>
            <w:r w:rsidRPr="00624DC7">
              <w:rPr>
                <w:rFonts w:ascii="Arial Narrow" w:hAnsi="Arial Narrow"/>
                <w:b/>
                <w:sz w:val="20"/>
              </w:rPr>
              <w:t>N</w:t>
            </w:r>
          </w:p>
        </w:tc>
        <w:tc>
          <w:tcPr>
            <w:tcW w:w="923" w:type="pct"/>
            <w:shd w:val="clear" w:color="auto" w:fill="auto"/>
            <w:vAlign w:val="center"/>
          </w:tcPr>
          <w:p w:rsidR="003649A2" w:rsidRPr="00624DC7" w:rsidRDefault="003649A2" w:rsidP="00433A4D">
            <w:pPr>
              <w:jc w:val="center"/>
              <w:rPr>
                <w:rFonts w:ascii="Arial Narrow" w:hAnsi="Arial Narrow"/>
                <w:b/>
                <w:sz w:val="20"/>
              </w:rPr>
            </w:pPr>
            <w:r w:rsidRPr="00624DC7">
              <w:rPr>
                <w:rFonts w:ascii="Arial Narrow" w:hAnsi="Arial Narrow"/>
                <w:b/>
                <w:sz w:val="20"/>
              </w:rPr>
              <w:t>Design/ duration</w:t>
            </w:r>
          </w:p>
        </w:tc>
        <w:tc>
          <w:tcPr>
            <w:tcW w:w="454" w:type="pct"/>
            <w:shd w:val="clear" w:color="auto" w:fill="auto"/>
            <w:vAlign w:val="center"/>
          </w:tcPr>
          <w:p w:rsidR="003649A2" w:rsidRPr="00624DC7" w:rsidRDefault="003649A2" w:rsidP="00433A4D">
            <w:pPr>
              <w:jc w:val="center"/>
              <w:rPr>
                <w:rFonts w:ascii="Arial Narrow" w:hAnsi="Arial Narrow"/>
                <w:b/>
                <w:sz w:val="20"/>
              </w:rPr>
            </w:pPr>
            <w:r w:rsidRPr="00624DC7">
              <w:rPr>
                <w:rFonts w:ascii="Arial Narrow" w:hAnsi="Arial Narrow"/>
                <w:b/>
                <w:sz w:val="20"/>
              </w:rPr>
              <w:t>Risk of bias</w:t>
            </w:r>
          </w:p>
        </w:tc>
        <w:tc>
          <w:tcPr>
            <w:tcW w:w="1229" w:type="pct"/>
            <w:shd w:val="clear" w:color="auto" w:fill="auto"/>
            <w:vAlign w:val="center"/>
          </w:tcPr>
          <w:p w:rsidR="003649A2" w:rsidRPr="00624DC7" w:rsidRDefault="003649A2" w:rsidP="00433A4D">
            <w:pPr>
              <w:jc w:val="center"/>
              <w:rPr>
                <w:rFonts w:ascii="Arial Narrow" w:hAnsi="Arial Narrow"/>
                <w:b/>
                <w:sz w:val="20"/>
              </w:rPr>
            </w:pPr>
            <w:r w:rsidRPr="00624DC7">
              <w:rPr>
                <w:rFonts w:ascii="Arial Narrow" w:hAnsi="Arial Narrow"/>
                <w:b/>
                <w:sz w:val="20"/>
              </w:rPr>
              <w:t>Patient population</w:t>
            </w:r>
          </w:p>
        </w:tc>
        <w:tc>
          <w:tcPr>
            <w:tcW w:w="1276" w:type="pct"/>
            <w:shd w:val="clear" w:color="auto" w:fill="auto"/>
            <w:vAlign w:val="center"/>
          </w:tcPr>
          <w:p w:rsidR="003649A2" w:rsidRPr="00624DC7" w:rsidRDefault="003649A2" w:rsidP="00433A4D">
            <w:pPr>
              <w:jc w:val="center"/>
              <w:rPr>
                <w:rFonts w:ascii="Arial Narrow" w:hAnsi="Arial Narrow"/>
                <w:b/>
                <w:sz w:val="20"/>
              </w:rPr>
            </w:pPr>
            <w:r w:rsidRPr="00624DC7">
              <w:rPr>
                <w:rFonts w:ascii="Arial Narrow" w:hAnsi="Arial Narrow"/>
                <w:b/>
                <w:sz w:val="20"/>
              </w:rPr>
              <w:t>Main Outcome</w:t>
            </w:r>
          </w:p>
        </w:tc>
        <w:tc>
          <w:tcPr>
            <w:tcW w:w="326" w:type="pct"/>
            <w:shd w:val="clear" w:color="auto" w:fill="auto"/>
            <w:vAlign w:val="center"/>
          </w:tcPr>
          <w:p w:rsidR="003649A2" w:rsidRPr="00624DC7" w:rsidRDefault="003649A2" w:rsidP="00433A4D">
            <w:pPr>
              <w:jc w:val="center"/>
              <w:rPr>
                <w:rFonts w:ascii="Arial Narrow" w:hAnsi="Arial Narrow"/>
                <w:b/>
                <w:sz w:val="20"/>
              </w:rPr>
            </w:pPr>
            <w:r w:rsidRPr="00624DC7">
              <w:rPr>
                <w:rFonts w:ascii="Arial Narrow" w:hAnsi="Arial Narrow"/>
                <w:b/>
                <w:sz w:val="20"/>
              </w:rPr>
              <w:t>Use in model</w:t>
            </w:r>
          </w:p>
        </w:tc>
      </w:tr>
      <w:tr w:rsidR="003649A2" w:rsidRPr="0088408E" w:rsidTr="007B3AFF">
        <w:tc>
          <w:tcPr>
            <w:tcW w:w="5000" w:type="pct"/>
            <w:gridSpan w:val="7"/>
            <w:shd w:val="clear" w:color="auto" w:fill="auto"/>
            <w:vAlign w:val="center"/>
          </w:tcPr>
          <w:p w:rsidR="003649A2" w:rsidRPr="00624DC7" w:rsidRDefault="003649A2" w:rsidP="00433A4D">
            <w:pPr>
              <w:jc w:val="left"/>
              <w:rPr>
                <w:rFonts w:ascii="Arial Narrow" w:hAnsi="Arial Narrow"/>
                <w:b/>
                <w:sz w:val="20"/>
              </w:rPr>
            </w:pPr>
            <w:r w:rsidRPr="00624DC7">
              <w:rPr>
                <w:rFonts w:ascii="Arial Narrow" w:hAnsi="Arial Narrow"/>
                <w:b/>
                <w:sz w:val="20"/>
              </w:rPr>
              <w:t>Key evidence</w:t>
            </w:r>
          </w:p>
        </w:tc>
      </w:tr>
      <w:tr w:rsidR="003649A2" w:rsidRPr="0088408E" w:rsidTr="007B3AFF">
        <w:tc>
          <w:tcPr>
            <w:tcW w:w="510" w:type="pct"/>
            <w:shd w:val="clear" w:color="auto" w:fill="auto"/>
            <w:vAlign w:val="center"/>
          </w:tcPr>
          <w:p w:rsidR="003649A2" w:rsidRPr="00624DC7" w:rsidRDefault="003649A2" w:rsidP="00433A4D">
            <w:pPr>
              <w:jc w:val="left"/>
              <w:rPr>
                <w:rFonts w:ascii="Arial Narrow" w:hAnsi="Arial Narrow"/>
                <w:sz w:val="20"/>
              </w:rPr>
            </w:pPr>
            <w:r w:rsidRPr="00624DC7">
              <w:rPr>
                <w:rFonts w:ascii="Arial Narrow" w:hAnsi="Arial Narrow"/>
                <w:sz w:val="20"/>
              </w:rPr>
              <w:t>IA05</w:t>
            </w:r>
          </w:p>
        </w:tc>
        <w:tc>
          <w:tcPr>
            <w:tcW w:w="282"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627</w:t>
            </w:r>
          </w:p>
        </w:tc>
        <w:tc>
          <w:tcPr>
            <w:tcW w:w="923"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R, MC, DB, PC, PG</w:t>
            </w:r>
          </w:p>
          <w:p w:rsidR="003649A2" w:rsidRPr="00624DC7" w:rsidRDefault="003649A2" w:rsidP="00433A4D">
            <w:pPr>
              <w:jc w:val="center"/>
              <w:rPr>
                <w:rFonts w:ascii="Arial Narrow" w:hAnsi="Arial Narrow"/>
                <w:sz w:val="20"/>
              </w:rPr>
            </w:pPr>
            <w:r w:rsidRPr="00624DC7">
              <w:rPr>
                <w:rFonts w:ascii="Arial Narrow" w:hAnsi="Arial Narrow"/>
                <w:sz w:val="20"/>
              </w:rPr>
              <w:t>68 weeks</w:t>
            </w:r>
          </w:p>
        </w:tc>
        <w:tc>
          <w:tcPr>
            <w:tcW w:w="454"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Low</w:t>
            </w:r>
          </w:p>
        </w:tc>
        <w:tc>
          <w:tcPr>
            <w:tcW w:w="1229"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Moderate to severe p</w:t>
            </w:r>
            <w:r w:rsidR="0054640F" w:rsidRPr="00624DC7">
              <w:rPr>
                <w:rFonts w:ascii="Arial Narrow" w:hAnsi="Arial Narrow"/>
                <w:sz w:val="20"/>
              </w:rPr>
              <w:t>a</w:t>
            </w:r>
            <w:r w:rsidRPr="00624DC7">
              <w:rPr>
                <w:rFonts w:ascii="Arial Narrow" w:hAnsi="Arial Narrow"/>
                <w:sz w:val="20"/>
              </w:rPr>
              <w:t>ediatric allergic asthma</w:t>
            </w:r>
          </w:p>
        </w:tc>
        <w:tc>
          <w:tcPr>
            <w:tcW w:w="1276"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CSE rate at 24 weeks</w:t>
            </w:r>
          </w:p>
        </w:tc>
        <w:tc>
          <w:tcPr>
            <w:tcW w:w="326"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Yes</w:t>
            </w:r>
          </w:p>
        </w:tc>
      </w:tr>
      <w:tr w:rsidR="003649A2" w:rsidRPr="0088408E" w:rsidTr="007B3AFF">
        <w:tc>
          <w:tcPr>
            <w:tcW w:w="510" w:type="pct"/>
            <w:shd w:val="clear" w:color="auto" w:fill="auto"/>
            <w:vAlign w:val="center"/>
          </w:tcPr>
          <w:p w:rsidR="003649A2" w:rsidRPr="00624DC7" w:rsidRDefault="003649A2" w:rsidP="00433A4D">
            <w:pPr>
              <w:jc w:val="left"/>
              <w:rPr>
                <w:rFonts w:ascii="Arial Narrow" w:hAnsi="Arial Narrow"/>
                <w:sz w:val="20"/>
                <w:vertAlign w:val="superscript"/>
              </w:rPr>
            </w:pPr>
            <w:r w:rsidRPr="00624DC7">
              <w:rPr>
                <w:rFonts w:ascii="Arial Narrow" w:hAnsi="Arial Narrow"/>
                <w:sz w:val="20"/>
              </w:rPr>
              <w:t xml:space="preserve">IA05-EU </w:t>
            </w:r>
            <w:r w:rsidRPr="00624DC7">
              <w:rPr>
                <w:rFonts w:ascii="Arial Narrow" w:hAnsi="Arial Narrow"/>
                <w:sz w:val="20"/>
                <w:vertAlign w:val="superscript"/>
              </w:rPr>
              <w:t>a</w:t>
            </w:r>
          </w:p>
        </w:tc>
        <w:tc>
          <w:tcPr>
            <w:tcW w:w="282"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235</w:t>
            </w:r>
          </w:p>
        </w:tc>
        <w:tc>
          <w:tcPr>
            <w:tcW w:w="923"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R, MC, DB, PC, PG</w:t>
            </w:r>
          </w:p>
          <w:p w:rsidR="003649A2" w:rsidRPr="00624DC7" w:rsidRDefault="003649A2" w:rsidP="00433A4D">
            <w:pPr>
              <w:jc w:val="center"/>
              <w:rPr>
                <w:rFonts w:ascii="Arial Narrow" w:hAnsi="Arial Narrow"/>
                <w:sz w:val="20"/>
              </w:rPr>
            </w:pPr>
            <w:r w:rsidRPr="00624DC7">
              <w:rPr>
                <w:rFonts w:ascii="Arial Narrow" w:hAnsi="Arial Narrow"/>
                <w:sz w:val="20"/>
              </w:rPr>
              <w:t>68 weeks</w:t>
            </w:r>
          </w:p>
        </w:tc>
        <w:tc>
          <w:tcPr>
            <w:tcW w:w="454"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Low</w:t>
            </w:r>
          </w:p>
        </w:tc>
        <w:tc>
          <w:tcPr>
            <w:tcW w:w="1229" w:type="pct"/>
            <w:shd w:val="clear" w:color="auto" w:fill="auto"/>
            <w:vAlign w:val="center"/>
          </w:tcPr>
          <w:p w:rsidR="003649A2" w:rsidRPr="00624DC7" w:rsidRDefault="003649A2" w:rsidP="00433A4D">
            <w:pPr>
              <w:jc w:val="center"/>
              <w:rPr>
                <w:rFonts w:ascii="Arial Narrow" w:hAnsi="Arial Narrow"/>
                <w:sz w:val="20"/>
                <w:vertAlign w:val="subscript"/>
              </w:rPr>
            </w:pPr>
            <w:r w:rsidRPr="00624DC7">
              <w:rPr>
                <w:rFonts w:ascii="Arial Narrow" w:hAnsi="Arial Narrow"/>
                <w:sz w:val="20"/>
              </w:rPr>
              <w:t>Severe p</w:t>
            </w:r>
            <w:r w:rsidR="0054640F" w:rsidRPr="00624DC7">
              <w:rPr>
                <w:rFonts w:ascii="Arial Narrow" w:hAnsi="Arial Narrow"/>
                <w:sz w:val="20"/>
              </w:rPr>
              <w:t>a</w:t>
            </w:r>
            <w:r w:rsidRPr="00624DC7">
              <w:rPr>
                <w:rFonts w:ascii="Arial Narrow" w:hAnsi="Arial Narrow"/>
                <w:sz w:val="20"/>
              </w:rPr>
              <w:t xml:space="preserve">ediatric allergic asthma </w:t>
            </w:r>
            <w:r w:rsidRPr="00624DC7">
              <w:rPr>
                <w:rFonts w:ascii="Arial Narrow" w:hAnsi="Arial Narrow"/>
                <w:sz w:val="20"/>
                <w:vertAlign w:val="superscript"/>
              </w:rPr>
              <w:t>b</w:t>
            </w:r>
          </w:p>
        </w:tc>
        <w:tc>
          <w:tcPr>
            <w:tcW w:w="1276"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CSE rate at 24 weeks</w:t>
            </w:r>
          </w:p>
        </w:tc>
        <w:tc>
          <w:tcPr>
            <w:tcW w:w="326"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Yes</w:t>
            </w:r>
          </w:p>
        </w:tc>
      </w:tr>
      <w:tr w:rsidR="003649A2" w:rsidRPr="0088408E" w:rsidTr="007B3AFF">
        <w:tc>
          <w:tcPr>
            <w:tcW w:w="5000" w:type="pct"/>
            <w:gridSpan w:val="7"/>
            <w:shd w:val="clear" w:color="auto" w:fill="auto"/>
            <w:vAlign w:val="center"/>
          </w:tcPr>
          <w:p w:rsidR="003649A2" w:rsidRPr="00624DC7" w:rsidRDefault="003649A2" w:rsidP="00433A4D">
            <w:pPr>
              <w:jc w:val="left"/>
              <w:rPr>
                <w:rFonts w:ascii="Arial Narrow" w:hAnsi="Arial Narrow"/>
                <w:b/>
                <w:sz w:val="20"/>
              </w:rPr>
            </w:pPr>
            <w:r w:rsidRPr="00624DC7">
              <w:rPr>
                <w:rFonts w:ascii="Arial Narrow" w:hAnsi="Arial Narrow"/>
                <w:b/>
                <w:sz w:val="20"/>
              </w:rPr>
              <w:t>Supplementary evidence</w:t>
            </w:r>
          </w:p>
        </w:tc>
      </w:tr>
      <w:tr w:rsidR="003649A2" w:rsidRPr="0088408E" w:rsidTr="007B3AFF">
        <w:tc>
          <w:tcPr>
            <w:tcW w:w="510" w:type="pct"/>
            <w:shd w:val="clear" w:color="auto" w:fill="auto"/>
            <w:vAlign w:val="center"/>
          </w:tcPr>
          <w:p w:rsidR="003649A2" w:rsidRPr="00624DC7" w:rsidRDefault="003649A2" w:rsidP="00433A4D">
            <w:pPr>
              <w:jc w:val="left"/>
              <w:rPr>
                <w:rFonts w:ascii="Arial Narrow" w:hAnsi="Arial Narrow"/>
                <w:sz w:val="20"/>
              </w:rPr>
            </w:pPr>
            <w:r w:rsidRPr="00624DC7">
              <w:rPr>
                <w:rFonts w:ascii="Arial Narrow" w:hAnsi="Arial Narrow"/>
                <w:sz w:val="20"/>
              </w:rPr>
              <w:t>1301</w:t>
            </w:r>
          </w:p>
        </w:tc>
        <w:tc>
          <w:tcPr>
            <w:tcW w:w="282"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38</w:t>
            </w:r>
          </w:p>
        </w:tc>
        <w:tc>
          <w:tcPr>
            <w:tcW w:w="923"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BA, MC</w:t>
            </w:r>
          </w:p>
          <w:p w:rsidR="003649A2" w:rsidRPr="00624DC7" w:rsidRDefault="003649A2" w:rsidP="00433A4D">
            <w:pPr>
              <w:jc w:val="center"/>
              <w:rPr>
                <w:rFonts w:ascii="Arial Narrow" w:hAnsi="Arial Narrow"/>
                <w:sz w:val="20"/>
              </w:rPr>
            </w:pPr>
            <w:r w:rsidRPr="00624DC7">
              <w:rPr>
                <w:rFonts w:ascii="Arial Narrow" w:hAnsi="Arial Narrow"/>
                <w:sz w:val="20"/>
              </w:rPr>
              <w:t>24 weeks</w:t>
            </w:r>
          </w:p>
        </w:tc>
        <w:tc>
          <w:tcPr>
            <w:tcW w:w="454"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Unclear</w:t>
            </w:r>
          </w:p>
        </w:tc>
        <w:tc>
          <w:tcPr>
            <w:tcW w:w="1229"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6-15 yrs, inadequately controlled allergic asthma</w:t>
            </w:r>
          </w:p>
        </w:tc>
        <w:tc>
          <w:tcPr>
            <w:tcW w:w="1276"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mean of serum free IgE level at 24 weeks</w:t>
            </w:r>
          </w:p>
        </w:tc>
        <w:tc>
          <w:tcPr>
            <w:tcW w:w="326"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Yes</w:t>
            </w:r>
          </w:p>
        </w:tc>
      </w:tr>
      <w:tr w:rsidR="003649A2" w:rsidRPr="0088408E" w:rsidTr="007B3AFF">
        <w:tc>
          <w:tcPr>
            <w:tcW w:w="510" w:type="pct"/>
            <w:shd w:val="clear" w:color="auto" w:fill="auto"/>
            <w:vAlign w:val="center"/>
          </w:tcPr>
          <w:p w:rsidR="003649A2" w:rsidRPr="00624DC7" w:rsidRDefault="003649A2" w:rsidP="00433A4D">
            <w:pPr>
              <w:jc w:val="left"/>
              <w:rPr>
                <w:rFonts w:ascii="Arial Narrow" w:hAnsi="Arial Narrow"/>
                <w:sz w:val="20"/>
              </w:rPr>
            </w:pPr>
            <w:r w:rsidRPr="00624DC7">
              <w:rPr>
                <w:rFonts w:ascii="Arial Narrow" w:hAnsi="Arial Narrow"/>
                <w:sz w:val="20"/>
              </w:rPr>
              <w:t>FRA-1</w:t>
            </w:r>
          </w:p>
        </w:tc>
        <w:tc>
          <w:tcPr>
            <w:tcW w:w="282"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104</w:t>
            </w:r>
          </w:p>
        </w:tc>
        <w:tc>
          <w:tcPr>
            <w:tcW w:w="923"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BA, MC</w:t>
            </w:r>
          </w:p>
          <w:p w:rsidR="003649A2" w:rsidRPr="00624DC7" w:rsidRDefault="003649A2" w:rsidP="00433A4D">
            <w:pPr>
              <w:jc w:val="center"/>
              <w:rPr>
                <w:rFonts w:ascii="Arial Narrow" w:hAnsi="Arial Narrow"/>
                <w:sz w:val="20"/>
              </w:rPr>
            </w:pPr>
            <w:r w:rsidRPr="00624DC7">
              <w:rPr>
                <w:rFonts w:ascii="Arial Narrow" w:hAnsi="Arial Narrow"/>
                <w:sz w:val="20"/>
              </w:rPr>
              <w:t>52 weeks</w:t>
            </w:r>
          </w:p>
        </w:tc>
        <w:tc>
          <w:tcPr>
            <w:tcW w:w="454"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High</w:t>
            </w:r>
          </w:p>
        </w:tc>
        <w:tc>
          <w:tcPr>
            <w:tcW w:w="1229"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6-18 yrs, inadequately controlled allergic asthma</w:t>
            </w:r>
          </w:p>
        </w:tc>
        <w:tc>
          <w:tcPr>
            <w:tcW w:w="1276"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Effect on asthma control</w:t>
            </w:r>
          </w:p>
        </w:tc>
        <w:tc>
          <w:tcPr>
            <w:tcW w:w="326"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Yes</w:t>
            </w:r>
          </w:p>
        </w:tc>
      </w:tr>
      <w:tr w:rsidR="003649A2" w:rsidRPr="0088408E" w:rsidTr="007B3AFF">
        <w:tc>
          <w:tcPr>
            <w:tcW w:w="510" w:type="pct"/>
            <w:shd w:val="clear" w:color="auto" w:fill="auto"/>
            <w:vAlign w:val="center"/>
          </w:tcPr>
          <w:p w:rsidR="003649A2" w:rsidRPr="00624DC7" w:rsidRDefault="003649A2" w:rsidP="00433A4D">
            <w:pPr>
              <w:jc w:val="left"/>
              <w:rPr>
                <w:rFonts w:ascii="Arial Narrow" w:hAnsi="Arial Narrow"/>
                <w:sz w:val="20"/>
              </w:rPr>
            </w:pPr>
            <w:r w:rsidRPr="00624DC7">
              <w:rPr>
                <w:rFonts w:ascii="Arial Narrow" w:hAnsi="Arial Narrow"/>
                <w:sz w:val="20"/>
              </w:rPr>
              <w:t>UK-1</w:t>
            </w:r>
          </w:p>
        </w:tc>
        <w:tc>
          <w:tcPr>
            <w:tcW w:w="282"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34</w:t>
            </w:r>
          </w:p>
        </w:tc>
        <w:tc>
          <w:tcPr>
            <w:tcW w:w="923"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BA, MC</w:t>
            </w:r>
          </w:p>
          <w:p w:rsidR="003649A2" w:rsidRPr="00624DC7" w:rsidRDefault="003649A2" w:rsidP="00433A4D">
            <w:pPr>
              <w:jc w:val="center"/>
              <w:rPr>
                <w:rFonts w:ascii="Arial Narrow" w:hAnsi="Arial Narrow"/>
                <w:sz w:val="20"/>
              </w:rPr>
            </w:pPr>
            <w:r w:rsidRPr="00624DC7">
              <w:rPr>
                <w:rFonts w:ascii="Arial Narrow" w:hAnsi="Arial Narrow"/>
                <w:sz w:val="20"/>
              </w:rPr>
              <w:t>16 weeks</w:t>
            </w:r>
          </w:p>
        </w:tc>
        <w:tc>
          <w:tcPr>
            <w:tcW w:w="454"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High</w:t>
            </w:r>
          </w:p>
        </w:tc>
        <w:tc>
          <w:tcPr>
            <w:tcW w:w="1229"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As above</w:t>
            </w:r>
          </w:p>
        </w:tc>
        <w:tc>
          <w:tcPr>
            <w:tcW w:w="1276"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Reduction in prednisolone dose from baseline</w:t>
            </w:r>
          </w:p>
        </w:tc>
        <w:tc>
          <w:tcPr>
            <w:tcW w:w="326"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No</w:t>
            </w:r>
          </w:p>
        </w:tc>
      </w:tr>
      <w:tr w:rsidR="003649A2" w:rsidRPr="0088408E" w:rsidTr="007B3AFF">
        <w:tc>
          <w:tcPr>
            <w:tcW w:w="510" w:type="pct"/>
            <w:shd w:val="clear" w:color="auto" w:fill="auto"/>
            <w:vAlign w:val="center"/>
          </w:tcPr>
          <w:p w:rsidR="003649A2" w:rsidRPr="00624DC7" w:rsidRDefault="003649A2" w:rsidP="00433A4D">
            <w:pPr>
              <w:jc w:val="left"/>
              <w:rPr>
                <w:rFonts w:ascii="Arial Narrow" w:hAnsi="Arial Narrow"/>
                <w:sz w:val="20"/>
              </w:rPr>
            </w:pPr>
            <w:r w:rsidRPr="00624DC7">
              <w:rPr>
                <w:rFonts w:ascii="Arial Narrow" w:hAnsi="Arial Narrow"/>
                <w:sz w:val="20"/>
              </w:rPr>
              <w:t>UK-2</w:t>
            </w:r>
          </w:p>
        </w:tc>
        <w:tc>
          <w:tcPr>
            <w:tcW w:w="282"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20</w:t>
            </w:r>
          </w:p>
        </w:tc>
        <w:tc>
          <w:tcPr>
            <w:tcW w:w="923"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BA</w:t>
            </w:r>
          </w:p>
          <w:p w:rsidR="003649A2" w:rsidRPr="00624DC7" w:rsidRDefault="003649A2" w:rsidP="00433A4D">
            <w:pPr>
              <w:jc w:val="center"/>
              <w:rPr>
                <w:rFonts w:ascii="Arial Narrow" w:hAnsi="Arial Narrow"/>
                <w:sz w:val="20"/>
              </w:rPr>
            </w:pPr>
            <w:r w:rsidRPr="00624DC7">
              <w:rPr>
                <w:rFonts w:ascii="Arial Narrow" w:hAnsi="Arial Narrow"/>
                <w:sz w:val="20"/>
              </w:rPr>
              <w:t>16 weeks</w:t>
            </w:r>
          </w:p>
        </w:tc>
        <w:tc>
          <w:tcPr>
            <w:tcW w:w="454"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High</w:t>
            </w:r>
          </w:p>
        </w:tc>
        <w:tc>
          <w:tcPr>
            <w:tcW w:w="1229"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As above</w:t>
            </w:r>
          </w:p>
        </w:tc>
        <w:tc>
          <w:tcPr>
            <w:tcW w:w="1276"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N</w:t>
            </w:r>
            <w:r w:rsidR="005358B4" w:rsidRPr="00624DC7">
              <w:rPr>
                <w:rFonts w:ascii="Arial Narrow" w:hAnsi="Arial Narrow"/>
                <w:sz w:val="20"/>
              </w:rPr>
              <w:t>R</w:t>
            </w:r>
          </w:p>
        </w:tc>
        <w:tc>
          <w:tcPr>
            <w:tcW w:w="326"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No</w:t>
            </w:r>
          </w:p>
        </w:tc>
      </w:tr>
      <w:tr w:rsidR="003649A2" w:rsidRPr="0088408E" w:rsidTr="007B3AFF">
        <w:tc>
          <w:tcPr>
            <w:tcW w:w="510" w:type="pct"/>
            <w:shd w:val="clear" w:color="auto" w:fill="auto"/>
            <w:vAlign w:val="center"/>
          </w:tcPr>
          <w:p w:rsidR="003649A2" w:rsidRPr="00624DC7" w:rsidRDefault="003649A2" w:rsidP="00433A4D">
            <w:pPr>
              <w:jc w:val="left"/>
              <w:rPr>
                <w:rFonts w:ascii="Arial Narrow" w:hAnsi="Arial Narrow"/>
                <w:sz w:val="20"/>
              </w:rPr>
            </w:pPr>
            <w:r w:rsidRPr="00624DC7">
              <w:rPr>
                <w:rFonts w:ascii="Arial Narrow" w:hAnsi="Arial Narrow"/>
                <w:sz w:val="20"/>
              </w:rPr>
              <w:t>GER-1</w:t>
            </w:r>
          </w:p>
        </w:tc>
        <w:tc>
          <w:tcPr>
            <w:tcW w:w="282"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9</w:t>
            </w:r>
          </w:p>
        </w:tc>
        <w:tc>
          <w:tcPr>
            <w:tcW w:w="923"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BA</w:t>
            </w:r>
          </w:p>
          <w:p w:rsidR="003649A2" w:rsidRPr="00624DC7" w:rsidRDefault="003649A2" w:rsidP="00433A4D">
            <w:pPr>
              <w:jc w:val="center"/>
              <w:rPr>
                <w:rFonts w:ascii="Arial Narrow" w:hAnsi="Arial Narrow"/>
                <w:sz w:val="20"/>
              </w:rPr>
            </w:pPr>
            <w:r w:rsidRPr="00624DC7">
              <w:rPr>
                <w:rFonts w:ascii="Arial Narrow" w:hAnsi="Arial Narrow"/>
                <w:sz w:val="20"/>
              </w:rPr>
              <w:t>Mean 56 months</w:t>
            </w:r>
          </w:p>
        </w:tc>
        <w:tc>
          <w:tcPr>
            <w:tcW w:w="454"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High</w:t>
            </w:r>
          </w:p>
        </w:tc>
        <w:tc>
          <w:tcPr>
            <w:tcW w:w="1229"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As above</w:t>
            </w:r>
          </w:p>
        </w:tc>
        <w:tc>
          <w:tcPr>
            <w:tcW w:w="1276"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Change in total and free IgE</w:t>
            </w:r>
          </w:p>
        </w:tc>
        <w:tc>
          <w:tcPr>
            <w:tcW w:w="326"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No</w:t>
            </w:r>
          </w:p>
        </w:tc>
      </w:tr>
      <w:tr w:rsidR="003649A2" w:rsidRPr="0088408E" w:rsidTr="007B3AFF">
        <w:tc>
          <w:tcPr>
            <w:tcW w:w="510" w:type="pct"/>
            <w:shd w:val="clear" w:color="auto" w:fill="auto"/>
            <w:vAlign w:val="center"/>
          </w:tcPr>
          <w:p w:rsidR="003649A2" w:rsidRPr="00624DC7" w:rsidRDefault="003649A2" w:rsidP="00433A4D">
            <w:pPr>
              <w:jc w:val="left"/>
              <w:rPr>
                <w:rFonts w:ascii="Arial Narrow" w:hAnsi="Arial Narrow"/>
                <w:sz w:val="20"/>
              </w:rPr>
            </w:pPr>
            <w:r w:rsidRPr="00624DC7">
              <w:rPr>
                <w:rFonts w:ascii="Arial Narrow" w:hAnsi="Arial Narrow"/>
                <w:sz w:val="20"/>
              </w:rPr>
              <w:t>DE09</w:t>
            </w:r>
          </w:p>
        </w:tc>
        <w:tc>
          <w:tcPr>
            <w:tcW w:w="282"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20</w:t>
            </w:r>
          </w:p>
        </w:tc>
        <w:tc>
          <w:tcPr>
            <w:tcW w:w="923"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BA, MC</w:t>
            </w:r>
          </w:p>
          <w:p w:rsidR="003649A2" w:rsidRPr="00624DC7" w:rsidRDefault="003649A2" w:rsidP="00433A4D">
            <w:pPr>
              <w:jc w:val="center"/>
              <w:rPr>
                <w:rFonts w:ascii="Arial Narrow" w:hAnsi="Arial Narrow"/>
                <w:sz w:val="20"/>
              </w:rPr>
            </w:pPr>
            <w:r w:rsidRPr="00624DC7">
              <w:rPr>
                <w:rFonts w:ascii="Arial Narrow" w:hAnsi="Arial Narrow"/>
                <w:sz w:val="20"/>
              </w:rPr>
              <w:t>16–26 weeks</w:t>
            </w:r>
          </w:p>
        </w:tc>
        <w:tc>
          <w:tcPr>
            <w:tcW w:w="454"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High</w:t>
            </w:r>
          </w:p>
        </w:tc>
        <w:tc>
          <w:tcPr>
            <w:tcW w:w="1229"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6–&lt;18 yrs, inadequately controlled allergic asthma</w:t>
            </w:r>
          </w:p>
        </w:tc>
        <w:tc>
          <w:tcPr>
            <w:tcW w:w="1276"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PAQLQ</w:t>
            </w:r>
          </w:p>
        </w:tc>
        <w:tc>
          <w:tcPr>
            <w:tcW w:w="326" w:type="pct"/>
            <w:shd w:val="clear" w:color="auto" w:fill="auto"/>
            <w:vAlign w:val="center"/>
          </w:tcPr>
          <w:p w:rsidR="003649A2" w:rsidRPr="00624DC7" w:rsidRDefault="003649A2" w:rsidP="00433A4D">
            <w:pPr>
              <w:jc w:val="center"/>
              <w:rPr>
                <w:rFonts w:ascii="Arial Narrow" w:hAnsi="Arial Narrow"/>
                <w:sz w:val="20"/>
              </w:rPr>
            </w:pPr>
            <w:r w:rsidRPr="00624DC7">
              <w:rPr>
                <w:rFonts w:ascii="Arial Narrow" w:hAnsi="Arial Narrow"/>
                <w:sz w:val="20"/>
              </w:rPr>
              <w:t>No</w:t>
            </w:r>
          </w:p>
        </w:tc>
      </w:tr>
    </w:tbl>
    <w:p w:rsidR="003649A2" w:rsidRPr="0088408E" w:rsidRDefault="003649A2" w:rsidP="003649A2">
      <w:pPr>
        <w:pStyle w:val="TableFooter"/>
        <w:ind w:firstLine="720"/>
      </w:pPr>
      <w:r w:rsidRPr="0088408E">
        <w:t xml:space="preserve">Source: </w:t>
      </w:r>
      <w:r w:rsidRPr="0088408E">
        <w:rPr>
          <w:i/>
        </w:rPr>
        <w:t>compiled during the evaluation</w:t>
      </w:r>
    </w:p>
    <w:p w:rsidR="003649A2" w:rsidRPr="0088408E" w:rsidRDefault="00581910" w:rsidP="003649A2">
      <w:pPr>
        <w:pStyle w:val="TableFooter"/>
        <w:ind w:left="709" w:firstLine="11"/>
      </w:pPr>
      <w:r w:rsidRPr="0088408E">
        <w:t xml:space="preserve">BA = bioavailability; CSE = clinically significant exacerbation; </w:t>
      </w:r>
      <w:r w:rsidR="003649A2" w:rsidRPr="0088408E">
        <w:t xml:space="preserve">DB = double blind; </w:t>
      </w:r>
      <w:r w:rsidRPr="0088408E">
        <w:t xml:space="preserve">IgE = Immunoglobulin E; LABA = long acting beta-2 agonist; </w:t>
      </w:r>
      <w:r w:rsidR="003649A2" w:rsidRPr="0088408E">
        <w:t>MC = multi-centre;</w:t>
      </w:r>
      <w:r w:rsidRPr="0088408E">
        <w:t xml:space="preserve"> NR = not reported; PAQLQ = Paediatric Asthma Quality of Life Questionnaire; PC = placebo controlled;</w:t>
      </w:r>
      <w:r w:rsidR="003649A2" w:rsidRPr="0088408E">
        <w:t xml:space="preserve"> </w:t>
      </w:r>
      <w:r w:rsidRPr="0088408E">
        <w:t xml:space="preserve">PG = parallel group; </w:t>
      </w:r>
      <w:r w:rsidR="003649A2" w:rsidRPr="0088408E">
        <w:t xml:space="preserve">R = randomised; yrs = years </w:t>
      </w:r>
    </w:p>
    <w:p w:rsidR="003649A2" w:rsidRPr="0088408E" w:rsidRDefault="003649A2" w:rsidP="003649A2">
      <w:pPr>
        <w:pStyle w:val="TableFooter"/>
        <w:ind w:firstLine="720"/>
      </w:pPr>
      <w:r w:rsidRPr="0088408E">
        <w:rPr>
          <w:vertAlign w:val="superscript"/>
        </w:rPr>
        <w:t>a</w:t>
      </w:r>
      <w:r w:rsidRPr="0088408E">
        <w:t xml:space="preserve"> This subgroup was pre-specified. </w:t>
      </w:r>
    </w:p>
    <w:p w:rsidR="003649A2" w:rsidRPr="0088408E" w:rsidRDefault="003649A2" w:rsidP="003649A2">
      <w:pPr>
        <w:pStyle w:val="TableFooter"/>
        <w:ind w:firstLine="720"/>
      </w:pPr>
      <w:proofErr w:type="gramStart"/>
      <w:r w:rsidRPr="0088408E">
        <w:rPr>
          <w:vertAlign w:val="superscript"/>
        </w:rPr>
        <w:t>b</w:t>
      </w:r>
      <w:proofErr w:type="gramEnd"/>
      <w:r w:rsidRPr="0088408E">
        <w:t xml:space="preserve"> The population was pre-specified at baseline by criteria of inhaled corticosteroid ≥ 500 μg fluticasone and LABA user</w:t>
      </w:r>
    </w:p>
    <w:p w:rsidR="003649A2" w:rsidRPr="0088408E" w:rsidRDefault="003649A2" w:rsidP="003649A2"/>
    <w:p w:rsidR="003649A2" w:rsidRPr="00DA2551" w:rsidRDefault="003649A2" w:rsidP="00F34CCB">
      <w:pPr>
        <w:pStyle w:val="Heading2"/>
      </w:pPr>
      <w:bookmarkStart w:id="16" w:name="_Toc451348695"/>
      <w:r w:rsidRPr="00DA2551">
        <w:t>Comparative effectiveness</w:t>
      </w:r>
      <w:bookmarkEnd w:id="16"/>
    </w:p>
    <w:p w:rsidR="003649A2" w:rsidRPr="0088408E" w:rsidRDefault="003649A2" w:rsidP="003649A2">
      <w:pPr>
        <w:rPr>
          <w:szCs w:val="22"/>
        </w:rPr>
      </w:pPr>
    </w:p>
    <w:p w:rsidR="00C95EEB" w:rsidRPr="0088408E" w:rsidRDefault="003649A2" w:rsidP="00C95EEB">
      <w:pPr>
        <w:pStyle w:val="ListParagraph"/>
        <w:widowControl/>
        <w:numPr>
          <w:ilvl w:val="1"/>
          <w:numId w:val="2"/>
        </w:numPr>
        <w:rPr>
          <w:szCs w:val="22"/>
        </w:rPr>
      </w:pPr>
      <w:r w:rsidRPr="0088408E">
        <w:rPr>
          <w:szCs w:val="22"/>
        </w:rPr>
        <w:t xml:space="preserve">The submission presented </w:t>
      </w:r>
      <w:r w:rsidR="004D1BB0" w:rsidRPr="0088408E">
        <w:rPr>
          <w:szCs w:val="22"/>
        </w:rPr>
        <w:t xml:space="preserve">the </w:t>
      </w:r>
      <w:r w:rsidRPr="0088408E">
        <w:rPr>
          <w:szCs w:val="22"/>
        </w:rPr>
        <w:t>clinically significant exacerbation rate at 24 and 52</w:t>
      </w:r>
      <w:r w:rsidR="00C74C1E">
        <w:rPr>
          <w:szCs w:val="22"/>
        </w:rPr>
        <w:t> </w:t>
      </w:r>
      <w:r w:rsidRPr="0088408E">
        <w:rPr>
          <w:szCs w:val="22"/>
        </w:rPr>
        <w:t>weeks as the primary efficacy outcomes. Clinically significant exacerbation was defined in Study IA05 as worsening of asthma symptoms requiring doubling of the baseline ICS dose and/or treatment with rescue systemic corticosteroids for at least three days. This definition aligned closely with the proposed PBS restriction’s definition of severe exacerbation</w:t>
      </w:r>
      <w:r w:rsidR="008624EB" w:rsidRPr="0088408E">
        <w:rPr>
          <w:szCs w:val="22"/>
        </w:rPr>
        <w:t>,</w:t>
      </w:r>
      <w:r w:rsidR="00C95EEB" w:rsidRPr="0088408E">
        <w:rPr>
          <w:szCs w:val="22"/>
        </w:rPr>
        <w:t xml:space="preserve"> as well as </w:t>
      </w:r>
      <w:r w:rsidR="008624EB" w:rsidRPr="0088408E">
        <w:rPr>
          <w:szCs w:val="22"/>
        </w:rPr>
        <w:t xml:space="preserve">with the definition in </w:t>
      </w:r>
      <w:r w:rsidR="00C95EEB" w:rsidRPr="0088408E">
        <w:rPr>
          <w:szCs w:val="22"/>
        </w:rPr>
        <w:t>Study</w:t>
      </w:r>
      <w:r w:rsidR="009277CC" w:rsidRPr="0088408E">
        <w:rPr>
          <w:szCs w:val="22"/>
        </w:rPr>
        <w:t xml:space="preserve"> 2306, </w:t>
      </w:r>
      <w:r w:rsidR="00C95EEB" w:rsidRPr="0088408E">
        <w:rPr>
          <w:szCs w:val="22"/>
        </w:rPr>
        <w:t>the</w:t>
      </w:r>
      <w:r w:rsidR="009277CC" w:rsidRPr="0088408E">
        <w:rPr>
          <w:szCs w:val="22"/>
        </w:rPr>
        <w:t xml:space="preserve"> main trial which supported the PBAC recommendation of </w:t>
      </w:r>
      <w:proofErr w:type="spellStart"/>
      <w:r w:rsidR="009277CC" w:rsidRPr="0088408E">
        <w:rPr>
          <w:szCs w:val="22"/>
        </w:rPr>
        <w:t>omalizumab</w:t>
      </w:r>
      <w:proofErr w:type="spellEnd"/>
      <w:r w:rsidR="009277CC" w:rsidRPr="0088408E">
        <w:rPr>
          <w:szCs w:val="22"/>
        </w:rPr>
        <w:t xml:space="preserve"> in adolescent/adults population</w:t>
      </w:r>
      <w:r w:rsidR="00C95EEB" w:rsidRPr="0088408E">
        <w:rPr>
          <w:szCs w:val="22"/>
        </w:rPr>
        <w:t>.</w:t>
      </w:r>
    </w:p>
    <w:p w:rsidR="00393560" w:rsidRPr="0088408E" w:rsidRDefault="003649A2" w:rsidP="00DB0950">
      <w:pPr>
        <w:pStyle w:val="ListParagraph"/>
        <w:widowControl/>
        <w:rPr>
          <w:szCs w:val="22"/>
        </w:rPr>
      </w:pPr>
      <w:r w:rsidRPr="0088408E">
        <w:rPr>
          <w:szCs w:val="22"/>
        </w:rPr>
        <w:t xml:space="preserve"> </w:t>
      </w:r>
    </w:p>
    <w:p w:rsidR="00B96CF3" w:rsidRPr="00B96CF3" w:rsidRDefault="003649A2" w:rsidP="00B96CF3">
      <w:pPr>
        <w:pStyle w:val="ListParagraph"/>
        <w:widowControl/>
        <w:numPr>
          <w:ilvl w:val="1"/>
          <w:numId w:val="2"/>
        </w:numPr>
        <w:rPr>
          <w:rFonts w:ascii="Arial Narrow" w:hAnsi="Arial Narrow"/>
          <w:b/>
          <w:sz w:val="20"/>
          <w:szCs w:val="16"/>
        </w:rPr>
      </w:pPr>
      <w:r w:rsidRPr="00B96CF3">
        <w:rPr>
          <w:szCs w:val="22"/>
        </w:rPr>
        <w:t xml:space="preserve">The results </w:t>
      </w:r>
      <w:r w:rsidR="00C95EEB" w:rsidRPr="00B96CF3">
        <w:rPr>
          <w:szCs w:val="22"/>
        </w:rPr>
        <w:t>for</w:t>
      </w:r>
      <w:r w:rsidR="00C95EEB" w:rsidRPr="0088408E">
        <w:t xml:space="preserve"> c</w:t>
      </w:r>
      <w:r w:rsidR="00C95EEB" w:rsidRPr="00B96CF3">
        <w:rPr>
          <w:szCs w:val="22"/>
        </w:rPr>
        <w:t xml:space="preserve">linically significant exacerbations in the direct randomised trial </w:t>
      </w:r>
      <w:r w:rsidRPr="00B96CF3">
        <w:rPr>
          <w:szCs w:val="22"/>
        </w:rPr>
        <w:t xml:space="preserve">are presented </w:t>
      </w:r>
      <w:r w:rsidR="00C95EEB" w:rsidRPr="00B96CF3">
        <w:rPr>
          <w:szCs w:val="22"/>
        </w:rPr>
        <w:t>below</w:t>
      </w:r>
      <w:r w:rsidR="00F3613B" w:rsidRPr="00B96CF3">
        <w:rPr>
          <w:szCs w:val="22"/>
        </w:rPr>
        <w:t>.</w:t>
      </w:r>
    </w:p>
    <w:p w:rsidR="00B96CF3" w:rsidRDefault="00B96CF3" w:rsidP="00B96CF3">
      <w:pPr>
        <w:pStyle w:val="ListParagraph"/>
        <w:rPr>
          <w:rStyle w:val="CommentReference"/>
        </w:rPr>
      </w:pPr>
    </w:p>
    <w:p w:rsidR="00660F7D" w:rsidRDefault="00660F7D">
      <w:pPr>
        <w:widowControl/>
        <w:jc w:val="left"/>
        <w:rPr>
          <w:rStyle w:val="CommentReference"/>
        </w:rPr>
      </w:pPr>
      <w:r>
        <w:rPr>
          <w:rStyle w:val="CommentReference"/>
        </w:rPr>
        <w:br w:type="page"/>
      </w:r>
    </w:p>
    <w:p w:rsidR="003649A2" w:rsidRPr="0088408E" w:rsidRDefault="003649A2" w:rsidP="00660F7D">
      <w:pPr>
        <w:pStyle w:val="ListParagraph"/>
        <w:widowControl/>
        <w:rPr>
          <w:rStyle w:val="CommentReference"/>
        </w:rPr>
      </w:pPr>
      <w:r w:rsidRPr="0088408E">
        <w:rPr>
          <w:rStyle w:val="CommentReference"/>
        </w:rPr>
        <w:lastRenderedPageBreak/>
        <w:t>Table 3: Clinically significant exacerbation in the direct randomised trial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12"/>
        <w:gridCol w:w="818"/>
        <w:gridCol w:w="931"/>
        <w:gridCol w:w="699"/>
        <w:gridCol w:w="698"/>
        <w:gridCol w:w="1495"/>
        <w:gridCol w:w="1492"/>
      </w:tblGrid>
      <w:tr w:rsidR="003649A2" w:rsidRPr="0088408E" w:rsidTr="00433A4D">
        <w:trPr>
          <w:tblHeader/>
        </w:trPr>
        <w:tc>
          <w:tcPr>
            <w:tcW w:w="1325" w:type="pct"/>
            <w:shd w:val="clear" w:color="auto" w:fill="auto"/>
            <w:vAlign w:val="center"/>
          </w:tcPr>
          <w:p w:rsidR="003649A2" w:rsidRPr="00624DC7" w:rsidRDefault="003649A2" w:rsidP="00433A4D">
            <w:pPr>
              <w:keepNext/>
              <w:jc w:val="left"/>
              <w:rPr>
                <w:rFonts w:ascii="Arial Narrow" w:hAnsi="Arial Narrow"/>
                <w:b/>
                <w:sz w:val="20"/>
              </w:rPr>
            </w:pPr>
            <w:r w:rsidRPr="00624DC7">
              <w:rPr>
                <w:rFonts w:ascii="Arial Narrow" w:hAnsi="Arial Narrow"/>
                <w:b/>
                <w:sz w:val="20"/>
              </w:rPr>
              <w:t>Trial ID</w:t>
            </w:r>
          </w:p>
        </w:tc>
        <w:tc>
          <w:tcPr>
            <w:tcW w:w="1048" w:type="pct"/>
            <w:gridSpan w:val="2"/>
            <w:shd w:val="clear" w:color="auto" w:fill="auto"/>
          </w:tcPr>
          <w:p w:rsidR="003649A2" w:rsidRPr="0088408E" w:rsidRDefault="003649A2" w:rsidP="00433A4D">
            <w:pPr>
              <w:jc w:val="center"/>
              <w:rPr>
                <w:rFonts w:ascii="Arial Narrow" w:hAnsi="Arial Narrow"/>
                <w:b/>
                <w:sz w:val="20"/>
              </w:rPr>
            </w:pPr>
            <w:r w:rsidRPr="0088408E">
              <w:rPr>
                <w:rFonts w:ascii="Arial Narrow" w:hAnsi="Arial Narrow"/>
                <w:b/>
                <w:sz w:val="20"/>
              </w:rPr>
              <w:t>Omalizumab + OAT</w:t>
            </w:r>
          </w:p>
        </w:tc>
        <w:tc>
          <w:tcPr>
            <w:tcW w:w="837" w:type="pct"/>
            <w:gridSpan w:val="2"/>
            <w:shd w:val="clear" w:color="auto" w:fill="auto"/>
          </w:tcPr>
          <w:p w:rsidR="003649A2" w:rsidRPr="0088408E" w:rsidRDefault="003649A2" w:rsidP="00433A4D">
            <w:pPr>
              <w:jc w:val="center"/>
              <w:rPr>
                <w:rFonts w:ascii="Arial Narrow" w:hAnsi="Arial Narrow"/>
                <w:b/>
                <w:sz w:val="20"/>
              </w:rPr>
            </w:pPr>
            <w:r w:rsidRPr="0088408E">
              <w:rPr>
                <w:rFonts w:ascii="Arial Narrow" w:hAnsi="Arial Narrow"/>
                <w:b/>
                <w:sz w:val="20"/>
              </w:rPr>
              <w:t>Placebo + OAT</w:t>
            </w:r>
          </w:p>
        </w:tc>
        <w:tc>
          <w:tcPr>
            <w:tcW w:w="896" w:type="pct"/>
          </w:tcPr>
          <w:p w:rsidR="003649A2" w:rsidRPr="0088408E" w:rsidRDefault="003649A2" w:rsidP="00433A4D">
            <w:pPr>
              <w:jc w:val="center"/>
              <w:rPr>
                <w:rFonts w:ascii="Arial Narrow" w:hAnsi="Arial Narrow"/>
                <w:b/>
                <w:sz w:val="20"/>
              </w:rPr>
            </w:pPr>
            <w:r w:rsidRPr="0088408E">
              <w:rPr>
                <w:rFonts w:ascii="Arial Narrow" w:hAnsi="Arial Narrow"/>
                <w:b/>
                <w:sz w:val="20"/>
              </w:rPr>
              <w:t>Rate Difference</w:t>
            </w:r>
          </w:p>
        </w:tc>
        <w:tc>
          <w:tcPr>
            <w:tcW w:w="894" w:type="pct"/>
            <w:shd w:val="clear" w:color="auto" w:fill="auto"/>
          </w:tcPr>
          <w:p w:rsidR="003649A2" w:rsidRPr="0088408E" w:rsidRDefault="003649A2" w:rsidP="00433A4D">
            <w:pPr>
              <w:jc w:val="center"/>
              <w:rPr>
                <w:rFonts w:ascii="Arial Narrow" w:hAnsi="Arial Narrow"/>
                <w:b/>
                <w:sz w:val="20"/>
              </w:rPr>
            </w:pPr>
            <w:r w:rsidRPr="0088408E">
              <w:rPr>
                <w:rFonts w:ascii="Arial Narrow" w:hAnsi="Arial Narrow"/>
                <w:b/>
                <w:sz w:val="20"/>
              </w:rPr>
              <w:t>Rate ratio (95%CI)</w:t>
            </w:r>
          </w:p>
        </w:tc>
      </w:tr>
      <w:tr w:rsidR="003649A2" w:rsidRPr="0088408E" w:rsidTr="00433A4D">
        <w:trPr>
          <w:tblHeader/>
        </w:trPr>
        <w:tc>
          <w:tcPr>
            <w:tcW w:w="1325" w:type="pct"/>
            <w:shd w:val="clear" w:color="auto" w:fill="auto"/>
            <w:vAlign w:val="center"/>
          </w:tcPr>
          <w:p w:rsidR="003649A2" w:rsidRPr="00624DC7" w:rsidRDefault="003649A2" w:rsidP="00433A4D">
            <w:pPr>
              <w:keepNext/>
              <w:jc w:val="left"/>
              <w:rPr>
                <w:rFonts w:ascii="Arial Narrow" w:hAnsi="Arial Narrow"/>
                <w:b/>
                <w:sz w:val="20"/>
              </w:rPr>
            </w:pPr>
          </w:p>
        </w:tc>
        <w:tc>
          <w:tcPr>
            <w:tcW w:w="490" w:type="pct"/>
            <w:shd w:val="clear" w:color="auto" w:fill="auto"/>
            <w:vAlign w:val="center"/>
          </w:tcPr>
          <w:p w:rsidR="003649A2" w:rsidRPr="0088408E" w:rsidRDefault="003649A2" w:rsidP="00433A4D">
            <w:pPr>
              <w:jc w:val="center"/>
              <w:rPr>
                <w:rFonts w:ascii="Arial Narrow" w:hAnsi="Arial Narrow"/>
                <w:b/>
                <w:sz w:val="20"/>
              </w:rPr>
            </w:pPr>
            <w:r w:rsidRPr="0088408E">
              <w:rPr>
                <w:rFonts w:ascii="Arial Narrow" w:hAnsi="Arial Narrow"/>
                <w:b/>
                <w:sz w:val="20"/>
              </w:rPr>
              <w:t>n</w:t>
            </w:r>
          </w:p>
        </w:tc>
        <w:tc>
          <w:tcPr>
            <w:tcW w:w="558" w:type="pct"/>
            <w:shd w:val="clear" w:color="auto" w:fill="auto"/>
            <w:vAlign w:val="center"/>
          </w:tcPr>
          <w:p w:rsidR="003649A2" w:rsidRPr="0088408E" w:rsidRDefault="003649A2" w:rsidP="00433A4D">
            <w:pPr>
              <w:jc w:val="center"/>
              <w:rPr>
                <w:rFonts w:ascii="Arial Narrow" w:hAnsi="Arial Narrow"/>
                <w:b/>
                <w:sz w:val="20"/>
              </w:rPr>
            </w:pPr>
            <w:r w:rsidRPr="0088408E">
              <w:rPr>
                <w:rFonts w:ascii="Arial Narrow" w:hAnsi="Arial Narrow"/>
                <w:b/>
                <w:sz w:val="20"/>
              </w:rPr>
              <w:t>Rate</w:t>
            </w:r>
          </w:p>
        </w:tc>
        <w:tc>
          <w:tcPr>
            <w:tcW w:w="419" w:type="pct"/>
            <w:shd w:val="clear" w:color="auto" w:fill="auto"/>
            <w:vAlign w:val="center"/>
          </w:tcPr>
          <w:p w:rsidR="003649A2" w:rsidRPr="0088408E" w:rsidRDefault="003649A2" w:rsidP="00433A4D">
            <w:pPr>
              <w:jc w:val="center"/>
              <w:rPr>
                <w:rFonts w:ascii="Arial Narrow" w:hAnsi="Arial Narrow"/>
                <w:b/>
                <w:sz w:val="20"/>
              </w:rPr>
            </w:pPr>
            <w:r w:rsidRPr="0088408E">
              <w:rPr>
                <w:rFonts w:ascii="Arial Narrow" w:hAnsi="Arial Narrow"/>
                <w:b/>
                <w:sz w:val="20"/>
              </w:rPr>
              <w:t>n</w:t>
            </w:r>
          </w:p>
        </w:tc>
        <w:tc>
          <w:tcPr>
            <w:tcW w:w="418" w:type="pct"/>
            <w:shd w:val="clear" w:color="auto" w:fill="auto"/>
            <w:vAlign w:val="center"/>
          </w:tcPr>
          <w:p w:rsidR="003649A2" w:rsidRPr="0088408E" w:rsidRDefault="003649A2" w:rsidP="00433A4D">
            <w:pPr>
              <w:jc w:val="center"/>
              <w:rPr>
                <w:rFonts w:ascii="Arial Narrow" w:hAnsi="Arial Narrow"/>
                <w:b/>
                <w:sz w:val="20"/>
              </w:rPr>
            </w:pPr>
            <w:r w:rsidRPr="0088408E">
              <w:rPr>
                <w:rFonts w:ascii="Arial Narrow" w:hAnsi="Arial Narrow"/>
                <w:b/>
                <w:sz w:val="20"/>
              </w:rPr>
              <w:t>Rate</w:t>
            </w:r>
          </w:p>
        </w:tc>
        <w:tc>
          <w:tcPr>
            <w:tcW w:w="896" w:type="pct"/>
          </w:tcPr>
          <w:p w:rsidR="003649A2" w:rsidRPr="0088408E" w:rsidRDefault="003649A2" w:rsidP="00433A4D">
            <w:pPr>
              <w:jc w:val="center"/>
              <w:rPr>
                <w:rFonts w:ascii="Arial Narrow" w:hAnsi="Arial Narrow"/>
                <w:b/>
                <w:sz w:val="20"/>
              </w:rPr>
            </w:pPr>
          </w:p>
        </w:tc>
        <w:tc>
          <w:tcPr>
            <w:tcW w:w="894" w:type="pct"/>
            <w:shd w:val="clear" w:color="auto" w:fill="auto"/>
          </w:tcPr>
          <w:p w:rsidR="003649A2" w:rsidRPr="0088408E" w:rsidRDefault="003649A2" w:rsidP="00433A4D">
            <w:pPr>
              <w:jc w:val="center"/>
              <w:rPr>
                <w:rFonts w:ascii="Arial Narrow" w:hAnsi="Arial Narrow"/>
                <w:b/>
                <w:sz w:val="20"/>
              </w:rPr>
            </w:pPr>
          </w:p>
        </w:tc>
      </w:tr>
      <w:tr w:rsidR="0095447F" w:rsidRPr="0088408E" w:rsidTr="0095447F">
        <w:tc>
          <w:tcPr>
            <w:tcW w:w="5000" w:type="pct"/>
            <w:gridSpan w:val="7"/>
            <w:shd w:val="clear" w:color="auto" w:fill="auto"/>
            <w:vAlign w:val="center"/>
          </w:tcPr>
          <w:p w:rsidR="0095447F" w:rsidRPr="0088408E" w:rsidRDefault="0095447F" w:rsidP="0095447F">
            <w:pPr>
              <w:jc w:val="left"/>
              <w:rPr>
                <w:rFonts w:ascii="Arial Narrow" w:hAnsi="Arial Narrow"/>
                <w:sz w:val="20"/>
              </w:rPr>
            </w:pPr>
            <w:r w:rsidRPr="0088408E">
              <w:rPr>
                <w:rFonts w:ascii="Arial Narrow" w:hAnsi="Arial Narrow"/>
                <w:b/>
                <w:sz w:val="20"/>
              </w:rPr>
              <w:t>Clinically significant exacerbation at 24 wks</w:t>
            </w:r>
          </w:p>
        </w:tc>
      </w:tr>
      <w:tr w:rsidR="003649A2" w:rsidRPr="0088408E" w:rsidTr="00433A4D">
        <w:tc>
          <w:tcPr>
            <w:tcW w:w="1325" w:type="pct"/>
            <w:shd w:val="clear" w:color="auto" w:fill="auto"/>
            <w:vAlign w:val="center"/>
          </w:tcPr>
          <w:p w:rsidR="003649A2" w:rsidRPr="0088408E" w:rsidRDefault="003649A2" w:rsidP="00433A4D">
            <w:pPr>
              <w:jc w:val="left"/>
              <w:rPr>
                <w:rFonts w:ascii="Arial Narrow" w:hAnsi="Arial Narrow"/>
                <w:sz w:val="20"/>
              </w:rPr>
            </w:pPr>
            <w:r w:rsidRPr="0088408E">
              <w:rPr>
                <w:rFonts w:ascii="Arial Narrow" w:hAnsi="Arial Narrow"/>
                <w:sz w:val="20"/>
              </w:rPr>
              <w:t>IA05-mITT</w:t>
            </w:r>
          </w:p>
        </w:tc>
        <w:tc>
          <w:tcPr>
            <w:tcW w:w="490" w:type="pct"/>
            <w:shd w:val="clear" w:color="auto" w:fill="auto"/>
            <w:vAlign w:val="center"/>
          </w:tcPr>
          <w:p w:rsidR="003649A2" w:rsidRPr="0088408E" w:rsidRDefault="003649A2" w:rsidP="00433A4D">
            <w:pPr>
              <w:jc w:val="center"/>
              <w:rPr>
                <w:rFonts w:ascii="Arial Narrow" w:hAnsi="Arial Narrow"/>
                <w:sz w:val="20"/>
              </w:rPr>
            </w:pPr>
            <w:r w:rsidRPr="0088408E">
              <w:rPr>
                <w:rFonts w:ascii="Arial Narrow" w:hAnsi="Arial Narrow"/>
                <w:sz w:val="20"/>
              </w:rPr>
              <w:t>384</w:t>
            </w:r>
          </w:p>
        </w:tc>
        <w:tc>
          <w:tcPr>
            <w:tcW w:w="558" w:type="pct"/>
            <w:shd w:val="clear" w:color="auto" w:fill="auto"/>
            <w:vAlign w:val="center"/>
          </w:tcPr>
          <w:p w:rsidR="003649A2" w:rsidRPr="0088408E" w:rsidRDefault="003649A2" w:rsidP="00433A4D">
            <w:pPr>
              <w:jc w:val="center"/>
              <w:rPr>
                <w:rFonts w:ascii="Arial Narrow" w:hAnsi="Arial Narrow"/>
                <w:sz w:val="20"/>
              </w:rPr>
            </w:pPr>
            <w:r w:rsidRPr="0088408E">
              <w:rPr>
                <w:rFonts w:ascii="Arial Narrow" w:hAnsi="Arial Narrow"/>
                <w:sz w:val="20"/>
              </w:rPr>
              <w:t>0.45</w:t>
            </w:r>
          </w:p>
        </w:tc>
        <w:tc>
          <w:tcPr>
            <w:tcW w:w="419" w:type="pct"/>
            <w:shd w:val="clear" w:color="auto" w:fill="auto"/>
            <w:vAlign w:val="center"/>
          </w:tcPr>
          <w:p w:rsidR="003649A2" w:rsidRPr="0088408E" w:rsidRDefault="003649A2" w:rsidP="00433A4D">
            <w:pPr>
              <w:jc w:val="center"/>
              <w:rPr>
                <w:rFonts w:ascii="Arial Narrow" w:hAnsi="Arial Narrow"/>
                <w:sz w:val="20"/>
              </w:rPr>
            </w:pPr>
            <w:r w:rsidRPr="0088408E">
              <w:rPr>
                <w:rFonts w:ascii="Arial Narrow" w:hAnsi="Arial Narrow"/>
                <w:sz w:val="20"/>
              </w:rPr>
              <w:t>192</w:t>
            </w:r>
          </w:p>
        </w:tc>
        <w:tc>
          <w:tcPr>
            <w:tcW w:w="418" w:type="pct"/>
            <w:shd w:val="clear" w:color="auto" w:fill="auto"/>
            <w:vAlign w:val="center"/>
          </w:tcPr>
          <w:p w:rsidR="003649A2" w:rsidRPr="0088408E" w:rsidRDefault="003649A2" w:rsidP="00433A4D">
            <w:pPr>
              <w:jc w:val="center"/>
              <w:rPr>
                <w:rFonts w:ascii="Arial Narrow" w:hAnsi="Arial Narrow"/>
                <w:sz w:val="20"/>
              </w:rPr>
            </w:pPr>
            <w:r w:rsidRPr="0088408E">
              <w:rPr>
                <w:rFonts w:ascii="Arial Narrow" w:hAnsi="Arial Narrow"/>
                <w:sz w:val="20"/>
              </w:rPr>
              <w:t>0.64</w:t>
            </w:r>
          </w:p>
        </w:tc>
        <w:tc>
          <w:tcPr>
            <w:tcW w:w="896" w:type="pct"/>
            <w:vAlign w:val="center"/>
          </w:tcPr>
          <w:p w:rsidR="003649A2" w:rsidRPr="0088408E" w:rsidRDefault="003649A2" w:rsidP="00433A4D">
            <w:pPr>
              <w:jc w:val="center"/>
              <w:rPr>
                <w:rFonts w:ascii="Arial Narrow" w:hAnsi="Arial Narrow"/>
                <w:sz w:val="20"/>
              </w:rPr>
            </w:pPr>
            <w:r w:rsidRPr="0088408E">
              <w:rPr>
                <w:rFonts w:ascii="Arial Narrow" w:hAnsi="Arial Narrow"/>
                <w:sz w:val="20"/>
              </w:rPr>
              <w:t>0.19</w:t>
            </w:r>
          </w:p>
        </w:tc>
        <w:tc>
          <w:tcPr>
            <w:tcW w:w="894" w:type="pct"/>
            <w:shd w:val="clear" w:color="auto" w:fill="auto"/>
            <w:vAlign w:val="center"/>
          </w:tcPr>
          <w:p w:rsidR="003649A2" w:rsidRPr="0088408E" w:rsidRDefault="003649A2" w:rsidP="00433A4D">
            <w:pPr>
              <w:jc w:val="center"/>
              <w:rPr>
                <w:rFonts w:ascii="Arial Narrow" w:hAnsi="Arial Narrow"/>
                <w:b/>
                <w:sz w:val="20"/>
              </w:rPr>
            </w:pPr>
            <w:r w:rsidRPr="0088408E">
              <w:rPr>
                <w:rFonts w:ascii="Arial Narrow" w:hAnsi="Arial Narrow"/>
                <w:b/>
                <w:sz w:val="20"/>
              </w:rPr>
              <w:t>0.69 (0.53, 0.90)</w:t>
            </w:r>
          </w:p>
        </w:tc>
      </w:tr>
      <w:tr w:rsidR="003649A2" w:rsidRPr="0088408E" w:rsidTr="00433A4D">
        <w:tc>
          <w:tcPr>
            <w:tcW w:w="1325" w:type="pct"/>
            <w:shd w:val="clear" w:color="auto" w:fill="auto"/>
            <w:vAlign w:val="center"/>
          </w:tcPr>
          <w:p w:rsidR="003649A2" w:rsidRPr="0088408E" w:rsidRDefault="003649A2" w:rsidP="00433A4D">
            <w:pPr>
              <w:jc w:val="left"/>
              <w:rPr>
                <w:rFonts w:ascii="Arial Narrow" w:hAnsi="Arial Narrow"/>
                <w:sz w:val="20"/>
                <w:vertAlign w:val="superscript"/>
              </w:rPr>
            </w:pPr>
            <w:r w:rsidRPr="0088408E">
              <w:rPr>
                <w:rFonts w:ascii="Arial Narrow" w:hAnsi="Arial Narrow"/>
                <w:sz w:val="20"/>
              </w:rPr>
              <w:t xml:space="preserve">IA05-EU </w:t>
            </w:r>
            <w:r w:rsidRPr="0088408E">
              <w:rPr>
                <w:rFonts w:ascii="Arial Narrow" w:hAnsi="Arial Narrow"/>
                <w:sz w:val="20"/>
                <w:vertAlign w:val="superscript"/>
              </w:rPr>
              <w:t>a</w:t>
            </w:r>
          </w:p>
        </w:tc>
        <w:tc>
          <w:tcPr>
            <w:tcW w:w="490" w:type="pct"/>
            <w:shd w:val="clear" w:color="auto" w:fill="auto"/>
            <w:vAlign w:val="center"/>
          </w:tcPr>
          <w:p w:rsidR="003649A2" w:rsidRPr="0088408E" w:rsidRDefault="003649A2" w:rsidP="00433A4D">
            <w:pPr>
              <w:jc w:val="center"/>
              <w:rPr>
                <w:rFonts w:ascii="Arial Narrow" w:hAnsi="Arial Narrow"/>
                <w:sz w:val="20"/>
              </w:rPr>
            </w:pPr>
            <w:r w:rsidRPr="0088408E">
              <w:rPr>
                <w:rFonts w:ascii="Arial Narrow" w:hAnsi="Arial Narrow"/>
                <w:sz w:val="20"/>
              </w:rPr>
              <w:t>159</w:t>
            </w:r>
          </w:p>
        </w:tc>
        <w:tc>
          <w:tcPr>
            <w:tcW w:w="558" w:type="pct"/>
            <w:shd w:val="clear" w:color="auto" w:fill="auto"/>
            <w:vAlign w:val="center"/>
          </w:tcPr>
          <w:p w:rsidR="003649A2" w:rsidRPr="0088408E" w:rsidRDefault="003649A2" w:rsidP="00433A4D">
            <w:pPr>
              <w:jc w:val="center"/>
              <w:rPr>
                <w:rFonts w:ascii="Arial Narrow" w:hAnsi="Arial Narrow"/>
                <w:sz w:val="20"/>
              </w:rPr>
            </w:pPr>
            <w:r w:rsidRPr="0088408E">
              <w:rPr>
                <w:rFonts w:ascii="Arial Narrow" w:hAnsi="Arial Narrow"/>
                <w:sz w:val="20"/>
              </w:rPr>
              <w:t>0.42</w:t>
            </w:r>
          </w:p>
        </w:tc>
        <w:tc>
          <w:tcPr>
            <w:tcW w:w="419" w:type="pct"/>
            <w:shd w:val="clear" w:color="auto" w:fill="auto"/>
            <w:vAlign w:val="center"/>
          </w:tcPr>
          <w:p w:rsidR="003649A2" w:rsidRPr="0088408E" w:rsidRDefault="003649A2" w:rsidP="00433A4D">
            <w:pPr>
              <w:jc w:val="center"/>
              <w:rPr>
                <w:rFonts w:ascii="Arial Narrow" w:hAnsi="Arial Narrow"/>
                <w:sz w:val="20"/>
              </w:rPr>
            </w:pPr>
            <w:r w:rsidRPr="0088408E">
              <w:rPr>
                <w:rFonts w:ascii="Arial Narrow" w:hAnsi="Arial Narrow"/>
                <w:sz w:val="20"/>
              </w:rPr>
              <w:t>76</w:t>
            </w:r>
          </w:p>
        </w:tc>
        <w:tc>
          <w:tcPr>
            <w:tcW w:w="418" w:type="pct"/>
            <w:shd w:val="clear" w:color="auto" w:fill="auto"/>
            <w:vAlign w:val="center"/>
          </w:tcPr>
          <w:p w:rsidR="003649A2" w:rsidRPr="0088408E" w:rsidRDefault="003649A2" w:rsidP="00433A4D">
            <w:pPr>
              <w:jc w:val="center"/>
              <w:rPr>
                <w:rFonts w:ascii="Arial Narrow" w:hAnsi="Arial Narrow"/>
                <w:sz w:val="20"/>
              </w:rPr>
            </w:pPr>
            <w:r w:rsidRPr="0088408E">
              <w:rPr>
                <w:rFonts w:ascii="Arial Narrow" w:hAnsi="Arial Narrow"/>
                <w:sz w:val="20"/>
              </w:rPr>
              <w:t>0.63</w:t>
            </w:r>
          </w:p>
        </w:tc>
        <w:tc>
          <w:tcPr>
            <w:tcW w:w="896" w:type="pct"/>
            <w:vAlign w:val="center"/>
          </w:tcPr>
          <w:p w:rsidR="003649A2" w:rsidRPr="0088408E" w:rsidRDefault="003649A2" w:rsidP="00433A4D">
            <w:pPr>
              <w:jc w:val="center"/>
              <w:rPr>
                <w:rFonts w:ascii="Arial Narrow" w:hAnsi="Arial Narrow"/>
                <w:sz w:val="20"/>
              </w:rPr>
            </w:pPr>
            <w:r w:rsidRPr="0088408E">
              <w:rPr>
                <w:rFonts w:ascii="Arial Narrow" w:hAnsi="Arial Narrow"/>
                <w:sz w:val="20"/>
              </w:rPr>
              <w:t>0.21</w:t>
            </w:r>
          </w:p>
        </w:tc>
        <w:tc>
          <w:tcPr>
            <w:tcW w:w="894" w:type="pct"/>
            <w:shd w:val="clear" w:color="auto" w:fill="auto"/>
            <w:vAlign w:val="center"/>
          </w:tcPr>
          <w:p w:rsidR="003649A2" w:rsidRPr="0088408E" w:rsidRDefault="003649A2" w:rsidP="00433A4D">
            <w:pPr>
              <w:jc w:val="center"/>
              <w:rPr>
                <w:rFonts w:ascii="Arial Narrow" w:hAnsi="Arial Narrow"/>
                <w:b/>
                <w:sz w:val="20"/>
              </w:rPr>
            </w:pPr>
            <w:r w:rsidRPr="0088408E">
              <w:rPr>
                <w:rFonts w:ascii="Arial Narrow" w:hAnsi="Arial Narrow"/>
                <w:b/>
                <w:sz w:val="20"/>
              </w:rPr>
              <w:t>0.66 (0.44, 1.00)</w:t>
            </w:r>
          </w:p>
        </w:tc>
      </w:tr>
      <w:tr w:rsidR="003649A2" w:rsidRPr="0088408E" w:rsidTr="00433A4D">
        <w:tc>
          <w:tcPr>
            <w:tcW w:w="1325" w:type="pct"/>
            <w:shd w:val="clear" w:color="auto" w:fill="auto"/>
            <w:vAlign w:val="center"/>
          </w:tcPr>
          <w:p w:rsidR="003649A2" w:rsidRPr="0088408E" w:rsidRDefault="003649A2" w:rsidP="00433A4D">
            <w:pPr>
              <w:jc w:val="left"/>
              <w:rPr>
                <w:rFonts w:ascii="Arial Narrow" w:hAnsi="Arial Narrow"/>
                <w:sz w:val="20"/>
              </w:rPr>
            </w:pPr>
            <w:r w:rsidRPr="0088408E">
              <w:rPr>
                <w:rFonts w:ascii="Arial Narrow" w:hAnsi="Arial Narrow"/>
                <w:sz w:val="20"/>
              </w:rPr>
              <w:t xml:space="preserve">IA05-EU Responder </w:t>
            </w:r>
            <w:r w:rsidRPr="0088408E">
              <w:rPr>
                <w:rFonts w:ascii="Arial Narrow" w:hAnsi="Arial Narrow"/>
                <w:sz w:val="20"/>
                <w:vertAlign w:val="superscript"/>
              </w:rPr>
              <w:t>b</w:t>
            </w:r>
          </w:p>
        </w:tc>
        <w:tc>
          <w:tcPr>
            <w:tcW w:w="490" w:type="pct"/>
            <w:shd w:val="clear" w:color="auto" w:fill="auto"/>
            <w:vAlign w:val="center"/>
          </w:tcPr>
          <w:p w:rsidR="003649A2" w:rsidRPr="0088408E" w:rsidRDefault="003649A2" w:rsidP="00433A4D">
            <w:pPr>
              <w:jc w:val="center"/>
              <w:rPr>
                <w:rFonts w:ascii="Arial Narrow" w:hAnsi="Arial Narrow"/>
                <w:sz w:val="20"/>
              </w:rPr>
            </w:pPr>
            <w:r w:rsidRPr="0088408E">
              <w:rPr>
                <w:rFonts w:ascii="Arial Narrow" w:hAnsi="Arial Narrow"/>
                <w:sz w:val="20"/>
              </w:rPr>
              <w:t>118</w:t>
            </w:r>
          </w:p>
        </w:tc>
        <w:tc>
          <w:tcPr>
            <w:tcW w:w="558" w:type="pct"/>
            <w:shd w:val="clear" w:color="auto" w:fill="auto"/>
            <w:vAlign w:val="center"/>
          </w:tcPr>
          <w:p w:rsidR="003649A2" w:rsidRPr="0088408E" w:rsidRDefault="003649A2" w:rsidP="00433A4D">
            <w:pPr>
              <w:jc w:val="center"/>
              <w:rPr>
                <w:rFonts w:ascii="Arial Narrow" w:hAnsi="Arial Narrow"/>
                <w:sz w:val="20"/>
              </w:rPr>
            </w:pPr>
            <w:r w:rsidRPr="0088408E">
              <w:rPr>
                <w:rFonts w:ascii="Arial Narrow" w:hAnsi="Arial Narrow"/>
                <w:sz w:val="20"/>
              </w:rPr>
              <w:t>0.33</w:t>
            </w:r>
          </w:p>
        </w:tc>
        <w:tc>
          <w:tcPr>
            <w:tcW w:w="419" w:type="pct"/>
            <w:shd w:val="clear" w:color="auto" w:fill="auto"/>
            <w:vAlign w:val="center"/>
          </w:tcPr>
          <w:p w:rsidR="003649A2" w:rsidRPr="0088408E" w:rsidRDefault="003649A2" w:rsidP="00433A4D">
            <w:pPr>
              <w:jc w:val="center"/>
              <w:rPr>
                <w:rFonts w:ascii="Arial Narrow" w:hAnsi="Arial Narrow"/>
                <w:sz w:val="20"/>
              </w:rPr>
            </w:pPr>
            <w:r w:rsidRPr="0088408E">
              <w:rPr>
                <w:rFonts w:ascii="Arial Narrow" w:hAnsi="Arial Narrow"/>
                <w:sz w:val="20"/>
              </w:rPr>
              <w:t>76</w:t>
            </w:r>
          </w:p>
        </w:tc>
        <w:tc>
          <w:tcPr>
            <w:tcW w:w="418" w:type="pct"/>
            <w:shd w:val="clear" w:color="auto" w:fill="auto"/>
            <w:vAlign w:val="center"/>
          </w:tcPr>
          <w:p w:rsidR="003649A2" w:rsidRPr="0088408E" w:rsidRDefault="003649A2" w:rsidP="00433A4D">
            <w:pPr>
              <w:jc w:val="center"/>
              <w:rPr>
                <w:rFonts w:ascii="Arial Narrow" w:hAnsi="Arial Narrow"/>
                <w:sz w:val="20"/>
              </w:rPr>
            </w:pPr>
            <w:r w:rsidRPr="0088408E">
              <w:rPr>
                <w:rFonts w:ascii="Arial Narrow" w:hAnsi="Arial Narrow"/>
                <w:sz w:val="20"/>
              </w:rPr>
              <w:t>0.71</w:t>
            </w:r>
          </w:p>
        </w:tc>
        <w:tc>
          <w:tcPr>
            <w:tcW w:w="896" w:type="pct"/>
            <w:vAlign w:val="center"/>
          </w:tcPr>
          <w:p w:rsidR="003649A2" w:rsidRPr="0088408E" w:rsidRDefault="003649A2" w:rsidP="00433A4D">
            <w:pPr>
              <w:jc w:val="center"/>
              <w:rPr>
                <w:rFonts w:ascii="Arial Narrow" w:hAnsi="Arial Narrow"/>
                <w:sz w:val="20"/>
              </w:rPr>
            </w:pPr>
            <w:r w:rsidRPr="0088408E">
              <w:rPr>
                <w:rFonts w:ascii="Arial Narrow" w:hAnsi="Arial Narrow"/>
                <w:sz w:val="20"/>
              </w:rPr>
              <w:t>0.38</w:t>
            </w:r>
          </w:p>
        </w:tc>
        <w:tc>
          <w:tcPr>
            <w:tcW w:w="894" w:type="pct"/>
            <w:shd w:val="clear" w:color="auto" w:fill="auto"/>
            <w:vAlign w:val="center"/>
          </w:tcPr>
          <w:p w:rsidR="003649A2" w:rsidRPr="0088408E" w:rsidRDefault="003649A2" w:rsidP="00433A4D">
            <w:pPr>
              <w:jc w:val="center"/>
              <w:rPr>
                <w:rFonts w:ascii="Arial Narrow" w:hAnsi="Arial Narrow"/>
                <w:b/>
                <w:sz w:val="20"/>
              </w:rPr>
            </w:pPr>
            <w:r w:rsidRPr="0088408E">
              <w:rPr>
                <w:rFonts w:ascii="Arial Narrow" w:hAnsi="Arial Narrow"/>
                <w:b/>
                <w:sz w:val="20"/>
              </w:rPr>
              <w:t>0.46 (0.30, 0.72)</w:t>
            </w:r>
          </w:p>
        </w:tc>
      </w:tr>
      <w:tr w:rsidR="0095447F" w:rsidRPr="0088408E" w:rsidTr="0095447F">
        <w:tc>
          <w:tcPr>
            <w:tcW w:w="5000" w:type="pct"/>
            <w:gridSpan w:val="7"/>
            <w:shd w:val="clear" w:color="auto" w:fill="auto"/>
            <w:vAlign w:val="center"/>
          </w:tcPr>
          <w:p w:rsidR="0095447F" w:rsidRPr="0088408E" w:rsidRDefault="0095447F" w:rsidP="0095447F">
            <w:pPr>
              <w:keepLines/>
              <w:jc w:val="left"/>
              <w:rPr>
                <w:rFonts w:ascii="Arial Narrow" w:hAnsi="Arial Narrow"/>
                <w:b/>
                <w:sz w:val="20"/>
              </w:rPr>
            </w:pPr>
            <w:r w:rsidRPr="0088408E">
              <w:rPr>
                <w:rFonts w:ascii="Arial Narrow" w:hAnsi="Arial Narrow"/>
                <w:b/>
                <w:sz w:val="20"/>
              </w:rPr>
              <w:t>Clinically significant exacerbation at 52 wks</w:t>
            </w:r>
          </w:p>
        </w:tc>
      </w:tr>
      <w:tr w:rsidR="003649A2" w:rsidRPr="0088408E" w:rsidTr="00433A4D">
        <w:tc>
          <w:tcPr>
            <w:tcW w:w="1325" w:type="pct"/>
            <w:shd w:val="clear" w:color="auto" w:fill="auto"/>
            <w:vAlign w:val="center"/>
          </w:tcPr>
          <w:p w:rsidR="003649A2" w:rsidRPr="0088408E" w:rsidRDefault="003649A2" w:rsidP="00433A4D">
            <w:pPr>
              <w:jc w:val="left"/>
              <w:rPr>
                <w:rFonts w:ascii="Arial Narrow" w:hAnsi="Arial Narrow"/>
                <w:sz w:val="20"/>
              </w:rPr>
            </w:pPr>
            <w:r w:rsidRPr="0088408E">
              <w:rPr>
                <w:rFonts w:ascii="Arial Narrow" w:hAnsi="Arial Narrow"/>
                <w:sz w:val="20"/>
              </w:rPr>
              <w:t>IA05-mITT</w:t>
            </w:r>
          </w:p>
        </w:tc>
        <w:tc>
          <w:tcPr>
            <w:tcW w:w="490" w:type="pct"/>
            <w:shd w:val="clear" w:color="auto" w:fill="auto"/>
            <w:vAlign w:val="center"/>
          </w:tcPr>
          <w:p w:rsidR="003649A2" w:rsidRPr="0088408E" w:rsidRDefault="003649A2" w:rsidP="00433A4D">
            <w:pPr>
              <w:jc w:val="center"/>
              <w:rPr>
                <w:rFonts w:ascii="Arial Narrow" w:hAnsi="Arial Narrow"/>
                <w:sz w:val="20"/>
              </w:rPr>
            </w:pPr>
            <w:r w:rsidRPr="0088408E">
              <w:rPr>
                <w:rFonts w:ascii="Arial Narrow" w:hAnsi="Arial Narrow"/>
                <w:sz w:val="20"/>
              </w:rPr>
              <w:t>384</w:t>
            </w:r>
          </w:p>
        </w:tc>
        <w:tc>
          <w:tcPr>
            <w:tcW w:w="558" w:type="pct"/>
            <w:shd w:val="clear" w:color="auto" w:fill="auto"/>
            <w:vAlign w:val="center"/>
          </w:tcPr>
          <w:p w:rsidR="003649A2" w:rsidRPr="0088408E" w:rsidRDefault="003649A2" w:rsidP="00433A4D">
            <w:pPr>
              <w:jc w:val="center"/>
              <w:rPr>
                <w:rFonts w:ascii="Arial Narrow" w:hAnsi="Arial Narrow"/>
                <w:sz w:val="20"/>
              </w:rPr>
            </w:pPr>
            <w:r w:rsidRPr="0088408E">
              <w:rPr>
                <w:rFonts w:ascii="Arial Narrow" w:hAnsi="Arial Narrow"/>
                <w:sz w:val="20"/>
              </w:rPr>
              <w:t>0.78</w:t>
            </w:r>
          </w:p>
        </w:tc>
        <w:tc>
          <w:tcPr>
            <w:tcW w:w="419" w:type="pct"/>
            <w:shd w:val="clear" w:color="auto" w:fill="auto"/>
            <w:vAlign w:val="center"/>
          </w:tcPr>
          <w:p w:rsidR="003649A2" w:rsidRPr="0088408E" w:rsidRDefault="003649A2" w:rsidP="00433A4D">
            <w:pPr>
              <w:jc w:val="center"/>
              <w:rPr>
                <w:rFonts w:ascii="Arial Narrow" w:hAnsi="Arial Narrow"/>
                <w:sz w:val="20"/>
              </w:rPr>
            </w:pPr>
            <w:r w:rsidRPr="0088408E">
              <w:rPr>
                <w:rFonts w:ascii="Arial Narrow" w:hAnsi="Arial Narrow"/>
                <w:sz w:val="20"/>
              </w:rPr>
              <w:t>192</w:t>
            </w:r>
          </w:p>
        </w:tc>
        <w:tc>
          <w:tcPr>
            <w:tcW w:w="418" w:type="pct"/>
            <w:shd w:val="clear" w:color="auto" w:fill="auto"/>
            <w:vAlign w:val="center"/>
          </w:tcPr>
          <w:p w:rsidR="003649A2" w:rsidRPr="0088408E" w:rsidRDefault="003649A2" w:rsidP="00433A4D">
            <w:pPr>
              <w:jc w:val="center"/>
              <w:rPr>
                <w:rFonts w:ascii="Arial Narrow" w:hAnsi="Arial Narrow"/>
                <w:sz w:val="20"/>
              </w:rPr>
            </w:pPr>
            <w:r w:rsidRPr="0088408E">
              <w:rPr>
                <w:rFonts w:ascii="Arial Narrow" w:hAnsi="Arial Narrow"/>
                <w:sz w:val="20"/>
              </w:rPr>
              <w:t>1.36</w:t>
            </w:r>
          </w:p>
        </w:tc>
        <w:tc>
          <w:tcPr>
            <w:tcW w:w="896" w:type="pct"/>
            <w:vAlign w:val="center"/>
          </w:tcPr>
          <w:p w:rsidR="003649A2" w:rsidRPr="0088408E" w:rsidRDefault="003649A2" w:rsidP="00433A4D">
            <w:pPr>
              <w:jc w:val="center"/>
              <w:rPr>
                <w:rFonts w:ascii="Arial Narrow" w:hAnsi="Arial Narrow"/>
                <w:sz w:val="20"/>
              </w:rPr>
            </w:pPr>
            <w:r w:rsidRPr="0088408E">
              <w:rPr>
                <w:rFonts w:ascii="Arial Narrow" w:hAnsi="Arial Narrow"/>
                <w:sz w:val="20"/>
              </w:rPr>
              <w:t>0.58</w:t>
            </w:r>
          </w:p>
        </w:tc>
        <w:tc>
          <w:tcPr>
            <w:tcW w:w="894" w:type="pct"/>
            <w:shd w:val="clear" w:color="auto" w:fill="auto"/>
            <w:vAlign w:val="center"/>
          </w:tcPr>
          <w:p w:rsidR="003649A2" w:rsidRPr="0088408E" w:rsidRDefault="003649A2" w:rsidP="00433A4D">
            <w:pPr>
              <w:jc w:val="center"/>
              <w:rPr>
                <w:rFonts w:ascii="Arial Narrow" w:hAnsi="Arial Narrow"/>
                <w:b/>
                <w:sz w:val="20"/>
              </w:rPr>
            </w:pPr>
            <w:r w:rsidRPr="0088408E">
              <w:rPr>
                <w:rFonts w:ascii="Arial Narrow" w:hAnsi="Arial Narrow"/>
                <w:b/>
                <w:sz w:val="20"/>
              </w:rPr>
              <w:t>0.57 (0.45, 0.73)</w:t>
            </w:r>
          </w:p>
        </w:tc>
      </w:tr>
      <w:tr w:rsidR="003649A2" w:rsidRPr="0088408E" w:rsidTr="00433A4D">
        <w:tc>
          <w:tcPr>
            <w:tcW w:w="1325" w:type="pct"/>
            <w:shd w:val="clear" w:color="auto" w:fill="auto"/>
            <w:vAlign w:val="center"/>
          </w:tcPr>
          <w:p w:rsidR="003649A2" w:rsidRPr="0088408E" w:rsidRDefault="003649A2" w:rsidP="00433A4D">
            <w:pPr>
              <w:jc w:val="left"/>
              <w:rPr>
                <w:rFonts w:ascii="Arial Narrow" w:hAnsi="Arial Narrow"/>
                <w:sz w:val="20"/>
                <w:vertAlign w:val="superscript"/>
              </w:rPr>
            </w:pPr>
            <w:r w:rsidRPr="0088408E">
              <w:rPr>
                <w:rFonts w:ascii="Arial Narrow" w:hAnsi="Arial Narrow"/>
                <w:sz w:val="20"/>
              </w:rPr>
              <w:t xml:space="preserve">IA05-EU </w:t>
            </w:r>
            <w:r w:rsidRPr="0088408E">
              <w:rPr>
                <w:rFonts w:ascii="Arial Narrow" w:hAnsi="Arial Narrow"/>
                <w:sz w:val="20"/>
                <w:vertAlign w:val="superscript"/>
              </w:rPr>
              <w:t>a</w:t>
            </w:r>
          </w:p>
        </w:tc>
        <w:tc>
          <w:tcPr>
            <w:tcW w:w="490" w:type="pct"/>
            <w:shd w:val="clear" w:color="auto" w:fill="auto"/>
            <w:vAlign w:val="center"/>
          </w:tcPr>
          <w:p w:rsidR="003649A2" w:rsidRPr="0088408E" w:rsidRDefault="003649A2" w:rsidP="00433A4D">
            <w:pPr>
              <w:jc w:val="center"/>
              <w:rPr>
                <w:rFonts w:ascii="Arial Narrow" w:hAnsi="Arial Narrow"/>
                <w:sz w:val="20"/>
              </w:rPr>
            </w:pPr>
            <w:r w:rsidRPr="0088408E">
              <w:rPr>
                <w:rFonts w:ascii="Arial Narrow" w:hAnsi="Arial Narrow"/>
                <w:sz w:val="20"/>
              </w:rPr>
              <w:t>159</w:t>
            </w:r>
          </w:p>
        </w:tc>
        <w:tc>
          <w:tcPr>
            <w:tcW w:w="558" w:type="pct"/>
            <w:shd w:val="clear" w:color="auto" w:fill="auto"/>
            <w:vAlign w:val="center"/>
          </w:tcPr>
          <w:p w:rsidR="003649A2" w:rsidRPr="0088408E" w:rsidRDefault="003649A2" w:rsidP="00433A4D">
            <w:pPr>
              <w:jc w:val="center"/>
              <w:rPr>
                <w:rFonts w:ascii="Arial Narrow" w:hAnsi="Arial Narrow"/>
                <w:sz w:val="20"/>
              </w:rPr>
            </w:pPr>
            <w:r w:rsidRPr="0088408E">
              <w:rPr>
                <w:rFonts w:ascii="Arial Narrow" w:hAnsi="Arial Narrow"/>
                <w:sz w:val="20"/>
              </w:rPr>
              <w:t>0.73</w:t>
            </w:r>
          </w:p>
        </w:tc>
        <w:tc>
          <w:tcPr>
            <w:tcW w:w="419" w:type="pct"/>
            <w:shd w:val="clear" w:color="auto" w:fill="auto"/>
            <w:vAlign w:val="center"/>
          </w:tcPr>
          <w:p w:rsidR="003649A2" w:rsidRPr="0088408E" w:rsidRDefault="003649A2" w:rsidP="00433A4D">
            <w:pPr>
              <w:jc w:val="center"/>
              <w:rPr>
                <w:rFonts w:ascii="Arial Narrow" w:hAnsi="Arial Narrow"/>
                <w:sz w:val="20"/>
              </w:rPr>
            </w:pPr>
            <w:r w:rsidRPr="0088408E">
              <w:rPr>
                <w:rFonts w:ascii="Arial Narrow" w:hAnsi="Arial Narrow"/>
                <w:sz w:val="20"/>
              </w:rPr>
              <w:t>76</w:t>
            </w:r>
          </w:p>
        </w:tc>
        <w:tc>
          <w:tcPr>
            <w:tcW w:w="418" w:type="pct"/>
            <w:shd w:val="clear" w:color="auto" w:fill="auto"/>
            <w:vAlign w:val="center"/>
          </w:tcPr>
          <w:p w:rsidR="003649A2" w:rsidRPr="0088408E" w:rsidRDefault="003649A2" w:rsidP="00433A4D">
            <w:pPr>
              <w:jc w:val="center"/>
              <w:rPr>
                <w:rFonts w:ascii="Arial Narrow" w:hAnsi="Arial Narrow"/>
                <w:sz w:val="20"/>
              </w:rPr>
            </w:pPr>
            <w:r w:rsidRPr="0088408E">
              <w:rPr>
                <w:rFonts w:ascii="Arial Narrow" w:hAnsi="Arial Narrow"/>
                <w:sz w:val="20"/>
              </w:rPr>
              <w:t>1.44</w:t>
            </w:r>
          </w:p>
        </w:tc>
        <w:tc>
          <w:tcPr>
            <w:tcW w:w="896" w:type="pct"/>
            <w:vAlign w:val="center"/>
          </w:tcPr>
          <w:p w:rsidR="003649A2" w:rsidRPr="0088408E" w:rsidRDefault="003649A2" w:rsidP="00433A4D">
            <w:pPr>
              <w:jc w:val="center"/>
              <w:rPr>
                <w:rFonts w:ascii="Arial Narrow" w:hAnsi="Arial Narrow"/>
                <w:sz w:val="20"/>
              </w:rPr>
            </w:pPr>
            <w:r w:rsidRPr="0088408E">
              <w:rPr>
                <w:rFonts w:ascii="Arial Narrow" w:hAnsi="Arial Narrow"/>
                <w:sz w:val="20"/>
              </w:rPr>
              <w:t>0.71</w:t>
            </w:r>
          </w:p>
        </w:tc>
        <w:tc>
          <w:tcPr>
            <w:tcW w:w="894" w:type="pct"/>
            <w:shd w:val="clear" w:color="auto" w:fill="auto"/>
            <w:vAlign w:val="center"/>
          </w:tcPr>
          <w:p w:rsidR="003649A2" w:rsidRPr="0088408E" w:rsidRDefault="003649A2" w:rsidP="00433A4D">
            <w:pPr>
              <w:jc w:val="center"/>
              <w:rPr>
                <w:rFonts w:ascii="Arial Narrow" w:hAnsi="Arial Narrow"/>
                <w:b/>
                <w:sz w:val="20"/>
              </w:rPr>
            </w:pPr>
            <w:r w:rsidRPr="0088408E">
              <w:rPr>
                <w:rFonts w:ascii="Arial Narrow" w:hAnsi="Arial Narrow"/>
                <w:b/>
                <w:sz w:val="20"/>
              </w:rPr>
              <w:t>0.50 (0.35, 0.73)</w:t>
            </w:r>
          </w:p>
        </w:tc>
      </w:tr>
      <w:tr w:rsidR="003649A2" w:rsidRPr="0088408E" w:rsidTr="00433A4D">
        <w:tc>
          <w:tcPr>
            <w:tcW w:w="1325" w:type="pct"/>
            <w:shd w:val="clear" w:color="auto" w:fill="auto"/>
            <w:vAlign w:val="center"/>
          </w:tcPr>
          <w:p w:rsidR="003649A2" w:rsidRPr="0088408E" w:rsidRDefault="003649A2" w:rsidP="00433A4D">
            <w:pPr>
              <w:jc w:val="left"/>
              <w:rPr>
                <w:rFonts w:ascii="Arial Narrow" w:hAnsi="Arial Narrow"/>
                <w:sz w:val="20"/>
              </w:rPr>
            </w:pPr>
            <w:r w:rsidRPr="0088408E">
              <w:rPr>
                <w:rFonts w:ascii="Arial Narrow" w:hAnsi="Arial Narrow"/>
                <w:sz w:val="20"/>
              </w:rPr>
              <w:t xml:space="preserve">IA05-EU Responder </w:t>
            </w:r>
            <w:r w:rsidRPr="0088408E">
              <w:rPr>
                <w:rFonts w:ascii="Arial Narrow" w:hAnsi="Arial Narrow"/>
                <w:sz w:val="20"/>
                <w:vertAlign w:val="superscript"/>
              </w:rPr>
              <w:t>b</w:t>
            </w:r>
          </w:p>
        </w:tc>
        <w:tc>
          <w:tcPr>
            <w:tcW w:w="490" w:type="pct"/>
            <w:shd w:val="clear" w:color="auto" w:fill="auto"/>
            <w:vAlign w:val="center"/>
          </w:tcPr>
          <w:p w:rsidR="003649A2" w:rsidRPr="0088408E" w:rsidRDefault="003649A2" w:rsidP="00433A4D">
            <w:pPr>
              <w:jc w:val="center"/>
              <w:rPr>
                <w:rFonts w:ascii="Arial Narrow" w:hAnsi="Arial Narrow"/>
                <w:sz w:val="20"/>
              </w:rPr>
            </w:pPr>
            <w:r w:rsidRPr="0088408E">
              <w:rPr>
                <w:rFonts w:ascii="Arial Narrow" w:hAnsi="Arial Narrow"/>
                <w:sz w:val="20"/>
              </w:rPr>
              <w:t>118</w:t>
            </w:r>
          </w:p>
        </w:tc>
        <w:tc>
          <w:tcPr>
            <w:tcW w:w="558" w:type="pct"/>
            <w:shd w:val="clear" w:color="auto" w:fill="auto"/>
            <w:vAlign w:val="center"/>
          </w:tcPr>
          <w:p w:rsidR="003649A2" w:rsidRPr="0088408E" w:rsidRDefault="003649A2" w:rsidP="00433A4D">
            <w:pPr>
              <w:jc w:val="center"/>
              <w:rPr>
                <w:rFonts w:ascii="Arial Narrow" w:hAnsi="Arial Narrow"/>
                <w:sz w:val="20"/>
              </w:rPr>
            </w:pPr>
            <w:r w:rsidRPr="0088408E">
              <w:rPr>
                <w:rFonts w:ascii="Arial Narrow" w:hAnsi="Arial Narrow"/>
                <w:sz w:val="20"/>
              </w:rPr>
              <w:t>0.52</w:t>
            </w:r>
          </w:p>
        </w:tc>
        <w:tc>
          <w:tcPr>
            <w:tcW w:w="419" w:type="pct"/>
            <w:shd w:val="clear" w:color="auto" w:fill="auto"/>
            <w:vAlign w:val="center"/>
          </w:tcPr>
          <w:p w:rsidR="003649A2" w:rsidRPr="0088408E" w:rsidRDefault="003649A2" w:rsidP="00433A4D">
            <w:pPr>
              <w:jc w:val="center"/>
              <w:rPr>
                <w:rFonts w:ascii="Arial Narrow" w:hAnsi="Arial Narrow"/>
                <w:sz w:val="20"/>
              </w:rPr>
            </w:pPr>
            <w:r w:rsidRPr="0088408E">
              <w:rPr>
                <w:rFonts w:ascii="Arial Narrow" w:hAnsi="Arial Narrow"/>
                <w:sz w:val="20"/>
              </w:rPr>
              <w:t>76</w:t>
            </w:r>
          </w:p>
        </w:tc>
        <w:tc>
          <w:tcPr>
            <w:tcW w:w="418" w:type="pct"/>
            <w:shd w:val="clear" w:color="auto" w:fill="auto"/>
            <w:vAlign w:val="center"/>
          </w:tcPr>
          <w:p w:rsidR="003649A2" w:rsidRPr="0088408E" w:rsidRDefault="003649A2" w:rsidP="00433A4D">
            <w:pPr>
              <w:jc w:val="center"/>
              <w:rPr>
                <w:rFonts w:ascii="Arial Narrow" w:hAnsi="Arial Narrow"/>
                <w:sz w:val="20"/>
              </w:rPr>
            </w:pPr>
            <w:r w:rsidRPr="0088408E">
              <w:rPr>
                <w:rFonts w:ascii="Arial Narrow" w:hAnsi="Arial Narrow"/>
                <w:sz w:val="20"/>
              </w:rPr>
              <w:t>1.62</w:t>
            </w:r>
          </w:p>
        </w:tc>
        <w:tc>
          <w:tcPr>
            <w:tcW w:w="896" w:type="pct"/>
            <w:vAlign w:val="center"/>
          </w:tcPr>
          <w:p w:rsidR="003649A2" w:rsidRPr="0088408E" w:rsidRDefault="003649A2" w:rsidP="00433A4D">
            <w:pPr>
              <w:jc w:val="center"/>
              <w:rPr>
                <w:rFonts w:ascii="Arial Narrow" w:hAnsi="Arial Narrow"/>
                <w:sz w:val="20"/>
              </w:rPr>
            </w:pPr>
            <w:r w:rsidRPr="0088408E">
              <w:rPr>
                <w:rFonts w:ascii="Arial Narrow" w:hAnsi="Arial Narrow"/>
                <w:sz w:val="20"/>
              </w:rPr>
              <w:t>1.1</w:t>
            </w:r>
          </w:p>
        </w:tc>
        <w:tc>
          <w:tcPr>
            <w:tcW w:w="894" w:type="pct"/>
            <w:shd w:val="clear" w:color="auto" w:fill="auto"/>
            <w:vAlign w:val="center"/>
          </w:tcPr>
          <w:p w:rsidR="003649A2" w:rsidRPr="0088408E" w:rsidRDefault="003649A2" w:rsidP="00433A4D">
            <w:pPr>
              <w:jc w:val="center"/>
              <w:rPr>
                <w:rFonts w:ascii="Arial Narrow" w:hAnsi="Arial Narrow"/>
                <w:b/>
                <w:sz w:val="20"/>
              </w:rPr>
            </w:pPr>
            <w:r w:rsidRPr="0088408E">
              <w:rPr>
                <w:rFonts w:ascii="Arial Narrow" w:hAnsi="Arial Narrow"/>
                <w:b/>
                <w:sz w:val="20"/>
              </w:rPr>
              <w:t>0.32 (0.22, 0.48)</w:t>
            </w:r>
          </w:p>
        </w:tc>
      </w:tr>
    </w:tbl>
    <w:p w:rsidR="003649A2" w:rsidRPr="0088408E" w:rsidRDefault="003649A2" w:rsidP="003649A2">
      <w:pPr>
        <w:pStyle w:val="TableFooter"/>
        <w:ind w:firstLine="720"/>
      </w:pPr>
      <w:r w:rsidRPr="0088408E">
        <w:t>Source: Table 24-25, pp86-87 of the submission</w:t>
      </w:r>
    </w:p>
    <w:p w:rsidR="003649A2" w:rsidRPr="0088408E" w:rsidRDefault="003649A2" w:rsidP="003649A2">
      <w:pPr>
        <w:pStyle w:val="TableFooter"/>
        <w:ind w:left="709" w:firstLine="11"/>
      </w:pPr>
      <w:r w:rsidRPr="0088408E">
        <w:t xml:space="preserve">CI = confidence interval; </w:t>
      </w:r>
      <w:r w:rsidR="00581910" w:rsidRPr="0088408E">
        <w:t xml:space="preserve">GETE = global evaluation of treatment effectiveness; ICS = inhaled corticosteroids; LABA = long acting beta-2 agonist; mITT = modified intention-to-treat; </w:t>
      </w:r>
      <w:r w:rsidRPr="0088408E">
        <w:t xml:space="preserve">n = number; OAT = optimised asthma therapy; wks = weeks; </w:t>
      </w:r>
      <w:r w:rsidR="00581910" w:rsidRPr="0088408E">
        <w:rPr>
          <w:b/>
        </w:rPr>
        <w:t>bold </w:t>
      </w:r>
      <w:r w:rsidR="00581910" w:rsidRPr="0088408E">
        <w:t>= statistically significant</w:t>
      </w:r>
    </w:p>
    <w:p w:rsidR="003649A2" w:rsidRPr="0088408E" w:rsidRDefault="003649A2" w:rsidP="003649A2">
      <w:pPr>
        <w:pStyle w:val="TableFooter"/>
        <w:ind w:left="709"/>
      </w:pPr>
      <w:r w:rsidRPr="0088408E">
        <w:rPr>
          <w:vertAlign w:val="superscript"/>
        </w:rPr>
        <w:t xml:space="preserve">a </w:t>
      </w:r>
      <w:r w:rsidRPr="0088408E">
        <w:t>Patients were included in this pre-specified subgroup if they were treated with LABA and were on high dose ICS</w:t>
      </w:r>
    </w:p>
    <w:p w:rsidR="003649A2" w:rsidRPr="0088408E" w:rsidRDefault="003649A2" w:rsidP="003649A2">
      <w:pPr>
        <w:pStyle w:val="TableFooter"/>
        <w:ind w:left="709" w:firstLine="11"/>
      </w:pPr>
      <w:r w:rsidRPr="0088408E">
        <w:rPr>
          <w:vertAlign w:val="superscript"/>
        </w:rPr>
        <w:t>b</w:t>
      </w:r>
      <w:r w:rsidRPr="0088408E">
        <w:t xml:space="preserve"> Of the IA05-EU subgroup, omalizumab patients were assessed as responders (rated as excellent or good on the GETE), while all placebo patients were included</w:t>
      </w:r>
    </w:p>
    <w:p w:rsidR="003649A2" w:rsidRPr="0088408E" w:rsidRDefault="003649A2" w:rsidP="003649A2">
      <w:pPr>
        <w:pStyle w:val="ListParagraph"/>
        <w:widowControl/>
        <w:rPr>
          <w:szCs w:val="22"/>
        </w:rPr>
      </w:pPr>
    </w:p>
    <w:p w:rsidR="00644CEC" w:rsidRPr="0088408E" w:rsidRDefault="00644CEC" w:rsidP="001F69C2">
      <w:pPr>
        <w:pStyle w:val="ListParagraph"/>
        <w:numPr>
          <w:ilvl w:val="1"/>
          <w:numId w:val="2"/>
        </w:numPr>
        <w:rPr>
          <w:szCs w:val="22"/>
        </w:rPr>
      </w:pPr>
      <w:r w:rsidRPr="0088408E">
        <w:rPr>
          <w:szCs w:val="22"/>
        </w:rPr>
        <w:t>The clinically significant exacerbation rate was significantly lower in omalizumab plus optimised asthma therapy compared with placebo plus optimised asthma therapy in each of the analysis groups. For the IA05-EU subgroup, none of the secondary outcomes were statistically significantly different between the two treatment arms (such as severe exacerbation rate, hospitalisation rate, puffs of rescue medication per day, Paediatric Asthma Quality of Life Questionnaire and lung function).</w:t>
      </w:r>
    </w:p>
    <w:p w:rsidR="003649A2" w:rsidRPr="0088408E" w:rsidRDefault="003649A2" w:rsidP="007D55DC">
      <w:pPr>
        <w:rPr>
          <w:szCs w:val="22"/>
        </w:rPr>
      </w:pPr>
    </w:p>
    <w:p w:rsidR="003649A2" w:rsidRPr="0088408E" w:rsidRDefault="003649A2" w:rsidP="001F69C2">
      <w:pPr>
        <w:pStyle w:val="ListParagraph"/>
        <w:widowControl/>
        <w:numPr>
          <w:ilvl w:val="1"/>
          <w:numId w:val="2"/>
        </w:numPr>
      </w:pPr>
      <w:r w:rsidRPr="0088408E">
        <w:t xml:space="preserve">The supplementary before/after studies all showed a reduction in clinically significant exacerbations from before to after treatment. The reduction in clinically significant exacerbations due to omalizumab treatment was larger in the supplementary studies </w:t>
      </w:r>
      <w:r w:rsidR="005358B4" w:rsidRPr="0088408E">
        <w:t>compared with</w:t>
      </w:r>
      <w:r w:rsidRPr="0088408E">
        <w:t xml:space="preserve"> Study IA05. </w:t>
      </w:r>
    </w:p>
    <w:p w:rsidR="00A05785" w:rsidRPr="0088408E" w:rsidRDefault="00A05785" w:rsidP="00D015FF">
      <w:pPr>
        <w:pStyle w:val="ListParagraph"/>
      </w:pPr>
    </w:p>
    <w:p w:rsidR="003649A2" w:rsidRPr="00DA2551" w:rsidRDefault="003649A2" w:rsidP="00F34CCB">
      <w:pPr>
        <w:pStyle w:val="Heading2"/>
      </w:pPr>
      <w:bookmarkStart w:id="17" w:name="_Toc451348696"/>
      <w:r w:rsidRPr="00DA2551">
        <w:t>Comparative harms</w:t>
      </w:r>
      <w:bookmarkEnd w:id="17"/>
    </w:p>
    <w:p w:rsidR="003649A2" w:rsidRPr="0088408E" w:rsidRDefault="003649A2" w:rsidP="003649A2">
      <w:pPr>
        <w:pStyle w:val="ListParagraph"/>
        <w:widowControl/>
        <w:rPr>
          <w:szCs w:val="22"/>
        </w:rPr>
      </w:pPr>
    </w:p>
    <w:p w:rsidR="003649A2" w:rsidRPr="0088408E" w:rsidRDefault="003649A2" w:rsidP="001F69C2">
      <w:pPr>
        <w:pStyle w:val="ListParagraph"/>
        <w:widowControl/>
        <w:numPr>
          <w:ilvl w:val="1"/>
          <w:numId w:val="2"/>
        </w:numPr>
        <w:rPr>
          <w:szCs w:val="22"/>
        </w:rPr>
      </w:pPr>
      <w:r w:rsidRPr="0088408E">
        <w:t xml:space="preserve">A summary of the adverse events for omalizumab plus optimised asthma therapy and placebo plus optimised asthma therapy is presented below. </w:t>
      </w:r>
    </w:p>
    <w:p w:rsidR="003649A2" w:rsidRPr="0088408E" w:rsidRDefault="003649A2" w:rsidP="003649A2">
      <w:pPr>
        <w:pStyle w:val="ListParagraph"/>
        <w:widowControl/>
        <w:rPr>
          <w:szCs w:val="22"/>
        </w:rPr>
      </w:pPr>
    </w:p>
    <w:p w:rsidR="003649A2" w:rsidRPr="0088408E" w:rsidRDefault="003649A2" w:rsidP="000F0D68">
      <w:pPr>
        <w:ind w:left="709"/>
        <w:rPr>
          <w:rStyle w:val="CommentReference"/>
        </w:rPr>
      </w:pPr>
      <w:bookmarkStart w:id="18" w:name="_Toc450203548"/>
      <w:r w:rsidRPr="0088408E">
        <w:rPr>
          <w:rStyle w:val="CommentReference"/>
        </w:rPr>
        <w:t>Table 4: Summary of adverse events in the IA05-mITT trial</w:t>
      </w:r>
      <w:bookmarkEnd w:id="18"/>
      <w:r w:rsidRPr="0088408E">
        <w:rPr>
          <w:rStyle w:val="CommentReference"/>
        </w:rPr>
        <w:t xml:space="preserve"> </w:t>
      </w:r>
      <w:r w:rsidR="005358B4" w:rsidRPr="0088408E">
        <w:rPr>
          <w:rStyle w:val="CommentReference"/>
        </w:rPr>
        <w:t>– 52 weeks</w:t>
      </w:r>
      <w:r w:rsidRPr="0088408E">
        <w:rPr>
          <w:rStyle w:val="CommentReference"/>
        </w:rPr>
        <w:t xml:space="preserve"> </w:t>
      </w:r>
    </w:p>
    <w:tbl>
      <w:tblPr>
        <w:tblW w:w="4527"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6"/>
        <w:gridCol w:w="2834"/>
        <w:gridCol w:w="3403"/>
      </w:tblGrid>
      <w:tr w:rsidR="003649A2" w:rsidRPr="0088408E" w:rsidTr="00433A4D">
        <w:trPr>
          <w:cantSplit/>
          <w:trHeight w:val="20"/>
          <w:tblHeader/>
        </w:trPr>
        <w:tc>
          <w:tcPr>
            <w:tcW w:w="1208" w:type="pct"/>
            <w:tcBorders>
              <w:top w:val="single" w:sz="4" w:space="0" w:color="auto"/>
              <w:left w:val="single" w:sz="4" w:space="0" w:color="auto"/>
              <w:bottom w:val="single" w:sz="4" w:space="0" w:color="auto"/>
              <w:right w:val="single" w:sz="4" w:space="0" w:color="auto"/>
            </w:tcBorders>
            <w:tcMar>
              <w:right w:w="28" w:type="dxa"/>
            </w:tcMar>
            <w:vAlign w:val="center"/>
          </w:tcPr>
          <w:p w:rsidR="003649A2" w:rsidRPr="0088408E" w:rsidRDefault="003649A2" w:rsidP="00433A4D">
            <w:pPr>
              <w:pStyle w:val="TableText0"/>
              <w:spacing w:before="0" w:after="0"/>
              <w:rPr>
                <w:rFonts w:cs="Arial"/>
                <w:b/>
              </w:rPr>
            </w:pPr>
          </w:p>
        </w:tc>
        <w:tc>
          <w:tcPr>
            <w:tcW w:w="1723" w:type="pct"/>
            <w:tcBorders>
              <w:top w:val="single" w:sz="4" w:space="0" w:color="auto"/>
              <w:left w:val="single" w:sz="4" w:space="0" w:color="auto"/>
              <w:bottom w:val="single" w:sz="4" w:space="0" w:color="auto"/>
              <w:right w:val="single" w:sz="4" w:space="0" w:color="auto"/>
            </w:tcBorders>
            <w:vAlign w:val="center"/>
          </w:tcPr>
          <w:p w:rsidR="003649A2" w:rsidRPr="0088408E" w:rsidRDefault="003649A2" w:rsidP="00433A4D">
            <w:pPr>
              <w:jc w:val="center"/>
              <w:rPr>
                <w:rFonts w:ascii="Arial Narrow" w:hAnsi="Arial Narrow"/>
                <w:b/>
                <w:sz w:val="20"/>
              </w:rPr>
            </w:pPr>
            <w:r w:rsidRPr="0088408E">
              <w:rPr>
                <w:rFonts w:ascii="Arial Narrow" w:hAnsi="Arial Narrow"/>
                <w:b/>
                <w:sz w:val="20"/>
              </w:rPr>
              <w:t>Omalizumab + OAT</w:t>
            </w:r>
          </w:p>
          <w:p w:rsidR="003649A2" w:rsidRPr="0088408E" w:rsidRDefault="003649A2" w:rsidP="00433A4D">
            <w:pPr>
              <w:jc w:val="center"/>
              <w:rPr>
                <w:rFonts w:ascii="Arial Narrow" w:hAnsi="Arial Narrow"/>
                <w:sz w:val="20"/>
              </w:rPr>
            </w:pPr>
            <w:r w:rsidRPr="0088408E">
              <w:rPr>
                <w:rFonts w:ascii="Arial Narrow" w:hAnsi="Arial Narrow"/>
                <w:b/>
                <w:sz w:val="20"/>
              </w:rPr>
              <w:t>N = 421</w:t>
            </w:r>
          </w:p>
        </w:tc>
        <w:tc>
          <w:tcPr>
            <w:tcW w:w="2069" w:type="pct"/>
            <w:tcBorders>
              <w:top w:val="single" w:sz="4" w:space="0" w:color="auto"/>
              <w:left w:val="single" w:sz="4" w:space="0" w:color="auto"/>
              <w:bottom w:val="single" w:sz="4" w:space="0" w:color="auto"/>
              <w:right w:val="single" w:sz="4" w:space="0" w:color="auto"/>
            </w:tcBorders>
            <w:vAlign w:val="center"/>
          </w:tcPr>
          <w:p w:rsidR="003649A2" w:rsidRPr="0088408E" w:rsidRDefault="003649A2" w:rsidP="00433A4D">
            <w:pPr>
              <w:jc w:val="center"/>
              <w:rPr>
                <w:rFonts w:ascii="Arial Narrow" w:hAnsi="Arial Narrow"/>
                <w:b/>
                <w:sz w:val="20"/>
              </w:rPr>
            </w:pPr>
            <w:r w:rsidRPr="0088408E">
              <w:rPr>
                <w:rFonts w:ascii="Arial Narrow" w:hAnsi="Arial Narrow"/>
                <w:b/>
                <w:sz w:val="20"/>
              </w:rPr>
              <w:t>Placebo + OAT</w:t>
            </w:r>
          </w:p>
          <w:p w:rsidR="003649A2" w:rsidRPr="0088408E" w:rsidRDefault="003649A2" w:rsidP="00433A4D">
            <w:pPr>
              <w:jc w:val="center"/>
              <w:rPr>
                <w:rFonts w:ascii="Arial Narrow" w:hAnsi="Arial Narrow"/>
                <w:sz w:val="20"/>
              </w:rPr>
            </w:pPr>
            <w:r w:rsidRPr="0088408E">
              <w:rPr>
                <w:rFonts w:ascii="Arial Narrow" w:hAnsi="Arial Narrow"/>
                <w:b/>
                <w:sz w:val="20"/>
              </w:rPr>
              <w:t>N = 207</w:t>
            </w:r>
          </w:p>
        </w:tc>
      </w:tr>
      <w:tr w:rsidR="003649A2" w:rsidRPr="0088408E" w:rsidTr="00433A4D">
        <w:trPr>
          <w:cantSplit/>
          <w:trHeight w:val="20"/>
        </w:trPr>
        <w:tc>
          <w:tcPr>
            <w:tcW w:w="1208" w:type="pct"/>
            <w:tcBorders>
              <w:top w:val="single" w:sz="4" w:space="0" w:color="auto"/>
              <w:left w:val="single" w:sz="4" w:space="0" w:color="auto"/>
              <w:bottom w:val="single" w:sz="4" w:space="0" w:color="auto"/>
              <w:right w:val="single" w:sz="4" w:space="0" w:color="auto"/>
            </w:tcBorders>
            <w:tcMar>
              <w:right w:w="28" w:type="dxa"/>
            </w:tcMar>
            <w:vAlign w:val="center"/>
          </w:tcPr>
          <w:p w:rsidR="003649A2" w:rsidRPr="0088408E" w:rsidRDefault="003649A2" w:rsidP="00433A4D">
            <w:pPr>
              <w:pStyle w:val="TableText0"/>
              <w:spacing w:before="0" w:after="0"/>
              <w:rPr>
                <w:rFonts w:cs="Arial"/>
              </w:rPr>
            </w:pPr>
            <w:r w:rsidRPr="0088408E">
              <w:rPr>
                <w:rFonts w:cs="Arial"/>
                <w:b/>
              </w:rPr>
              <w:t>Any adverse event</w:t>
            </w:r>
          </w:p>
        </w:tc>
        <w:tc>
          <w:tcPr>
            <w:tcW w:w="1723" w:type="pct"/>
            <w:tcBorders>
              <w:top w:val="single" w:sz="4" w:space="0" w:color="auto"/>
              <w:left w:val="single" w:sz="4" w:space="0" w:color="auto"/>
              <w:bottom w:val="single" w:sz="4" w:space="0" w:color="auto"/>
              <w:right w:val="single" w:sz="4" w:space="0" w:color="auto"/>
            </w:tcBorders>
            <w:vAlign w:val="center"/>
          </w:tcPr>
          <w:p w:rsidR="003649A2" w:rsidRPr="0088408E" w:rsidRDefault="003649A2" w:rsidP="00433A4D">
            <w:pPr>
              <w:jc w:val="center"/>
              <w:rPr>
                <w:rFonts w:ascii="Arial Narrow" w:hAnsi="Arial Narrow"/>
                <w:sz w:val="20"/>
              </w:rPr>
            </w:pPr>
            <w:r w:rsidRPr="0088408E">
              <w:rPr>
                <w:rFonts w:ascii="Arial Narrow" w:hAnsi="Arial Narrow"/>
                <w:sz w:val="20"/>
              </w:rPr>
              <w:t>380 (90.3%)</w:t>
            </w:r>
          </w:p>
        </w:tc>
        <w:tc>
          <w:tcPr>
            <w:tcW w:w="2069" w:type="pct"/>
            <w:tcBorders>
              <w:top w:val="single" w:sz="4" w:space="0" w:color="auto"/>
              <w:left w:val="single" w:sz="4" w:space="0" w:color="auto"/>
              <w:bottom w:val="single" w:sz="4" w:space="0" w:color="auto"/>
              <w:right w:val="single" w:sz="4" w:space="0" w:color="auto"/>
            </w:tcBorders>
            <w:vAlign w:val="center"/>
          </w:tcPr>
          <w:p w:rsidR="003649A2" w:rsidRPr="0088408E" w:rsidRDefault="003649A2" w:rsidP="00433A4D">
            <w:pPr>
              <w:jc w:val="center"/>
              <w:rPr>
                <w:rFonts w:ascii="Arial Narrow" w:hAnsi="Arial Narrow"/>
                <w:sz w:val="20"/>
              </w:rPr>
            </w:pPr>
            <w:r w:rsidRPr="0088408E">
              <w:rPr>
                <w:rFonts w:ascii="Arial Narrow" w:hAnsi="Arial Narrow"/>
                <w:sz w:val="20"/>
              </w:rPr>
              <w:t>194 (93.7%)</w:t>
            </w:r>
          </w:p>
        </w:tc>
      </w:tr>
      <w:tr w:rsidR="003649A2" w:rsidRPr="0088408E" w:rsidTr="00433A4D">
        <w:trPr>
          <w:cantSplit/>
          <w:trHeight w:val="20"/>
        </w:trPr>
        <w:tc>
          <w:tcPr>
            <w:tcW w:w="1208" w:type="pct"/>
            <w:tcBorders>
              <w:top w:val="single" w:sz="4" w:space="0" w:color="auto"/>
              <w:left w:val="single" w:sz="4" w:space="0" w:color="auto"/>
              <w:bottom w:val="single" w:sz="4" w:space="0" w:color="auto"/>
              <w:right w:val="single" w:sz="4" w:space="0" w:color="auto"/>
            </w:tcBorders>
            <w:tcMar>
              <w:right w:w="28" w:type="dxa"/>
            </w:tcMar>
          </w:tcPr>
          <w:p w:rsidR="003649A2" w:rsidRPr="0088408E" w:rsidRDefault="003649A2" w:rsidP="00433A4D">
            <w:pPr>
              <w:pStyle w:val="Tabletext"/>
              <w:ind w:firstLine="142"/>
              <w:rPr>
                <w:bCs/>
              </w:rPr>
            </w:pPr>
            <w:r w:rsidRPr="0088408E">
              <w:rPr>
                <w:bCs/>
              </w:rPr>
              <w:t>Mild</w:t>
            </w:r>
          </w:p>
        </w:tc>
        <w:tc>
          <w:tcPr>
            <w:tcW w:w="1723" w:type="pct"/>
            <w:tcBorders>
              <w:top w:val="single" w:sz="4" w:space="0" w:color="auto"/>
              <w:left w:val="single" w:sz="4" w:space="0" w:color="auto"/>
              <w:bottom w:val="single" w:sz="4" w:space="0" w:color="auto"/>
              <w:right w:val="single" w:sz="4" w:space="0" w:color="auto"/>
            </w:tcBorders>
          </w:tcPr>
          <w:p w:rsidR="003649A2" w:rsidRPr="00624DC7" w:rsidRDefault="003649A2" w:rsidP="00433A4D">
            <w:pPr>
              <w:pStyle w:val="PBACTableText"/>
              <w:spacing w:before="0" w:after="0"/>
              <w:jc w:val="center"/>
              <w:rPr>
                <w:rFonts w:ascii="Arial Narrow" w:hAnsi="Arial Narrow"/>
                <w:lang w:val="en-AU"/>
              </w:rPr>
            </w:pPr>
            <w:r w:rsidRPr="00624DC7">
              <w:rPr>
                <w:rFonts w:ascii="Arial Narrow" w:hAnsi="Arial Narrow"/>
                <w:lang w:val="en-AU"/>
              </w:rPr>
              <w:t>39.7%</w:t>
            </w:r>
          </w:p>
        </w:tc>
        <w:tc>
          <w:tcPr>
            <w:tcW w:w="2069" w:type="pct"/>
            <w:tcBorders>
              <w:top w:val="single" w:sz="4" w:space="0" w:color="auto"/>
              <w:left w:val="single" w:sz="4" w:space="0" w:color="auto"/>
              <w:bottom w:val="single" w:sz="4" w:space="0" w:color="auto"/>
              <w:right w:val="single" w:sz="4" w:space="0" w:color="auto"/>
            </w:tcBorders>
          </w:tcPr>
          <w:p w:rsidR="003649A2" w:rsidRPr="00624DC7" w:rsidRDefault="003649A2" w:rsidP="00433A4D">
            <w:pPr>
              <w:pStyle w:val="PBACTableText"/>
              <w:spacing w:before="0" w:after="0"/>
              <w:jc w:val="center"/>
              <w:rPr>
                <w:rFonts w:ascii="Arial Narrow" w:hAnsi="Arial Narrow"/>
                <w:lang w:val="en-AU"/>
              </w:rPr>
            </w:pPr>
            <w:r w:rsidRPr="00624DC7">
              <w:rPr>
                <w:rFonts w:ascii="Arial Narrow" w:hAnsi="Arial Narrow"/>
                <w:lang w:val="en-AU"/>
              </w:rPr>
              <w:t>36.2%</w:t>
            </w:r>
          </w:p>
        </w:tc>
      </w:tr>
      <w:tr w:rsidR="003649A2" w:rsidRPr="0088408E" w:rsidTr="00433A4D">
        <w:trPr>
          <w:cantSplit/>
          <w:trHeight w:val="20"/>
        </w:trPr>
        <w:tc>
          <w:tcPr>
            <w:tcW w:w="1208" w:type="pct"/>
            <w:tcBorders>
              <w:top w:val="single" w:sz="4" w:space="0" w:color="auto"/>
              <w:left w:val="single" w:sz="4" w:space="0" w:color="auto"/>
              <w:bottom w:val="single" w:sz="4" w:space="0" w:color="auto"/>
              <w:right w:val="single" w:sz="4" w:space="0" w:color="auto"/>
            </w:tcBorders>
            <w:tcMar>
              <w:right w:w="28" w:type="dxa"/>
            </w:tcMar>
          </w:tcPr>
          <w:p w:rsidR="003649A2" w:rsidRPr="0088408E" w:rsidRDefault="003649A2" w:rsidP="00433A4D">
            <w:pPr>
              <w:pStyle w:val="Tabletext"/>
              <w:ind w:firstLine="142"/>
              <w:rPr>
                <w:bCs/>
              </w:rPr>
            </w:pPr>
            <w:r w:rsidRPr="0088408E">
              <w:rPr>
                <w:bCs/>
              </w:rPr>
              <w:t>Moderate</w:t>
            </w:r>
          </w:p>
        </w:tc>
        <w:tc>
          <w:tcPr>
            <w:tcW w:w="1723" w:type="pct"/>
            <w:tcBorders>
              <w:top w:val="single" w:sz="4" w:space="0" w:color="auto"/>
              <w:left w:val="single" w:sz="4" w:space="0" w:color="auto"/>
              <w:bottom w:val="single" w:sz="4" w:space="0" w:color="auto"/>
              <w:right w:val="single" w:sz="4" w:space="0" w:color="auto"/>
            </w:tcBorders>
          </w:tcPr>
          <w:p w:rsidR="003649A2" w:rsidRPr="00624DC7" w:rsidRDefault="003649A2" w:rsidP="00433A4D">
            <w:pPr>
              <w:pStyle w:val="PBACTableText"/>
              <w:spacing w:before="0" w:after="0"/>
              <w:jc w:val="center"/>
              <w:rPr>
                <w:rFonts w:ascii="Arial Narrow" w:hAnsi="Arial Narrow"/>
                <w:lang w:val="en-AU"/>
              </w:rPr>
            </w:pPr>
            <w:r w:rsidRPr="00624DC7">
              <w:rPr>
                <w:rFonts w:ascii="Arial Narrow" w:hAnsi="Arial Narrow"/>
                <w:lang w:val="en-AU"/>
              </w:rPr>
              <w:t>43.0%</w:t>
            </w:r>
          </w:p>
        </w:tc>
        <w:tc>
          <w:tcPr>
            <w:tcW w:w="2069" w:type="pct"/>
            <w:tcBorders>
              <w:top w:val="single" w:sz="4" w:space="0" w:color="auto"/>
              <w:left w:val="single" w:sz="4" w:space="0" w:color="auto"/>
              <w:bottom w:val="single" w:sz="4" w:space="0" w:color="auto"/>
              <w:right w:val="single" w:sz="4" w:space="0" w:color="auto"/>
            </w:tcBorders>
          </w:tcPr>
          <w:p w:rsidR="003649A2" w:rsidRPr="00624DC7" w:rsidRDefault="003649A2" w:rsidP="00433A4D">
            <w:pPr>
              <w:pStyle w:val="PBACTableText"/>
              <w:spacing w:before="0" w:after="0"/>
              <w:jc w:val="center"/>
              <w:rPr>
                <w:rFonts w:ascii="Arial Narrow" w:hAnsi="Arial Narrow"/>
                <w:lang w:val="en-AU"/>
              </w:rPr>
            </w:pPr>
            <w:r w:rsidRPr="00624DC7">
              <w:rPr>
                <w:rFonts w:ascii="Arial Narrow" w:hAnsi="Arial Narrow"/>
                <w:lang w:val="en-AU"/>
              </w:rPr>
              <w:t>47.3%</w:t>
            </w:r>
          </w:p>
        </w:tc>
      </w:tr>
      <w:tr w:rsidR="003649A2" w:rsidRPr="0088408E" w:rsidTr="00433A4D">
        <w:trPr>
          <w:cantSplit/>
          <w:trHeight w:val="20"/>
        </w:trPr>
        <w:tc>
          <w:tcPr>
            <w:tcW w:w="1208" w:type="pct"/>
            <w:tcBorders>
              <w:top w:val="single" w:sz="4" w:space="0" w:color="auto"/>
              <w:left w:val="single" w:sz="4" w:space="0" w:color="auto"/>
              <w:bottom w:val="single" w:sz="4" w:space="0" w:color="auto"/>
              <w:right w:val="single" w:sz="4" w:space="0" w:color="auto"/>
            </w:tcBorders>
            <w:tcMar>
              <w:right w:w="28" w:type="dxa"/>
            </w:tcMar>
          </w:tcPr>
          <w:p w:rsidR="003649A2" w:rsidRPr="0088408E" w:rsidRDefault="003649A2" w:rsidP="00433A4D">
            <w:pPr>
              <w:pStyle w:val="Tabletext"/>
              <w:ind w:firstLine="142"/>
              <w:rPr>
                <w:bCs/>
              </w:rPr>
            </w:pPr>
            <w:r w:rsidRPr="0088408E">
              <w:rPr>
                <w:bCs/>
              </w:rPr>
              <w:t>Severe</w:t>
            </w:r>
          </w:p>
        </w:tc>
        <w:tc>
          <w:tcPr>
            <w:tcW w:w="1723" w:type="pct"/>
            <w:tcBorders>
              <w:top w:val="single" w:sz="4" w:space="0" w:color="auto"/>
              <w:left w:val="single" w:sz="4" w:space="0" w:color="auto"/>
              <w:bottom w:val="single" w:sz="4" w:space="0" w:color="auto"/>
              <w:right w:val="single" w:sz="4" w:space="0" w:color="auto"/>
            </w:tcBorders>
          </w:tcPr>
          <w:p w:rsidR="003649A2" w:rsidRPr="00624DC7" w:rsidRDefault="003649A2" w:rsidP="00433A4D">
            <w:pPr>
              <w:pStyle w:val="PBACTableText"/>
              <w:spacing w:before="0" w:after="0"/>
              <w:jc w:val="center"/>
              <w:rPr>
                <w:rFonts w:ascii="Arial Narrow" w:hAnsi="Arial Narrow"/>
                <w:lang w:val="en-AU"/>
              </w:rPr>
            </w:pPr>
            <w:r w:rsidRPr="00624DC7">
              <w:rPr>
                <w:rFonts w:ascii="Arial Narrow" w:hAnsi="Arial Narrow"/>
                <w:lang w:val="en-AU"/>
              </w:rPr>
              <w:t>7.6%</w:t>
            </w:r>
          </w:p>
        </w:tc>
        <w:tc>
          <w:tcPr>
            <w:tcW w:w="2069" w:type="pct"/>
            <w:tcBorders>
              <w:top w:val="single" w:sz="4" w:space="0" w:color="auto"/>
              <w:left w:val="single" w:sz="4" w:space="0" w:color="auto"/>
              <w:bottom w:val="single" w:sz="4" w:space="0" w:color="auto"/>
              <w:right w:val="single" w:sz="4" w:space="0" w:color="auto"/>
            </w:tcBorders>
          </w:tcPr>
          <w:p w:rsidR="003649A2" w:rsidRPr="00624DC7" w:rsidRDefault="003649A2" w:rsidP="00433A4D">
            <w:pPr>
              <w:pStyle w:val="PBACTableText"/>
              <w:spacing w:before="0" w:after="0"/>
              <w:jc w:val="center"/>
              <w:rPr>
                <w:rFonts w:ascii="Arial Narrow" w:hAnsi="Arial Narrow"/>
                <w:lang w:val="en-AU"/>
              </w:rPr>
            </w:pPr>
            <w:r w:rsidRPr="00624DC7">
              <w:rPr>
                <w:rFonts w:ascii="Arial Narrow" w:hAnsi="Arial Narrow"/>
                <w:lang w:val="en-AU"/>
              </w:rPr>
              <w:t>10.1%</w:t>
            </w:r>
          </w:p>
        </w:tc>
      </w:tr>
      <w:tr w:rsidR="003649A2" w:rsidRPr="0088408E" w:rsidTr="00433A4D">
        <w:trPr>
          <w:cantSplit/>
          <w:trHeight w:val="20"/>
        </w:trPr>
        <w:tc>
          <w:tcPr>
            <w:tcW w:w="1208" w:type="pct"/>
            <w:tcBorders>
              <w:top w:val="single" w:sz="4" w:space="0" w:color="auto"/>
              <w:left w:val="single" w:sz="4" w:space="0" w:color="auto"/>
              <w:bottom w:val="single" w:sz="4" w:space="0" w:color="auto"/>
              <w:right w:val="single" w:sz="4" w:space="0" w:color="auto"/>
            </w:tcBorders>
            <w:tcMar>
              <w:right w:w="28" w:type="dxa"/>
            </w:tcMar>
            <w:vAlign w:val="center"/>
          </w:tcPr>
          <w:p w:rsidR="003649A2" w:rsidRPr="0088408E" w:rsidRDefault="003649A2" w:rsidP="00433A4D">
            <w:pPr>
              <w:pStyle w:val="TableText0"/>
              <w:spacing w:before="0" w:after="0"/>
              <w:rPr>
                <w:rFonts w:cs="Arial"/>
                <w:vertAlign w:val="superscript"/>
              </w:rPr>
            </w:pPr>
            <w:r w:rsidRPr="0088408E">
              <w:rPr>
                <w:rFonts w:cs="Arial"/>
                <w:b/>
              </w:rPr>
              <w:t xml:space="preserve">Serious adverse event </w:t>
            </w:r>
            <w:r w:rsidRPr="0088408E">
              <w:rPr>
                <w:rFonts w:cs="Arial"/>
                <w:b/>
                <w:vertAlign w:val="superscript"/>
              </w:rPr>
              <w:t>a</w:t>
            </w:r>
          </w:p>
        </w:tc>
        <w:tc>
          <w:tcPr>
            <w:tcW w:w="1723" w:type="pct"/>
            <w:tcBorders>
              <w:top w:val="single" w:sz="4" w:space="0" w:color="auto"/>
              <w:left w:val="single" w:sz="4" w:space="0" w:color="auto"/>
              <w:bottom w:val="single" w:sz="4" w:space="0" w:color="auto"/>
              <w:right w:val="single" w:sz="4" w:space="0" w:color="auto"/>
            </w:tcBorders>
            <w:vAlign w:val="center"/>
          </w:tcPr>
          <w:p w:rsidR="003649A2" w:rsidRPr="0088408E" w:rsidRDefault="003649A2" w:rsidP="00433A4D">
            <w:pPr>
              <w:jc w:val="center"/>
              <w:rPr>
                <w:rFonts w:ascii="Arial Narrow" w:hAnsi="Arial Narrow"/>
                <w:sz w:val="20"/>
              </w:rPr>
            </w:pPr>
            <w:r w:rsidRPr="0088408E">
              <w:rPr>
                <w:rFonts w:ascii="Arial Narrow" w:hAnsi="Arial Narrow"/>
                <w:sz w:val="20"/>
              </w:rPr>
              <w:t>17 (4.0%)</w:t>
            </w:r>
          </w:p>
        </w:tc>
        <w:tc>
          <w:tcPr>
            <w:tcW w:w="2069" w:type="pct"/>
            <w:tcBorders>
              <w:top w:val="single" w:sz="4" w:space="0" w:color="auto"/>
              <w:left w:val="single" w:sz="4" w:space="0" w:color="auto"/>
              <w:bottom w:val="single" w:sz="4" w:space="0" w:color="auto"/>
              <w:right w:val="single" w:sz="4" w:space="0" w:color="auto"/>
            </w:tcBorders>
            <w:vAlign w:val="center"/>
          </w:tcPr>
          <w:p w:rsidR="003649A2" w:rsidRPr="0088408E" w:rsidRDefault="003649A2" w:rsidP="00433A4D">
            <w:pPr>
              <w:jc w:val="center"/>
              <w:rPr>
                <w:rFonts w:ascii="Arial Narrow" w:hAnsi="Arial Narrow"/>
                <w:sz w:val="20"/>
              </w:rPr>
            </w:pPr>
            <w:r w:rsidRPr="0088408E">
              <w:rPr>
                <w:rFonts w:ascii="Arial Narrow" w:hAnsi="Arial Narrow"/>
                <w:sz w:val="20"/>
              </w:rPr>
              <w:t>17 (8.2%)</w:t>
            </w:r>
          </w:p>
        </w:tc>
      </w:tr>
      <w:tr w:rsidR="003649A2" w:rsidRPr="0088408E" w:rsidTr="00433A4D">
        <w:trPr>
          <w:cantSplit/>
          <w:trHeight w:val="20"/>
        </w:trPr>
        <w:tc>
          <w:tcPr>
            <w:tcW w:w="5000" w:type="pct"/>
            <w:gridSpan w:val="3"/>
            <w:tcBorders>
              <w:top w:val="single" w:sz="4" w:space="0" w:color="auto"/>
              <w:left w:val="single" w:sz="4" w:space="0" w:color="auto"/>
              <w:bottom w:val="single" w:sz="4" w:space="0" w:color="auto"/>
              <w:right w:val="single" w:sz="4" w:space="0" w:color="auto"/>
            </w:tcBorders>
            <w:tcMar>
              <w:right w:w="28" w:type="dxa"/>
            </w:tcMar>
            <w:vAlign w:val="center"/>
          </w:tcPr>
          <w:p w:rsidR="003649A2" w:rsidRPr="0088408E" w:rsidRDefault="003649A2" w:rsidP="00433A4D">
            <w:pPr>
              <w:pStyle w:val="TableText0"/>
              <w:spacing w:before="0" w:after="0"/>
              <w:rPr>
                <w:rFonts w:cs="Arial"/>
              </w:rPr>
            </w:pPr>
            <w:r w:rsidRPr="0088408E">
              <w:rPr>
                <w:bCs/>
              </w:rPr>
              <w:t>Withdrawals due to</w:t>
            </w:r>
          </w:p>
        </w:tc>
      </w:tr>
      <w:tr w:rsidR="003649A2" w:rsidRPr="0088408E" w:rsidTr="00433A4D">
        <w:trPr>
          <w:cantSplit/>
          <w:trHeight w:val="20"/>
        </w:trPr>
        <w:tc>
          <w:tcPr>
            <w:tcW w:w="1208" w:type="pct"/>
            <w:tcBorders>
              <w:top w:val="single" w:sz="4" w:space="0" w:color="auto"/>
              <w:left w:val="single" w:sz="4" w:space="0" w:color="auto"/>
              <w:bottom w:val="single" w:sz="4" w:space="0" w:color="auto"/>
              <w:right w:val="single" w:sz="4" w:space="0" w:color="auto"/>
            </w:tcBorders>
            <w:tcMar>
              <w:right w:w="28" w:type="dxa"/>
            </w:tcMar>
          </w:tcPr>
          <w:p w:rsidR="003649A2" w:rsidRPr="0088408E" w:rsidRDefault="003649A2" w:rsidP="00433A4D">
            <w:pPr>
              <w:pStyle w:val="Tabletext"/>
              <w:ind w:firstLine="142"/>
              <w:rPr>
                <w:bCs/>
              </w:rPr>
            </w:pPr>
            <w:r w:rsidRPr="0088408E">
              <w:rPr>
                <w:bCs/>
              </w:rPr>
              <w:t>AEs</w:t>
            </w:r>
          </w:p>
        </w:tc>
        <w:tc>
          <w:tcPr>
            <w:tcW w:w="1723" w:type="pct"/>
            <w:tcBorders>
              <w:top w:val="single" w:sz="4" w:space="0" w:color="auto"/>
              <w:left w:val="single" w:sz="4" w:space="0" w:color="auto"/>
              <w:bottom w:val="single" w:sz="4" w:space="0" w:color="auto"/>
              <w:right w:val="single" w:sz="4" w:space="0" w:color="auto"/>
            </w:tcBorders>
            <w:vAlign w:val="center"/>
          </w:tcPr>
          <w:p w:rsidR="003649A2" w:rsidRPr="0088408E" w:rsidRDefault="003649A2" w:rsidP="00433A4D">
            <w:pPr>
              <w:jc w:val="center"/>
              <w:rPr>
                <w:rFonts w:ascii="Arial Narrow" w:hAnsi="Arial Narrow"/>
                <w:sz w:val="20"/>
              </w:rPr>
            </w:pPr>
            <w:r w:rsidRPr="0088408E">
              <w:rPr>
                <w:rFonts w:ascii="Arial Narrow" w:hAnsi="Arial Narrow"/>
                <w:sz w:val="20"/>
              </w:rPr>
              <w:t>2 (0.5%)</w:t>
            </w:r>
            <w:r w:rsidRPr="0088408E">
              <w:rPr>
                <w:rFonts w:ascii="Arial Narrow" w:hAnsi="Arial Narrow"/>
                <w:sz w:val="20"/>
              </w:rPr>
              <w:tab/>
            </w:r>
          </w:p>
        </w:tc>
        <w:tc>
          <w:tcPr>
            <w:tcW w:w="2069" w:type="pct"/>
            <w:tcBorders>
              <w:top w:val="single" w:sz="4" w:space="0" w:color="auto"/>
              <w:left w:val="single" w:sz="4" w:space="0" w:color="auto"/>
              <w:bottom w:val="single" w:sz="4" w:space="0" w:color="auto"/>
              <w:right w:val="single" w:sz="4" w:space="0" w:color="auto"/>
            </w:tcBorders>
            <w:vAlign w:val="center"/>
          </w:tcPr>
          <w:p w:rsidR="003649A2" w:rsidRPr="0088408E" w:rsidRDefault="003649A2" w:rsidP="00433A4D">
            <w:pPr>
              <w:jc w:val="center"/>
              <w:rPr>
                <w:rFonts w:ascii="Arial Narrow" w:hAnsi="Arial Narrow"/>
                <w:sz w:val="20"/>
              </w:rPr>
            </w:pPr>
            <w:r w:rsidRPr="0088408E">
              <w:rPr>
                <w:rFonts w:ascii="Arial Narrow" w:hAnsi="Arial Narrow"/>
                <w:sz w:val="20"/>
              </w:rPr>
              <w:t>1 (0.5%)</w:t>
            </w:r>
          </w:p>
        </w:tc>
      </w:tr>
      <w:tr w:rsidR="003649A2" w:rsidRPr="0088408E" w:rsidTr="00433A4D">
        <w:trPr>
          <w:cantSplit/>
          <w:trHeight w:val="20"/>
        </w:trPr>
        <w:tc>
          <w:tcPr>
            <w:tcW w:w="1208" w:type="pct"/>
            <w:tcBorders>
              <w:top w:val="single" w:sz="4" w:space="0" w:color="auto"/>
              <w:left w:val="single" w:sz="4" w:space="0" w:color="auto"/>
              <w:bottom w:val="single" w:sz="4" w:space="0" w:color="auto"/>
              <w:right w:val="single" w:sz="4" w:space="0" w:color="auto"/>
            </w:tcBorders>
            <w:tcMar>
              <w:right w:w="28" w:type="dxa"/>
            </w:tcMar>
          </w:tcPr>
          <w:p w:rsidR="003649A2" w:rsidRPr="0088408E" w:rsidRDefault="003649A2" w:rsidP="00433A4D">
            <w:pPr>
              <w:pStyle w:val="Tabletext"/>
              <w:ind w:firstLine="142"/>
              <w:rPr>
                <w:bCs/>
              </w:rPr>
            </w:pPr>
            <w:r w:rsidRPr="0088408E">
              <w:rPr>
                <w:bCs/>
              </w:rPr>
              <w:t xml:space="preserve">SAEs </w:t>
            </w:r>
          </w:p>
        </w:tc>
        <w:tc>
          <w:tcPr>
            <w:tcW w:w="1723" w:type="pct"/>
            <w:tcBorders>
              <w:top w:val="single" w:sz="4" w:space="0" w:color="auto"/>
              <w:left w:val="single" w:sz="4" w:space="0" w:color="auto"/>
              <w:bottom w:val="single" w:sz="4" w:space="0" w:color="auto"/>
              <w:right w:val="single" w:sz="4" w:space="0" w:color="auto"/>
            </w:tcBorders>
            <w:vAlign w:val="center"/>
          </w:tcPr>
          <w:p w:rsidR="003649A2" w:rsidRPr="0088408E" w:rsidRDefault="003649A2" w:rsidP="00433A4D">
            <w:pPr>
              <w:jc w:val="center"/>
              <w:rPr>
                <w:rFonts w:ascii="Arial Narrow" w:hAnsi="Arial Narrow"/>
                <w:sz w:val="20"/>
              </w:rPr>
            </w:pPr>
            <w:r w:rsidRPr="0088408E">
              <w:rPr>
                <w:rFonts w:ascii="Arial Narrow" w:hAnsi="Arial Narrow"/>
                <w:sz w:val="20"/>
              </w:rPr>
              <w:t>1 (0.2%)</w:t>
            </w:r>
            <w:r w:rsidRPr="0088408E">
              <w:rPr>
                <w:rFonts w:ascii="Arial Narrow" w:hAnsi="Arial Narrow"/>
                <w:sz w:val="20"/>
              </w:rPr>
              <w:tab/>
            </w:r>
          </w:p>
        </w:tc>
        <w:tc>
          <w:tcPr>
            <w:tcW w:w="2069" w:type="pct"/>
            <w:tcBorders>
              <w:top w:val="single" w:sz="4" w:space="0" w:color="auto"/>
              <w:left w:val="single" w:sz="4" w:space="0" w:color="auto"/>
              <w:bottom w:val="single" w:sz="4" w:space="0" w:color="auto"/>
              <w:right w:val="single" w:sz="4" w:space="0" w:color="auto"/>
            </w:tcBorders>
            <w:vAlign w:val="center"/>
          </w:tcPr>
          <w:p w:rsidR="003649A2" w:rsidRPr="0088408E" w:rsidRDefault="003649A2" w:rsidP="00433A4D">
            <w:pPr>
              <w:jc w:val="center"/>
              <w:rPr>
                <w:rFonts w:ascii="Arial Narrow" w:hAnsi="Arial Narrow"/>
                <w:sz w:val="20"/>
              </w:rPr>
            </w:pPr>
            <w:r w:rsidRPr="0088408E">
              <w:rPr>
                <w:rFonts w:ascii="Arial Narrow" w:hAnsi="Arial Narrow"/>
                <w:sz w:val="20"/>
              </w:rPr>
              <w:t>1 (0.5%)</w:t>
            </w:r>
          </w:p>
        </w:tc>
      </w:tr>
      <w:tr w:rsidR="003649A2" w:rsidRPr="0088408E" w:rsidTr="00433A4D">
        <w:trPr>
          <w:cantSplit/>
          <w:trHeight w:val="20"/>
        </w:trPr>
        <w:tc>
          <w:tcPr>
            <w:tcW w:w="1208" w:type="pct"/>
            <w:tcBorders>
              <w:top w:val="single" w:sz="4" w:space="0" w:color="auto"/>
              <w:left w:val="single" w:sz="4" w:space="0" w:color="auto"/>
              <w:bottom w:val="single" w:sz="4" w:space="0" w:color="auto"/>
              <w:right w:val="single" w:sz="4" w:space="0" w:color="auto"/>
            </w:tcBorders>
            <w:tcMar>
              <w:right w:w="28" w:type="dxa"/>
            </w:tcMar>
          </w:tcPr>
          <w:p w:rsidR="003649A2" w:rsidRPr="0088408E" w:rsidRDefault="003649A2" w:rsidP="00433A4D">
            <w:pPr>
              <w:pStyle w:val="Tabletext"/>
              <w:ind w:firstLine="142"/>
              <w:rPr>
                <w:bCs/>
              </w:rPr>
            </w:pPr>
            <w:r w:rsidRPr="0088408E">
              <w:rPr>
                <w:bCs/>
              </w:rPr>
              <w:t>Deaths</w:t>
            </w:r>
          </w:p>
        </w:tc>
        <w:tc>
          <w:tcPr>
            <w:tcW w:w="1723" w:type="pct"/>
            <w:tcBorders>
              <w:top w:val="single" w:sz="4" w:space="0" w:color="auto"/>
              <w:left w:val="single" w:sz="4" w:space="0" w:color="auto"/>
              <w:bottom w:val="single" w:sz="4" w:space="0" w:color="auto"/>
              <w:right w:val="single" w:sz="4" w:space="0" w:color="auto"/>
            </w:tcBorders>
            <w:vAlign w:val="center"/>
          </w:tcPr>
          <w:p w:rsidR="003649A2" w:rsidRPr="0088408E" w:rsidRDefault="003649A2" w:rsidP="00433A4D">
            <w:pPr>
              <w:jc w:val="center"/>
              <w:rPr>
                <w:rFonts w:ascii="Arial Narrow" w:hAnsi="Arial Narrow"/>
                <w:sz w:val="20"/>
              </w:rPr>
            </w:pPr>
            <w:r w:rsidRPr="0088408E">
              <w:rPr>
                <w:rFonts w:ascii="Arial Narrow" w:hAnsi="Arial Narrow"/>
                <w:sz w:val="20"/>
              </w:rPr>
              <w:t>0</w:t>
            </w:r>
          </w:p>
        </w:tc>
        <w:tc>
          <w:tcPr>
            <w:tcW w:w="2069" w:type="pct"/>
            <w:tcBorders>
              <w:top w:val="single" w:sz="4" w:space="0" w:color="auto"/>
              <w:left w:val="single" w:sz="4" w:space="0" w:color="auto"/>
              <w:bottom w:val="single" w:sz="4" w:space="0" w:color="auto"/>
              <w:right w:val="single" w:sz="4" w:space="0" w:color="auto"/>
            </w:tcBorders>
            <w:vAlign w:val="center"/>
          </w:tcPr>
          <w:p w:rsidR="003649A2" w:rsidRPr="0088408E" w:rsidRDefault="003649A2" w:rsidP="00433A4D">
            <w:pPr>
              <w:jc w:val="center"/>
              <w:rPr>
                <w:rFonts w:ascii="Arial Narrow" w:hAnsi="Arial Narrow"/>
                <w:sz w:val="20"/>
              </w:rPr>
            </w:pPr>
            <w:r w:rsidRPr="0088408E">
              <w:rPr>
                <w:rFonts w:ascii="Arial Narrow" w:hAnsi="Arial Narrow"/>
                <w:sz w:val="20"/>
              </w:rPr>
              <w:t>0</w:t>
            </w:r>
          </w:p>
        </w:tc>
      </w:tr>
    </w:tbl>
    <w:p w:rsidR="003649A2" w:rsidRPr="0088408E" w:rsidRDefault="003649A2" w:rsidP="009166CC">
      <w:pPr>
        <w:pStyle w:val="TableFooter"/>
        <w:ind w:left="709"/>
      </w:pPr>
      <w:bookmarkStart w:id="19" w:name="_Toc450203549"/>
      <w:r w:rsidRPr="0088408E">
        <w:t>Source: Table 43, p102; Table 45, p103 of the submission</w:t>
      </w:r>
      <w:bookmarkEnd w:id="19"/>
    </w:p>
    <w:p w:rsidR="003649A2" w:rsidRPr="0088408E" w:rsidRDefault="00581910" w:rsidP="009166CC">
      <w:pPr>
        <w:pStyle w:val="TableFooter"/>
        <w:ind w:left="709"/>
      </w:pPr>
      <w:bookmarkStart w:id="20" w:name="_Toc450203550"/>
      <w:r w:rsidRPr="0088408E">
        <w:t xml:space="preserve">AE = adverse events; OAT = optimised asthma therapy; </w:t>
      </w:r>
      <w:r w:rsidR="003649A2" w:rsidRPr="0088408E">
        <w:t xml:space="preserve">SAEs = serious adverse events </w:t>
      </w:r>
      <w:bookmarkEnd w:id="20"/>
    </w:p>
    <w:p w:rsidR="003649A2" w:rsidRPr="0088408E" w:rsidRDefault="003649A2" w:rsidP="009166CC">
      <w:pPr>
        <w:pStyle w:val="TableFooter"/>
        <w:ind w:left="709"/>
      </w:pPr>
      <w:bookmarkStart w:id="21" w:name="_Toc450203551"/>
      <w:r w:rsidRPr="0088408E">
        <w:rPr>
          <w:vertAlign w:val="superscript"/>
        </w:rPr>
        <w:t>a</w:t>
      </w:r>
      <w:r w:rsidRPr="0088408E">
        <w:t xml:space="preserve"> Does not include asthma exacerbations</w:t>
      </w:r>
      <w:bookmarkEnd w:id="21"/>
    </w:p>
    <w:p w:rsidR="003649A2" w:rsidRPr="0088408E" w:rsidRDefault="003649A2" w:rsidP="003649A2">
      <w:pPr>
        <w:pStyle w:val="PBACHeading1"/>
        <w:numPr>
          <w:ilvl w:val="0"/>
          <w:numId w:val="0"/>
        </w:numPr>
        <w:ind w:left="720" w:hanging="720"/>
      </w:pPr>
    </w:p>
    <w:p w:rsidR="003649A2" w:rsidRPr="0088408E" w:rsidRDefault="003649A2" w:rsidP="001F69C2">
      <w:pPr>
        <w:pStyle w:val="ListParagraph"/>
        <w:widowControl/>
        <w:numPr>
          <w:ilvl w:val="1"/>
          <w:numId w:val="2"/>
        </w:numPr>
        <w:rPr>
          <w:szCs w:val="22"/>
        </w:rPr>
      </w:pPr>
      <w:r w:rsidRPr="0088408E">
        <w:lastRenderedPageBreak/>
        <w:t>The most commonly experienced adverse events with omalizumab therapy included nasopharyngitis (27.8% of patients), upper respiratory tract infections (16.4% of patients) and headaches (13.8% of patients).</w:t>
      </w:r>
    </w:p>
    <w:p w:rsidR="00D31A3B" w:rsidRPr="0088408E" w:rsidRDefault="00D31A3B" w:rsidP="003649A2">
      <w:pPr>
        <w:pStyle w:val="ListParagraph"/>
        <w:ind w:left="0"/>
        <w:rPr>
          <w:szCs w:val="22"/>
        </w:rPr>
      </w:pPr>
    </w:p>
    <w:p w:rsidR="003649A2" w:rsidRPr="00DA2551" w:rsidRDefault="003649A2" w:rsidP="00F34CCB">
      <w:pPr>
        <w:pStyle w:val="Heading2"/>
      </w:pPr>
      <w:bookmarkStart w:id="22" w:name="_Toc451348697"/>
      <w:r w:rsidRPr="00DA2551">
        <w:t>Benefits/harms</w:t>
      </w:r>
      <w:bookmarkEnd w:id="22"/>
    </w:p>
    <w:p w:rsidR="003649A2" w:rsidRPr="0088408E" w:rsidRDefault="003649A2" w:rsidP="009166CC">
      <w:pPr>
        <w:keepNext/>
        <w:keepLines/>
        <w:widowControl/>
      </w:pPr>
    </w:p>
    <w:p w:rsidR="005837BF" w:rsidRPr="0088408E" w:rsidRDefault="003649A2" w:rsidP="005837BF">
      <w:pPr>
        <w:pStyle w:val="ListParagraph"/>
        <w:keepNext/>
        <w:keepLines/>
        <w:widowControl/>
        <w:numPr>
          <w:ilvl w:val="1"/>
          <w:numId w:val="2"/>
        </w:numPr>
        <w:rPr>
          <w:szCs w:val="22"/>
        </w:rPr>
      </w:pPr>
      <w:r w:rsidRPr="0088408E">
        <w:rPr>
          <w:szCs w:val="22"/>
        </w:rPr>
        <w:t xml:space="preserve">A summary of the comparative benefits and harms for omalizumab plus optimised asthma therapy versus placebo plus optimised asthma therapy is presented in the table below. </w:t>
      </w:r>
    </w:p>
    <w:p w:rsidR="003649A2" w:rsidRPr="0088408E" w:rsidRDefault="003649A2" w:rsidP="003649A2"/>
    <w:p w:rsidR="003649A2" w:rsidRPr="0088408E" w:rsidRDefault="003649A2" w:rsidP="001156E4">
      <w:pPr>
        <w:keepNext/>
        <w:widowControl/>
        <w:ind w:firstLine="567"/>
        <w:rPr>
          <w:rStyle w:val="CommentReference"/>
        </w:rPr>
      </w:pPr>
      <w:r w:rsidRPr="0088408E">
        <w:rPr>
          <w:rStyle w:val="CommentReference"/>
        </w:rPr>
        <w:t>Table 5: Summary of comparative benefits and harms for Omalizumab + OAT and Placebo + OAT</w:t>
      </w:r>
    </w:p>
    <w:tbl>
      <w:tblPr>
        <w:tblStyle w:val="TableGrid"/>
        <w:tblW w:w="4607" w:type="pct"/>
        <w:tblInd w:w="737" w:type="dxa"/>
        <w:tblLayout w:type="fixed"/>
        <w:tblCellMar>
          <w:left w:w="28" w:type="dxa"/>
          <w:right w:w="28" w:type="dxa"/>
        </w:tblCellMar>
        <w:tblLook w:val="04A0" w:firstRow="1" w:lastRow="0" w:firstColumn="1" w:lastColumn="0" w:noHBand="0" w:noVBand="1"/>
        <w:tblCaption w:val="Table 5: Summary of comparative benefits and harms for Omalizumab + OAT and Placebo + OAT"/>
      </w:tblPr>
      <w:tblGrid>
        <w:gridCol w:w="992"/>
        <w:gridCol w:w="12"/>
        <w:gridCol w:w="10"/>
        <w:gridCol w:w="1130"/>
        <w:gridCol w:w="10"/>
        <w:gridCol w:w="1285"/>
        <w:gridCol w:w="1566"/>
        <w:gridCol w:w="1084"/>
        <w:gridCol w:w="55"/>
        <w:gridCol w:w="1023"/>
        <w:gridCol w:w="60"/>
        <w:gridCol w:w="1141"/>
      </w:tblGrid>
      <w:tr w:rsidR="003649A2" w:rsidRPr="0088408E" w:rsidTr="00660F7D">
        <w:trPr>
          <w:trHeight w:val="150"/>
          <w:tblHeader/>
        </w:trPr>
        <w:tc>
          <w:tcPr>
            <w:tcW w:w="592" w:type="pct"/>
            <w:vMerge w:val="restart"/>
            <w:shd w:val="clear" w:color="auto" w:fill="auto"/>
            <w:vAlign w:val="center"/>
          </w:tcPr>
          <w:p w:rsidR="003649A2" w:rsidRPr="0088408E" w:rsidRDefault="003649A2" w:rsidP="005358B4">
            <w:pPr>
              <w:keepNext/>
              <w:widowControl/>
              <w:rPr>
                <w:rFonts w:ascii="Arial Narrow" w:hAnsi="Arial Narrow"/>
                <w:b/>
                <w:color w:val="000000"/>
                <w:sz w:val="20"/>
                <w:szCs w:val="18"/>
              </w:rPr>
            </w:pPr>
            <w:r w:rsidRPr="0088408E">
              <w:rPr>
                <w:rFonts w:ascii="Arial Narrow" w:hAnsi="Arial Narrow"/>
                <w:b/>
                <w:color w:val="000000"/>
                <w:sz w:val="20"/>
                <w:szCs w:val="18"/>
              </w:rPr>
              <w:t>Trial</w:t>
            </w:r>
          </w:p>
        </w:tc>
        <w:tc>
          <w:tcPr>
            <w:tcW w:w="688" w:type="pct"/>
            <w:gridSpan w:val="3"/>
            <w:vMerge w:val="restart"/>
            <w:vAlign w:val="center"/>
          </w:tcPr>
          <w:p w:rsidR="003649A2" w:rsidRPr="0088408E" w:rsidRDefault="003649A2" w:rsidP="005358B4">
            <w:pPr>
              <w:keepNext/>
              <w:widowControl/>
              <w:jc w:val="center"/>
              <w:rPr>
                <w:rFonts w:ascii="Arial Narrow" w:hAnsi="Arial Narrow"/>
                <w:b/>
                <w:color w:val="000000"/>
                <w:sz w:val="20"/>
                <w:szCs w:val="18"/>
              </w:rPr>
            </w:pPr>
            <w:r w:rsidRPr="0088408E">
              <w:rPr>
                <w:rFonts w:ascii="Arial Narrow" w:hAnsi="Arial Narrow"/>
                <w:b/>
                <w:color w:val="000000"/>
                <w:sz w:val="20"/>
                <w:szCs w:val="18"/>
              </w:rPr>
              <w:t>Omalizumab + OAT</w:t>
            </w:r>
          </w:p>
        </w:tc>
        <w:tc>
          <w:tcPr>
            <w:tcW w:w="774" w:type="pct"/>
            <w:gridSpan w:val="2"/>
            <w:vMerge w:val="restart"/>
            <w:vAlign w:val="center"/>
          </w:tcPr>
          <w:p w:rsidR="005358B4" w:rsidRPr="0088408E" w:rsidRDefault="003649A2" w:rsidP="005358B4">
            <w:pPr>
              <w:keepNext/>
              <w:widowControl/>
              <w:jc w:val="center"/>
              <w:rPr>
                <w:rFonts w:ascii="Arial Narrow" w:hAnsi="Arial Narrow"/>
                <w:b/>
                <w:color w:val="000000"/>
                <w:sz w:val="20"/>
                <w:szCs w:val="18"/>
              </w:rPr>
            </w:pPr>
            <w:r w:rsidRPr="0088408E">
              <w:rPr>
                <w:rFonts w:ascii="Arial Narrow" w:hAnsi="Arial Narrow"/>
                <w:b/>
                <w:color w:val="000000"/>
                <w:sz w:val="20"/>
                <w:szCs w:val="18"/>
              </w:rPr>
              <w:t>Placebo</w:t>
            </w:r>
          </w:p>
          <w:p w:rsidR="003649A2" w:rsidRPr="0088408E" w:rsidRDefault="003649A2" w:rsidP="005358B4">
            <w:pPr>
              <w:keepNext/>
              <w:widowControl/>
              <w:jc w:val="center"/>
              <w:rPr>
                <w:rFonts w:ascii="Arial Narrow" w:hAnsi="Arial Narrow"/>
                <w:b/>
                <w:color w:val="000000"/>
                <w:sz w:val="20"/>
                <w:szCs w:val="18"/>
              </w:rPr>
            </w:pPr>
            <w:r w:rsidRPr="0088408E">
              <w:rPr>
                <w:rFonts w:ascii="Arial Narrow" w:hAnsi="Arial Narrow"/>
                <w:b/>
                <w:color w:val="000000"/>
                <w:sz w:val="20"/>
                <w:szCs w:val="18"/>
              </w:rPr>
              <w:t>+ OAT</w:t>
            </w:r>
          </w:p>
        </w:tc>
        <w:tc>
          <w:tcPr>
            <w:tcW w:w="936" w:type="pct"/>
            <w:vMerge w:val="restart"/>
            <w:vAlign w:val="center"/>
          </w:tcPr>
          <w:p w:rsidR="003649A2" w:rsidRPr="0088408E" w:rsidRDefault="003649A2" w:rsidP="005358B4">
            <w:pPr>
              <w:keepNext/>
              <w:widowControl/>
              <w:jc w:val="center"/>
              <w:rPr>
                <w:rFonts w:ascii="Arial Narrow" w:hAnsi="Arial Narrow"/>
                <w:b/>
                <w:color w:val="000000"/>
                <w:sz w:val="20"/>
                <w:szCs w:val="18"/>
              </w:rPr>
            </w:pPr>
            <w:r w:rsidRPr="0088408E">
              <w:rPr>
                <w:rFonts w:ascii="Arial Narrow" w:hAnsi="Arial Narrow"/>
                <w:b/>
                <w:color w:val="000000"/>
                <w:sz w:val="20"/>
                <w:szCs w:val="18"/>
              </w:rPr>
              <w:t>RR</w:t>
            </w:r>
          </w:p>
          <w:p w:rsidR="003649A2" w:rsidRPr="0088408E" w:rsidRDefault="003649A2" w:rsidP="005358B4">
            <w:pPr>
              <w:keepNext/>
              <w:widowControl/>
              <w:jc w:val="center"/>
              <w:rPr>
                <w:rFonts w:ascii="Arial Narrow" w:hAnsi="Arial Narrow"/>
                <w:b/>
                <w:color w:val="000000"/>
                <w:sz w:val="20"/>
                <w:szCs w:val="18"/>
              </w:rPr>
            </w:pPr>
            <w:r w:rsidRPr="0088408E">
              <w:rPr>
                <w:rFonts w:ascii="Arial Narrow" w:hAnsi="Arial Narrow"/>
                <w:b/>
                <w:color w:val="000000"/>
                <w:sz w:val="20"/>
                <w:szCs w:val="18"/>
              </w:rPr>
              <w:t>(95% CI)</w:t>
            </w:r>
          </w:p>
        </w:tc>
        <w:tc>
          <w:tcPr>
            <w:tcW w:w="1291" w:type="pct"/>
            <w:gridSpan w:val="3"/>
            <w:vAlign w:val="center"/>
          </w:tcPr>
          <w:p w:rsidR="003649A2" w:rsidRPr="0088408E" w:rsidRDefault="003649A2" w:rsidP="005358B4">
            <w:pPr>
              <w:keepNext/>
              <w:widowControl/>
              <w:jc w:val="center"/>
              <w:rPr>
                <w:rFonts w:ascii="Arial Narrow" w:hAnsi="Arial Narrow"/>
                <w:b/>
                <w:color w:val="000000"/>
                <w:sz w:val="20"/>
                <w:szCs w:val="18"/>
              </w:rPr>
            </w:pPr>
            <w:r w:rsidRPr="0088408E">
              <w:rPr>
                <w:rFonts w:ascii="Arial Narrow" w:hAnsi="Arial Narrow"/>
                <w:b/>
                <w:color w:val="000000"/>
                <w:sz w:val="20"/>
                <w:szCs w:val="18"/>
              </w:rPr>
              <w:t xml:space="preserve">Event rate/100 patients* </w:t>
            </w:r>
          </w:p>
        </w:tc>
        <w:tc>
          <w:tcPr>
            <w:tcW w:w="718" w:type="pct"/>
            <w:gridSpan w:val="2"/>
            <w:vMerge w:val="restart"/>
            <w:vAlign w:val="center"/>
          </w:tcPr>
          <w:p w:rsidR="003649A2" w:rsidRPr="0088408E" w:rsidRDefault="003649A2" w:rsidP="005358B4">
            <w:pPr>
              <w:keepNext/>
              <w:widowControl/>
              <w:jc w:val="center"/>
              <w:rPr>
                <w:rFonts w:ascii="Arial Narrow" w:hAnsi="Arial Narrow"/>
                <w:b/>
                <w:color w:val="000000"/>
                <w:sz w:val="20"/>
                <w:szCs w:val="18"/>
              </w:rPr>
            </w:pPr>
            <w:r w:rsidRPr="0088408E">
              <w:rPr>
                <w:rFonts w:ascii="Arial Narrow" w:hAnsi="Arial Narrow"/>
                <w:b/>
                <w:color w:val="000000"/>
                <w:sz w:val="20"/>
                <w:szCs w:val="18"/>
              </w:rPr>
              <w:t>RD</w:t>
            </w:r>
          </w:p>
          <w:p w:rsidR="003649A2" w:rsidRPr="0088408E" w:rsidRDefault="003649A2" w:rsidP="005358B4">
            <w:pPr>
              <w:keepNext/>
              <w:widowControl/>
              <w:jc w:val="center"/>
              <w:rPr>
                <w:rFonts w:ascii="Arial Narrow" w:hAnsi="Arial Narrow"/>
                <w:b/>
                <w:color w:val="000000"/>
                <w:sz w:val="20"/>
                <w:szCs w:val="18"/>
              </w:rPr>
            </w:pPr>
            <w:r w:rsidRPr="0088408E">
              <w:rPr>
                <w:rFonts w:ascii="Arial Narrow" w:hAnsi="Arial Narrow"/>
                <w:b/>
                <w:color w:val="000000"/>
                <w:sz w:val="20"/>
                <w:szCs w:val="18"/>
              </w:rPr>
              <w:t>(95% CI)</w:t>
            </w:r>
          </w:p>
        </w:tc>
      </w:tr>
      <w:tr w:rsidR="003649A2" w:rsidRPr="0088408E" w:rsidTr="00660F7D">
        <w:trPr>
          <w:trHeight w:val="315"/>
          <w:tblHeader/>
        </w:trPr>
        <w:tc>
          <w:tcPr>
            <w:tcW w:w="592" w:type="pct"/>
            <w:vMerge/>
            <w:shd w:val="clear" w:color="auto" w:fill="auto"/>
            <w:vAlign w:val="center"/>
          </w:tcPr>
          <w:p w:rsidR="003649A2" w:rsidRPr="0088408E" w:rsidRDefault="003649A2" w:rsidP="005358B4">
            <w:pPr>
              <w:keepNext/>
              <w:widowControl/>
              <w:rPr>
                <w:rFonts w:ascii="Arial Narrow" w:hAnsi="Arial Narrow"/>
                <w:b/>
                <w:color w:val="000000"/>
                <w:sz w:val="20"/>
                <w:szCs w:val="18"/>
              </w:rPr>
            </w:pPr>
          </w:p>
        </w:tc>
        <w:tc>
          <w:tcPr>
            <w:tcW w:w="688" w:type="pct"/>
            <w:gridSpan w:val="3"/>
            <w:vMerge/>
            <w:vAlign w:val="center"/>
          </w:tcPr>
          <w:p w:rsidR="003649A2" w:rsidRPr="0088408E" w:rsidRDefault="003649A2" w:rsidP="005358B4">
            <w:pPr>
              <w:keepNext/>
              <w:widowControl/>
              <w:jc w:val="center"/>
              <w:rPr>
                <w:rFonts w:ascii="Arial Narrow" w:hAnsi="Arial Narrow"/>
                <w:b/>
                <w:color w:val="000000"/>
                <w:sz w:val="20"/>
                <w:szCs w:val="18"/>
              </w:rPr>
            </w:pPr>
          </w:p>
        </w:tc>
        <w:tc>
          <w:tcPr>
            <w:tcW w:w="774" w:type="pct"/>
            <w:gridSpan w:val="2"/>
            <w:vMerge/>
            <w:vAlign w:val="center"/>
          </w:tcPr>
          <w:p w:rsidR="003649A2" w:rsidRPr="0088408E" w:rsidRDefault="003649A2" w:rsidP="005358B4">
            <w:pPr>
              <w:keepNext/>
              <w:widowControl/>
              <w:jc w:val="center"/>
              <w:rPr>
                <w:rFonts w:ascii="Arial Narrow" w:hAnsi="Arial Narrow"/>
                <w:b/>
                <w:color w:val="000000"/>
                <w:sz w:val="20"/>
                <w:szCs w:val="18"/>
              </w:rPr>
            </w:pPr>
          </w:p>
        </w:tc>
        <w:tc>
          <w:tcPr>
            <w:tcW w:w="936" w:type="pct"/>
            <w:vMerge/>
            <w:vAlign w:val="center"/>
          </w:tcPr>
          <w:p w:rsidR="003649A2" w:rsidRPr="0088408E" w:rsidRDefault="003649A2" w:rsidP="005358B4">
            <w:pPr>
              <w:keepNext/>
              <w:widowControl/>
              <w:jc w:val="center"/>
              <w:rPr>
                <w:rFonts w:ascii="Arial Narrow" w:hAnsi="Arial Narrow"/>
                <w:b/>
                <w:color w:val="000000"/>
                <w:sz w:val="20"/>
                <w:szCs w:val="18"/>
              </w:rPr>
            </w:pPr>
          </w:p>
        </w:tc>
        <w:tc>
          <w:tcPr>
            <w:tcW w:w="648" w:type="pct"/>
            <w:vAlign w:val="center"/>
          </w:tcPr>
          <w:p w:rsidR="003649A2" w:rsidRPr="0088408E" w:rsidRDefault="003649A2" w:rsidP="005358B4">
            <w:pPr>
              <w:keepNext/>
              <w:widowControl/>
              <w:jc w:val="center"/>
              <w:rPr>
                <w:rFonts w:ascii="Arial Narrow" w:hAnsi="Arial Narrow"/>
                <w:b/>
                <w:color w:val="000000"/>
                <w:sz w:val="20"/>
                <w:szCs w:val="18"/>
              </w:rPr>
            </w:pPr>
            <w:r w:rsidRPr="0088408E">
              <w:rPr>
                <w:rFonts w:ascii="Arial Narrow" w:hAnsi="Arial Narrow"/>
                <w:b/>
                <w:color w:val="000000"/>
                <w:sz w:val="20"/>
                <w:szCs w:val="18"/>
              </w:rPr>
              <w:t>Omalizumab + OAT</w:t>
            </w:r>
          </w:p>
        </w:tc>
        <w:tc>
          <w:tcPr>
            <w:tcW w:w="644" w:type="pct"/>
            <w:gridSpan w:val="2"/>
            <w:vAlign w:val="center"/>
          </w:tcPr>
          <w:p w:rsidR="005358B4" w:rsidRPr="0088408E" w:rsidRDefault="003649A2" w:rsidP="005358B4">
            <w:pPr>
              <w:keepNext/>
              <w:widowControl/>
              <w:jc w:val="center"/>
              <w:rPr>
                <w:rFonts w:ascii="Arial Narrow" w:hAnsi="Arial Narrow"/>
                <w:b/>
                <w:color w:val="000000"/>
                <w:sz w:val="20"/>
                <w:szCs w:val="18"/>
              </w:rPr>
            </w:pPr>
            <w:r w:rsidRPr="0088408E">
              <w:rPr>
                <w:rFonts w:ascii="Arial Narrow" w:hAnsi="Arial Narrow"/>
                <w:b/>
                <w:color w:val="000000"/>
                <w:sz w:val="20"/>
                <w:szCs w:val="18"/>
              </w:rPr>
              <w:t xml:space="preserve">Placebo </w:t>
            </w:r>
          </w:p>
          <w:p w:rsidR="003649A2" w:rsidRPr="0088408E" w:rsidRDefault="003649A2" w:rsidP="005358B4">
            <w:pPr>
              <w:keepNext/>
              <w:widowControl/>
              <w:jc w:val="center"/>
              <w:rPr>
                <w:rFonts w:ascii="Arial Narrow" w:hAnsi="Arial Narrow"/>
                <w:b/>
                <w:color w:val="000000"/>
                <w:sz w:val="20"/>
                <w:szCs w:val="18"/>
              </w:rPr>
            </w:pPr>
            <w:r w:rsidRPr="0088408E">
              <w:rPr>
                <w:rFonts w:ascii="Arial Narrow" w:hAnsi="Arial Narrow"/>
                <w:b/>
                <w:color w:val="000000"/>
                <w:sz w:val="20"/>
                <w:szCs w:val="18"/>
              </w:rPr>
              <w:t>+ OAT</w:t>
            </w:r>
          </w:p>
        </w:tc>
        <w:tc>
          <w:tcPr>
            <w:tcW w:w="718" w:type="pct"/>
            <w:gridSpan w:val="2"/>
            <w:vMerge/>
            <w:vAlign w:val="center"/>
          </w:tcPr>
          <w:p w:rsidR="003649A2" w:rsidRPr="0088408E" w:rsidRDefault="003649A2" w:rsidP="005358B4">
            <w:pPr>
              <w:keepNext/>
              <w:widowControl/>
              <w:jc w:val="center"/>
              <w:rPr>
                <w:rFonts w:ascii="Arial Narrow" w:hAnsi="Arial Narrow"/>
                <w:b/>
                <w:color w:val="000000"/>
                <w:sz w:val="20"/>
                <w:szCs w:val="18"/>
              </w:rPr>
            </w:pPr>
          </w:p>
        </w:tc>
      </w:tr>
      <w:tr w:rsidR="003649A2" w:rsidRPr="0088408E" w:rsidTr="00660F7D">
        <w:tc>
          <w:tcPr>
            <w:tcW w:w="5000" w:type="pct"/>
            <w:gridSpan w:val="12"/>
            <w:shd w:val="clear" w:color="auto" w:fill="auto"/>
            <w:vAlign w:val="center"/>
          </w:tcPr>
          <w:p w:rsidR="003649A2" w:rsidRPr="0088408E" w:rsidRDefault="003649A2" w:rsidP="005358B4">
            <w:pPr>
              <w:keepNext/>
              <w:widowControl/>
              <w:rPr>
                <w:rFonts w:ascii="Arial Narrow" w:hAnsi="Arial Narrow"/>
                <w:b/>
                <w:color w:val="000000"/>
                <w:sz w:val="20"/>
                <w:szCs w:val="18"/>
              </w:rPr>
            </w:pPr>
            <w:r w:rsidRPr="0088408E">
              <w:rPr>
                <w:rFonts w:ascii="Arial Narrow" w:hAnsi="Arial Narrow"/>
                <w:b/>
                <w:color w:val="000000"/>
                <w:sz w:val="20"/>
                <w:szCs w:val="18"/>
              </w:rPr>
              <w:t>Benefits</w:t>
            </w:r>
          </w:p>
        </w:tc>
      </w:tr>
      <w:tr w:rsidR="003649A2" w:rsidRPr="0088408E" w:rsidTr="00660F7D">
        <w:tc>
          <w:tcPr>
            <w:tcW w:w="5000" w:type="pct"/>
            <w:gridSpan w:val="12"/>
            <w:shd w:val="clear" w:color="auto" w:fill="auto"/>
            <w:vAlign w:val="center"/>
          </w:tcPr>
          <w:p w:rsidR="003649A2" w:rsidRPr="0088408E" w:rsidRDefault="003649A2" w:rsidP="005358B4">
            <w:pPr>
              <w:keepNext/>
              <w:widowControl/>
              <w:rPr>
                <w:rFonts w:ascii="Arial Narrow" w:hAnsi="Arial Narrow"/>
                <w:b/>
                <w:color w:val="000000"/>
                <w:sz w:val="20"/>
                <w:szCs w:val="18"/>
              </w:rPr>
            </w:pPr>
            <w:r w:rsidRPr="0088408E">
              <w:rPr>
                <w:rFonts w:ascii="Arial Narrow" w:hAnsi="Arial Narrow"/>
                <w:b/>
                <w:color w:val="000000"/>
                <w:sz w:val="20"/>
                <w:szCs w:val="18"/>
              </w:rPr>
              <w:t>Rate of clinically significant exacerbations at 52 weeks</w:t>
            </w:r>
          </w:p>
        </w:tc>
      </w:tr>
      <w:tr w:rsidR="003649A2" w:rsidRPr="0088408E" w:rsidTr="00660F7D">
        <w:tc>
          <w:tcPr>
            <w:tcW w:w="592" w:type="pct"/>
            <w:shd w:val="clear" w:color="auto" w:fill="auto"/>
            <w:vAlign w:val="center"/>
          </w:tcPr>
          <w:p w:rsidR="003649A2" w:rsidRPr="0088408E" w:rsidRDefault="003649A2" w:rsidP="005358B4">
            <w:pPr>
              <w:keepNext/>
              <w:widowControl/>
              <w:rPr>
                <w:rFonts w:ascii="Arial Narrow" w:hAnsi="Arial Narrow"/>
                <w:color w:val="000000"/>
                <w:sz w:val="20"/>
                <w:szCs w:val="18"/>
              </w:rPr>
            </w:pPr>
            <w:r w:rsidRPr="0088408E">
              <w:rPr>
                <w:rFonts w:ascii="Arial Narrow" w:hAnsi="Arial Narrow"/>
                <w:sz w:val="20"/>
              </w:rPr>
              <w:t xml:space="preserve">IA05-EU Responder </w:t>
            </w:r>
            <w:r w:rsidRPr="0088408E">
              <w:rPr>
                <w:rFonts w:ascii="Arial Narrow" w:hAnsi="Arial Narrow"/>
                <w:sz w:val="20"/>
                <w:vertAlign w:val="superscript"/>
              </w:rPr>
              <w:t>a</w:t>
            </w:r>
          </w:p>
        </w:tc>
        <w:tc>
          <w:tcPr>
            <w:tcW w:w="688" w:type="pct"/>
            <w:gridSpan w:val="3"/>
            <w:vAlign w:val="center"/>
          </w:tcPr>
          <w:p w:rsidR="003649A2" w:rsidRPr="0088408E" w:rsidRDefault="003649A2" w:rsidP="005358B4">
            <w:pPr>
              <w:keepNext/>
              <w:widowControl/>
              <w:jc w:val="center"/>
              <w:rPr>
                <w:rFonts w:ascii="Arial Narrow" w:hAnsi="Arial Narrow"/>
                <w:color w:val="000000"/>
                <w:sz w:val="20"/>
                <w:szCs w:val="18"/>
              </w:rPr>
            </w:pPr>
            <w:r w:rsidRPr="0088408E">
              <w:rPr>
                <w:rFonts w:ascii="Arial Narrow" w:hAnsi="Arial Narrow"/>
                <w:sz w:val="20"/>
              </w:rPr>
              <w:t>0.52</w:t>
            </w:r>
          </w:p>
        </w:tc>
        <w:tc>
          <w:tcPr>
            <w:tcW w:w="774" w:type="pct"/>
            <w:gridSpan w:val="2"/>
            <w:vAlign w:val="center"/>
          </w:tcPr>
          <w:p w:rsidR="003649A2" w:rsidRPr="0088408E" w:rsidRDefault="003649A2" w:rsidP="005358B4">
            <w:pPr>
              <w:keepNext/>
              <w:widowControl/>
              <w:jc w:val="center"/>
              <w:rPr>
                <w:rFonts w:ascii="Arial Narrow" w:hAnsi="Arial Narrow"/>
                <w:color w:val="000000"/>
                <w:sz w:val="20"/>
                <w:szCs w:val="18"/>
              </w:rPr>
            </w:pPr>
            <w:r w:rsidRPr="0088408E">
              <w:rPr>
                <w:rFonts w:ascii="Arial Narrow" w:hAnsi="Arial Narrow"/>
                <w:sz w:val="20"/>
              </w:rPr>
              <w:t>1.62</w:t>
            </w:r>
          </w:p>
        </w:tc>
        <w:tc>
          <w:tcPr>
            <w:tcW w:w="936" w:type="pct"/>
            <w:vAlign w:val="center"/>
          </w:tcPr>
          <w:p w:rsidR="003649A2" w:rsidRPr="0088408E" w:rsidRDefault="003649A2" w:rsidP="005358B4">
            <w:pPr>
              <w:keepNext/>
              <w:widowControl/>
              <w:jc w:val="center"/>
              <w:rPr>
                <w:rFonts w:ascii="Arial Narrow" w:hAnsi="Arial Narrow"/>
                <w:color w:val="000000"/>
                <w:sz w:val="20"/>
                <w:szCs w:val="18"/>
              </w:rPr>
            </w:pPr>
            <w:r w:rsidRPr="0088408E">
              <w:rPr>
                <w:rFonts w:ascii="Arial Narrow" w:hAnsi="Arial Narrow"/>
                <w:b/>
                <w:sz w:val="20"/>
              </w:rPr>
              <w:t>0.32 (0.22, 0.48)</w:t>
            </w:r>
          </w:p>
        </w:tc>
        <w:tc>
          <w:tcPr>
            <w:tcW w:w="648" w:type="pct"/>
            <w:vAlign w:val="center"/>
          </w:tcPr>
          <w:p w:rsidR="003649A2" w:rsidRPr="0088408E" w:rsidRDefault="003649A2" w:rsidP="005358B4">
            <w:pPr>
              <w:keepNext/>
              <w:widowControl/>
              <w:jc w:val="center"/>
              <w:rPr>
                <w:rFonts w:ascii="Arial Narrow" w:hAnsi="Arial Narrow"/>
                <w:color w:val="000000"/>
                <w:sz w:val="20"/>
                <w:szCs w:val="18"/>
              </w:rPr>
            </w:pPr>
            <w:r w:rsidRPr="0088408E">
              <w:rPr>
                <w:rFonts w:ascii="Arial Narrow" w:hAnsi="Arial Narrow"/>
                <w:color w:val="000000"/>
                <w:sz w:val="20"/>
                <w:szCs w:val="18"/>
              </w:rPr>
              <w:t>52</w:t>
            </w:r>
          </w:p>
        </w:tc>
        <w:tc>
          <w:tcPr>
            <w:tcW w:w="644" w:type="pct"/>
            <w:gridSpan w:val="2"/>
            <w:vAlign w:val="center"/>
          </w:tcPr>
          <w:p w:rsidR="003649A2" w:rsidRPr="0088408E" w:rsidRDefault="003649A2" w:rsidP="005358B4">
            <w:pPr>
              <w:keepNext/>
              <w:widowControl/>
              <w:jc w:val="center"/>
              <w:rPr>
                <w:rFonts w:ascii="Arial Narrow" w:hAnsi="Arial Narrow"/>
                <w:color w:val="000000"/>
                <w:sz w:val="20"/>
                <w:szCs w:val="18"/>
              </w:rPr>
            </w:pPr>
            <w:r w:rsidRPr="0088408E">
              <w:rPr>
                <w:rFonts w:ascii="Arial Narrow" w:hAnsi="Arial Narrow"/>
                <w:color w:val="000000"/>
                <w:sz w:val="20"/>
                <w:szCs w:val="18"/>
              </w:rPr>
              <w:t>162</w:t>
            </w:r>
          </w:p>
        </w:tc>
        <w:tc>
          <w:tcPr>
            <w:tcW w:w="718" w:type="pct"/>
            <w:gridSpan w:val="2"/>
            <w:vAlign w:val="center"/>
          </w:tcPr>
          <w:p w:rsidR="003649A2" w:rsidRPr="0088408E" w:rsidRDefault="003649A2" w:rsidP="005358B4">
            <w:pPr>
              <w:keepNext/>
              <w:widowControl/>
              <w:jc w:val="center"/>
              <w:rPr>
                <w:rFonts w:ascii="Arial Narrow" w:hAnsi="Arial Narrow"/>
                <w:color w:val="000000"/>
                <w:sz w:val="20"/>
                <w:szCs w:val="18"/>
              </w:rPr>
            </w:pPr>
            <w:r w:rsidRPr="0088408E">
              <w:rPr>
                <w:rFonts w:ascii="Arial Narrow" w:hAnsi="Arial Narrow"/>
                <w:color w:val="000000"/>
                <w:sz w:val="20"/>
                <w:szCs w:val="18"/>
              </w:rPr>
              <w:t>-1.10</w:t>
            </w:r>
          </w:p>
        </w:tc>
      </w:tr>
      <w:tr w:rsidR="003649A2" w:rsidRPr="0088408E" w:rsidTr="00660F7D">
        <w:tc>
          <w:tcPr>
            <w:tcW w:w="592" w:type="pct"/>
            <w:shd w:val="clear" w:color="auto" w:fill="auto"/>
            <w:vAlign w:val="center"/>
          </w:tcPr>
          <w:p w:rsidR="003649A2" w:rsidRPr="0088408E" w:rsidRDefault="003649A2" w:rsidP="005358B4">
            <w:pPr>
              <w:keepNext/>
              <w:widowControl/>
              <w:rPr>
                <w:rFonts w:ascii="Arial Narrow" w:hAnsi="Arial Narrow"/>
                <w:color w:val="000000"/>
                <w:sz w:val="20"/>
                <w:szCs w:val="18"/>
                <w:vertAlign w:val="superscript"/>
              </w:rPr>
            </w:pPr>
            <w:r w:rsidRPr="0088408E">
              <w:rPr>
                <w:rFonts w:ascii="Arial Narrow" w:hAnsi="Arial Narrow"/>
                <w:sz w:val="20"/>
              </w:rPr>
              <w:t>IA05-EU</w:t>
            </w:r>
            <w:r w:rsidR="0095447F" w:rsidRPr="0088408E">
              <w:rPr>
                <w:rFonts w:ascii="Arial Narrow" w:hAnsi="Arial Narrow"/>
                <w:sz w:val="20"/>
              </w:rPr>
              <w:t xml:space="preserve"> </w:t>
            </w:r>
            <w:r w:rsidR="0095447F" w:rsidRPr="0088408E">
              <w:rPr>
                <w:rFonts w:ascii="Arial Narrow" w:hAnsi="Arial Narrow"/>
                <w:sz w:val="20"/>
                <w:vertAlign w:val="superscript"/>
              </w:rPr>
              <w:t>b</w:t>
            </w:r>
          </w:p>
        </w:tc>
        <w:tc>
          <w:tcPr>
            <w:tcW w:w="688" w:type="pct"/>
            <w:gridSpan w:val="3"/>
            <w:vAlign w:val="center"/>
          </w:tcPr>
          <w:p w:rsidR="003649A2" w:rsidRPr="0088408E" w:rsidRDefault="003649A2" w:rsidP="005358B4">
            <w:pPr>
              <w:keepNext/>
              <w:widowControl/>
              <w:jc w:val="center"/>
              <w:rPr>
                <w:rFonts w:ascii="Arial Narrow" w:hAnsi="Arial Narrow"/>
                <w:color w:val="000000"/>
                <w:sz w:val="20"/>
                <w:szCs w:val="18"/>
              </w:rPr>
            </w:pPr>
            <w:r w:rsidRPr="0088408E">
              <w:rPr>
                <w:rFonts w:ascii="Arial Narrow" w:hAnsi="Arial Narrow"/>
                <w:color w:val="000000"/>
                <w:sz w:val="20"/>
                <w:szCs w:val="18"/>
              </w:rPr>
              <w:t>0.73</w:t>
            </w:r>
          </w:p>
        </w:tc>
        <w:tc>
          <w:tcPr>
            <w:tcW w:w="774" w:type="pct"/>
            <w:gridSpan w:val="2"/>
            <w:vAlign w:val="center"/>
          </w:tcPr>
          <w:p w:rsidR="003649A2" w:rsidRPr="0088408E" w:rsidRDefault="003649A2" w:rsidP="005358B4">
            <w:pPr>
              <w:keepNext/>
              <w:widowControl/>
              <w:jc w:val="center"/>
              <w:rPr>
                <w:rFonts w:ascii="Arial Narrow" w:hAnsi="Arial Narrow"/>
                <w:color w:val="000000"/>
                <w:sz w:val="20"/>
                <w:szCs w:val="18"/>
              </w:rPr>
            </w:pPr>
            <w:r w:rsidRPr="0088408E">
              <w:rPr>
                <w:rFonts w:ascii="Arial Narrow" w:hAnsi="Arial Narrow"/>
                <w:color w:val="000000"/>
                <w:sz w:val="20"/>
                <w:szCs w:val="18"/>
              </w:rPr>
              <w:t>1.44</w:t>
            </w:r>
          </w:p>
        </w:tc>
        <w:tc>
          <w:tcPr>
            <w:tcW w:w="936" w:type="pct"/>
            <w:vAlign w:val="center"/>
          </w:tcPr>
          <w:p w:rsidR="003649A2" w:rsidRPr="0088408E" w:rsidRDefault="003649A2" w:rsidP="005358B4">
            <w:pPr>
              <w:keepNext/>
              <w:widowControl/>
              <w:jc w:val="center"/>
              <w:rPr>
                <w:rFonts w:ascii="Arial Narrow" w:hAnsi="Arial Narrow"/>
                <w:color w:val="000000"/>
                <w:sz w:val="20"/>
                <w:szCs w:val="18"/>
              </w:rPr>
            </w:pPr>
            <w:r w:rsidRPr="0088408E">
              <w:rPr>
                <w:rFonts w:ascii="Arial Narrow" w:hAnsi="Arial Narrow"/>
                <w:b/>
                <w:sz w:val="20"/>
              </w:rPr>
              <w:t>0.50 (0.35, 0.73)</w:t>
            </w:r>
          </w:p>
        </w:tc>
        <w:tc>
          <w:tcPr>
            <w:tcW w:w="648" w:type="pct"/>
            <w:vAlign w:val="center"/>
          </w:tcPr>
          <w:p w:rsidR="003649A2" w:rsidRPr="0088408E" w:rsidRDefault="003649A2" w:rsidP="005358B4">
            <w:pPr>
              <w:keepNext/>
              <w:widowControl/>
              <w:jc w:val="center"/>
              <w:rPr>
                <w:rFonts w:ascii="Arial Narrow" w:hAnsi="Arial Narrow"/>
                <w:color w:val="000000"/>
                <w:sz w:val="20"/>
                <w:szCs w:val="18"/>
              </w:rPr>
            </w:pPr>
            <w:r w:rsidRPr="0088408E">
              <w:rPr>
                <w:rFonts w:ascii="Arial Narrow" w:hAnsi="Arial Narrow"/>
                <w:color w:val="000000"/>
                <w:sz w:val="20"/>
                <w:szCs w:val="18"/>
              </w:rPr>
              <w:t>73</w:t>
            </w:r>
          </w:p>
        </w:tc>
        <w:tc>
          <w:tcPr>
            <w:tcW w:w="644" w:type="pct"/>
            <w:gridSpan w:val="2"/>
            <w:vAlign w:val="center"/>
          </w:tcPr>
          <w:p w:rsidR="003649A2" w:rsidRPr="0088408E" w:rsidRDefault="003649A2" w:rsidP="005358B4">
            <w:pPr>
              <w:keepNext/>
              <w:widowControl/>
              <w:jc w:val="center"/>
              <w:rPr>
                <w:rFonts w:ascii="Arial Narrow" w:hAnsi="Arial Narrow"/>
                <w:color w:val="000000"/>
                <w:sz w:val="20"/>
                <w:szCs w:val="18"/>
              </w:rPr>
            </w:pPr>
            <w:r w:rsidRPr="0088408E">
              <w:rPr>
                <w:rFonts w:ascii="Arial Narrow" w:hAnsi="Arial Narrow"/>
                <w:color w:val="000000"/>
                <w:sz w:val="20"/>
                <w:szCs w:val="18"/>
              </w:rPr>
              <w:t>144</w:t>
            </w:r>
          </w:p>
        </w:tc>
        <w:tc>
          <w:tcPr>
            <w:tcW w:w="718" w:type="pct"/>
            <w:gridSpan w:val="2"/>
            <w:vAlign w:val="center"/>
          </w:tcPr>
          <w:p w:rsidR="003649A2" w:rsidRPr="0088408E" w:rsidRDefault="003649A2" w:rsidP="005358B4">
            <w:pPr>
              <w:keepNext/>
              <w:widowControl/>
              <w:jc w:val="center"/>
              <w:rPr>
                <w:rFonts w:ascii="Arial Narrow" w:hAnsi="Arial Narrow"/>
                <w:color w:val="000000"/>
                <w:sz w:val="20"/>
                <w:szCs w:val="18"/>
              </w:rPr>
            </w:pPr>
            <w:r w:rsidRPr="0088408E">
              <w:rPr>
                <w:rFonts w:ascii="Arial Narrow" w:hAnsi="Arial Narrow"/>
                <w:color w:val="000000"/>
                <w:sz w:val="20"/>
                <w:szCs w:val="18"/>
              </w:rPr>
              <w:t>-0.71</w:t>
            </w:r>
          </w:p>
        </w:tc>
      </w:tr>
      <w:tr w:rsidR="003649A2" w:rsidRPr="0088408E" w:rsidTr="00660F7D">
        <w:tc>
          <w:tcPr>
            <w:tcW w:w="5000" w:type="pct"/>
            <w:gridSpan w:val="12"/>
            <w:tcBorders>
              <w:top w:val="double" w:sz="4" w:space="0" w:color="auto"/>
            </w:tcBorders>
            <w:shd w:val="clear" w:color="auto" w:fill="auto"/>
            <w:vAlign w:val="center"/>
          </w:tcPr>
          <w:p w:rsidR="003649A2" w:rsidRPr="0088408E" w:rsidRDefault="003649A2" w:rsidP="005358B4">
            <w:pPr>
              <w:keepNext/>
              <w:widowControl/>
              <w:rPr>
                <w:rFonts w:ascii="Arial Narrow" w:hAnsi="Arial Narrow"/>
                <w:b/>
                <w:color w:val="000000"/>
                <w:sz w:val="20"/>
                <w:szCs w:val="18"/>
              </w:rPr>
            </w:pPr>
            <w:r w:rsidRPr="0088408E">
              <w:rPr>
                <w:rFonts w:ascii="Arial Narrow" w:hAnsi="Arial Narrow"/>
                <w:b/>
                <w:color w:val="000000"/>
                <w:sz w:val="20"/>
                <w:szCs w:val="18"/>
              </w:rPr>
              <w:t xml:space="preserve">Harms </w:t>
            </w:r>
          </w:p>
        </w:tc>
      </w:tr>
      <w:tr w:rsidR="003649A2" w:rsidRPr="0088408E" w:rsidTr="00660F7D">
        <w:trPr>
          <w:trHeight w:val="70"/>
        </w:trPr>
        <w:tc>
          <w:tcPr>
            <w:tcW w:w="599" w:type="pct"/>
            <w:gridSpan w:val="2"/>
            <w:vMerge w:val="restart"/>
            <w:shd w:val="clear" w:color="auto" w:fill="auto"/>
            <w:vAlign w:val="center"/>
          </w:tcPr>
          <w:p w:rsidR="003649A2" w:rsidRPr="0088408E" w:rsidRDefault="003649A2" w:rsidP="005358B4">
            <w:pPr>
              <w:keepNext/>
              <w:widowControl/>
              <w:rPr>
                <w:rFonts w:ascii="Arial Narrow" w:hAnsi="Arial Narrow"/>
                <w:b/>
                <w:color w:val="000000"/>
                <w:sz w:val="20"/>
                <w:szCs w:val="18"/>
              </w:rPr>
            </w:pPr>
          </w:p>
        </w:tc>
        <w:tc>
          <w:tcPr>
            <w:tcW w:w="681" w:type="pct"/>
            <w:gridSpan w:val="2"/>
            <w:vMerge w:val="restart"/>
            <w:vAlign w:val="center"/>
          </w:tcPr>
          <w:p w:rsidR="003649A2" w:rsidRPr="0088408E" w:rsidRDefault="003649A2" w:rsidP="005358B4">
            <w:pPr>
              <w:keepNext/>
              <w:widowControl/>
              <w:jc w:val="center"/>
              <w:rPr>
                <w:rFonts w:ascii="Arial Narrow" w:hAnsi="Arial Narrow"/>
                <w:b/>
                <w:color w:val="000000"/>
                <w:sz w:val="20"/>
                <w:szCs w:val="18"/>
              </w:rPr>
            </w:pPr>
            <w:r w:rsidRPr="0088408E">
              <w:rPr>
                <w:rFonts w:ascii="Arial Narrow" w:hAnsi="Arial Narrow"/>
                <w:b/>
                <w:color w:val="000000"/>
                <w:sz w:val="20"/>
                <w:szCs w:val="18"/>
              </w:rPr>
              <w:t>Omalizumab + OAT</w:t>
            </w:r>
          </w:p>
        </w:tc>
        <w:tc>
          <w:tcPr>
            <w:tcW w:w="774" w:type="pct"/>
            <w:gridSpan w:val="2"/>
            <w:vMerge w:val="restart"/>
            <w:vAlign w:val="center"/>
          </w:tcPr>
          <w:p w:rsidR="005358B4" w:rsidRPr="0088408E" w:rsidRDefault="003649A2" w:rsidP="005358B4">
            <w:pPr>
              <w:keepNext/>
              <w:widowControl/>
              <w:jc w:val="center"/>
              <w:rPr>
                <w:rFonts w:ascii="Arial Narrow" w:hAnsi="Arial Narrow"/>
                <w:b/>
                <w:color w:val="000000"/>
                <w:sz w:val="20"/>
                <w:szCs w:val="18"/>
              </w:rPr>
            </w:pPr>
            <w:r w:rsidRPr="0088408E">
              <w:rPr>
                <w:rFonts w:ascii="Arial Narrow" w:hAnsi="Arial Narrow"/>
                <w:b/>
                <w:color w:val="000000"/>
                <w:sz w:val="20"/>
                <w:szCs w:val="18"/>
              </w:rPr>
              <w:t xml:space="preserve">Placebo </w:t>
            </w:r>
          </w:p>
          <w:p w:rsidR="003649A2" w:rsidRPr="0088408E" w:rsidRDefault="003649A2" w:rsidP="005358B4">
            <w:pPr>
              <w:keepNext/>
              <w:widowControl/>
              <w:jc w:val="center"/>
              <w:rPr>
                <w:rFonts w:ascii="Arial Narrow" w:hAnsi="Arial Narrow"/>
                <w:b/>
                <w:color w:val="000000"/>
                <w:sz w:val="20"/>
                <w:szCs w:val="18"/>
              </w:rPr>
            </w:pPr>
            <w:r w:rsidRPr="0088408E">
              <w:rPr>
                <w:rFonts w:ascii="Arial Narrow" w:hAnsi="Arial Narrow"/>
                <w:b/>
                <w:color w:val="000000"/>
                <w:sz w:val="20"/>
                <w:szCs w:val="18"/>
              </w:rPr>
              <w:t>+ OAT</w:t>
            </w:r>
          </w:p>
        </w:tc>
        <w:tc>
          <w:tcPr>
            <w:tcW w:w="936" w:type="pct"/>
            <w:vMerge w:val="restart"/>
            <w:vAlign w:val="center"/>
          </w:tcPr>
          <w:p w:rsidR="003649A2" w:rsidRPr="0088408E" w:rsidRDefault="003649A2" w:rsidP="005358B4">
            <w:pPr>
              <w:keepNext/>
              <w:widowControl/>
              <w:jc w:val="center"/>
              <w:rPr>
                <w:rFonts w:ascii="Arial Narrow" w:hAnsi="Arial Narrow"/>
                <w:b/>
                <w:color w:val="000000"/>
                <w:sz w:val="20"/>
                <w:szCs w:val="18"/>
              </w:rPr>
            </w:pPr>
            <w:r w:rsidRPr="0088408E">
              <w:rPr>
                <w:rFonts w:ascii="Arial Narrow" w:hAnsi="Arial Narrow"/>
                <w:b/>
                <w:color w:val="000000"/>
                <w:sz w:val="20"/>
                <w:szCs w:val="18"/>
              </w:rPr>
              <w:t>RR</w:t>
            </w:r>
          </w:p>
          <w:p w:rsidR="003649A2" w:rsidRPr="0088408E" w:rsidRDefault="003649A2" w:rsidP="005358B4">
            <w:pPr>
              <w:keepNext/>
              <w:widowControl/>
              <w:jc w:val="center"/>
              <w:rPr>
                <w:rFonts w:ascii="Arial Narrow" w:hAnsi="Arial Narrow"/>
                <w:b/>
                <w:color w:val="000000"/>
                <w:sz w:val="20"/>
                <w:szCs w:val="18"/>
              </w:rPr>
            </w:pPr>
            <w:r w:rsidRPr="0088408E">
              <w:rPr>
                <w:rFonts w:ascii="Arial Narrow" w:hAnsi="Arial Narrow"/>
                <w:b/>
                <w:color w:val="000000"/>
                <w:sz w:val="20"/>
                <w:szCs w:val="18"/>
              </w:rPr>
              <w:t>(95% CI)</w:t>
            </w:r>
          </w:p>
        </w:tc>
        <w:tc>
          <w:tcPr>
            <w:tcW w:w="1328" w:type="pct"/>
            <w:gridSpan w:val="4"/>
            <w:vAlign w:val="center"/>
          </w:tcPr>
          <w:p w:rsidR="003649A2" w:rsidRPr="0088408E" w:rsidRDefault="003649A2" w:rsidP="005358B4">
            <w:pPr>
              <w:keepNext/>
              <w:widowControl/>
              <w:jc w:val="center"/>
              <w:rPr>
                <w:rFonts w:ascii="Arial Narrow" w:hAnsi="Arial Narrow"/>
                <w:b/>
                <w:color w:val="000000"/>
                <w:sz w:val="20"/>
                <w:szCs w:val="18"/>
              </w:rPr>
            </w:pPr>
            <w:r w:rsidRPr="0088408E">
              <w:rPr>
                <w:rFonts w:ascii="Arial Narrow" w:hAnsi="Arial Narrow"/>
                <w:b/>
                <w:color w:val="000000"/>
                <w:sz w:val="20"/>
                <w:szCs w:val="18"/>
              </w:rPr>
              <w:t xml:space="preserve">Event rate/100 patients* </w:t>
            </w:r>
          </w:p>
        </w:tc>
        <w:tc>
          <w:tcPr>
            <w:tcW w:w="682" w:type="pct"/>
            <w:vMerge w:val="restart"/>
            <w:vAlign w:val="center"/>
          </w:tcPr>
          <w:p w:rsidR="003649A2" w:rsidRPr="0088408E" w:rsidRDefault="003649A2" w:rsidP="005358B4">
            <w:pPr>
              <w:keepNext/>
              <w:widowControl/>
              <w:jc w:val="center"/>
              <w:rPr>
                <w:rFonts w:ascii="Arial Narrow" w:hAnsi="Arial Narrow"/>
                <w:b/>
                <w:color w:val="000000"/>
                <w:sz w:val="20"/>
                <w:szCs w:val="18"/>
              </w:rPr>
            </w:pPr>
            <w:r w:rsidRPr="0088408E">
              <w:rPr>
                <w:rFonts w:ascii="Arial Narrow" w:hAnsi="Arial Narrow"/>
                <w:b/>
                <w:color w:val="000000"/>
                <w:sz w:val="20"/>
                <w:szCs w:val="18"/>
              </w:rPr>
              <w:t>RD</w:t>
            </w:r>
          </w:p>
          <w:p w:rsidR="003649A2" w:rsidRPr="0088408E" w:rsidRDefault="003649A2" w:rsidP="005358B4">
            <w:pPr>
              <w:keepNext/>
              <w:widowControl/>
              <w:jc w:val="center"/>
              <w:rPr>
                <w:rFonts w:ascii="Arial Narrow" w:hAnsi="Arial Narrow"/>
                <w:b/>
                <w:color w:val="000000"/>
                <w:sz w:val="20"/>
                <w:szCs w:val="18"/>
              </w:rPr>
            </w:pPr>
            <w:r w:rsidRPr="0088408E">
              <w:rPr>
                <w:rFonts w:ascii="Arial Narrow" w:hAnsi="Arial Narrow"/>
                <w:b/>
                <w:color w:val="000000"/>
                <w:sz w:val="20"/>
                <w:szCs w:val="18"/>
              </w:rPr>
              <w:t>(95% CI)</w:t>
            </w:r>
          </w:p>
        </w:tc>
      </w:tr>
      <w:tr w:rsidR="003649A2" w:rsidRPr="0088408E" w:rsidTr="00660F7D">
        <w:trPr>
          <w:trHeight w:val="390"/>
        </w:trPr>
        <w:tc>
          <w:tcPr>
            <w:tcW w:w="599" w:type="pct"/>
            <w:gridSpan w:val="2"/>
            <w:vMerge/>
            <w:shd w:val="clear" w:color="auto" w:fill="auto"/>
            <w:vAlign w:val="center"/>
          </w:tcPr>
          <w:p w:rsidR="003649A2" w:rsidRPr="0088408E" w:rsidRDefault="003649A2" w:rsidP="005358B4">
            <w:pPr>
              <w:keepNext/>
              <w:widowControl/>
              <w:rPr>
                <w:rFonts w:ascii="Arial Narrow" w:hAnsi="Arial Narrow"/>
                <w:b/>
                <w:color w:val="000000"/>
                <w:sz w:val="20"/>
                <w:szCs w:val="18"/>
              </w:rPr>
            </w:pPr>
          </w:p>
        </w:tc>
        <w:tc>
          <w:tcPr>
            <w:tcW w:w="681" w:type="pct"/>
            <w:gridSpan w:val="2"/>
            <w:vMerge/>
            <w:vAlign w:val="center"/>
          </w:tcPr>
          <w:p w:rsidR="003649A2" w:rsidRPr="0088408E" w:rsidRDefault="003649A2" w:rsidP="005358B4">
            <w:pPr>
              <w:keepNext/>
              <w:widowControl/>
              <w:jc w:val="center"/>
              <w:rPr>
                <w:rFonts w:ascii="Arial Narrow" w:hAnsi="Arial Narrow"/>
                <w:b/>
                <w:color w:val="000000"/>
                <w:sz w:val="20"/>
                <w:szCs w:val="18"/>
              </w:rPr>
            </w:pPr>
          </w:p>
        </w:tc>
        <w:tc>
          <w:tcPr>
            <w:tcW w:w="774" w:type="pct"/>
            <w:gridSpan w:val="2"/>
            <w:vMerge/>
            <w:vAlign w:val="center"/>
          </w:tcPr>
          <w:p w:rsidR="003649A2" w:rsidRPr="0088408E" w:rsidRDefault="003649A2" w:rsidP="005358B4">
            <w:pPr>
              <w:keepNext/>
              <w:widowControl/>
              <w:jc w:val="center"/>
              <w:rPr>
                <w:rFonts w:ascii="Arial Narrow" w:hAnsi="Arial Narrow"/>
                <w:b/>
                <w:color w:val="000000"/>
                <w:sz w:val="20"/>
                <w:szCs w:val="18"/>
              </w:rPr>
            </w:pPr>
          </w:p>
        </w:tc>
        <w:tc>
          <w:tcPr>
            <w:tcW w:w="936" w:type="pct"/>
            <w:vMerge/>
            <w:vAlign w:val="center"/>
          </w:tcPr>
          <w:p w:rsidR="003649A2" w:rsidRPr="0088408E" w:rsidRDefault="003649A2" w:rsidP="005358B4">
            <w:pPr>
              <w:keepNext/>
              <w:widowControl/>
              <w:jc w:val="center"/>
              <w:rPr>
                <w:rFonts w:ascii="Arial Narrow" w:hAnsi="Arial Narrow"/>
                <w:b/>
                <w:color w:val="000000"/>
                <w:sz w:val="20"/>
                <w:szCs w:val="18"/>
              </w:rPr>
            </w:pPr>
          </w:p>
        </w:tc>
        <w:tc>
          <w:tcPr>
            <w:tcW w:w="681" w:type="pct"/>
            <w:gridSpan w:val="2"/>
            <w:vAlign w:val="center"/>
          </w:tcPr>
          <w:p w:rsidR="003649A2" w:rsidRPr="0088408E" w:rsidRDefault="003649A2" w:rsidP="005358B4">
            <w:pPr>
              <w:keepNext/>
              <w:widowControl/>
              <w:jc w:val="center"/>
              <w:rPr>
                <w:rFonts w:ascii="Arial Narrow" w:hAnsi="Arial Narrow"/>
                <w:b/>
                <w:color w:val="000000"/>
                <w:sz w:val="20"/>
                <w:szCs w:val="18"/>
              </w:rPr>
            </w:pPr>
            <w:r w:rsidRPr="0088408E">
              <w:rPr>
                <w:rFonts w:ascii="Arial Narrow" w:hAnsi="Arial Narrow"/>
                <w:b/>
                <w:color w:val="000000"/>
                <w:sz w:val="20"/>
                <w:szCs w:val="18"/>
              </w:rPr>
              <w:t>Omalizumab + OAT</w:t>
            </w:r>
          </w:p>
        </w:tc>
        <w:tc>
          <w:tcPr>
            <w:tcW w:w="647" w:type="pct"/>
            <w:gridSpan w:val="2"/>
            <w:vAlign w:val="center"/>
          </w:tcPr>
          <w:p w:rsidR="005358B4" w:rsidRPr="0088408E" w:rsidRDefault="003649A2" w:rsidP="005358B4">
            <w:pPr>
              <w:keepNext/>
              <w:widowControl/>
              <w:jc w:val="center"/>
              <w:rPr>
                <w:rFonts w:ascii="Arial Narrow" w:hAnsi="Arial Narrow"/>
                <w:b/>
                <w:color w:val="000000"/>
                <w:sz w:val="20"/>
                <w:szCs w:val="18"/>
              </w:rPr>
            </w:pPr>
            <w:r w:rsidRPr="0088408E">
              <w:rPr>
                <w:rFonts w:ascii="Arial Narrow" w:hAnsi="Arial Narrow"/>
                <w:b/>
                <w:color w:val="000000"/>
                <w:sz w:val="20"/>
                <w:szCs w:val="18"/>
              </w:rPr>
              <w:t xml:space="preserve">Placebo </w:t>
            </w:r>
          </w:p>
          <w:p w:rsidR="003649A2" w:rsidRPr="0088408E" w:rsidRDefault="003649A2" w:rsidP="005358B4">
            <w:pPr>
              <w:keepNext/>
              <w:widowControl/>
              <w:jc w:val="center"/>
              <w:rPr>
                <w:rFonts w:ascii="Arial Narrow" w:hAnsi="Arial Narrow"/>
                <w:b/>
                <w:color w:val="000000"/>
                <w:sz w:val="20"/>
                <w:szCs w:val="18"/>
              </w:rPr>
            </w:pPr>
            <w:r w:rsidRPr="0088408E">
              <w:rPr>
                <w:rFonts w:ascii="Arial Narrow" w:hAnsi="Arial Narrow"/>
                <w:b/>
                <w:color w:val="000000"/>
                <w:sz w:val="20"/>
                <w:szCs w:val="18"/>
              </w:rPr>
              <w:t>+ OAT</w:t>
            </w:r>
          </w:p>
        </w:tc>
        <w:tc>
          <w:tcPr>
            <w:tcW w:w="682" w:type="pct"/>
            <w:vMerge/>
            <w:vAlign w:val="center"/>
          </w:tcPr>
          <w:p w:rsidR="003649A2" w:rsidRPr="0088408E" w:rsidRDefault="003649A2" w:rsidP="005358B4">
            <w:pPr>
              <w:keepNext/>
              <w:widowControl/>
              <w:jc w:val="center"/>
              <w:rPr>
                <w:rFonts w:ascii="Arial Narrow" w:hAnsi="Arial Narrow"/>
                <w:b/>
                <w:color w:val="000000"/>
                <w:sz w:val="20"/>
                <w:szCs w:val="18"/>
              </w:rPr>
            </w:pPr>
          </w:p>
        </w:tc>
      </w:tr>
      <w:tr w:rsidR="003649A2" w:rsidRPr="0088408E" w:rsidTr="00660F7D">
        <w:tc>
          <w:tcPr>
            <w:tcW w:w="5000" w:type="pct"/>
            <w:gridSpan w:val="12"/>
            <w:shd w:val="clear" w:color="auto" w:fill="auto"/>
            <w:vAlign w:val="center"/>
          </w:tcPr>
          <w:p w:rsidR="003649A2" w:rsidRPr="0088408E" w:rsidRDefault="003649A2" w:rsidP="005358B4">
            <w:pPr>
              <w:keepNext/>
              <w:widowControl/>
              <w:rPr>
                <w:rFonts w:ascii="Arial Narrow" w:hAnsi="Arial Narrow"/>
                <w:b/>
                <w:sz w:val="20"/>
              </w:rPr>
            </w:pPr>
            <w:r w:rsidRPr="0088408E">
              <w:rPr>
                <w:rFonts w:ascii="Arial Narrow" w:hAnsi="Arial Narrow"/>
                <w:b/>
                <w:sz w:val="20"/>
              </w:rPr>
              <w:t>Nasopharyngitis</w:t>
            </w:r>
          </w:p>
        </w:tc>
      </w:tr>
      <w:tr w:rsidR="003649A2" w:rsidRPr="0088408E" w:rsidTr="00660F7D">
        <w:tc>
          <w:tcPr>
            <w:tcW w:w="605" w:type="pct"/>
            <w:gridSpan w:val="3"/>
            <w:shd w:val="clear" w:color="auto" w:fill="auto"/>
            <w:vAlign w:val="center"/>
          </w:tcPr>
          <w:p w:rsidR="003649A2" w:rsidRPr="0088408E" w:rsidRDefault="003649A2" w:rsidP="005358B4">
            <w:pPr>
              <w:keepNext/>
              <w:widowControl/>
              <w:rPr>
                <w:rFonts w:ascii="Arial Narrow" w:hAnsi="Arial Narrow"/>
                <w:sz w:val="20"/>
              </w:rPr>
            </w:pPr>
            <w:r w:rsidRPr="0088408E">
              <w:rPr>
                <w:rFonts w:ascii="Arial Narrow" w:hAnsi="Arial Narrow"/>
                <w:sz w:val="20"/>
              </w:rPr>
              <w:t>IA05-mITT</w:t>
            </w:r>
          </w:p>
        </w:tc>
        <w:tc>
          <w:tcPr>
            <w:tcW w:w="681" w:type="pct"/>
            <w:gridSpan w:val="2"/>
            <w:vAlign w:val="center"/>
          </w:tcPr>
          <w:p w:rsidR="003649A2" w:rsidRPr="0088408E" w:rsidRDefault="003649A2" w:rsidP="005358B4">
            <w:pPr>
              <w:keepNext/>
              <w:widowControl/>
              <w:jc w:val="center"/>
              <w:rPr>
                <w:rFonts w:ascii="Arial Narrow" w:hAnsi="Arial Narrow"/>
                <w:sz w:val="20"/>
              </w:rPr>
            </w:pPr>
            <w:r w:rsidRPr="0088408E">
              <w:rPr>
                <w:rFonts w:ascii="Arial Narrow" w:hAnsi="Arial Narrow"/>
                <w:sz w:val="20"/>
              </w:rPr>
              <w:t>117/421</w:t>
            </w:r>
          </w:p>
        </w:tc>
        <w:tc>
          <w:tcPr>
            <w:tcW w:w="768" w:type="pct"/>
            <w:vAlign w:val="center"/>
          </w:tcPr>
          <w:p w:rsidR="003649A2" w:rsidRPr="0088408E" w:rsidRDefault="003649A2" w:rsidP="005358B4">
            <w:pPr>
              <w:keepNext/>
              <w:widowControl/>
              <w:jc w:val="center"/>
              <w:rPr>
                <w:rFonts w:ascii="Arial Narrow" w:hAnsi="Arial Narrow"/>
                <w:sz w:val="20"/>
              </w:rPr>
            </w:pPr>
            <w:r w:rsidRPr="0088408E">
              <w:rPr>
                <w:rFonts w:ascii="Arial Narrow" w:hAnsi="Arial Narrow"/>
                <w:sz w:val="20"/>
              </w:rPr>
              <w:t>56/207</w:t>
            </w:r>
          </w:p>
        </w:tc>
        <w:tc>
          <w:tcPr>
            <w:tcW w:w="936" w:type="pct"/>
            <w:vAlign w:val="center"/>
          </w:tcPr>
          <w:p w:rsidR="003649A2" w:rsidRPr="0088408E" w:rsidRDefault="003649A2" w:rsidP="005358B4">
            <w:pPr>
              <w:keepNext/>
              <w:widowControl/>
              <w:jc w:val="center"/>
              <w:rPr>
                <w:rFonts w:ascii="Arial Narrow" w:hAnsi="Arial Narrow"/>
                <w:sz w:val="20"/>
              </w:rPr>
            </w:pPr>
            <w:r w:rsidRPr="0088408E">
              <w:rPr>
                <w:rFonts w:ascii="Arial Narrow" w:hAnsi="Arial Narrow"/>
                <w:sz w:val="20"/>
              </w:rPr>
              <w:t>1.03 (0.78, 1.35)</w:t>
            </w:r>
          </w:p>
        </w:tc>
        <w:tc>
          <w:tcPr>
            <w:tcW w:w="681" w:type="pct"/>
            <w:gridSpan w:val="2"/>
            <w:vAlign w:val="center"/>
          </w:tcPr>
          <w:p w:rsidR="003649A2" w:rsidRPr="0088408E" w:rsidRDefault="003649A2" w:rsidP="005358B4">
            <w:pPr>
              <w:keepNext/>
              <w:widowControl/>
              <w:jc w:val="center"/>
              <w:rPr>
                <w:rFonts w:ascii="Arial Narrow" w:hAnsi="Arial Narrow"/>
                <w:sz w:val="20"/>
              </w:rPr>
            </w:pPr>
            <w:r w:rsidRPr="0088408E">
              <w:rPr>
                <w:rFonts w:ascii="Arial Narrow" w:hAnsi="Arial Narrow"/>
                <w:sz w:val="20"/>
              </w:rPr>
              <w:t>27.8</w:t>
            </w:r>
          </w:p>
        </w:tc>
        <w:tc>
          <w:tcPr>
            <w:tcW w:w="647" w:type="pct"/>
            <w:gridSpan w:val="2"/>
            <w:vAlign w:val="center"/>
          </w:tcPr>
          <w:p w:rsidR="003649A2" w:rsidRPr="0088408E" w:rsidRDefault="003649A2" w:rsidP="005358B4">
            <w:pPr>
              <w:keepNext/>
              <w:widowControl/>
              <w:jc w:val="center"/>
              <w:rPr>
                <w:rFonts w:ascii="Arial Narrow" w:hAnsi="Arial Narrow"/>
                <w:sz w:val="20"/>
              </w:rPr>
            </w:pPr>
            <w:r w:rsidRPr="0088408E">
              <w:rPr>
                <w:rFonts w:ascii="Arial Narrow" w:hAnsi="Arial Narrow"/>
                <w:sz w:val="20"/>
              </w:rPr>
              <w:t>27.1</w:t>
            </w:r>
          </w:p>
        </w:tc>
        <w:tc>
          <w:tcPr>
            <w:tcW w:w="682" w:type="pct"/>
            <w:vAlign w:val="center"/>
          </w:tcPr>
          <w:p w:rsidR="003649A2" w:rsidRPr="0088408E" w:rsidRDefault="003649A2" w:rsidP="005358B4">
            <w:pPr>
              <w:keepNext/>
              <w:widowControl/>
              <w:jc w:val="center"/>
              <w:rPr>
                <w:rFonts w:ascii="Arial Narrow" w:hAnsi="Arial Narrow"/>
                <w:sz w:val="20"/>
              </w:rPr>
            </w:pPr>
            <w:r w:rsidRPr="0088408E">
              <w:rPr>
                <w:rFonts w:ascii="Arial Narrow" w:hAnsi="Arial Narrow"/>
                <w:sz w:val="20"/>
              </w:rPr>
              <w:t>0.01</w:t>
            </w:r>
          </w:p>
          <w:p w:rsidR="003649A2" w:rsidRPr="0088408E" w:rsidRDefault="003649A2" w:rsidP="005358B4">
            <w:pPr>
              <w:keepNext/>
              <w:widowControl/>
              <w:jc w:val="center"/>
              <w:rPr>
                <w:rFonts w:ascii="Arial Narrow" w:hAnsi="Arial Narrow"/>
                <w:sz w:val="20"/>
              </w:rPr>
            </w:pPr>
            <w:r w:rsidRPr="0088408E">
              <w:rPr>
                <w:rFonts w:ascii="Arial Narrow" w:hAnsi="Arial Narrow"/>
                <w:sz w:val="20"/>
              </w:rPr>
              <w:t>(-0.07, 0.09)</w:t>
            </w:r>
          </w:p>
        </w:tc>
      </w:tr>
      <w:tr w:rsidR="003649A2" w:rsidRPr="0088408E" w:rsidTr="00660F7D">
        <w:tc>
          <w:tcPr>
            <w:tcW w:w="5000" w:type="pct"/>
            <w:gridSpan w:val="12"/>
            <w:shd w:val="clear" w:color="auto" w:fill="auto"/>
            <w:vAlign w:val="center"/>
          </w:tcPr>
          <w:p w:rsidR="003649A2" w:rsidRPr="0088408E" w:rsidRDefault="003649A2" w:rsidP="005358B4">
            <w:pPr>
              <w:keepNext/>
              <w:widowControl/>
              <w:rPr>
                <w:rFonts w:ascii="Arial Narrow" w:hAnsi="Arial Narrow"/>
                <w:b/>
                <w:sz w:val="20"/>
              </w:rPr>
            </w:pPr>
            <w:r w:rsidRPr="0088408E">
              <w:rPr>
                <w:rFonts w:ascii="Arial Narrow" w:hAnsi="Arial Narrow"/>
                <w:b/>
                <w:sz w:val="20"/>
              </w:rPr>
              <w:t>Upper respiratory tract infection</w:t>
            </w:r>
          </w:p>
        </w:tc>
      </w:tr>
      <w:tr w:rsidR="003649A2" w:rsidRPr="0088408E" w:rsidTr="00660F7D">
        <w:tc>
          <w:tcPr>
            <w:tcW w:w="605" w:type="pct"/>
            <w:gridSpan w:val="3"/>
            <w:shd w:val="clear" w:color="auto" w:fill="auto"/>
            <w:vAlign w:val="center"/>
          </w:tcPr>
          <w:p w:rsidR="003649A2" w:rsidRPr="0088408E" w:rsidRDefault="003649A2" w:rsidP="005358B4">
            <w:pPr>
              <w:keepNext/>
              <w:widowControl/>
              <w:rPr>
                <w:rFonts w:ascii="Arial Narrow" w:hAnsi="Arial Narrow"/>
                <w:sz w:val="20"/>
              </w:rPr>
            </w:pPr>
            <w:r w:rsidRPr="0088408E">
              <w:rPr>
                <w:rFonts w:ascii="Arial Narrow" w:hAnsi="Arial Narrow"/>
                <w:sz w:val="20"/>
              </w:rPr>
              <w:t>IA05-mITT</w:t>
            </w:r>
          </w:p>
        </w:tc>
        <w:tc>
          <w:tcPr>
            <w:tcW w:w="681" w:type="pct"/>
            <w:gridSpan w:val="2"/>
            <w:vAlign w:val="center"/>
          </w:tcPr>
          <w:p w:rsidR="003649A2" w:rsidRPr="0088408E" w:rsidRDefault="003649A2" w:rsidP="005358B4">
            <w:pPr>
              <w:keepNext/>
              <w:widowControl/>
              <w:jc w:val="center"/>
              <w:rPr>
                <w:rFonts w:ascii="Arial Narrow" w:hAnsi="Arial Narrow"/>
                <w:sz w:val="20"/>
              </w:rPr>
            </w:pPr>
            <w:r w:rsidRPr="0088408E">
              <w:rPr>
                <w:rFonts w:ascii="Arial Narrow" w:hAnsi="Arial Narrow"/>
                <w:sz w:val="20"/>
              </w:rPr>
              <w:t>69/421</w:t>
            </w:r>
          </w:p>
        </w:tc>
        <w:tc>
          <w:tcPr>
            <w:tcW w:w="768" w:type="pct"/>
            <w:vAlign w:val="center"/>
          </w:tcPr>
          <w:p w:rsidR="003649A2" w:rsidRPr="0088408E" w:rsidRDefault="003649A2" w:rsidP="005358B4">
            <w:pPr>
              <w:keepNext/>
              <w:widowControl/>
              <w:jc w:val="center"/>
              <w:rPr>
                <w:rFonts w:ascii="Arial Narrow" w:hAnsi="Arial Narrow"/>
                <w:sz w:val="20"/>
              </w:rPr>
            </w:pPr>
            <w:r w:rsidRPr="0088408E">
              <w:rPr>
                <w:rFonts w:ascii="Arial Narrow" w:hAnsi="Arial Narrow"/>
                <w:sz w:val="20"/>
              </w:rPr>
              <w:t>46/207</w:t>
            </w:r>
          </w:p>
        </w:tc>
        <w:tc>
          <w:tcPr>
            <w:tcW w:w="936" w:type="pct"/>
            <w:vAlign w:val="center"/>
          </w:tcPr>
          <w:p w:rsidR="003649A2" w:rsidRPr="0088408E" w:rsidRDefault="003649A2" w:rsidP="005358B4">
            <w:pPr>
              <w:keepNext/>
              <w:widowControl/>
              <w:jc w:val="center"/>
              <w:rPr>
                <w:rFonts w:ascii="Arial Narrow" w:hAnsi="Arial Narrow"/>
                <w:sz w:val="20"/>
              </w:rPr>
            </w:pPr>
            <w:r w:rsidRPr="0088408E">
              <w:rPr>
                <w:rFonts w:ascii="Arial Narrow" w:hAnsi="Arial Narrow"/>
                <w:sz w:val="20"/>
              </w:rPr>
              <w:t>0.74 (0.53, 1.03)</w:t>
            </w:r>
          </w:p>
        </w:tc>
        <w:tc>
          <w:tcPr>
            <w:tcW w:w="681" w:type="pct"/>
            <w:gridSpan w:val="2"/>
            <w:vAlign w:val="center"/>
          </w:tcPr>
          <w:p w:rsidR="003649A2" w:rsidRPr="0088408E" w:rsidRDefault="003649A2" w:rsidP="005358B4">
            <w:pPr>
              <w:keepNext/>
              <w:widowControl/>
              <w:jc w:val="center"/>
              <w:rPr>
                <w:rFonts w:ascii="Arial Narrow" w:hAnsi="Arial Narrow"/>
                <w:sz w:val="20"/>
              </w:rPr>
            </w:pPr>
            <w:r w:rsidRPr="0088408E">
              <w:rPr>
                <w:rFonts w:ascii="Arial Narrow" w:hAnsi="Arial Narrow"/>
                <w:sz w:val="20"/>
              </w:rPr>
              <w:t>16.4</w:t>
            </w:r>
          </w:p>
        </w:tc>
        <w:tc>
          <w:tcPr>
            <w:tcW w:w="647" w:type="pct"/>
            <w:gridSpan w:val="2"/>
            <w:vAlign w:val="center"/>
          </w:tcPr>
          <w:p w:rsidR="003649A2" w:rsidRPr="0088408E" w:rsidRDefault="003649A2" w:rsidP="005358B4">
            <w:pPr>
              <w:keepNext/>
              <w:widowControl/>
              <w:jc w:val="center"/>
              <w:rPr>
                <w:rFonts w:ascii="Arial Narrow" w:hAnsi="Arial Narrow"/>
                <w:sz w:val="20"/>
              </w:rPr>
            </w:pPr>
            <w:r w:rsidRPr="0088408E">
              <w:rPr>
                <w:rFonts w:ascii="Arial Narrow" w:hAnsi="Arial Narrow"/>
                <w:sz w:val="20"/>
              </w:rPr>
              <w:t>22.2</w:t>
            </w:r>
          </w:p>
        </w:tc>
        <w:tc>
          <w:tcPr>
            <w:tcW w:w="682" w:type="pct"/>
            <w:vAlign w:val="center"/>
          </w:tcPr>
          <w:p w:rsidR="003649A2" w:rsidRPr="0088408E" w:rsidRDefault="003649A2" w:rsidP="005358B4">
            <w:pPr>
              <w:keepNext/>
              <w:widowControl/>
              <w:jc w:val="center"/>
              <w:rPr>
                <w:rFonts w:ascii="Arial Narrow" w:hAnsi="Arial Narrow"/>
                <w:sz w:val="20"/>
              </w:rPr>
            </w:pPr>
            <w:r w:rsidRPr="0088408E">
              <w:rPr>
                <w:rFonts w:ascii="Arial Narrow" w:hAnsi="Arial Narrow"/>
                <w:sz w:val="20"/>
              </w:rPr>
              <w:t xml:space="preserve">-0.06 </w:t>
            </w:r>
          </w:p>
          <w:p w:rsidR="003649A2" w:rsidRPr="0088408E" w:rsidRDefault="003649A2" w:rsidP="005358B4">
            <w:pPr>
              <w:keepNext/>
              <w:widowControl/>
              <w:jc w:val="center"/>
              <w:rPr>
                <w:rFonts w:ascii="Arial Narrow" w:hAnsi="Arial Narrow"/>
                <w:sz w:val="20"/>
              </w:rPr>
            </w:pPr>
            <w:r w:rsidRPr="0088408E">
              <w:rPr>
                <w:rFonts w:ascii="Arial Narrow" w:hAnsi="Arial Narrow"/>
                <w:sz w:val="20"/>
              </w:rPr>
              <w:t>(-0.13, 0.01)</w:t>
            </w:r>
          </w:p>
        </w:tc>
      </w:tr>
      <w:tr w:rsidR="003649A2" w:rsidRPr="0088408E" w:rsidTr="00660F7D">
        <w:tc>
          <w:tcPr>
            <w:tcW w:w="5000" w:type="pct"/>
            <w:gridSpan w:val="12"/>
            <w:shd w:val="clear" w:color="auto" w:fill="auto"/>
            <w:vAlign w:val="center"/>
          </w:tcPr>
          <w:p w:rsidR="003649A2" w:rsidRPr="0088408E" w:rsidRDefault="003649A2" w:rsidP="005358B4">
            <w:pPr>
              <w:keepNext/>
              <w:widowControl/>
              <w:rPr>
                <w:rFonts w:ascii="Arial Narrow" w:hAnsi="Arial Narrow"/>
                <w:b/>
                <w:sz w:val="20"/>
              </w:rPr>
            </w:pPr>
            <w:r w:rsidRPr="0088408E">
              <w:rPr>
                <w:rFonts w:ascii="Arial Narrow" w:hAnsi="Arial Narrow"/>
                <w:b/>
                <w:sz w:val="20"/>
              </w:rPr>
              <w:t>Headache</w:t>
            </w:r>
          </w:p>
        </w:tc>
      </w:tr>
      <w:tr w:rsidR="003649A2" w:rsidRPr="0088408E" w:rsidTr="00660F7D">
        <w:tc>
          <w:tcPr>
            <w:tcW w:w="599" w:type="pct"/>
            <w:gridSpan w:val="2"/>
            <w:shd w:val="clear" w:color="auto" w:fill="auto"/>
            <w:vAlign w:val="center"/>
          </w:tcPr>
          <w:p w:rsidR="003649A2" w:rsidRPr="0088408E" w:rsidRDefault="003649A2" w:rsidP="005358B4">
            <w:pPr>
              <w:keepNext/>
              <w:widowControl/>
              <w:rPr>
                <w:rFonts w:ascii="Arial Narrow" w:hAnsi="Arial Narrow"/>
                <w:sz w:val="20"/>
              </w:rPr>
            </w:pPr>
            <w:r w:rsidRPr="0088408E">
              <w:rPr>
                <w:rFonts w:ascii="Arial Narrow" w:hAnsi="Arial Narrow"/>
                <w:sz w:val="20"/>
              </w:rPr>
              <w:t>IA05-mITT</w:t>
            </w:r>
          </w:p>
        </w:tc>
        <w:tc>
          <w:tcPr>
            <w:tcW w:w="687" w:type="pct"/>
            <w:gridSpan w:val="3"/>
            <w:vAlign w:val="center"/>
          </w:tcPr>
          <w:p w:rsidR="003649A2" w:rsidRPr="0088408E" w:rsidRDefault="003649A2" w:rsidP="005358B4">
            <w:pPr>
              <w:keepNext/>
              <w:widowControl/>
              <w:jc w:val="center"/>
              <w:rPr>
                <w:rFonts w:ascii="Arial Narrow" w:hAnsi="Arial Narrow"/>
                <w:sz w:val="20"/>
              </w:rPr>
            </w:pPr>
            <w:r w:rsidRPr="0088408E">
              <w:rPr>
                <w:rFonts w:ascii="Arial Narrow" w:hAnsi="Arial Narrow"/>
                <w:sz w:val="20"/>
              </w:rPr>
              <w:t>58/421</w:t>
            </w:r>
          </w:p>
        </w:tc>
        <w:tc>
          <w:tcPr>
            <w:tcW w:w="768" w:type="pct"/>
            <w:vAlign w:val="center"/>
          </w:tcPr>
          <w:p w:rsidR="003649A2" w:rsidRPr="0088408E" w:rsidRDefault="003649A2" w:rsidP="005358B4">
            <w:pPr>
              <w:keepNext/>
              <w:widowControl/>
              <w:jc w:val="center"/>
              <w:rPr>
                <w:rFonts w:ascii="Arial Narrow" w:hAnsi="Arial Narrow"/>
                <w:sz w:val="20"/>
              </w:rPr>
            </w:pPr>
            <w:r w:rsidRPr="0088408E">
              <w:rPr>
                <w:rFonts w:ascii="Arial Narrow" w:hAnsi="Arial Narrow"/>
                <w:sz w:val="20"/>
              </w:rPr>
              <w:t>33/207</w:t>
            </w:r>
          </w:p>
        </w:tc>
        <w:tc>
          <w:tcPr>
            <w:tcW w:w="936" w:type="pct"/>
            <w:vAlign w:val="center"/>
          </w:tcPr>
          <w:p w:rsidR="003649A2" w:rsidRPr="0088408E" w:rsidRDefault="003649A2" w:rsidP="005358B4">
            <w:pPr>
              <w:keepNext/>
              <w:widowControl/>
              <w:jc w:val="center"/>
              <w:rPr>
                <w:rFonts w:ascii="Arial Narrow" w:hAnsi="Arial Narrow"/>
                <w:sz w:val="20"/>
              </w:rPr>
            </w:pPr>
            <w:r w:rsidRPr="0088408E">
              <w:rPr>
                <w:rFonts w:ascii="Arial Narrow" w:hAnsi="Arial Narrow"/>
                <w:sz w:val="20"/>
              </w:rPr>
              <w:t>0.87 (0.04, 1.29)</w:t>
            </w:r>
          </w:p>
        </w:tc>
        <w:tc>
          <w:tcPr>
            <w:tcW w:w="681" w:type="pct"/>
            <w:gridSpan w:val="2"/>
            <w:vAlign w:val="center"/>
          </w:tcPr>
          <w:p w:rsidR="003649A2" w:rsidRPr="0088408E" w:rsidRDefault="003649A2" w:rsidP="005358B4">
            <w:pPr>
              <w:keepNext/>
              <w:widowControl/>
              <w:jc w:val="center"/>
              <w:rPr>
                <w:rFonts w:ascii="Arial Narrow" w:hAnsi="Arial Narrow"/>
                <w:sz w:val="20"/>
              </w:rPr>
            </w:pPr>
            <w:r w:rsidRPr="0088408E">
              <w:rPr>
                <w:rFonts w:ascii="Arial Narrow" w:hAnsi="Arial Narrow"/>
                <w:sz w:val="20"/>
              </w:rPr>
              <w:t>13.8</w:t>
            </w:r>
          </w:p>
        </w:tc>
        <w:tc>
          <w:tcPr>
            <w:tcW w:w="647" w:type="pct"/>
            <w:gridSpan w:val="2"/>
            <w:vAlign w:val="center"/>
          </w:tcPr>
          <w:p w:rsidR="003649A2" w:rsidRPr="0088408E" w:rsidRDefault="003649A2" w:rsidP="005358B4">
            <w:pPr>
              <w:keepNext/>
              <w:widowControl/>
              <w:jc w:val="center"/>
              <w:rPr>
                <w:rFonts w:ascii="Arial Narrow" w:hAnsi="Arial Narrow"/>
                <w:sz w:val="20"/>
              </w:rPr>
            </w:pPr>
            <w:r w:rsidRPr="0088408E">
              <w:rPr>
                <w:rFonts w:ascii="Arial Narrow" w:hAnsi="Arial Narrow"/>
                <w:sz w:val="20"/>
              </w:rPr>
              <w:t>15.9</w:t>
            </w:r>
          </w:p>
        </w:tc>
        <w:tc>
          <w:tcPr>
            <w:tcW w:w="682" w:type="pct"/>
            <w:vAlign w:val="center"/>
          </w:tcPr>
          <w:p w:rsidR="003649A2" w:rsidRPr="0088408E" w:rsidRDefault="003649A2" w:rsidP="005358B4">
            <w:pPr>
              <w:keepNext/>
              <w:widowControl/>
              <w:jc w:val="center"/>
              <w:rPr>
                <w:rFonts w:ascii="Arial Narrow" w:hAnsi="Arial Narrow"/>
                <w:sz w:val="20"/>
              </w:rPr>
            </w:pPr>
            <w:r w:rsidRPr="0088408E">
              <w:rPr>
                <w:rFonts w:ascii="Arial Narrow" w:hAnsi="Arial Narrow"/>
                <w:sz w:val="20"/>
              </w:rPr>
              <w:t>-0.02</w:t>
            </w:r>
          </w:p>
          <w:p w:rsidR="003649A2" w:rsidRPr="0088408E" w:rsidRDefault="003649A2" w:rsidP="005358B4">
            <w:pPr>
              <w:keepNext/>
              <w:widowControl/>
              <w:jc w:val="center"/>
              <w:rPr>
                <w:rFonts w:ascii="Arial Narrow" w:hAnsi="Arial Narrow"/>
                <w:sz w:val="20"/>
              </w:rPr>
            </w:pPr>
            <w:r w:rsidRPr="0088408E">
              <w:rPr>
                <w:rFonts w:ascii="Arial Narrow" w:hAnsi="Arial Narrow"/>
                <w:sz w:val="20"/>
              </w:rPr>
              <w:t>(-0.08, 0.04)</w:t>
            </w:r>
          </w:p>
        </w:tc>
      </w:tr>
    </w:tbl>
    <w:p w:rsidR="003649A2" w:rsidRPr="0088408E" w:rsidRDefault="003649A2" w:rsidP="00660F7D">
      <w:pPr>
        <w:pStyle w:val="TableFooter"/>
        <w:ind w:left="709"/>
      </w:pPr>
      <w:r w:rsidRPr="0088408E">
        <w:t xml:space="preserve">Source: </w:t>
      </w:r>
      <w:r w:rsidRPr="0088408E">
        <w:rPr>
          <w:szCs w:val="18"/>
        </w:rPr>
        <w:t xml:space="preserve">Table 25, p87; </w:t>
      </w:r>
      <w:r w:rsidRPr="0088408E">
        <w:t>Tables 41-42, pp100-101; Table 44, p102 of the submission</w:t>
      </w:r>
    </w:p>
    <w:p w:rsidR="003649A2" w:rsidRPr="0088408E" w:rsidRDefault="00581910" w:rsidP="00660F7D">
      <w:pPr>
        <w:pStyle w:val="TableFooter"/>
        <w:ind w:left="709"/>
      </w:pPr>
      <w:r w:rsidRPr="0088408E">
        <w:t>CI = confidence interval; ICS = inhaled corticosteroids; LABA = long acting beta-2 agonist; mITT = modified intention</w:t>
      </w:r>
      <w:r w:rsidRPr="0088408E">
        <w:noBreakHyphen/>
        <w:t>to</w:t>
      </w:r>
      <w:r w:rsidRPr="0088408E">
        <w:noBreakHyphen/>
        <w:t xml:space="preserve">treat; </w:t>
      </w:r>
      <w:r w:rsidR="003649A2" w:rsidRPr="0088408E">
        <w:t>OAT = optimised asthma therapy; RD = risk difference; RR = r</w:t>
      </w:r>
      <w:r w:rsidR="005358B4" w:rsidRPr="0088408E">
        <w:t>ate</w:t>
      </w:r>
      <w:r w:rsidR="003649A2" w:rsidRPr="0088408E">
        <w:t xml:space="preserve"> ratio </w:t>
      </w:r>
    </w:p>
    <w:p w:rsidR="003649A2" w:rsidRPr="0088408E" w:rsidRDefault="003649A2" w:rsidP="00660F7D">
      <w:pPr>
        <w:pStyle w:val="TableFooter"/>
        <w:ind w:left="709"/>
      </w:pPr>
      <w:r w:rsidRPr="0088408E">
        <w:t>* Median duration of follow-up: IA05-mITT = 52 weeks</w:t>
      </w:r>
    </w:p>
    <w:p w:rsidR="0095447F" w:rsidRPr="0088408E" w:rsidRDefault="0095447F" w:rsidP="00660F7D">
      <w:pPr>
        <w:pStyle w:val="TableFooter"/>
        <w:ind w:left="709"/>
      </w:pPr>
      <w:r w:rsidRPr="0088408E">
        <w:rPr>
          <w:vertAlign w:val="superscript"/>
        </w:rPr>
        <w:t>a</w:t>
      </w:r>
      <w:r w:rsidRPr="0088408E">
        <w:t xml:space="preserve"> Of the IA05-EU subgroup, omalizumab patients were assessed as responders (rated as excellent or good on the GETE), while all placebo patients were included</w:t>
      </w:r>
    </w:p>
    <w:p w:rsidR="003649A2" w:rsidRPr="0088408E" w:rsidRDefault="0095447F" w:rsidP="00660F7D">
      <w:pPr>
        <w:pStyle w:val="TableFooter"/>
        <w:ind w:left="709"/>
      </w:pPr>
      <w:r w:rsidRPr="0088408E">
        <w:rPr>
          <w:vertAlign w:val="superscript"/>
        </w:rPr>
        <w:t>b</w:t>
      </w:r>
      <w:r w:rsidRPr="0088408E">
        <w:t xml:space="preserve"> </w:t>
      </w:r>
      <w:r w:rsidR="003649A2" w:rsidRPr="0088408E">
        <w:t>Patients were included in this prespecified subgroup if they were treated with LABA and were on high-dose ICS</w:t>
      </w:r>
    </w:p>
    <w:p w:rsidR="003649A2" w:rsidRPr="0088408E" w:rsidRDefault="003649A2" w:rsidP="003649A2"/>
    <w:p w:rsidR="005837BF" w:rsidRPr="0088408E" w:rsidRDefault="005837BF" w:rsidP="005837BF">
      <w:pPr>
        <w:pStyle w:val="ListParagraph"/>
        <w:keepNext/>
        <w:keepLines/>
        <w:widowControl/>
        <w:numPr>
          <w:ilvl w:val="1"/>
          <w:numId w:val="2"/>
        </w:numPr>
        <w:rPr>
          <w:szCs w:val="22"/>
        </w:rPr>
      </w:pPr>
      <w:r w:rsidRPr="0088408E">
        <w:rPr>
          <w:szCs w:val="22"/>
        </w:rPr>
        <w:t xml:space="preserve">On the basis of direct comparison evidence presented by the submission, for every 100 patients treated with omalizumab plus optimised asthma therapy in comparison with placebo plus optimised asthma therapy, there was a reduction of approximately 71 clinically significant exacerbations over a duration of 52 weeks. </w:t>
      </w:r>
    </w:p>
    <w:p w:rsidR="003649A2" w:rsidRPr="0088408E" w:rsidRDefault="003649A2" w:rsidP="003649A2"/>
    <w:p w:rsidR="003649A2" w:rsidRPr="00DA2551" w:rsidRDefault="003649A2" w:rsidP="00F34CCB">
      <w:pPr>
        <w:pStyle w:val="Heading2"/>
      </w:pPr>
      <w:bookmarkStart w:id="23" w:name="_Toc451348698"/>
      <w:r w:rsidRPr="00DA2551">
        <w:t>Clinical claim</w:t>
      </w:r>
      <w:bookmarkEnd w:id="23"/>
    </w:p>
    <w:p w:rsidR="003649A2" w:rsidRPr="0088408E" w:rsidRDefault="003649A2" w:rsidP="003649A2">
      <w:pPr>
        <w:ind w:left="720" w:hanging="720"/>
        <w:rPr>
          <w:szCs w:val="22"/>
        </w:rPr>
      </w:pPr>
    </w:p>
    <w:p w:rsidR="008624EB" w:rsidRPr="0088408E" w:rsidRDefault="003649A2" w:rsidP="008624EB">
      <w:pPr>
        <w:pStyle w:val="ListParagraph"/>
        <w:widowControl/>
        <w:numPr>
          <w:ilvl w:val="1"/>
          <w:numId w:val="2"/>
        </w:numPr>
      </w:pPr>
      <w:r w:rsidRPr="0088408E">
        <w:t xml:space="preserve">The submission described omalizumab as superior in terms of comparative effectiveness and non-inferior in terms of comparative safety over placebo. </w:t>
      </w:r>
    </w:p>
    <w:p w:rsidR="008624EB" w:rsidRPr="0088408E" w:rsidRDefault="008624EB" w:rsidP="008624EB">
      <w:pPr>
        <w:pStyle w:val="ListParagraph"/>
        <w:widowControl/>
      </w:pPr>
    </w:p>
    <w:p w:rsidR="004A5AF6" w:rsidRPr="0088408E" w:rsidRDefault="008624EB" w:rsidP="008624EB">
      <w:pPr>
        <w:pStyle w:val="ListParagraph"/>
        <w:widowControl/>
        <w:numPr>
          <w:ilvl w:val="1"/>
          <w:numId w:val="2"/>
        </w:numPr>
      </w:pPr>
      <w:r w:rsidRPr="0088408E">
        <w:t>In terms of the effectiveness claim, it was noted that t</w:t>
      </w:r>
      <w:r w:rsidR="00BD45F1" w:rsidRPr="0088408E">
        <w:t xml:space="preserve">he clinically significant asthma exacerbation rate was the only outcome to be significantly different to placebo in the IA05-EU subgroup, as there were no differences between omalizumab and placebo for the severe exacerbation rate, hospitalisation rate, puffs of rescue medication per </w:t>
      </w:r>
      <w:r w:rsidR="00BD45F1" w:rsidRPr="0088408E">
        <w:lastRenderedPageBreak/>
        <w:t>day, Paediatric Asthma Quality of Life Questionnaire, and lung function (forced expired volume in one second, and forced vital capacity).</w:t>
      </w:r>
    </w:p>
    <w:p w:rsidR="003649A2" w:rsidRPr="0088408E" w:rsidRDefault="003649A2" w:rsidP="003C596E">
      <w:pPr>
        <w:widowControl/>
      </w:pPr>
    </w:p>
    <w:p w:rsidR="003649A2" w:rsidRPr="0088408E" w:rsidRDefault="003649A2" w:rsidP="001F69C2">
      <w:pPr>
        <w:pStyle w:val="ListParagraph"/>
        <w:widowControl/>
        <w:numPr>
          <w:ilvl w:val="1"/>
          <w:numId w:val="2"/>
        </w:numPr>
      </w:pPr>
      <w:r w:rsidRPr="0088408E">
        <w:t xml:space="preserve">The </w:t>
      </w:r>
      <w:r w:rsidR="006C15B8" w:rsidRPr="0088408E">
        <w:t xml:space="preserve">following limitations </w:t>
      </w:r>
      <w:r w:rsidR="008624EB" w:rsidRPr="0088408E">
        <w:t xml:space="preserve">were noted </w:t>
      </w:r>
      <w:r w:rsidR="006C15B8" w:rsidRPr="0088408E">
        <w:t xml:space="preserve">with the </w:t>
      </w:r>
      <w:r w:rsidRPr="0088408E">
        <w:t xml:space="preserve">claim of non-inferior safety:  </w:t>
      </w:r>
    </w:p>
    <w:p w:rsidR="003649A2" w:rsidRPr="0088408E" w:rsidRDefault="003649A2" w:rsidP="001F69C2">
      <w:pPr>
        <w:pStyle w:val="ListParagraph"/>
        <w:widowControl/>
        <w:numPr>
          <w:ilvl w:val="2"/>
          <w:numId w:val="2"/>
        </w:numPr>
        <w:ind w:left="993" w:hanging="284"/>
      </w:pPr>
      <w:r w:rsidRPr="0088408E">
        <w:t>Only limited safety data w</w:t>
      </w:r>
      <w:r w:rsidR="00EB5670" w:rsidRPr="0088408E">
        <w:t>ere</w:t>
      </w:r>
      <w:r w:rsidRPr="0088408E">
        <w:t xml:space="preserve"> available</w:t>
      </w:r>
      <w:r w:rsidR="00BD45F1" w:rsidRPr="0088408E">
        <w:t>;</w:t>
      </w:r>
      <w:r w:rsidR="00D31A3B" w:rsidRPr="0088408E">
        <w:t xml:space="preserve"> </w:t>
      </w:r>
      <w:r w:rsidRPr="0088408E">
        <w:t>and</w:t>
      </w:r>
    </w:p>
    <w:p w:rsidR="00D31A3B" w:rsidRPr="0088408E" w:rsidRDefault="00340827" w:rsidP="001F69C2">
      <w:pPr>
        <w:pStyle w:val="ListParagraph"/>
        <w:widowControl/>
        <w:numPr>
          <w:ilvl w:val="2"/>
          <w:numId w:val="2"/>
        </w:numPr>
        <w:ind w:left="993" w:hanging="284"/>
      </w:pPr>
      <w:r w:rsidRPr="0088408E">
        <w:t>F</w:t>
      </w:r>
      <w:r w:rsidR="003649A2" w:rsidRPr="0088408E">
        <w:t>or the adolescent/adult population (November 2010)</w:t>
      </w:r>
      <w:r w:rsidRPr="0088408E">
        <w:t>,</w:t>
      </w:r>
      <w:r w:rsidR="003649A2" w:rsidRPr="0088408E">
        <w:t xml:space="preserve"> </w:t>
      </w:r>
      <w:r w:rsidRPr="0088408E">
        <w:t xml:space="preserve">there was </w:t>
      </w:r>
      <w:r w:rsidR="003649A2" w:rsidRPr="0088408E">
        <w:t>a potentially higher incidence of cardiovascular and cerebrovascular events in patients using omalizumab was raised with the TGA and FDA by the sponsor.  Thus, it could not be concluded that omalizumab was as safe as placebo when added to optimised asthma therapy. Therefore, the PBAC considered that omalizumab was inferior to placebo in terms of safety (Paragraph 7.2.12, November 2010 PBAC Minutes).</w:t>
      </w:r>
      <w:r w:rsidR="00D31A3B" w:rsidRPr="0088408E">
        <w:t xml:space="preserve"> </w:t>
      </w:r>
      <w:r w:rsidR="001A3CB6" w:rsidRPr="0088408E">
        <w:t>Although</w:t>
      </w:r>
      <w:r w:rsidR="00D31A3B" w:rsidRPr="0088408E">
        <w:t xml:space="preserve"> omalizumab had been licenced for use in children in the UK and the EU, paediatric use had not been supported in Canada or the US due to concerns about effectiveness and safety. Specifically, the ESC noted that in 2011 an FDA review made the following conclusion for p</w:t>
      </w:r>
      <w:r w:rsidR="009D3415" w:rsidRPr="0088408E">
        <w:t>a</w:t>
      </w:r>
      <w:r w:rsidR="00D31A3B" w:rsidRPr="0088408E">
        <w:t xml:space="preserve">ediatric patients 6 to less than 12 </w:t>
      </w:r>
      <w:r w:rsidR="009D3415" w:rsidRPr="0088408E">
        <w:t>y</w:t>
      </w:r>
      <w:r w:rsidR="00D31A3B" w:rsidRPr="0088408E">
        <w:t>ears, based on the IO05 RCT used in this submission to PBAC:</w:t>
      </w:r>
    </w:p>
    <w:p w:rsidR="00D31A3B" w:rsidRPr="0088408E" w:rsidRDefault="00D31A3B" w:rsidP="008624EB">
      <w:pPr>
        <w:widowControl/>
        <w:ind w:left="1276" w:right="379"/>
      </w:pPr>
      <w:r w:rsidRPr="0088408E">
        <w:t>“Due to the risk of anaphylaxis and malignancy seen in adult and adolescent patients treated with Xolair and the modest efficacy of Xolair® seen in the randomized controlled trial in 6 to &lt; 12 years patients, the risk-benefit assessment does not support the use of Xolair® in this age group.”</w:t>
      </w:r>
    </w:p>
    <w:p w:rsidR="00D31A3B" w:rsidRPr="0088408E" w:rsidRDefault="00D31A3B" w:rsidP="00D31A3B">
      <w:pPr>
        <w:pStyle w:val="ListParagraph"/>
        <w:widowControl/>
        <w:ind w:left="851" w:right="135"/>
      </w:pPr>
    </w:p>
    <w:p w:rsidR="00EE478B" w:rsidRPr="0088408E" w:rsidRDefault="00D31A3B" w:rsidP="00EE478B">
      <w:pPr>
        <w:pStyle w:val="ListParagraph"/>
        <w:widowControl/>
        <w:numPr>
          <w:ilvl w:val="1"/>
          <w:numId w:val="2"/>
        </w:numPr>
        <w:ind w:left="709" w:right="135"/>
      </w:pPr>
      <w:r w:rsidRPr="0088408E">
        <w:t xml:space="preserve">The PSCR (p6) noted that in July 2015 the sponsor received written FDA feedback stating that additional safety data had become available that lowers the risk and creates a more favourable risk/benefit relationship for the paediatric population. The PSCR confirmed that resubmission applications will be in the US and Canada and that these will be based on the same study (Study IA05) as the current submission to the PBAC. </w:t>
      </w:r>
    </w:p>
    <w:p w:rsidR="00EE478B" w:rsidRPr="0088408E" w:rsidRDefault="00EE478B" w:rsidP="00DB0950">
      <w:pPr>
        <w:widowControl/>
        <w:ind w:left="709" w:right="135" w:hanging="720"/>
      </w:pPr>
    </w:p>
    <w:p w:rsidR="00D31A3B" w:rsidRPr="0088408E" w:rsidRDefault="00200B9C" w:rsidP="00EE478B">
      <w:pPr>
        <w:pStyle w:val="ListParagraph"/>
        <w:widowControl/>
        <w:numPr>
          <w:ilvl w:val="1"/>
          <w:numId w:val="2"/>
        </w:numPr>
        <w:ind w:left="709" w:right="135"/>
      </w:pPr>
      <w:r w:rsidRPr="0088408E">
        <w:t xml:space="preserve">The pre-PBAC response (p2) </w:t>
      </w:r>
      <w:r w:rsidR="006041D2" w:rsidRPr="0088408E">
        <w:t xml:space="preserve">included </w:t>
      </w:r>
      <w:r w:rsidR="00556FF2" w:rsidRPr="0088408E">
        <w:t>an</w:t>
      </w:r>
      <w:r w:rsidRPr="0088408E">
        <w:t xml:space="preserve"> article from the New England Journal of Medicine which was submitted as additional safety data to the US and Canada. The PBAC considered the ICATA</w:t>
      </w:r>
      <w:r w:rsidRPr="0088408E">
        <w:rPr>
          <w:rStyle w:val="FootnoteReference"/>
        </w:rPr>
        <w:footnoteReference w:id="1"/>
      </w:r>
      <w:r w:rsidRPr="0088408E">
        <w:t xml:space="preserve"> study as supportive evidence and noted that despite the slightly different age group  of the study population (ages 6-20 years) to the proposed population, the data demonstrated that omalizumab was more effective when compared to placebo. </w:t>
      </w:r>
    </w:p>
    <w:p w:rsidR="00D4027C" w:rsidRPr="0088408E" w:rsidRDefault="00D4027C" w:rsidP="00F34CCB">
      <w:bookmarkStart w:id="24" w:name="_Toc451348699"/>
    </w:p>
    <w:p w:rsidR="00C507E4" w:rsidRPr="0088408E" w:rsidRDefault="00C507E4" w:rsidP="00195E24">
      <w:pPr>
        <w:pStyle w:val="ListParagraph"/>
        <w:widowControl/>
        <w:numPr>
          <w:ilvl w:val="1"/>
          <w:numId w:val="2"/>
        </w:numPr>
      </w:pPr>
      <w:r w:rsidRPr="0088408E">
        <w:t xml:space="preserve">The PBAC noted that the pre-PBAC response (p2) addressed concerns in relation to arterial thromboembolic events which </w:t>
      </w:r>
      <w:proofErr w:type="gramStart"/>
      <w:r w:rsidRPr="0088408E">
        <w:t>is</w:t>
      </w:r>
      <w:proofErr w:type="gramEnd"/>
      <w:r w:rsidRPr="0088408E">
        <w:t xml:space="preserve"> included as a potential risk in the summary of ongoing safety concerns in the TGA-approved risk management plan</w:t>
      </w:r>
      <w:r w:rsidR="00ED757C" w:rsidRPr="0088408E">
        <w:t xml:space="preserve">. </w:t>
      </w:r>
    </w:p>
    <w:p w:rsidR="00195E24" w:rsidRPr="0088408E" w:rsidRDefault="00195E24" w:rsidP="003D2077"/>
    <w:p w:rsidR="00D4027C" w:rsidRPr="0088408E" w:rsidRDefault="00D4027C" w:rsidP="001F69C2">
      <w:pPr>
        <w:pStyle w:val="ListParagraph"/>
        <w:widowControl/>
        <w:numPr>
          <w:ilvl w:val="1"/>
          <w:numId w:val="2"/>
        </w:numPr>
        <w:jc w:val="left"/>
        <w:rPr>
          <w:bCs/>
        </w:rPr>
      </w:pPr>
      <w:r w:rsidRPr="0088408E">
        <w:rPr>
          <w:bCs/>
          <w:szCs w:val="22"/>
        </w:rPr>
        <w:t xml:space="preserve">The PBAC considered that the claim of superior comparative effectiveness was </w:t>
      </w:r>
      <w:r w:rsidR="00AE7EA0" w:rsidRPr="0088408E">
        <w:rPr>
          <w:bCs/>
          <w:szCs w:val="22"/>
        </w:rPr>
        <w:t>reasonable</w:t>
      </w:r>
      <w:r w:rsidR="008624EB" w:rsidRPr="0088408E">
        <w:rPr>
          <w:bCs/>
          <w:szCs w:val="22"/>
        </w:rPr>
        <w:t>.</w:t>
      </w:r>
      <w:r w:rsidR="00BE7D94" w:rsidRPr="0088408E">
        <w:rPr>
          <w:bCs/>
          <w:szCs w:val="22"/>
        </w:rPr>
        <w:t xml:space="preserve"> </w:t>
      </w:r>
    </w:p>
    <w:p w:rsidR="00D4027C" w:rsidRPr="0088408E" w:rsidRDefault="00D4027C" w:rsidP="00D4027C">
      <w:pPr>
        <w:pStyle w:val="ListParagraph"/>
        <w:rPr>
          <w:bCs/>
          <w:szCs w:val="22"/>
        </w:rPr>
      </w:pPr>
    </w:p>
    <w:p w:rsidR="00D4027C" w:rsidRPr="0088408E" w:rsidRDefault="00D4027C" w:rsidP="001F69C2">
      <w:pPr>
        <w:pStyle w:val="ListParagraph"/>
        <w:widowControl/>
        <w:numPr>
          <w:ilvl w:val="1"/>
          <w:numId w:val="2"/>
        </w:numPr>
        <w:rPr>
          <w:szCs w:val="22"/>
        </w:rPr>
      </w:pPr>
      <w:r w:rsidRPr="0088408E">
        <w:rPr>
          <w:szCs w:val="22"/>
        </w:rPr>
        <w:t xml:space="preserve">The PBAC considered that the claim of non-inferior comparative safety was </w:t>
      </w:r>
      <w:r w:rsidR="00AE7EA0" w:rsidRPr="0088408E">
        <w:rPr>
          <w:szCs w:val="22"/>
        </w:rPr>
        <w:t>reasonable</w:t>
      </w:r>
      <w:r w:rsidR="00D47D99" w:rsidRPr="0088408E">
        <w:rPr>
          <w:szCs w:val="22"/>
        </w:rPr>
        <w:t xml:space="preserve">. </w:t>
      </w:r>
    </w:p>
    <w:p w:rsidR="00D4027C" w:rsidRPr="0088408E" w:rsidRDefault="00D4027C" w:rsidP="00D4027C"/>
    <w:p w:rsidR="00660F7D" w:rsidRDefault="00660F7D">
      <w:pPr>
        <w:widowControl/>
        <w:jc w:val="left"/>
        <w:rPr>
          <w:b/>
          <w:i/>
        </w:rPr>
      </w:pPr>
      <w:r>
        <w:rPr>
          <w:i/>
        </w:rPr>
        <w:br w:type="page"/>
      </w:r>
    </w:p>
    <w:p w:rsidR="003649A2" w:rsidRPr="00DA2551" w:rsidRDefault="003649A2" w:rsidP="00F34CCB">
      <w:pPr>
        <w:pStyle w:val="Heading2"/>
      </w:pPr>
      <w:r w:rsidRPr="00DA2551">
        <w:lastRenderedPageBreak/>
        <w:t>Economic analysis</w:t>
      </w:r>
      <w:bookmarkEnd w:id="24"/>
      <w:r w:rsidRPr="00DA2551">
        <w:t xml:space="preserve"> </w:t>
      </w:r>
    </w:p>
    <w:p w:rsidR="003649A2" w:rsidRPr="0088408E" w:rsidRDefault="003649A2" w:rsidP="003649A2">
      <w:pPr>
        <w:ind w:left="720" w:hanging="720"/>
        <w:rPr>
          <w:szCs w:val="22"/>
        </w:rPr>
      </w:pPr>
    </w:p>
    <w:p w:rsidR="003649A2" w:rsidRPr="0088408E" w:rsidRDefault="003649A2" w:rsidP="001F69C2">
      <w:pPr>
        <w:pStyle w:val="ListParagraph"/>
        <w:widowControl/>
        <w:numPr>
          <w:ilvl w:val="1"/>
          <w:numId w:val="2"/>
        </w:numPr>
        <w:rPr>
          <w:szCs w:val="22"/>
        </w:rPr>
      </w:pPr>
      <w:r w:rsidRPr="0088408E">
        <w:t xml:space="preserve">The submission presented a trial-based economic evaluation, based on the direct randomised trial, </w:t>
      </w:r>
      <w:r w:rsidR="005358B4" w:rsidRPr="0088408E">
        <w:t xml:space="preserve">Study </w:t>
      </w:r>
      <w:r w:rsidRPr="0088408E">
        <w:t xml:space="preserve">IA05 and its subgroups, and </w:t>
      </w:r>
      <w:r w:rsidR="00155F9A" w:rsidRPr="0088408E">
        <w:t>perform</w:t>
      </w:r>
      <w:r w:rsidRPr="0088408E">
        <w:t xml:space="preserve">ed a responder analysis using </w:t>
      </w:r>
      <w:r w:rsidR="00155F9A" w:rsidRPr="0088408E">
        <w:t xml:space="preserve">the </w:t>
      </w:r>
      <w:r w:rsidRPr="0088408E">
        <w:t>clinically significant exacerbation rate as the outcome. The type of economic evaluation presented was a cost-effectiveness analysis in the form of cost per clinically significant exacerbation avoided.</w:t>
      </w:r>
    </w:p>
    <w:p w:rsidR="003649A2" w:rsidRPr="0088408E" w:rsidRDefault="003649A2" w:rsidP="003649A2">
      <w:pPr>
        <w:pStyle w:val="PBACHeading1"/>
        <w:numPr>
          <w:ilvl w:val="0"/>
          <w:numId w:val="0"/>
        </w:numPr>
        <w:ind w:left="720" w:hanging="720"/>
      </w:pPr>
    </w:p>
    <w:p w:rsidR="003649A2" w:rsidRPr="00624DC7" w:rsidRDefault="003649A2" w:rsidP="003649A2">
      <w:pPr>
        <w:keepNext/>
        <w:widowControl/>
        <w:ind w:firstLine="720"/>
        <w:rPr>
          <w:rStyle w:val="CommentReference"/>
        </w:rPr>
      </w:pPr>
      <w:r w:rsidRPr="0088408E">
        <w:rPr>
          <w:rStyle w:val="CommentReference"/>
        </w:rPr>
        <w:t>Table 6: 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5793"/>
      </w:tblGrid>
      <w:tr w:rsidR="003649A2" w:rsidRPr="0088408E" w:rsidTr="00433A4D">
        <w:tc>
          <w:tcPr>
            <w:tcW w:w="1529" w:type="pct"/>
            <w:shd w:val="clear" w:color="auto" w:fill="auto"/>
            <w:vAlign w:val="center"/>
          </w:tcPr>
          <w:p w:rsidR="003649A2" w:rsidRPr="0088408E" w:rsidRDefault="003649A2" w:rsidP="00433A4D">
            <w:pPr>
              <w:keepNext/>
              <w:widowControl/>
              <w:jc w:val="left"/>
              <w:rPr>
                <w:rFonts w:ascii="Arial Narrow" w:hAnsi="Arial Narrow"/>
                <w:b/>
                <w:sz w:val="20"/>
              </w:rPr>
            </w:pPr>
            <w:r w:rsidRPr="0088408E">
              <w:rPr>
                <w:rFonts w:ascii="Arial Narrow" w:hAnsi="Arial Narrow"/>
                <w:b/>
                <w:sz w:val="20"/>
              </w:rPr>
              <w:t>Component</w:t>
            </w:r>
          </w:p>
        </w:tc>
        <w:tc>
          <w:tcPr>
            <w:tcW w:w="3471" w:type="pct"/>
            <w:shd w:val="clear" w:color="auto" w:fill="auto"/>
            <w:vAlign w:val="center"/>
          </w:tcPr>
          <w:p w:rsidR="003649A2" w:rsidRPr="0088408E" w:rsidRDefault="003649A2" w:rsidP="00433A4D">
            <w:pPr>
              <w:keepNext/>
              <w:widowControl/>
              <w:jc w:val="center"/>
              <w:rPr>
                <w:rFonts w:ascii="Arial Narrow" w:hAnsi="Arial Narrow"/>
                <w:b/>
                <w:sz w:val="20"/>
              </w:rPr>
            </w:pPr>
            <w:r w:rsidRPr="0088408E">
              <w:rPr>
                <w:rFonts w:ascii="Arial Narrow" w:hAnsi="Arial Narrow"/>
                <w:b/>
                <w:sz w:val="20"/>
              </w:rPr>
              <w:t>Summary</w:t>
            </w:r>
          </w:p>
        </w:tc>
      </w:tr>
      <w:tr w:rsidR="003649A2" w:rsidRPr="0088408E" w:rsidTr="00433A4D">
        <w:tc>
          <w:tcPr>
            <w:tcW w:w="1529" w:type="pct"/>
            <w:shd w:val="clear" w:color="auto" w:fill="auto"/>
            <w:vAlign w:val="center"/>
          </w:tcPr>
          <w:p w:rsidR="003649A2" w:rsidRPr="0088408E" w:rsidRDefault="003649A2" w:rsidP="00433A4D">
            <w:pPr>
              <w:keepNext/>
              <w:widowControl/>
              <w:jc w:val="left"/>
              <w:rPr>
                <w:rFonts w:ascii="Arial Narrow" w:hAnsi="Arial Narrow"/>
                <w:sz w:val="20"/>
              </w:rPr>
            </w:pPr>
            <w:r w:rsidRPr="0088408E">
              <w:rPr>
                <w:rFonts w:ascii="Arial Narrow" w:hAnsi="Arial Narrow"/>
                <w:sz w:val="20"/>
              </w:rPr>
              <w:t>Time horizon</w:t>
            </w:r>
          </w:p>
        </w:tc>
        <w:tc>
          <w:tcPr>
            <w:tcW w:w="3471" w:type="pct"/>
            <w:shd w:val="clear" w:color="auto" w:fill="auto"/>
          </w:tcPr>
          <w:p w:rsidR="003649A2" w:rsidRPr="0088408E" w:rsidRDefault="003649A2" w:rsidP="005358B4">
            <w:pPr>
              <w:keepNext/>
              <w:widowControl/>
              <w:rPr>
                <w:rFonts w:ascii="Arial Narrow" w:hAnsi="Arial Narrow"/>
                <w:sz w:val="20"/>
              </w:rPr>
            </w:pPr>
            <w:r w:rsidRPr="0088408E">
              <w:rPr>
                <w:rFonts w:ascii="Arial Narrow" w:hAnsi="Arial Narrow"/>
                <w:sz w:val="20"/>
              </w:rPr>
              <w:t>One year in the model base case</w:t>
            </w:r>
            <w:r w:rsidR="005358B4" w:rsidRPr="0088408E">
              <w:rPr>
                <w:rFonts w:ascii="Arial Narrow" w:hAnsi="Arial Narrow"/>
                <w:sz w:val="20"/>
              </w:rPr>
              <w:t>, based on 52 weeks in the trial</w:t>
            </w:r>
          </w:p>
        </w:tc>
      </w:tr>
      <w:tr w:rsidR="003649A2" w:rsidRPr="0088408E" w:rsidTr="00433A4D">
        <w:tc>
          <w:tcPr>
            <w:tcW w:w="1529" w:type="pct"/>
            <w:shd w:val="clear" w:color="auto" w:fill="auto"/>
            <w:vAlign w:val="center"/>
          </w:tcPr>
          <w:p w:rsidR="003649A2" w:rsidRPr="0088408E" w:rsidRDefault="003649A2" w:rsidP="00433A4D">
            <w:pPr>
              <w:keepNext/>
              <w:widowControl/>
              <w:jc w:val="left"/>
              <w:rPr>
                <w:rFonts w:ascii="Arial Narrow" w:hAnsi="Arial Narrow"/>
                <w:sz w:val="20"/>
              </w:rPr>
            </w:pPr>
            <w:r w:rsidRPr="0088408E">
              <w:rPr>
                <w:rFonts w:ascii="Arial Narrow" w:hAnsi="Arial Narrow"/>
                <w:sz w:val="20"/>
              </w:rPr>
              <w:t>Outcomes</w:t>
            </w:r>
          </w:p>
        </w:tc>
        <w:tc>
          <w:tcPr>
            <w:tcW w:w="3471" w:type="pct"/>
            <w:shd w:val="clear" w:color="auto" w:fill="auto"/>
          </w:tcPr>
          <w:p w:rsidR="003649A2" w:rsidRPr="0088408E" w:rsidRDefault="003649A2" w:rsidP="00433A4D">
            <w:pPr>
              <w:keepNext/>
              <w:widowControl/>
              <w:rPr>
                <w:rFonts w:ascii="Arial Narrow" w:hAnsi="Arial Narrow"/>
                <w:sz w:val="20"/>
              </w:rPr>
            </w:pPr>
            <w:r w:rsidRPr="0088408E">
              <w:rPr>
                <w:rFonts w:ascii="Arial Narrow" w:hAnsi="Arial Narrow"/>
                <w:sz w:val="20"/>
              </w:rPr>
              <w:t xml:space="preserve">Rate of </w:t>
            </w:r>
            <w:r w:rsidR="005358B4" w:rsidRPr="0088408E">
              <w:rPr>
                <w:rFonts w:ascii="Arial Narrow" w:hAnsi="Arial Narrow"/>
                <w:sz w:val="20"/>
              </w:rPr>
              <w:t xml:space="preserve">clinically significant </w:t>
            </w:r>
            <w:r w:rsidRPr="0088408E">
              <w:rPr>
                <w:rFonts w:ascii="Arial Narrow" w:hAnsi="Arial Narrow"/>
                <w:sz w:val="20"/>
              </w:rPr>
              <w:t>exacerbations per year</w:t>
            </w:r>
          </w:p>
        </w:tc>
      </w:tr>
      <w:tr w:rsidR="003649A2" w:rsidRPr="0088408E" w:rsidTr="00433A4D">
        <w:tc>
          <w:tcPr>
            <w:tcW w:w="1529" w:type="pct"/>
            <w:shd w:val="clear" w:color="auto" w:fill="auto"/>
          </w:tcPr>
          <w:p w:rsidR="003649A2" w:rsidRPr="0088408E" w:rsidRDefault="003649A2" w:rsidP="00433A4D">
            <w:pPr>
              <w:keepNext/>
              <w:widowControl/>
              <w:jc w:val="left"/>
              <w:rPr>
                <w:rFonts w:ascii="Arial Narrow" w:hAnsi="Arial Narrow"/>
                <w:sz w:val="20"/>
              </w:rPr>
            </w:pPr>
            <w:r w:rsidRPr="0088408E">
              <w:rPr>
                <w:rFonts w:ascii="Arial Narrow" w:hAnsi="Arial Narrow"/>
                <w:sz w:val="20"/>
              </w:rPr>
              <w:t>Methods used to generate results</w:t>
            </w:r>
          </w:p>
        </w:tc>
        <w:tc>
          <w:tcPr>
            <w:tcW w:w="3471" w:type="pct"/>
            <w:shd w:val="clear" w:color="auto" w:fill="auto"/>
          </w:tcPr>
          <w:p w:rsidR="003649A2" w:rsidRPr="0088408E" w:rsidRDefault="003649A2" w:rsidP="00433A4D">
            <w:pPr>
              <w:keepNext/>
              <w:widowControl/>
              <w:rPr>
                <w:rFonts w:ascii="Arial Narrow" w:hAnsi="Arial Narrow"/>
                <w:sz w:val="20"/>
              </w:rPr>
            </w:pPr>
            <w:r w:rsidRPr="0088408E">
              <w:rPr>
                <w:rFonts w:ascii="Arial Narrow" w:hAnsi="Arial Narrow"/>
                <w:sz w:val="20"/>
              </w:rPr>
              <w:t>Cost of omalizumab – cost of placebo /</w:t>
            </w:r>
          </w:p>
          <w:p w:rsidR="003649A2" w:rsidRPr="0088408E" w:rsidRDefault="003649A2" w:rsidP="00433A4D">
            <w:pPr>
              <w:keepNext/>
              <w:widowControl/>
              <w:rPr>
                <w:rFonts w:ascii="Arial Narrow" w:hAnsi="Arial Narrow"/>
                <w:sz w:val="20"/>
              </w:rPr>
            </w:pPr>
            <w:r w:rsidRPr="0088408E">
              <w:rPr>
                <w:rFonts w:ascii="Arial Narrow" w:hAnsi="Arial Narrow"/>
                <w:sz w:val="20"/>
              </w:rPr>
              <w:t>omalizumab CSE rate – placebo CSE rate.</w:t>
            </w:r>
          </w:p>
        </w:tc>
      </w:tr>
      <w:tr w:rsidR="003649A2" w:rsidRPr="0088408E" w:rsidTr="00433A4D">
        <w:tc>
          <w:tcPr>
            <w:tcW w:w="1529" w:type="pct"/>
            <w:shd w:val="clear" w:color="auto" w:fill="auto"/>
            <w:vAlign w:val="center"/>
          </w:tcPr>
          <w:p w:rsidR="003649A2" w:rsidRPr="0088408E" w:rsidRDefault="003649A2" w:rsidP="00433A4D">
            <w:pPr>
              <w:keepNext/>
              <w:widowControl/>
              <w:jc w:val="left"/>
              <w:rPr>
                <w:rFonts w:ascii="Arial Narrow" w:hAnsi="Arial Narrow"/>
                <w:sz w:val="20"/>
              </w:rPr>
            </w:pPr>
            <w:r w:rsidRPr="0088408E">
              <w:rPr>
                <w:rFonts w:ascii="Arial Narrow" w:hAnsi="Arial Narrow"/>
                <w:sz w:val="20"/>
              </w:rPr>
              <w:t>Discount rate</w:t>
            </w:r>
          </w:p>
        </w:tc>
        <w:tc>
          <w:tcPr>
            <w:tcW w:w="3471" w:type="pct"/>
            <w:shd w:val="clear" w:color="auto" w:fill="auto"/>
          </w:tcPr>
          <w:p w:rsidR="003649A2" w:rsidRPr="0088408E" w:rsidRDefault="003649A2" w:rsidP="00433A4D">
            <w:pPr>
              <w:keepNext/>
              <w:widowControl/>
              <w:rPr>
                <w:rFonts w:ascii="Arial Narrow" w:hAnsi="Arial Narrow"/>
                <w:sz w:val="20"/>
              </w:rPr>
            </w:pPr>
            <w:r w:rsidRPr="0088408E">
              <w:rPr>
                <w:rFonts w:ascii="Arial Narrow" w:hAnsi="Arial Narrow"/>
                <w:sz w:val="20"/>
              </w:rPr>
              <w:t xml:space="preserve">No discount rate was used due to one year time horizon. </w:t>
            </w:r>
          </w:p>
        </w:tc>
      </w:tr>
      <w:tr w:rsidR="003649A2" w:rsidRPr="0088408E" w:rsidTr="00433A4D">
        <w:tc>
          <w:tcPr>
            <w:tcW w:w="1529" w:type="pct"/>
            <w:shd w:val="clear" w:color="auto" w:fill="auto"/>
            <w:vAlign w:val="center"/>
          </w:tcPr>
          <w:p w:rsidR="003649A2" w:rsidRPr="0088408E" w:rsidRDefault="003649A2" w:rsidP="00433A4D">
            <w:pPr>
              <w:keepNext/>
              <w:widowControl/>
              <w:jc w:val="left"/>
              <w:rPr>
                <w:rFonts w:ascii="Arial Narrow" w:hAnsi="Arial Narrow"/>
                <w:sz w:val="20"/>
              </w:rPr>
            </w:pPr>
            <w:r w:rsidRPr="0088408E">
              <w:rPr>
                <w:rFonts w:ascii="Arial Narrow" w:hAnsi="Arial Narrow"/>
                <w:sz w:val="20"/>
              </w:rPr>
              <w:t>Software package</w:t>
            </w:r>
          </w:p>
        </w:tc>
        <w:tc>
          <w:tcPr>
            <w:tcW w:w="3471" w:type="pct"/>
            <w:shd w:val="clear" w:color="auto" w:fill="auto"/>
          </w:tcPr>
          <w:p w:rsidR="003649A2" w:rsidRPr="0088408E" w:rsidRDefault="003649A2" w:rsidP="00433A4D">
            <w:pPr>
              <w:keepNext/>
              <w:widowControl/>
              <w:rPr>
                <w:rFonts w:ascii="Arial Narrow" w:hAnsi="Arial Narrow"/>
                <w:sz w:val="20"/>
              </w:rPr>
            </w:pPr>
            <w:r w:rsidRPr="0088408E">
              <w:rPr>
                <w:rFonts w:ascii="Arial Narrow" w:hAnsi="Arial Narrow"/>
                <w:sz w:val="20"/>
              </w:rPr>
              <w:t>Excel 2010</w:t>
            </w:r>
          </w:p>
        </w:tc>
      </w:tr>
    </w:tbl>
    <w:p w:rsidR="003649A2" w:rsidRPr="0088408E" w:rsidRDefault="003649A2" w:rsidP="003649A2">
      <w:pPr>
        <w:pStyle w:val="TableFooter"/>
        <w:keepNext/>
        <w:widowControl/>
        <w:ind w:firstLine="720"/>
      </w:pPr>
      <w:r w:rsidRPr="0088408E">
        <w:t>Source: compiled during the evaluation</w:t>
      </w:r>
    </w:p>
    <w:p w:rsidR="00155F9A" w:rsidRPr="0088408E" w:rsidRDefault="00155F9A" w:rsidP="003649A2">
      <w:pPr>
        <w:pStyle w:val="TableFooter"/>
        <w:keepNext/>
        <w:widowControl/>
        <w:ind w:firstLine="720"/>
      </w:pPr>
      <w:r w:rsidRPr="0088408E">
        <w:t>CSE = clinically significant exacerbation</w:t>
      </w:r>
    </w:p>
    <w:p w:rsidR="003649A2" w:rsidRPr="0088408E" w:rsidRDefault="003649A2" w:rsidP="003649A2">
      <w:pPr>
        <w:widowControl/>
        <w:rPr>
          <w:szCs w:val="22"/>
        </w:rPr>
      </w:pPr>
    </w:p>
    <w:p w:rsidR="00D015FF" w:rsidRPr="0088408E" w:rsidRDefault="00D015FF" w:rsidP="00F305DA">
      <w:pPr>
        <w:pStyle w:val="ListParagraph"/>
        <w:widowControl/>
        <w:numPr>
          <w:ilvl w:val="1"/>
          <w:numId w:val="2"/>
        </w:numPr>
        <w:rPr>
          <w:szCs w:val="22"/>
        </w:rPr>
      </w:pPr>
      <w:r w:rsidRPr="0088408E">
        <w:t>The key driver of the cost-effectiveness model</w:t>
      </w:r>
      <w:r w:rsidR="00F305DA" w:rsidRPr="0088408E">
        <w:t xml:space="preserve"> was the difference between omalizumab and placebo exacerbation rates</w:t>
      </w:r>
      <w:r w:rsidRPr="0088408E">
        <w:rPr>
          <w:color w:val="3366FF"/>
        </w:rPr>
        <w:t>.</w:t>
      </w:r>
    </w:p>
    <w:p w:rsidR="00D015FF" w:rsidRPr="0088408E" w:rsidRDefault="00D015FF" w:rsidP="00D31079">
      <w:pPr>
        <w:pStyle w:val="ListParagraph"/>
        <w:widowControl/>
        <w:ind w:hanging="720"/>
        <w:rPr>
          <w:szCs w:val="22"/>
        </w:rPr>
      </w:pPr>
    </w:p>
    <w:p w:rsidR="003649A2" w:rsidRPr="0088408E" w:rsidRDefault="003649A2" w:rsidP="00D31079">
      <w:pPr>
        <w:pStyle w:val="ListParagraph"/>
        <w:rPr>
          <w:rStyle w:val="CommentReference"/>
        </w:rPr>
      </w:pPr>
      <w:r w:rsidRPr="0088408E">
        <w:rPr>
          <w:rStyle w:val="CommentReference"/>
        </w:rPr>
        <w:t>Table 7: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2"/>
        <w:gridCol w:w="3543"/>
        <w:gridCol w:w="2250"/>
      </w:tblGrid>
      <w:tr w:rsidR="003649A2" w:rsidRPr="0088408E" w:rsidTr="00433A4D">
        <w:trPr>
          <w:tblHeader/>
        </w:trPr>
        <w:tc>
          <w:tcPr>
            <w:tcW w:w="1529" w:type="pct"/>
            <w:shd w:val="clear" w:color="auto" w:fill="auto"/>
            <w:vAlign w:val="center"/>
          </w:tcPr>
          <w:p w:rsidR="003649A2" w:rsidRPr="00624DC7" w:rsidRDefault="003649A2" w:rsidP="00433A4D">
            <w:pPr>
              <w:jc w:val="left"/>
              <w:rPr>
                <w:rFonts w:ascii="Arial Narrow" w:hAnsi="Arial Narrow"/>
                <w:b/>
                <w:sz w:val="20"/>
              </w:rPr>
            </w:pPr>
            <w:r w:rsidRPr="00624DC7">
              <w:rPr>
                <w:rFonts w:ascii="Arial Narrow" w:hAnsi="Arial Narrow"/>
                <w:b/>
                <w:sz w:val="20"/>
              </w:rPr>
              <w:t>Description</w:t>
            </w:r>
          </w:p>
        </w:tc>
        <w:tc>
          <w:tcPr>
            <w:tcW w:w="2123" w:type="pct"/>
            <w:shd w:val="clear" w:color="auto" w:fill="auto"/>
            <w:vAlign w:val="center"/>
          </w:tcPr>
          <w:p w:rsidR="003649A2" w:rsidRPr="00624DC7" w:rsidRDefault="003649A2" w:rsidP="00433A4D">
            <w:pPr>
              <w:jc w:val="center"/>
              <w:rPr>
                <w:rFonts w:ascii="Arial Narrow" w:hAnsi="Arial Narrow"/>
                <w:b/>
                <w:sz w:val="20"/>
              </w:rPr>
            </w:pPr>
            <w:r w:rsidRPr="00624DC7">
              <w:rPr>
                <w:rFonts w:ascii="Arial Narrow" w:hAnsi="Arial Narrow"/>
                <w:b/>
                <w:sz w:val="20"/>
              </w:rPr>
              <w:t>Method/Value</w:t>
            </w:r>
          </w:p>
        </w:tc>
        <w:tc>
          <w:tcPr>
            <w:tcW w:w="1348" w:type="pct"/>
            <w:shd w:val="clear" w:color="auto" w:fill="auto"/>
            <w:vAlign w:val="center"/>
          </w:tcPr>
          <w:p w:rsidR="003649A2" w:rsidRPr="00624DC7" w:rsidRDefault="003649A2" w:rsidP="00433A4D">
            <w:pPr>
              <w:jc w:val="center"/>
              <w:rPr>
                <w:rFonts w:ascii="Arial Narrow" w:hAnsi="Arial Narrow"/>
                <w:b/>
                <w:sz w:val="20"/>
              </w:rPr>
            </w:pPr>
            <w:r w:rsidRPr="00624DC7">
              <w:rPr>
                <w:rFonts w:ascii="Arial Narrow" w:hAnsi="Arial Narrow"/>
                <w:b/>
                <w:sz w:val="20"/>
              </w:rPr>
              <w:t>Impact</w:t>
            </w:r>
          </w:p>
        </w:tc>
      </w:tr>
      <w:tr w:rsidR="003649A2" w:rsidRPr="0088408E" w:rsidTr="00433A4D">
        <w:tc>
          <w:tcPr>
            <w:tcW w:w="1529" w:type="pct"/>
            <w:shd w:val="clear" w:color="auto" w:fill="auto"/>
          </w:tcPr>
          <w:p w:rsidR="003649A2" w:rsidRPr="00624DC7" w:rsidRDefault="003649A2" w:rsidP="00433A4D">
            <w:pPr>
              <w:jc w:val="left"/>
              <w:rPr>
                <w:rFonts w:ascii="Arial Narrow" w:hAnsi="Arial Narrow"/>
                <w:sz w:val="20"/>
              </w:rPr>
            </w:pPr>
            <w:r w:rsidRPr="00624DC7">
              <w:rPr>
                <w:rFonts w:ascii="Arial Narrow" w:hAnsi="Arial Narrow"/>
                <w:sz w:val="20"/>
              </w:rPr>
              <w:t>Exacerbation rate difference</w:t>
            </w:r>
          </w:p>
        </w:tc>
        <w:tc>
          <w:tcPr>
            <w:tcW w:w="2123" w:type="pct"/>
            <w:shd w:val="clear" w:color="auto" w:fill="auto"/>
          </w:tcPr>
          <w:p w:rsidR="003649A2" w:rsidRPr="00624DC7" w:rsidRDefault="003649A2" w:rsidP="00433A4D">
            <w:pPr>
              <w:jc w:val="left"/>
              <w:rPr>
                <w:rFonts w:ascii="Arial Narrow" w:hAnsi="Arial Narrow"/>
                <w:sz w:val="20"/>
              </w:rPr>
            </w:pPr>
            <w:r w:rsidRPr="00624DC7">
              <w:rPr>
                <w:rFonts w:ascii="Arial Narrow" w:hAnsi="Arial Narrow"/>
                <w:sz w:val="20"/>
              </w:rPr>
              <w:t>Difference between omalizumab and placebo exacerbation rates</w:t>
            </w:r>
          </w:p>
        </w:tc>
        <w:tc>
          <w:tcPr>
            <w:tcW w:w="1348" w:type="pct"/>
            <w:shd w:val="clear" w:color="auto" w:fill="auto"/>
          </w:tcPr>
          <w:p w:rsidR="003649A2" w:rsidRPr="00624DC7" w:rsidRDefault="00BE07A1" w:rsidP="00433A4D">
            <w:pPr>
              <w:jc w:val="left"/>
              <w:rPr>
                <w:rFonts w:ascii="Arial Narrow" w:hAnsi="Arial Narrow"/>
                <w:sz w:val="20"/>
              </w:rPr>
            </w:pPr>
            <w:r w:rsidRPr="00624DC7">
              <w:rPr>
                <w:rFonts w:ascii="Arial Narrow" w:hAnsi="Arial Narrow"/>
                <w:sz w:val="20"/>
              </w:rPr>
              <w:t>High (low if IA05-EU pre-specified sub-group selected) (favoured omalizumab)</w:t>
            </w:r>
          </w:p>
        </w:tc>
      </w:tr>
    </w:tbl>
    <w:p w:rsidR="003649A2" w:rsidRPr="0088408E" w:rsidRDefault="003649A2" w:rsidP="003649A2">
      <w:pPr>
        <w:pStyle w:val="TableFooter"/>
        <w:ind w:firstLine="720"/>
      </w:pPr>
      <w:r w:rsidRPr="0088408E">
        <w:t>Source: compiled during the evaluation</w:t>
      </w:r>
    </w:p>
    <w:p w:rsidR="003649A2" w:rsidRPr="0088408E" w:rsidRDefault="003649A2" w:rsidP="003649A2">
      <w:pPr>
        <w:widowControl/>
        <w:rPr>
          <w:szCs w:val="22"/>
        </w:rPr>
      </w:pPr>
    </w:p>
    <w:p w:rsidR="00A27876" w:rsidRPr="0088408E" w:rsidRDefault="00A27876" w:rsidP="006E750D">
      <w:pPr>
        <w:pStyle w:val="ListParagraph"/>
        <w:widowControl/>
        <w:numPr>
          <w:ilvl w:val="1"/>
          <w:numId w:val="2"/>
        </w:numPr>
        <w:rPr>
          <w:szCs w:val="22"/>
        </w:rPr>
      </w:pPr>
      <w:r w:rsidRPr="0088408E">
        <w:rPr>
          <w:szCs w:val="22"/>
        </w:rPr>
        <w:t>The cost per exacerbation included hospitalisation costs, which might be overestimated. The submission estimated a non-validated weighted cost across AR</w:t>
      </w:r>
      <w:r w:rsidRPr="0088408E">
        <w:rPr>
          <w:szCs w:val="22"/>
        </w:rPr>
        <w:noBreakHyphen/>
        <w:t xml:space="preserve">DRGs E41A/B (respiratory system disorders with non-invasive ventilation), </w:t>
      </w:r>
      <w:r w:rsidR="006E05CF" w:rsidRPr="0088408E">
        <w:rPr>
          <w:szCs w:val="22"/>
        </w:rPr>
        <w:t>E6</w:t>
      </w:r>
      <w:r w:rsidR="006E05CF">
        <w:rPr>
          <w:szCs w:val="22"/>
        </w:rPr>
        <w:t>2</w:t>
      </w:r>
      <w:r w:rsidR="006E05CF" w:rsidRPr="0088408E">
        <w:rPr>
          <w:szCs w:val="22"/>
        </w:rPr>
        <w:t>A</w:t>
      </w:r>
      <w:r w:rsidRPr="0088408E">
        <w:rPr>
          <w:szCs w:val="22"/>
        </w:rPr>
        <w:t>/B/C (respiratory infections/inflammations)</w:t>
      </w:r>
      <w:r w:rsidR="00C96117">
        <w:rPr>
          <w:szCs w:val="22"/>
        </w:rPr>
        <w:t>,</w:t>
      </w:r>
      <w:r w:rsidRPr="0088408E">
        <w:rPr>
          <w:szCs w:val="22"/>
        </w:rPr>
        <w:t xml:space="preserve"> E67A/B (respiratory signs and symptoms)</w:t>
      </w:r>
      <w:r w:rsidR="006E05CF">
        <w:rPr>
          <w:szCs w:val="22"/>
        </w:rPr>
        <w:t xml:space="preserve"> and E69A/B (bronchitis and asthma)</w:t>
      </w:r>
      <w:r w:rsidRPr="0088408E">
        <w:rPr>
          <w:szCs w:val="22"/>
        </w:rPr>
        <w:t>. The cost per separation for E41A/B was substantially higher than for E69A/B ($</w:t>
      </w:r>
      <w:r w:rsidR="00F34CCB">
        <w:rPr>
          <w:noProof/>
          <w:color w:val="000000"/>
          <w:szCs w:val="22"/>
          <w:highlight w:val="black"/>
        </w:rPr>
        <w:t>'''''''''''''''</w:t>
      </w:r>
      <w:r w:rsidRPr="0088408E">
        <w:rPr>
          <w:szCs w:val="22"/>
        </w:rPr>
        <w:t>-$</w:t>
      </w:r>
      <w:r w:rsidR="00F34CCB">
        <w:rPr>
          <w:noProof/>
          <w:color w:val="000000"/>
          <w:szCs w:val="22"/>
          <w:highlight w:val="black"/>
        </w:rPr>
        <w:t>''''''''''''''''</w:t>
      </w:r>
      <w:r w:rsidRPr="0088408E">
        <w:rPr>
          <w:szCs w:val="22"/>
        </w:rPr>
        <w:t xml:space="preserve"> versus $</w:t>
      </w:r>
      <w:r w:rsidR="00F34CCB">
        <w:rPr>
          <w:noProof/>
          <w:color w:val="000000"/>
          <w:szCs w:val="22"/>
          <w:highlight w:val="black"/>
        </w:rPr>
        <w:t>'''''''''''''''</w:t>
      </w:r>
      <w:r w:rsidRPr="0088408E">
        <w:rPr>
          <w:szCs w:val="22"/>
        </w:rPr>
        <w:t>-$</w:t>
      </w:r>
      <w:r w:rsidR="00F34CCB">
        <w:rPr>
          <w:noProof/>
          <w:color w:val="000000"/>
          <w:szCs w:val="22"/>
          <w:highlight w:val="black"/>
        </w:rPr>
        <w:t>'''''''''''''</w:t>
      </w:r>
      <w:r w:rsidRPr="0088408E">
        <w:rPr>
          <w:szCs w:val="22"/>
        </w:rPr>
        <w:t xml:space="preserve">, respectively). Using only AR-DRG E69A and E69B costs reduces the estimated exacerbation treatment cost from </w:t>
      </w:r>
      <w:r w:rsidR="006E750D" w:rsidRPr="0088408E">
        <w:rPr>
          <w:szCs w:val="22"/>
        </w:rPr>
        <w:t>$</w:t>
      </w:r>
      <w:r w:rsidR="00F34CCB">
        <w:rPr>
          <w:noProof/>
          <w:color w:val="000000"/>
          <w:szCs w:val="22"/>
          <w:highlight w:val="black"/>
        </w:rPr>
        <w:t>'''''''''''''''</w:t>
      </w:r>
      <w:r w:rsidR="006E750D" w:rsidRPr="0088408E">
        <w:rPr>
          <w:szCs w:val="22"/>
        </w:rPr>
        <w:t xml:space="preserve"> to $</w:t>
      </w:r>
      <w:r w:rsidR="00F34CCB">
        <w:rPr>
          <w:noProof/>
          <w:color w:val="000000"/>
          <w:szCs w:val="22"/>
          <w:highlight w:val="black"/>
        </w:rPr>
        <w:t>'''''''''''''</w:t>
      </w:r>
      <w:r w:rsidRPr="0088408E">
        <w:rPr>
          <w:szCs w:val="22"/>
        </w:rPr>
        <w:t xml:space="preserve">. </w:t>
      </w:r>
    </w:p>
    <w:p w:rsidR="00A27876" w:rsidRPr="0088408E" w:rsidRDefault="00A27876" w:rsidP="00A27876">
      <w:pPr>
        <w:pStyle w:val="ListParagraph"/>
        <w:rPr>
          <w:szCs w:val="22"/>
        </w:rPr>
      </w:pPr>
    </w:p>
    <w:p w:rsidR="00A27876" w:rsidRPr="0088408E" w:rsidRDefault="00A27876" w:rsidP="00660F7D">
      <w:pPr>
        <w:pStyle w:val="ListParagraph"/>
        <w:widowControl/>
        <w:numPr>
          <w:ilvl w:val="1"/>
          <w:numId w:val="2"/>
        </w:numPr>
        <w:rPr>
          <w:szCs w:val="22"/>
        </w:rPr>
      </w:pPr>
      <w:r w:rsidRPr="0088408E">
        <w:rPr>
          <w:szCs w:val="22"/>
        </w:rPr>
        <w:t xml:space="preserve">The PSCR (p3-4) argued that patients were likely to be admitted under E62 </w:t>
      </w:r>
      <w:r w:rsidR="009D3415" w:rsidRPr="0088408E">
        <w:rPr>
          <w:szCs w:val="22"/>
        </w:rPr>
        <w:t>respiratory</w:t>
      </w:r>
      <w:r w:rsidRPr="0088408E">
        <w:rPr>
          <w:szCs w:val="22"/>
        </w:rPr>
        <w:t xml:space="preserve"> infections/inflammation and recalculated the weighted DRG excluding the highest cost DRG E41 respiratory disorders with non-invasive ventilation. The new weighted cost per admission was $</w:t>
      </w:r>
      <w:r w:rsidR="00F34CCB">
        <w:rPr>
          <w:noProof/>
          <w:color w:val="000000"/>
          <w:szCs w:val="22"/>
          <w:highlight w:val="black"/>
        </w:rPr>
        <w:t>'''''''''''''''</w:t>
      </w:r>
      <w:r w:rsidRPr="0088408E">
        <w:rPr>
          <w:szCs w:val="22"/>
        </w:rPr>
        <w:t xml:space="preserve">, and the updated ICERs presented in the PSCR were based on the updated DRG figures. </w:t>
      </w:r>
    </w:p>
    <w:p w:rsidR="00A27876" w:rsidRPr="0088408E" w:rsidRDefault="00A27876" w:rsidP="00A27876">
      <w:pPr>
        <w:pStyle w:val="ListParagraph"/>
        <w:widowControl/>
        <w:rPr>
          <w:szCs w:val="22"/>
        </w:rPr>
      </w:pPr>
    </w:p>
    <w:p w:rsidR="00BD736F" w:rsidRPr="00F34CCB" w:rsidRDefault="003649A2" w:rsidP="003628BC">
      <w:pPr>
        <w:pStyle w:val="ListParagraph"/>
        <w:keepNext/>
        <w:widowControl/>
        <w:numPr>
          <w:ilvl w:val="1"/>
          <w:numId w:val="2"/>
        </w:numPr>
        <w:rPr>
          <w:rStyle w:val="CommentReference"/>
          <w:szCs w:val="20"/>
        </w:rPr>
      </w:pPr>
      <w:r w:rsidRPr="00F34CCB">
        <w:rPr>
          <w:szCs w:val="22"/>
        </w:rPr>
        <w:t xml:space="preserve">The results of the economic model </w:t>
      </w:r>
      <w:r w:rsidR="003628BC" w:rsidRPr="00F34CCB">
        <w:rPr>
          <w:szCs w:val="22"/>
        </w:rPr>
        <w:t xml:space="preserve">are </w:t>
      </w:r>
      <w:r w:rsidRPr="00F34CCB">
        <w:rPr>
          <w:szCs w:val="22"/>
        </w:rPr>
        <w:t>presented in the table below</w:t>
      </w:r>
      <w:r w:rsidRPr="0088408E">
        <w:t>.</w:t>
      </w:r>
      <w:r w:rsidR="0061224D" w:rsidRPr="0088408E">
        <w:t xml:space="preserve"> </w:t>
      </w:r>
      <w:r w:rsidR="003628BC" w:rsidRPr="0088408E">
        <w:t xml:space="preserve">These results </w:t>
      </w:r>
      <w:r w:rsidR="006F7346" w:rsidRPr="0088408E">
        <w:t xml:space="preserve">were updated from the original submission </w:t>
      </w:r>
      <w:r w:rsidR="003628BC" w:rsidRPr="0088408E">
        <w:t xml:space="preserve">to account for the updated effective price as well as the updated cost per exacerbation calculated by the PSCR. </w:t>
      </w:r>
    </w:p>
    <w:p w:rsidR="00CA631F" w:rsidRPr="0088408E" w:rsidRDefault="00CA631F" w:rsidP="003628BC">
      <w:pPr>
        <w:keepNext/>
        <w:ind w:left="720"/>
        <w:rPr>
          <w:rStyle w:val="CommentReference"/>
          <w:szCs w:val="20"/>
        </w:rPr>
      </w:pPr>
    </w:p>
    <w:p w:rsidR="003628BC" w:rsidRPr="0088408E" w:rsidRDefault="003628BC" w:rsidP="003628BC">
      <w:pPr>
        <w:keepNext/>
        <w:ind w:left="720"/>
        <w:rPr>
          <w:rStyle w:val="CommentReference"/>
          <w:b w:val="0"/>
          <w:szCs w:val="20"/>
        </w:rPr>
      </w:pPr>
      <w:r w:rsidRPr="0088408E">
        <w:rPr>
          <w:rStyle w:val="CommentReference"/>
          <w:szCs w:val="20"/>
        </w:rPr>
        <w:t>Table 8: Results of the economic evaluation – updated effective omalizumab price (1 June 2016) and cost per exacerbation (</w:t>
      </w:r>
      <w:r w:rsidRPr="0088408E">
        <w:rPr>
          <w:rFonts w:ascii="Arial Narrow" w:hAnsi="Arial Narrow"/>
          <w:b/>
          <w:sz w:val="20"/>
        </w:rPr>
        <w:t>$</w:t>
      </w:r>
      <w:r w:rsidR="00F34CCB">
        <w:rPr>
          <w:rFonts w:ascii="Arial Narrow" w:hAnsi="Arial Narrow"/>
          <w:b/>
          <w:noProof/>
          <w:color w:val="000000"/>
          <w:sz w:val="20"/>
          <w:highlight w:val="black"/>
        </w:rPr>
        <w:t>''''''''''</w:t>
      </w:r>
      <w:r w:rsidRPr="0088408E">
        <w:rPr>
          <w:rFonts w:ascii="Arial Narrow" w:hAnsi="Arial Narrow"/>
          <w:b/>
          <w:sz w:val="20"/>
        </w:rPr>
        <w:t>)</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2268"/>
        <w:gridCol w:w="2126"/>
        <w:gridCol w:w="1399"/>
      </w:tblGrid>
      <w:tr w:rsidR="003628BC" w:rsidRPr="0088408E" w:rsidTr="00ED6DC4">
        <w:trPr>
          <w:tblHeader/>
        </w:trPr>
        <w:tc>
          <w:tcPr>
            <w:tcW w:w="1529" w:type="pct"/>
            <w:vAlign w:val="center"/>
          </w:tcPr>
          <w:p w:rsidR="003628BC" w:rsidRPr="0088408E" w:rsidRDefault="003628BC" w:rsidP="00ED6DC4">
            <w:pPr>
              <w:keepNext/>
              <w:rPr>
                <w:rFonts w:ascii="Arial Narrow" w:hAnsi="Arial Narrow"/>
                <w:b/>
                <w:sz w:val="20"/>
              </w:rPr>
            </w:pPr>
          </w:p>
        </w:tc>
        <w:tc>
          <w:tcPr>
            <w:tcW w:w="1359" w:type="pct"/>
          </w:tcPr>
          <w:p w:rsidR="003628BC" w:rsidRPr="0088408E" w:rsidRDefault="003628BC" w:rsidP="00ED6DC4">
            <w:pPr>
              <w:keepNext/>
              <w:jc w:val="center"/>
              <w:rPr>
                <w:rFonts w:ascii="Arial Narrow" w:hAnsi="Arial Narrow"/>
                <w:b/>
                <w:sz w:val="20"/>
              </w:rPr>
            </w:pPr>
            <w:r w:rsidRPr="0088408E">
              <w:rPr>
                <w:rFonts w:ascii="Arial Narrow" w:hAnsi="Arial Narrow"/>
                <w:b/>
                <w:sz w:val="20"/>
              </w:rPr>
              <w:t>Omalizumab + OAT</w:t>
            </w:r>
          </w:p>
        </w:tc>
        <w:tc>
          <w:tcPr>
            <w:tcW w:w="1274" w:type="pct"/>
            <w:vAlign w:val="center"/>
          </w:tcPr>
          <w:p w:rsidR="003628BC" w:rsidRPr="0088408E" w:rsidRDefault="003628BC" w:rsidP="00ED6DC4">
            <w:pPr>
              <w:keepNext/>
              <w:jc w:val="center"/>
              <w:rPr>
                <w:rFonts w:ascii="Arial Narrow" w:hAnsi="Arial Narrow"/>
                <w:b/>
                <w:sz w:val="20"/>
              </w:rPr>
            </w:pPr>
            <w:r w:rsidRPr="0088408E">
              <w:rPr>
                <w:rFonts w:ascii="Arial Narrow" w:hAnsi="Arial Narrow"/>
                <w:b/>
                <w:sz w:val="20"/>
              </w:rPr>
              <w:t>Placebo + OAT</w:t>
            </w:r>
          </w:p>
        </w:tc>
        <w:tc>
          <w:tcPr>
            <w:tcW w:w="838" w:type="pct"/>
            <w:vAlign w:val="center"/>
          </w:tcPr>
          <w:p w:rsidR="003628BC" w:rsidRPr="0088408E" w:rsidRDefault="003628BC" w:rsidP="00ED6DC4">
            <w:pPr>
              <w:keepNext/>
              <w:jc w:val="center"/>
              <w:rPr>
                <w:rFonts w:ascii="Arial Narrow" w:hAnsi="Arial Narrow"/>
                <w:b/>
                <w:sz w:val="20"/>
              </w:rPr>
            </w:pPr>
            <w:r w:rsidRPr="0088408E">
              <w:rPr>
                <w:rFonts w:ascii="Arial Narrow" w:hAnsi="Arial Narrow"/>
                <w:b/>
                <w:sz w:val="20"/>
              </w:rPr>
              <w:t>Increment</w:t>
            </w:r>
          </w:p>
        </w:tc>
      </w:tr>
      <w:tr w:rsidR="003628BC" w:rsidRPr="0088408E" w:rsidTr="00ED6DC4">
        <w:tc>
          <w:tcPr>
            <w:tcW w:w="5000" w:type="pct"/>
            <w:gridSpan w:val="4"/>
            <w:vAlign w:val="center"/>
          </w:tcPr>
          <w:p w:rsidR="003628BC" w:rsidRPr="0088408E" w:rsidRDefault="003628BC" w:rsidP="00ED6DC4">
            <w:pPr>
              <w:pStyle w:val="TableHeading"/>
              <w:spacing w:before="0" w:after="0"/>
              <w:rPr>
                <w:rFonts w:cs="Arial"/>
                <w:snapToGrid w:val="0"/>
              </w:rPr>
            </w:pPr>
            <w:r w:rsidRPr="0088408E">
              <w:rPr>
                <w:rFonts w:cs="Arial"/>
              </w:rPr>
              <w:t xml:space="preserve">IA05-EU Responder </w:t>
            </w:r>
            <w:r w:rsidRPr="0088408E">
              <w:rPr>
                <w:rFonts w:cs="Arial"/>
                <w:vertAlign w:val="superscript"/>
              </w:rPr>
              <w:t xml:space="preserve">a </w:t>
            </w:r>
          </w:p>
        </w:tc>
      </w:tr>
      <w:tr w:rsidR="003628BC" w:rsidRPr="0088408E" w:rsidTr="00ED6DC4">
        <w:tc>
          <w:tcPr>
            <w:tcW w:w="1529" w:type="pct"/>
            <w:vAlign w:val="center"/>
          </w:tcPr>
          <w:p w:rsidR="003628BC" w:rsidRPr="0088408E" w:rsidRDefault="003628BC" w:rsidP="00ED6DC4">
            <w:pPr>
              <w:keepNext/>
              <w:ind w:firstLine="284"/>
              <w:rPr>
                <w:rFonts w:ascii="Arial Narrow" w:hAnsi="Arial Narrow"/>
                <w:sz w:val="20"/>
              </w:rPr>
            </w:pPr>
            <w:r w:rsidRPr="0088408E">
              <w:rPr>
                <w:rFonts w:ascii="Arial Narrow" w:hAnsi="Arial Narrow"/>
                <w:sz w:val="20"/>
              </w:rPr>
              <w:t>Costs</w:t>
            </w:r>
          </w:p>
        </w:tc>
        <w:tc>
          <w:tcPr>
            <w:tcW w:w="1359" w:type="pct"/>
            <w:vAlign w:val="bottom"/>
          </w:tcPr>
          <w:p w:rsidR="003628BC" w:rsidRPr="0088408E" w:rsidRDefault="003628BC" w:rsidP="00ED6DC4">
            <w:pPr>
              <w:jc w:val="right"/>
              <w:rPr>
                <w:rFonts w:ascii="Arial Narrow" w:hAnsi="Arial Narrow"/>
                <w:sz w:val="20"/>
              </w:rPr>
            </w:pPr>
            <w:r w:rsidRPr="0088408E">
              <w:rPr>
                <w:rFonts w:ascii="Arial Narrow" w:hAnsi="Arial Narrow"/>
                <w:sz w:val="20"/>
              </w:rPr>
              <w:t>$</w:t>
            </w:r>
            <w:r w:rsidR="00F34CCB">
              <w:rPr>
                <w:rFonts w:ascii="Arial Narrow" w:hAnsi="Arial Narrow"/>
                <w:noProof/>
                <w:color w:val="000000"/>
                <w:sz w:val="20"/>
                <w:highlight w:val="black"/>
              </w:rPr>
              <w:t>'''''''''''''''</w:t>
            </w:r>
          </w:p>
        </w:tc>
        <w:tc>
          <w:tcPr>
            <w:tcW w:w="1274" w:type="pct"/>
            <w:vAlign w:val="bottom"/>
          </w:tcPr>
          <w:p w:rsidR="003628BC" w:rsidRPr="0088408E" w:rsidRDefault="003628BC" w:rsidP="00ED6DC4">
            <w:pPr>
              <w:jc w:val="right"/>
              <w:rPr>
                <w:rFonts w:ascii="Arial Narrow" w:hAnsi="Arial Narrow"/>
                <w:sz w:val="20"/>
              </w:rPr>
            </w:pPr>
            <w:r w:rsidRPr="0088408E">
              <w:rPr>
                <w:rFonts w:ascii="Arial Narrow" w:hAnsi="Arial Narrow"/>
                <w:sz w:val="20"/>
              </w:rPr>
              <w:t>$</w:t>
            </w:r>
            <w:r w:rsidR="00F34CCB">
              <w:rPr>
                <w:rFonts w:ascii="Arial Narrow" w:hAnsi="Arial Narrow"/>
                <w:noProof/>
                <w:color w:val="000000"/>
                <w:sz w:val="20"/>
                <w:highlight w:val="black"/>
              </w:rPr>
              <w:t>''''''''''''</w:t>
            </w:r>
          </w:p>
        </w:tc>
        <w:tc>
          <w:tcPr>
            <w:tcW w:w="838" w:type="pct"/>
            <w:vAlign w:val="bottom"/>
          </w:tcPr>
          <w:p w:rsidR="003628BC" w:rsidRPr="0088408E" w:rsidRDefault="003628BC" w:rsidP="00ED6DC4">
            <w:pPr>
              <w:jc w:val="right"/>
              <w:rPr>
                <w:rFonts w:ascii="Arial Narrow" w:hAnsi="Arial Narrow"/>
                <w:sz w:val="20"/>
              </w:rPr>
            </w:pPr>
            <w:r w:rsidRPr="0088408E">
              <w:rPr>
                <w:rFonts w:ascii="Arial Narrow" w:hAnsi="Arial Narrow"/>
                <w:sz w:val="20"/>
              </w:rPr>
              <w:t>$</w:t>
            </w:r>
            <w:r w:rsidR="00F34CCB">
              <w:rPr>
                <w:rFonts w:ascii="Arial Narrow" w:hAnsi="Arial Narrow"/>
                <w:noProof/>
                <w:color w:val="000000"/>
                <w:sz w:val="20"/>
                <w:highlight w:val="black"/>
              </w:rPr>
              <w:t>''''''''''''</w:t>
            </w:r>
          </w:p>
        </w:tc>
      </w:tr>
      <w:tr w:rsidR="003628BC" w:rsidRPr="0088408E" w:rsidTr="00ED6DC4">
        <w:tc>
          <w:tcPr>
            <w:tcW w:w="1529" w:type="pct"/>
            <w:vAlign w:val="center"/>
          </w:tcPr>
          <w:p w:rsidR="003628BC" w:rsidRPr="0088408E" w:rsidRDefault="003628BC" w:rsidP="00ED6DC4">
            <w:pPr>
              <w:keepNext/>
              <w:ind w:firstLine="284"/>
              <w:rPr>
                <w:rFonts w:ascii="Arial Narrow" w:hAnsi="Arial Narrow"/>
                <w:sz w:val="20"/>
              </w:rPr>
            </w:pPr>
            <w:r w:rsidRPr="0088408E">
              <w:rPr>
                <w:rFonts w:ascii="Arial Narrow" w:hAnsi="Arial Narrow"/>
                <w:sz w:val="20"/>
              </w:rPr>
              <w:t>CSE</w:t>
            </w:r>
          </w:p>
        </w:tc>
        <w:tc>
          <w:tcPr>
            <w:tcW w:w="1359" w:type="pct"/>
            <w:vAlign w:val="center"/>
          </w:tcPr>
          <w:p w:rsidR="003628BC" w:rsidRPr="0088408E" w:rsidRDefault="003628BC" w:rsidP="00ED6DC4">
            <w:pPr>
              <w:keepNext/>
              <w:jc w:val="center"/>
              <w:rPr>
                <w:rFonts w:ascii="Arial Narrow" w:hAnsi="Arial Narrow"/>
                <w:sz w:val="20"/>
              </w:rPr>
            </w:pPr>
            <w:r w:rsidRPr="0088408E">
              <w:rPr>
                <w:rFonts w:ascii="Arial Narrow" w:hAnsi="Arial Narrow"/>
                <w:sz w:val="20"/>
              </w:rPr>
              <w:t>0.52</w:t>
            </w:r>
          </w:p>
        </w:tc>
        <w:tc>
          <w:tcPr>
            <w:tcW w:w="1274" w:type="pct"/>
            <w:vAlign w:val="center"/>
          </w:tcPr>
          <w:p w:rsidR="003628BC" w:rsidRPr="0088408E" w:rsidRDefault="003628BC" w:rsidP="00ED6DC4">
            <w:pPr>
              <w:keepNext/>
              <w:jc w:val="center"/>
              <w:rPr>
                <w:rFonts w:ascii="Arial Narrow" w:hAnsi="Arial Narrow"/>
                <w:sz w:val="20"/>
              </w:rPr>
            </w:pPr>
            <w:r w:rsidRPr="0088408E">
              <w:rPr>
                <w:rFonts w:ascii="Arial Narrow" w:hAnsi="Arial Narrow"/>
                <w:sz w:val="20"/>
              </w:rPr>
              <w:t>1.62</w:t>
            </w:r>
          </w:p>
        </w:tc>
        <w:tc>
          <w:tcPr>
            <w:tcW w:w="838" w:type="pct"/>
          </w:tcPr>
          <w:p w:rsidR="003628BC" w:rsidRPr="0088408E" w:rsidRDefault="003628BC" w:rsidP="00ED6DC4">
            <w:pPr>
              <w:keepNext/>
              <w:jc w:val="center"/>
              <w:rPr>
                <w:rFonts w:ascii="Arial Narrow" w:hAnsi="Arial Narrow"/>
                <w:sz w:val="20"/>
              </w:rPr>
            </w:pPr>
            <w:r w:rsidRPr="0088408E">
              <w:rPr>
                <w:rFonts w:ascii="Arial Narrow" w:hAnsi="Arial Narrow"/>
                <w:sz w:val="20"/>
              </w:rPr>
              <w:t>-1.10</w:t>
            </w:r>
          </w:p>
        </w:tc>
      </w:tr>
      <w:tr w:rsidR="003628BC" w:rsidRPr="0088408E" w:rsidTr="00ED6DC4">
        <w:tc>
          <w:tcPr>
            <w:tcW w:w="4162" w:type="pct"/>
            <w:gridSpan w:val="3"/>
            <w:vAlign w:val="center"/>
          </w:tcPr>
          <w:p w:rsidR="003628BC" w:rsidRPr="0088408E" w:rsidRDefault="003628BC" w:rsidP="00ED6DC4">
            <w:pPr>
              <w:keepNext/>
              <w:ind w:firstLine="284"/>
              <w:rPr>
                <w:rFonts w:ascii="Arial Narrow" w:hAnsi="Arial Narrow"/>
                <w:sz w:val="20"/>
              </w:rPr>
            </w:pPr>
            <w:r w:rsidRPr="0088408E">
              <w:rPr>
                <w:rFonts w:ascii="Arial Narrow" w:hAnsi="Arial Narrow"/>
                <w:sz w:val="20"/>
              </w:rPr>
              <w:t>Incremental cost/extra CSE avoided</w:t>
            </w:r>
          </w:p>
        </w:tc>
        <w:tc>
          <w:tcPr>
            <w:tcW w:w="838" w:type="pct"/>
          </w:tcPr>
          <w:p w:rsidR="003628BC" w:rsidRPr="0088408E" w:rsidRDefault="003628BC" w:rsidP="00ED6DC4">
            <w:pPr>
              <w:keepNext/>
              <w:jc w:val="right"/>
              <w:rPr>
                <w:rFonts w:ascii="Arial Narrow" w:hAnsi="Arial Narrow"/>
                <w:b/>
                <w:sz w:val="20"/>
              </w:rPr>
            </w:pPr>
            <w:r w:rsidRPr="0088408E">
              <w:rPr>
                <w:rFonts w:ascii="Arial Narrow" w:hAnsi="Arial Narrow"/>
                <w:b/>
                <w:sz w:val="20"/>
              </w:rPr>
              <w:t>$</w:t>
            </w:r>
            <w:r w:rsidR="00F34CCB">
              <w:rPr>
                <w:rFonts w:ascii="Arial Narrow" w:hAnsi="Arial Narrow"/>
                <w:b/>
                <w:noProof/>
                <w:color w:val="000000"/>
                <w:sz w:val="20"/>
                <w:highlight w:val="black"/>
              </w:rPr>
              <w:t>''''''''''''</w:t>
            </w:r>
          </w:p>
        </w:tc>
      </w:tr>
      <w:tr w:rsidR="003628BC" w:rsidRPr="0088408E" w:rsidTr="00ED6DC4">
        <w:tc>
          <w:tcPr>
            <w:tcW w:w="5000" w:type="pct"/>
            <w:gridSpan w:val="4"/>
            <w:vAlign w:val="center"/>
          </w:tcPr>
          <w:p w:rsidR="003628BC" w:rsidRPr="0088408E" w:rsidRDefault="003628BC" w:rsidP="00ED6DC4">
            <w:pPr>
              <w:pStyle w:val="TableHeading"/>
              <w:spacing w:before="0" w:after="0"/>
              <w:rPr>
                <w:rFonts w:cs="Arial"/>
                <w:snapToGrid w:val="0"/>
              </w:rPr>
            </w:pPr>
            <w:r w:rsidRPr="0088408E">
              <w:rPr>
                <w:rFonts w:cs="Arial"/>
                <w:bCs w:val="0"/>
              </w:rPr>
              <w:t xml:space="preserve">IA05-EU </w:t>
            </w:r>
            <w:r w:rsidRPr="0088408E">
              <w:rPr>
                <w:rFonts w:cs="Arial"/>
                <w:bCs w:val="0"/>
                <w:vertAlign w:val="superscript"/>
              </w:rPr>
              <w:t>b</w:t>
            </w:r>
          </w:p>
        </w:tc>
      </w:tr>
      <w:tr w:rsidR="003628BC" w:rsidRPr="0088408E" w:rsidTr="00ED6DC4">
        <w:tc>
          <w:tcPr>
            <w:tcW w:w="1529" w:type="pct"/>
            <w:vAlign w:val="center"/>
          </w:tcPr>
          <w:p w:rsidR="003628BC" w:rsidRPr="0088408E" w:rsidRDefault="003628BC" w:rsidP="00ED6DC4">
            <w:pPr>
              <w:keepNext/>
              <w:ind w:firstLine="284"/>
              <w:rPr>
                <w:rFonts w:ascii="Arial Narrow" w:hAnsi="Arial Narrow"/>
                <w:sz w:val="20"/>
              </w:rPr>
            </w:pPr>
            <w:r w:rsidRPr="0088408E">
              <w:rPr>
                <w:rFonts w:ascii="Arial Narrow" w:hAnsi="Arial Narrow"/>
                <w:sz w:val="20"/>
              </w:rPr>
              <w:t>Costs</w:t>
            </w:r>
          </w:p>
        </w:tc>
        <w:tc>
          <w:tcPr>
            <w:tcW w:w="1359" w:type="pct"/>
            <w:vAlign w:val="bottom"/>
          </w:tcPr>
          <w:p w:rsidR="003628BC" w:rsidRPr="0088408E" w:rsidRDefault="003628BC" w:rsidP="00ED6DC4">
            <w:pPr>
              <w:jc w:val="right"/>
              <w:rPr>
                <w:rFonts w:ascii="Arial Narrow" w:hAnsi="Arial Narrow"/>
                <w:sz w:val="20"/>
              </w:rPr>
            </w:pPr>
            <w:r w:rsidRPr="0088408E">
              <w:rPr>
                <w:rFonts w:ascii="Arial Narrow" w:hAnsi="Arial Narrow"/>
                <w:sz w:val="20"/>
              </w:rPr>
              <w:t>$</w:t>
            </w:r>
            <w:r w:rsidR="00F34CCB">
              <w:rPr>
                <w:rFonts w:ascii="Arial Narrow" w:hAnsi="Arial Narrow"/>
                <w:noProof/>
                <w:color w:val="000000"/>
                <w:sz w:val="20"/>
                <w:highlight w:val="black"/>
              </w:rPr>
              <w:t>''''''''''''''''</w:t>
            </w:r>
          </w:p>
        </w:tc>
        <w:tc>
          <w:tcPr>
            <w:tcW w:w="1274" w:type="pct"/>
            <w:vAlign w:val="bottom"/>
          </w:tcPr>
          <w:p w:rsidR="003628BC" w:rsidRPr="0088408E" w:rsidRDefault="003628BC" w:rsidP="00ED6DC4">
            <w:pPr>
              <w:jc w:val="right"/>
              <w:rPr>
                <w:rFonts w:ascii="Arial Narrow" w:hAnsi="Arial Narrow"/>
                <w:sz w:val="20"/>
              </w:rPr>
            </w:pPr>
            <w:r w:rsidRPr="0088408E">
              <w:rPr>
                <w:rFonts w:ascii="Arial Narrow" w:hAnsi="Arial Narrow"/>
                <w:sz w:val="20"/>
              </w:rPr>
              <w:t>$</w:t>
            </w:r>
            <w:r w:rsidR="00F34CCB">
              <w:rPr>
                <w:rFonts w:ascii="Arial Narrow" w:hAnsi="Arial Narrow"/>
                <w:noProof/>
                <w:color w:val="000000"/>
                <w:sz w:val="20"/>
                <w:highlight w:val="black"/>
              </w:rPr>
              <w:t>''''''''''''''</w:t>
            </w:r>
          </w:p>
        </w:tc>
        <w:tc>
          <w:tcPr>
            <w:tcW w:w="838" w:type="pct"/>
            <w:vAlign w:val="bottom"/>
          </w:tcPr>
          <w:p w:rsidR="003628BC" w:rsidRPr="0088408E" w:rsidRDefault="003628BC" w:rsidP="00ED6DC4">
            <w:pPr>
              <w:jc w:val="right"/>
              <w:rPr>
                <w:rFonts w:ascii="Arial Narrow" w:hAnsi="Arial Narrow"/>
                <w:sz w:val="20"/>
              </w:rPr>
            </w:pPr>
            <w:r w:rsidRPr="0088408E">
              <w:rPr>
                <w:rFonts w:ascii="Arial Narrow" w:hAnsi="Arial Narrow"/>
                <w:sz w:val="20"/>
              </w:rPr>
              <w:t>$</w:t>
            </w:r>
            <w:r w:rsidR="00F34CCB">
              <w:rPr>
                <w:rFonts w:ascii="Arial Narrow" w:hAnsi="Arial Narrow"/>
                <w:noProof/>
                <w:color w:val="000000"/>
                <w:sz w:val="20"/>
                <w:highlight w:val="black"/>
              </w:rPr>
              <w:t>''''''''''''''</w:t>
            </w:r>
          </w:p>
        </w:tc>
      </w:tr>
      <w:tr w:rsidR="003628BC" w:rsidRPr="0088408E" w:rsidTr="00ED6DC4">
        <w:tc>
          <w:tcPr>
            <w:tcW w:w="1529" w:type="pct"/>
            <w:vAlign w:val="center"/>
          </w:tcPr>
          <w:p w:rsidR="003628BC" w:rsidRPr="0088408E" w:rsidRDefault="003628BC" w:rsidP="00ED6DC4">
            <w:pPr>
              <w:keepNext/>
              <w:ind w:firstLine="284"/>
              <w:rPr>
                <w:rFonts w:ascii="Arial Narrow" w:hAnsi="Arial Narrow"/>
                <w:sz w:val="20"/>
              </w:rPr>
            </w:pPr>
            <w:r w:rsidRPr="0088408E">
              <w:rPr>
                <w:rFonts w:ascii="Arial Narrow" w:hAnsi="Arial Narrow"/>
                <w:sz w:val="20"/>
              </w:rPr>
              <w:t>CSE</w:t>
            </w:r>
          </w:p>
        </w:tc>
        <w:tc>
          <w:tcPr>
            <w:tcW w:w="1359" w:type="pct"/>
          </w:tcPr>
          <w:p w:rsidR="003628BC" w:rsidRPr="0088408E" w:rsidRDefault="003628BC" w:rsidP="00ED6DC4">
            <w:pPr>
              <w:keepNext/>
              <w:jc w:val="center"/>
              <w:rPr>
                <w:rFonts w:ascii="Arial Narrow" w:hAnsi="Arial Narrow"/>
                <w:sz w:val="20"/>
              </w:rPr>
            </w:pPr>
            <w:r w:rsidRPr="0088408E">
              <w:rPr>
                <w:rFonts w:ascii="Arial Narrow" w:hAnsi="Arial Narrow"/>
                <w:sz w:val="20"/>
              </w:rPr>
              <w:t>0.73</w:t>
            </w:r>
          </w:p>
        </w:tc>
        <w:tc>
          <w:tcPr>
            <w:tcW w:w="1274" w:type="pct"/>
          </w:tcPr>
          <w:p w:rsidR="003628BC" w:rsidRPr="0088408E" w:rsidRDefault="003628BC" w:rsidP="00ED6DC4">
            <w:pPr>
              <w:keepNext/>
              <w:jc w:val="center"/>
              <w:rPr>
                <w:rFonts w:ascii="Arial Narrow" w:hAnsi="Arial Narrow"/>
                <w:sz w:val="20"/>
              </w:rPr>
            </w:pPr>
            <w:r w:rsidRPr="0088408E">
              <w:rPr>
                <w:rFonts w:ascii="Arial Narrow" w:hAnsi="Arial Narrow"/>
                <w:sz w:val="20"/>
              </w:rPr>
              <w:t>1.44</w:t>
            </w:r>
          </w:p>
        </w:tc>
        <w:tc>
          <w:tcPr>
            <w:tcW w:w="838" w:type="pct"/>
          </w:tcPr>
          <w:p w:rsidR="003628BC" w:rsidRPr="0088408E" w:rsidRDefault="003628BC" w:rsidP="00ED6DC4">
            <w:pPr>
              <w:keepNext/>
              <w:jc w:val="center"/>
              <w:rPr>
                <w:rFonts w:ascii="Arial Narrow" w:hAnsi="Arial Narrow"/>
                <w:sz w:val="20"/>
              </w:rPr>
            </w:pPr>
            <w:r w:rsidRPr="0088408E">
              <w:rPr>
                <w:rFonts w:ascii="Arial Narrow" w:hAnsi="Arial Narrow"/>
                <w:sz w:val="20"/>
              </w:rPr>
              <w:t>-0.71</w:t>
            </w:r>
          </w:p>
        </w:tc>
      </w:tr>
      <w:tr w:rsidR="003628BC" w:rsidRPr="0088408E" w:rsidTr="00ED6DC4">
        <w:tc>
          <w:tcPr>
            <w:tcW w:w="4162" w:type="pct"/>
            <w:gridSpan w:val="3"/>
            <w:vAlign w:val="center"/>
          </w:tcPr>
          <w:p w:rsidR="003628BC" w:rsidRPr="0088408E" w:rsidRDefault="003628BC" w:rsidP="00ED6DC4">
            <w:pPr>
              <w:keepNext/>
              <w:ind w:firstLine="284"/>
              <w:rPr>
                <w:rFonts w:ascii="Arial Narrow" w:hAnsi="Arial Narrow"/>
                <w:sz w:val="20"/>
              </w:rPr>
            </w:pPr>
            <w:r w:rsidRPr="0088408E">
              <w:rPr>
                <w:rFonts w:ascii="Arial Narrow" w:hAnsi="Arial Narrow"/>
                <w:sz w:val="20"/>
              </w:rPr>
              <w:t>Incremental cost/extra CSE avoided</w:t>
            </w:r>
          </w:p>
        </w:tc>
        <w:tc>
          <w:tcPr>
            <w:tcW w:w="838" w:type="pct"/>
          </w:tcPr>
          <w:p w:rsidR="003628BC" w:rsidRPr="0088408E" w:rsidRDefault="003628BC" w:rsidP="00ED6DC4">
            <w:pPr>
              <w:keepNext/>
              <w:jc w:val="right"/>
              <w:rPr>
                <w:rFonts w:ascii="Arial Narrow" w:hAnsi="Arial Narrow"/>
                <w:b/>
                <w:sz w:val="20"/>
              </w:rPr>
            </w:pPr>
            <w:r w:rsidRPr="0088408E">
              <w:rPr>
                <w:rFonts w:ascii="Arial Narrow" w:hAnsi="Arial Narrow"/>
                <w:b/>
                <w:sz w:val="20"/>
              </w:rPr>
              <w:t>$</w:t>
            </w:r>
            <w:r w:rsidR="00F34CCB">
              <w:rPr>
                <w:rFonts w:ascii="Arial Narrow" w:hAnsi="Arial Narrow"/>
                <w:b/>
                <w:noProof/>
                <w:color w:val="000000"/>
                <w:sz w:val="20"/>
                <w:highlight w:val="black"/>
              </w:rPr>
              <w:t>''''''''''''</w:t>
            </w:r>
          </w:p>
        </w:tc>
      </w:tr>
      <w:tr w:rsidR="003628BC" w:rsidRPr="0088408E" w:rsidTr="00ED6DC4">
        <w:tc>
          <w:tcPr>
            <w:tcW w:w="5000" w:type="pct"/>
            <w:gridSpan w:val="4"/>
            <w:vAlign w:val="center"/>
          </w:tcPr>
          <w:p w:rsidR="003628BC" w:rsidRPr="0088408E" w:rsidRDefault="003628BC" w:rsidP="00ED6DC4">
            <w:pPr>
              <w:pStyle w:val="TableHeading"/>
              <w:spacing w:before="0" w:after="0"/>
              <w:rPr>
                <w:rFonts w:cs="Arial"/>
                <w:snapToGrid w:val="0"/>
              </w:rPr>
            </w:pPr>
            <w:r w:rsidRPr="0088408E">
              <w:rPr>
                <w:rFonts w:cs="Arial"/>
                <w:bCs w:val="0"/>
              </w:rPr>
              <w:t>IA05-mITT</w:t>
            </w:r>
          </w:p>
        </w:tc>
      </w:tr>
      <w:tr w:rsidR="003628BC" w:rsidRPr="0088408E" w:rsidTr="00ED6DC4">
        <w:tc>
          <w:tcPr>
            <w:tcW w:w="1529" w:type="pct"/>
            <w:vAlign w:val="center"/>
          </w:tcPr>
          <w:p w:rsidR="003628BC" w:rsidRPr="0088408E" w:rsidRDefault="003628BC" w:rsidP="00ED6DC4">
            <w:pPr>
              <w:keepNext/>
              <w:ind w:firstLine="284"/>
              <w:rPr>
                <w:rFonts w:ascii="Arial Narrow" w:hAnsi="Arial Narrow"/>
                <w:sz w:val="20"/>
              </w:rPr>
            </w:pPr>
            <w:r w:rsidRPr="0088408E">
              <w:rPr>
                <w:rFonts w:ascii="Arial Narrow" w:hAnsi="Arial Narrow"/>
                <w:sz w:val="20"/>
              </w:rPr>
              <w:t>Costs</w:t>
            </w:r>
          </w:p>
        </w:tc>
        <w:tc>
          <w:tcPr>
            <w:tcW w:w="1359" w:type="pct"/>
            <w:vAlign w:val="bottom"/>
          </w:tcPr>
          <w:p w:rsidR="003628BC" w:rsidRPr="0088408E" w:rsidRDefault="003628BC" w:rsidP="00ED6DC4">
            <w:pPr>
              <w:jc w:val="right"/>
              <w:rPr>
                <w:rFonts w:ascii="Arial Narrow" w:hAnsi="Arial Narrow"/>
                <w:sz w:val="20"/>
              </w:rPr>
            </w:pPr>
            <w:r w:rsidRPr="0088408E">
              <w:rPr>
                <w:rFonts w:ascii="Arial Narrow" w:hAnsi="Arial Narrow"/>
                <w:sz w:val="20"/>
              </w:rPr>
              <w:t>$</w:t>
            </w:r>
            <w:r w:rsidR="00F34CCB">
              <w:rPr>
                <w:rFonts w:ascii="Arial Narrow" w:hAnsi="Arial Narrow"/>
                <w:noProof/>
                <w:color w:val="000000"/>
                <w:sz w:val="20"/>
                <w:highlight w:val="black"/>
              </w:rPr>
              <w:t>'''''''''''''''''</w:t>
            </w:r>
          </w:p>
        </w:tc>
        <w:tc>
          <w:tcPr>
            <w:tcW w:w="1274" w:type="pct"/>
            <w:vAlign w:val="bottom"/>
          </w:tcPr>
          <w:p w:rsidR="003628BC" w:rsidRPr="0088408E" w:rsidRDefault="003628BC" w:rsidP="00ED6DC4">
            <w:pPr>
              <w:jc w:val="right"/>
              <w:rPr>
                <w:rFonts w:ascii="Arial Narrow" w:hAnsi="Arial Narrow"/>
                <w:sz w:val="20"/>
              </w:rPr>
            </w:pPr>
            <w:r w:rsidRPr="0088408E">
              <w:rPr>
                <w:rFonts w:ascii="Arial Narrow" w:hAnsi="Arial Narrow"/>
                <w:sz w:val="20"/>
              </w:rPr>
              <w:t>$</w:t>
            </w:r>
            <w:r w:rsidR="00F34CCB">
              <w:rPr>
                <w:rFonts w:ascii="Arial Narrow" w:hAnsi="Arial Narrow"/>
                <w:noProof/>
                <w:color w:val="000000"/>
                <w:sz w:val="20"/>
                <w:highlight w:val="black"/>
              </w:rPr>
              <w:t>''''''''''''''</w:t>
            </w:r>
          </w:p>
        </w:tc>
        <w:tc>
          <w:tcPr>
            <w:tcW w:w="838" w:type="pct"/>
            <w:vAlign w:val="bottom"/>
          </w:tcPr>
          <w:p w:rsidR="003628BC" w:rsidRPr="0088408E" w:rsidRDefault="003628BC" w:rsidP="00ED6DC4">
            <w:pPr>
              <w:jc w:val="right"/>
              <w:rPr>
                <w:rFonts w:ascii="Arial Narrow" w:hAnsi="Arial Narrow"/>
                <w:sz w:val="20"/>
              </w:rPr>
            </w:pPr>
            <w:r w:rsidRPr="0088408E">
              <w:rPr>
                <w:rFonts w:ascii="Arial Narrow" w:hAnsi="Arial Narrow"/>
                <w:sz w:val="20"/>
              </w:rPr>
              <w:t>$</w:t>
            </w:r>
            <w:r w:rsidR="00F34CCB">
              <w:rPr>
                <w:rFonts w:ascii="Arial Narrow" w:hAnsi="Arial Narrow"/>
                <w:noProof/>
                <w:color w:val="000000"/>
                <w:sz w:val="20"/>
                <w:highlight w:val="black"/>
              </w:rPr>
              <w:t>''''''''''''''''</w:t>
            </w:r>
          </w:p>
        </w:tc>
      </w:tr>
      <w:tr w:rsidR="003628BC" w:rsidRPr="0088408E" w:rsidTr="00ED6DC4">
        <w:tc>
          <w:tcPr>
            <w:tcW w:w="1529" w:type="pct"/>
            <w:vAlign w:val="center"/>
          </w:tcPr>
          <w:p w:rsidR="003628BC" w:rsidRPr="0088408E" w:rsidRDefault="003628BC" w:rsidP="00ED6DC4">
            <w:pPr>
              <w:keepNext/>
              <w:ind w:firstLine="284"/>
              <w:rPr>
                <w:rFonts w:ascii="Arial Narrow" w:hAnsi="Arial Narrow"/>
                <w:sz w:val="20"/>
              </w:rPr>
            </w:pPr>
            <w:r w:rsidRPr="0088408E">
              <w:rPr>
                <w:rFonts w:ascii="Arial Narrow" w:hAnsi="Arial Narrow"/>
                <w:sz w:val="20"/>
              </w:rPr>
              <w:t>CSE</w:t>
            </w:r>
          </w:p>
        </w:tc>
        <w:tc>
          <w:tcPr>
            <w:tcW w:w="1359" w:type="pct"/>
          </w:tcPr>
          <w:p w:rsidR="003628BC" w:rsidRPr="0088408E" w:rsidRDefault="003628BC" w:rsidP="00ED6DC4">
            <w:pPr>
              <w:keepNext/>
              <w:jc w:val="center"/>
              <w:rPr>
                <w:rFonts w:ascii="Arial Narrow" w:hAnsi="Arial Narrow"/>
                <w:sz w:val="20"/>
              </w:rPr>
            </w:pPr>
            <w:r w:rsidRPr="0088408E">
              <w:rPr>
                <w:rFonts w:ascii="Arial Narrow" w:hAnsi="Arial Narrow"/>
                <w:sz w:val="20"/>
              </w:rPr>
              <w:t>0.78</w:t>
            </w:r>
          </w:p>
        </w:tc>
        <w:tc>
          <w:tcPr>
            <w:tcW w:w="1274" w:type="pct"/>
          </w:tcPr>
          <w:p w:rsidR="003628BC" w:rsidRPr="0088408E" w:rsidRDefault="003628BC" w:rsidP="00ED6DC4">
            <w:pPr>
              <w:keepNext/>
              <w:jc w:val="center"/>
              <w:rPr>
                <w:rFonts w:ascii="Arial Narrow" w:hAnsi="Arial Narrow"/>
                <w:sz w:val="20"/>
              </w:rPr>
            </w:pPr>
            <w:r w:rsidRPr="0088408E">
              <w:rPr>
                <w:rFonts w:ascii="Arial Narrow" w:hAnsi="Arial Narrow"/>
                <w:sz w:val="20"/>
              </w:rPr>
              <w:t>1.36</w:t>
            </w:r>
          </w:p>
        </w:tc>
        <w:tc>
          <w:tcPr>
            <w:tcW w:w="838" w:type="pct"/>
          </w:tcPr>
          <w:p w:rsidR="003628BC" w:rsidRPr="0088408E" w:rsidRDefault="003628BC" w:rsidP="00ED6DC4">
            <w:pPr>
              <w:keepNext/>
              <w:jc w:val="center"/>
              <w:rPr>
                <w:rFonts w:ascii="Arial Narrow" w:hAnsi="Arial Narrow"/>
                <w:sz w:val="20"/>
              </w:rPr>
            </w:pPr>
            <w:r w:rsidRPr="0088408E">
              <w:rPr>
                <w:rFonts w:ascii="Arial Narrow" w:hAnsi="Arial Narrow"/>
                <w:sz w:val="20"/>
              </w:rPr>
              <w:t>-0.58</w:t>
            </w:r>
          </w:p>
        </w:tc>
      </w:tr>
      <w:tr w:rsidR="003628BC" w:rsidRPr="0088408E" w:rsidTr="00ED6DC4">
        <w:tc>
          <w:tcPr>
            <w:tcW w:w="4162" w:type="pct"/>
            <w:gridSpan w:val="3"/>
            <w:vAlign w:val="center"/>
          </w:tcPr>
          <w:p w:rsidR="003628BC" w:rsidRPr="0088408E" w:rsidRDefault="003628BC" w:rsidP="00ED6DC4">
            <w:pPr>
              <w:keepNext/>
              <w:ind w:firstLine="284"/>
              <w:rPr>
                <w:rFonts w:ascii="Arial Narrow" w:hAnsi="Arial Narrow"/>
                <w:sz w:val="20"/>
              </w:rPr>
            </w:pPr>
            <w:r w:rsidRPr="0088408E">
              <w:rPr>
                <w:rFonts w:ascii="Arial Narrow" w:hAnsi="Arial Narrow"/>
                <w:sz w:val="20"/>
              </w:rPr>
              <w:t>Incremental cost/extra CSE avoided</w:t>
            </w:r>
          </w:p>
        </w:tc>
        <w:tc>
          <w:tcPr>
            <w:tcW w:w="838" w:type="pct"/>
          </w:tcPr>
          <w:p w:rsidR="003628BC" w:rsidRPr="0088408E" w:rsidRDefault="003628BC" w:rsidP="00ED6DC4">
            <w:pPr>
              <w:keepNext/>
              <w:jc w:val="right"/>
              <w:rPr>
                <w:rFonts w:ascii="Arial Narrow" w:hAnsi="Arial Narrow"/>
                <w:b/>
                <w:sz w:val="20"/>
              </w:rPr>
            </w:pPr>
            <w:r w:rsidRPr="0088408E">
              <w:rPr>
                <w:rFonts w:ascii="Arial Narrow" w:hAnsi="Arial Narrow"/>
                <w:b/>
                <w:sz w:val="20"/>
              </w:rPr>
              <w:t>$</w:t>
            </w:r>
            <w:r w:rsidR="00F34CCB">
              <w:rPr>
                <w:rFonts w:ascii="Arial Narrow" w:hAnsi="Arial Narrow"/>
                <w:b/>
                <w:noProof/>
                <w:color w:val="000000"/>
                <w:sz w:val="20"/>
                <w:highlight w:val="black"/>
              </w:rPr>
              <w:t>'''''''''''''</w:t>
            </w:r>
          </w:p>
        </w:tc>
      </w:tr>
      <w:tr w:rsidR="003628BC" w:rsidRPr="0088408E" w:rsidTr="00ED6DC4">
        <w:tc>
          <w:tcPr>
            <w:tcW w:w="5000" w:type="pct"/>
            <w:gridSpan w:val="4"/>
            <w:vAlign w:val="center"/>
          </w:tcPr>
          <w:p w:rsidR="003628BC" w:rsidRPr="0088408E" w:rsidRDefault="003628BC" w:rsidP="00DB2EEC">
            <w:pPr>
              <w:pStyle w:val="TableHeading"/>
              <w:spacing w:before="0" w:after="0"/>
              <w:rPr>
                <w:rFonts w:cs="Arial"/>
                <w:snapToGrid w:val="0"/>
              </w:rPr>
            </w:pPr>
            <w:r w:rsidRPr="0088408E">
              <w:rPr>
                <w:rFonts w:cs="Arial"/>
                <w:bCs w:val="0"/>
              </w:rPr>
              <w:t>IA05-EU continuation rule – Proposed new base case</w:t>
            </w:r>
            <w:r w:rsidR="00FF0084">
              <w:rPr>
                <w:rFonts w:cs="Arial"/>
                <w:bCs w:val="0"/>
              </w:rPr>
              <w:t xml:space="preserve"> in PSCR</w:t>
            </w:r>
          </w:p>
        </w:tc>
      </w:tr>
      <w:tr w:rsidR="003628BC" w:rsidRPr="0088408E" w:rsidTr="00ED6DC4">
        <w:tc>
          <w:tcPr>
            <w:tcW w:w="1529" w:type="pct"/>
            <w:vAlign w:val="center"/>
          </w:tcPr>
          <w:p w:rsidR="003628BC" w:rsidRPr="0088408E" w:rsidRDefault="003628BC" w:rsidP="00ED6DC4">
            <w:pPr>
              <w:keepNext/>
              <w:ind w:firstLine="284"/>
              <w:rPr>
                <w:rFonts w:ascii="Arial Narrow" w:hAnsi="Arial Narrow"/>
                <w:sz w:val="20"/>
              </w:rPr>
            </w:pPr>
            <w:r w:rsidRPr="0088408E">
              <w:rPr>
                <w:rFonts w:ascii="Arial Narrow" w:hAnsi="Arial Narrow"/>
                <w:sz w:val="20"/>
              </w:rPr>
              <w:t>Costs</w:t>
            </w:r>
          </w:p>
        </w:tc>
        <w:tc>
          <w:tcPr>
            <w:tcW w:w="1359" w:type="pct"/>
            <w:vAlign w:val="bottom"/>
          </w:tcPr>
          <w:p w:rsidR="003628BC" w:rsidRPr="0088408E" w:rsidRDefault="003628BC" w:rsidP="00ED6DC4">
            <w:pPr>
              <w:jc w:val="right"/>
              <w:rPr>
                <w:rFonts w:ascii="Arial Narrow" w:hAnsi="Arial Narrow"/>
                <w:sz w:val="20"/>
              </w:rPr>
            </w:pPr>
            <w:r w:rsidRPr="0088408E">
              <w:rPr>
                <w:rFonts w:ascii="Arial Narrow" w:hAnsi="Arial Narrow"/>
                <w:sz w:val="20"/>
              </w:rPr>
              <w:t>$</w:t>
            </w:r>
            <w:r w:rsidR="00F34CCB">
              <w:rPr>
                <w:rFonts w:ascii="Arial Narrow" w:hAnsi="Arial Narrow"/>
                <w:noProof/>
                <w:color w:val="000000"/>
                <w:sz w:val="20"/>
                <w:highlight w:val="black"/>
              </w:rPr>
              <w:t>'''''''''''''''</w:t>
            </w:r>
          </w:p>
        </w:tc>
        <w:tc>
          <w:tcPr>
            <w:tcW w:w="1274" w:type="pct"/>
            <w:vAlign w:val="bottom"/>
          </w:tcPr>
          <w:p w:rsidR="003628BC" w:rsidRPr="0088408E" w:rsidRDefault="003628BC" w:rsidP="00ED6DC4">
            <w:pPr>
              <w:jc w:val="right"/>
              <w:rPr>
                <w:rFonts w:ascii="Arial Narrow" w:hAnsi="Arial Narrow"/>
                <w:sz w:val="20"/>
              </w:rPr>
            </w:pPr>
            <w:r w:rsidRPr="0088408E">
              <w:rPr>
                <w:rFonts w:ascii="Arial Narrow" w:hAnsi="Arial Narrow"/>
                <w:sz w:val="20"/>
              </w:rPr>
              <w:t>$</w:t>
            </w:r>
            <w:r w:rsidR="00F34CCB">
              <w:rPr>
                <w:rFonts w:ascii="Arial Narrow" w:hAnsi="Arial Narrow"/>
                <w:noProof/>
                <w:color w:val="000000"/>
                <w:sz w:val="20"/>
                <w:highlight w:val="black"/>
              </w:rPr>
              <w:t>'''''''''''''</w:t>
            </w:r>
          </w:p>
        </w:tc>
        <w:tc>
          <w:tcPr>
            <w:tcW w:w="838" w:type="pct"/>
            <w:vAlign w:val="bottom"/>
          </w:tcPr>
          <w:p w:rsidR="003628BC" w:rsidRPr="0088408E" w:rsidRDefault="003628BC" w:rsidP="00ED6DC4">
            <w:pPr>
              <w:jc w:val="right"/>
              <w:rPr>
                <w:rFonts w:ascii="Arial Narrow" w:hAnsi="Arial Narrow"/>
                <w:sz w:val="20"/>
              </w:rPr>
            </w:pPr>
            <w:r w:rsidRPr="0088408E">
              <w:rPr>
                <w:rFonts w:ascii="Arial Narrow" w:hAnsi="Arial Narrow"/>
                <w:sz w:val="20"/>
              </w:rPr>
              <w:t>$</w:t>
            </w:r>
            <w:r w:rsidR="00F34CCB">
              <w:rPr>
                <w:rFonts w:ascii="Arial Narrow" w:hAnsi="Arial Narrow"/>
                <w:noProof/>
                <w:color w:val="000000"/>
                <w:sz w:val="20"/>
                <w:highlight w:val="black"/>
              </w:rPr>
              <w:t>'''''''''''''</w:t>
            </w:r>
          </w:p>
        </w:tc>
      </w:tr>
      <w:tr w:rsidR="003628BC" w:rsidRPr="0088408E" w:rsidTr="00ED6DC4">
        <w:tc>
          <w:tcPr>
            <w:tcW w:w="1529" w:type="pct"/>
            <w:vAlign w:val="center"/>
          </w:tcPr>
          <w:p w:rsidR="003628BC" w:rsidRPr="0088408E" w:rsidRDefault="003628BC" w:rsidP="00ED6DC4">
            <w:pPr>
              <w:keepNext/>
              <w:ind w:firstLine="284"/>
              <w:rPr>
                <w:rFonts w:ascii="Arial Narrow" w:hAnsi="Arial Narrow"/>
                <w:sz w:val="20"/>
              </w:rPr>
            </w:pPr>
            <w:r w:rsidRPr="0088408E">
              <w:rPr>
                <w:rFonts w:ascii="Arial Narrow" w:hAnsi="Arial Narrow"/>
                <w:sz w:val="20"/>
              </w:rPr>
              <w:t>CSE</w:t>
            </w:r>
          </w:p>
        </w:tc>
        <w:tc>
          <w:tcPr>
            <w:tcW w:w="1359" w:type="pct"/>
          </w:tcPr>
          <w:p w:rsidR="003628BC" w:rsidRPr="0088408E" w:rsidRDefault="003628BC" w:rsidP="00ED6DC4">
            <w:pPr>
              <w:keepNext/>
              <w:jc w:val="center"/>
              <w:rPr>
                <w:rFonts w:ascii="Arial Narrow" w:hAnsi="Arial Narrow"/>
                <w:sz w:val="20"/>
              </w:rPr>
            </w:pPr>
            <w:r w:rsidRPr="0088408E">
              <w:rPr>
                <w:rFonts w:ascii="Arial Narrow" w:hAnsi="Arial Narrow"/>
                <w:sz w:val="20"/>
              </w:rPr>
              <w:t>0.64</w:t>
            </w:r>
          </w:p>
        </w:tc>
        <w:tc>
          <w:tcPr>
            <w:tcW w:w="1274" w:type="pct"/>
          </w:tcPr>
          <w:p w:rsidR="003628BC" w:rsidRPr="0088408E" w:rsidRDefault="003628BC" w:rsidP="00ED6DC4">
            <w:pPr>
              <w:keepNext/>
              <w:jc w:val="center"/>
              <w:rPr>
                <w:rFonts w:ascii="Arial Narrow" w:hAnsi="Arial Narrow"/>
                <w:sz w:val="20"/>
              </w:rPr>
            </w:pPr>
            <w:r w:rsidRPr="0088408E">
              <w:rPr>
                <w:rFonts w:ascii="Arial Narrow" w:hAnsi="Arial Narrow"/>
                <w:sz w:val="20"/>
              </w:rPr>
              <w:t>1.44</w:t>
            </w:r>
          </w:p>
        </w:tc>
        <w:tc>
          <w:tcPr>
            <w:tcW w:w="838" w:type="pct"/>
          </w:tcPr>
          <w:p w:rsidR="003628BC" w:rsidRPr="0088408E" w:rsidRDefault="003628BC" w:rsidP="00ED6DC4">
            <w:pPr>
              <w:keepNext/>
              <w:jc w:val="center"/>
              <w:rPr>
                <w:rFonts w:ascii="Arial Narrow" w:hAnsi="Arial Narrow"/>
                <w:sz w:val="20"/>
              </w:rPr>
            </w:pPr>
            <w:r w:rsidRPr="0088408E">
              <w:rPr>
                <w:rFonts w:ascii="Arial Narrow" w:hAnsi="Arial Narrow"/>
                <w:sz w:val="20"/>
              </w:rPr>
              <w:t>-0.80</w:t>
            </w:r>
          </w:p>
        </w:tc>
      </w:tr>
      <w:tr w:rsidR="003628BC" w:rsidRPr="0088408E" w:rsidTr="00ED6DC4">
        <w:tc>
          <w:tcPr>
            <w:tcW w:w="4162" w:type="pct"/>
            <w:gridSpan w:val="3"/>
            <w:vAlign w:val="center"/>
          </w:tcPr>
          <w:p w:rsidR="003628BC" w:rsidRPr="0088408E" w:rsidRDefault="003628BC" w:rsidP="00ED6DC4">
            <w:pPr>
              <w:keepNext/>
              <w:ind w:firstLine="284"/>
              <w:rPr>
                <w:rFonts w:ascii="Arial Narrow" w:hAnsi="Arial Narrow"/>
                <w:sz w:val="20"/>
              </w:rPr>
            </w:pPr>
            <w:r w:rsidRPr="0088408E">
              <w:rPr>
                <w:rFonts w:ascii="Arial Narrow" w:hAnsi="Arial Narrow"/>
                <w:sz w:val="20"/>
              </w:rPr>
              <w:t>Incremental cost/extra CSE avoided</w:t>
            </w:r>
          </w:p>
        </w:tc>
        <w:tc>
          <w:tcPr>
            <w:tcW w:w="838" w:type="pct"/>
          </w:tcPr>
          <w:p w:rsidR="003628BC" w:rsidRPr="0088408E" w:rsidRDefault="003628BC" w:rsidP="00ED6DC4">
            <w:pPr>
              <w:jc w:val="right"/>
              <w:rPr>
                <w:rFonts w:ascii="Arial Narrow" w:hAnsi="Arial Narrow"/>
                <w:b/>
                <w:bCs/>
                <w:sz w:val="20"/>
              </w:rPr>
            </w:pPr>
            <w:r w:rsidRPr="0088408E">
              <w:rPr>
                <w:rFonts w:ascii="Arial Narrow" w:hAnsi="Arial Narrow"/>
                <w:b/>
                <w:bCs/>
                <w:sz w:val="20"/>
              </w:rPr>
              <w:t>$</w:t>
            </w:r>
            <w:r w:rsidR="00F34CCB">
              <w:rPr>
                <w:rFonts w:ascii="Arial Narrow" w:hAnsi="Arial Narrow"/>
                <w:b/>
                <w:bCs/>
                <w:noProof/>
                <w:color w:val="000000"/>
                <w:sz w:val="20"/>
                <w:highlight w:val="black"/>
              </w:rPr>
              <w:t>''''''''''''</w:t>
            </w:r>
          </w:p>
        </w:tc>
      </w:tr>
      <w:tr w:rsidR="003628BC" w:rsidRPr="0088408E" w:rsidTr="00ED6DC4">
        <w:tc>
          <w:tcPr>
            <w:tcW w:w="5000" w:type="pct"/>
            <w:gridSpan w:val="4"/>
            <w:vAlign w:val="center"/>
          </w:tcPr>
          <w:p w:rsidR="003628BC" w:rsidRPr="0088408E" w:rsidRDefault="003628BC" w:rsidP="00ED6DC4">
            <w:pPr>
              <w:pStyle w:val="TableHeading"/>
              <w:spacing w:before="0" w:after="0"/>
              <w:rPr>
                <w:rFonts w:cs="Arial"/>
                <w:snapToGrid w:val="0"/>
              </w:rPr>
            </w:pPr>
            <w:r w:rsidRPr="0088408E">
              <w:rPr>
                <w:rFonts w:cs="Arial"/>
                <w:bCs w:val="0"/>
              </w:rPr>
              <w:t xml:space="preserve">IA05-EU continuation rule </w:t>
            </w:r>
            <w:r w:rsidRPr="0088408E">
              <w:rPr>
                <w:rFonts w:cs="Arial"/>
                <w:bCs w:val="0"/>
                <w:vertAlign w:val="superscript"/>
              </w:rPr>
              <w:t>c</w:t>
            </w:r>
            <w:r w:rsidRPr="0088408E">
              <w:rPr>
                <w:rFonts w:cs="Arial"/>
                <w:bCs w:val="0"/>
              </w:rPr>
              <w:t xml:space="preserve"> – Proposed new base case – using methodology of commentary</w:t>
            </w:r>
          </w:p>
        </w:tc>
      </w:tr>
      <w:tr w:rsidR="003628BC" w:rsidRPr="0088408E" w:rsidTr="00ED6DC4">
        <w:tc>
          <w:tcPr>
            <w:tcW w:w="1529" w:type="pct"/>
            <w:vAlign w:val="center"/>
          </w:tcPr>
          <w:p w:rsidR="003628BC" w:rsidRPr="0088408E" w:rsidRDefault="003628BC" w:rsidP="00ED6DC4">
            <w:pPr>
              <w:keepNext/>
              <w:ind w:firstLine="284"/>
              <w:rPr>
                <w:rFonts w:ascii="Arial Narrow" w:hAnsi="Arial Narrow"/>
                <w:sz w:val="20"/>
              </w:rPr>
            </w:pPr>
            <w:r w:rsidRPr="0088408E">
              <w:rPr>
                <w:rFonts w:ascii="Arial Narrow" w:hAnsi="Arial Narrow"/>
                <w:sz w:val="20"/>
              </w:rPr>
              <w:t>Costs</w:t>
            </w:r>
          </w:p>
        </w:tc>
        <w:tc>
          <w:tcPr>
            <w:tcW w:w="1359" w:type="pct"/>
            <w:vAlign w:val="bottom"/>
          </w:tcPr>
          <w:p w:rsidR="003628BC" w:rsidRPr="0088408E" w:rsidRDefault="003628BC" w:rsidP="00ED6DC4">
            <w:pPr>
              <w:jc w:val="right"/>
              <w:rPr>
                <w:rFonts w:ascii="Arial Narrow" w:hAnsi="Arial Narrow"/>
                <w:sz w:val="20"/>
              </w:rPr>
            </w:pPr>
            <w:r w:rsidRPr="0088408E">
              <w:rPr>
                <w:rFonts w:ascii="Arial Narrow" w:hAnsi="Arial Narrow"/>
                <w:sz w:val="20"/>
              </w:rPr>
              <w:t>$</w:t>
            </w:r>
            <w:r w:rsidR="00F34CCB">
              <w:rPr>
                <w:rFonts w:ascii="Arial Narrow" w:hAnsi="Arial Narrow"/>
                <w:noProof/>
                <w:color w:val="000000"/>
                <w:sz w:val="20"/>
                <w:highlight w:val="black"/>
              </w:rPr>
              <w:t>'''''''''''''''''</w:t>
            </w:r>
          </w:p>
        </w:tc>
        <w:tc>
          <w:tcPr>
            <w:tcW w:w="1274" w:type="pct"/>
            <w:vAlign w:val="bottom"/>
          </w:tcPr>
          <w:p w:rsidR="003628BC" w:rsidRPr="0088408E" w:rsidRDefault="003628BC" w:rsidP="00ED6DC4">
            <w:pPr>
              <w:jc w:val="right"/>
              <w:rPr>
                <w:rFonts w:ascii="Arial Narrow" w:hAnsi="Arial Narrow"/>
                <w:sz w:val="20"/>
              </w:rPr>
            </w:pPr>
            <w:r w:rsidRPr="0088408E">
              <w:rPr>
                <w:rFonts w:ascii="Arial Narrow" w:hAnsi="Arial Narrow"/>
                <w:sz w:val="20"/>
              </w:rPr>
              <w:t>$</w:t>
            </w:r>
            <w:r w:rsidR="00F34CCB">
              <w:rPr>
                <w:rFonts w:ascii="Arial Narrow" w:hAnsi="Arial Narrow"/>
                <w:noProof/>
                <w:color w:val="000000"/>
                <w:sz w:val="20"/>
                <w:highlight w:val="black"/>
              </w:rPr>
              <w:t>'''''''''''''</w:t>
            </w:r>
          </w:p>
        </w:tc>
        <w:tc>
          <w:tcPr>
            <w:tcW w:w="838" w:type="pct"/>
          </w:tcPr>
          <w:p w:rsidR="003628BC" w:rsidRPr="0088408E" w:rsidRDefault="003628BC" w:rsidP="00ED6DC4">
            <w:pPr>
              <w:jc w:val="right"/>
              <w:rPr>
                <w:rFonts w:ascii="Arial Narrow" w:hAnsi="Arial Narrow"/>
                <w:bCs/>
                <w:sz w:val="20"/>
              </w:rPr>
            </w:pPr>
            <w:r w:rsidRPr="0088408E">
              <w:rPr>
                <w:rFonts w:ascii="Arial Narrow" w:hAnsi="Arial Narrow"/>
                <w:bCs/>
                <w:sz w:val="20"/>
              </w:rPr>
              <w:t>$</w:t>
            </w:r>
            <w:r w:rsidR="00F34CCB">
              <w:rPr>
                <w:rFonts w:ascii="Arial Narrow" w:hAnsi="Arial Narrow"/>
                <w:bCs/>
                <w:noProof/>
                <w:color w:val="000000"/>
                <w:sz w:val="20"/>
                <w:highlight w:val="black"/>
              </w:rPr>
              <w:t>'''''''''''''</w:t>
            </w:r>
          </w:p>
        </w:tc>
      </w:tr>
      <w:tr w:rsidR="003628BC" w:rsidRPr="0088408E" w:rsidTr="00ED6DC4">
        <w:tc>
          <w:tcPr>
            <w:tcW w:w="1529" w:type="pct"/>
            <w:vAlign w:val="center"/>
          </w:tcPr>
          <w:p w:rsidR="003628BC" w:rsidRPr="0088408E" w:rsidRDefault="003628BC" w:rsidP="00ED6DC4">
            <w:pPr>
              <w:keepNext/>
              <w:ind w:firstLine="284"/>
              <w:rPr>
                <w:rFonts w:ascii="Arial Narrow" w:hAnsi="Arial Narrow"/>
                <w:sz w:val="20"/>
              </w:rPr>
            </w:pPr>
            <w:r w:rsidRPr="0088408E">
              <w:rPr>
                <w:rFonts w:ascii="Arial Narrow" w:hAnsi="Arial Narrow"/>
                <w:sz w:val="20"/>
              </w:rPr>
              <w:t>CSE</w:t>
            </w:r>
          </w:p>
        </w:tc>
        <w:tc>
          <w:tcPr>
            <w:tcW w:w="1359" w:type="pct"/>
          </w:tcPr>
          <w:p w:rsidR="003628BC" w:rsidRPr="0088408E" w:rsidRDefault="003628BC" w:rsidP="00ED6DC4">
            <w:pPr>
              <w:keepNext/>
              <w:jc w:val="center"/>
              <w:rPr>
                <w:rFonts w:ascii="Arial Narrow" w:hAnsi="Arial Narrow"/>
                <w:sz w:val="20"/>
              </w:rPr>
            </w:pPr>
            <w:r w:rsidRPr="0088408E">
              <w:rPr>
                <w:rFonts w:ascii="Arial Narrow" w:hAnsi="Arial Narrow"/>
                <w:sz w:val="20"/>
              </w:rPr>
              <w:t>0.</w:t>
            </w:r>
            <w:r w:rsidR="00E440EC">
              <w:rPr>
                <w:rFonts w:ascii="Arial Narrow" w:hAnsi="Arial Narrow"/>
                <w:sz w:val="20"/>
              </w:rPr>
              <w:t>77</w:t>
            </w:r>
          </w:p>
        </w:tc>
        <w:tc>
          <w:tcPr>
            <w:tcW w:w="1274" w:type="pct"/>
          </w:tcPr>
          <w:p w:rsidR="003628BC" w:rsidRPr="0088408E" w:rsidRDefault="003628BC" w:rsidP="00ED6DC4">
            <w:pPr>
              <w:keepNext/>
              <w:jc w:val="center"/>
              <w:rPr>
                <w:rFonts w:ascii="Arial Narrow" w:hAnsi="Arial Narrow"/>
                <w:sz w:val="20"/>
              </w:rPr>
            </w:pPr>
            <w:r w:rsidRPr="0088408E">
              <w:rPr>
                <w:rFonts w:ascii="Arial Narrow" w:hAnsi="Arial Narrow"/>
                <w:sz w:val="20"/>
              </w:rPr>
              <w:t>1.44</w:t>
            </w:r>
          </w:p>
        </w:tc>
        <w:tc>
          <w:tcPr>
            <w:tcW w:w="838" w:type="pct"/>
          </w:tcPr>
          <w:p w:rsidR="003628BC" w:rsidRPr="0088408E" w:rsidRDefault="003628BC" w:rsidP="00ED6DC4">
            <w:pPr>
              <w:keepNext/>
              <w:jc w:val="center"/>
              <w:rPr>
                <w:rFonts w:ascii="Arial Narrow" w:hAnsi="Arial Narrow"/>
                <w:sz w:val="20"/>
              </w:rPr>
            </w:pPr>
            <w:r w:rsidRPr="0088408E">
              <w:rPr>
                <w:rFonts w:ascii="Arial Narrow" w:hAnsi="Arial Narrow"/>
                <w:sz w:val="20"/>
              </w:rPr>
              <w:t>-0.67</w:t>
            </w:r>
          </w:p>
        </w:tc>
      </w:tr>
      <w:tr w:rsidR="003628BC" w:rsidRPr="0088408E" w:rsidTr="00ED6DC4">
        <w:tc>
          <w:tcPr>
            <w:tcW w:w="4162" w:type="pct"/>
            <w:gridSpan w:val="3"/>
            <w:vAlign w:val="center"/>
          </w:tcPr>
          <w:p w:rsidR="003628BC" w:rsidRPr="0088408E" w:rsidRDefault="003628BC" w:rsidP="00ED6DC4">
            <w:pPr>
              <w:keepNext/>
              <w:ind w:firstLine="284"/>
              <w:rPr>
                <w:rFonts w:ascii="Arial Narrow" w:hAnsi="Arial Narrow"/>
                <w:sz w:val="20"/>
              </w:rPr>
            </w:pPr>
            <w:r w:rsidRPr="0088408E">
              <w:rPr>
                <w:rFonts w:ascii="Arial Narrow" w:hAnsi="Arial Narrow"/>
                <w:sz w:val="20"/>
              </w:rPr>
              <w:t>Incremental cost/extra CSE avoided</w:t>
            </w:r>
          </w:p>
        </w:tc>
        <w:tc>
          <w:tcPr>
            <w:tcW w:w="838" w:type="pct"/>
          </w:tcPr>
          <w:p w:rsidR="003628BC" w:rsidRPr="0088408E" w:rsidRDefault="003628BC" w:rsidP="00ED6DC4">
            <w:pPr>
              <w:jc w:val="right"/>
              <w:rPr>
                <w:rFonts w:ascii="Arial Narrow" w:hAnsi="Arial Narrow"/>
                <w:b/>
                <w:bCs/>
                <w:sz w:val="20"/>
              </w:rPr>
            </w:pPr>
            <w:r w:rsidRPr="0088408E">
              <w:rPr>
                <w:rFonts w:ascii="Arial Narrow" w:hAnsi="Arial Narrow"/>
                <w:b/>
                <w:bCs/>
                <w:sz w:val="20"/>
              </w:rPr>
              <w:t>$</w:t>
            </w:r>
            <w:r w:rsidR="00F34CCB">
              <w:rPr>
                <w:rFonts w:ascii="Arial Narrow" w:hAnsi="Arial Narrow"/>
                <w:b/>
                <w:bCs/>
                <w:noProof/>
                <w:color w:val="000000"/>
                <w:sz w:val="20"/>
                <w:highlight w:val="black"/>
              </w:rPr>
              <w:t>''''''''''''''</w:t>
            </w:r>
          </w:p>
        </w:tc>
      </w:tr>
    </w:tbl>
    <w:p w:rsidR="003628BC" w:rsidRPr="0088408E" w:rsidRDefault="003628BC" w:rsidP="003628BC">
      <w:pPr>
        <w:pStyle w:val="TableFooter"/>
        <w:keepNext/>
        <w:widowControl/>
        <w:ind w:firstLine="720"/>
        <w:rPr>
          <w:szCs w:val="18"/>
        </w:rPr>
      </w:pPr>
      <w:r w:rsidRPr="0088408E">
        <w:rPr>
          <w:szCs w:val="18"/>
        </w:rPr>
        <w:t>Source: Economic model spreadsheet provided with the PSCR</w:t>
      </w:r>
    </w:p>
    <w:p w:rsidR="003628BC" w:rsidRPr="0088408E" w:rsidRDefault="003628BC" w:rsidP="003628BC">
      <w:pPr>
        <w:pStyle w:val="TableFooter"/>
        <w:keepNext/>
        <w:widowControl/>
        <w:ind w:left="709" w:firstLine="11"/>
        <w:rPr>
          <w:szCs w:val="18"/>
        </w:rPr>
      </w:pPr>
      <w:r w:rsidRPr="0088408E">
        <w:rPr>
          <w:szCs w:val="18"/>
        </w:rPr>
        <w:t>CSE = clinically significant exacerbation; GETE = global evaluation of treatment effectiveness; ICS = inhaled corticosteroids; LABA = long acting beta-2 agonist; mITT = modified intention-to-treat; OAT = optimised asthma therapy</w:t>
      </w:r>
      <w:r w:rsidR="00A94A58">
        <w:rPr>
          <w:szCs w:val="18"/>
        </w:rPr>
        <w:t>; PSCR = Pre-Sub Committee Response</w:t>
      </w:r>
      <w:r w:rsidRPr="0088408E">
        <w:rPr>
          <w:szCs w:val="18"/>
        </w:rPr>
        <w:t xml:space="preserve"> </w:t>
      </w:r>
    </w:p>
    <w:p w:rsidR="003628BC" w:rsidRPr="0088408E" w:rsidRDefault="003628BC" w:rsidP="003628BC">
      <w:pPr>
        <w:keepNext/>
        <w:ind w:left="709"/>
        <w:rPr>
          <w:rFonts w:ascii="Arial Narrow" w:hAnsi="Arial Narrow"/>
          <w:sz w:val="18"/>
          <w:szCs w:val="18"/>
        </w:rPr>
      </w:pPr>
      <w:r w:rsidRPr="0088408E">
        <w:rPr>
          <w:rFonts w:ascii="Arial Narrow" w:hAnsi="Arial Narrow"/>
          <w:sz w:val="18"/>
          <w:szCs w:val="18"/>
          <w:vertAlign w:val="superscript"/>
        </w:rPr>
        <w:t>a</w:t>
      </w:r>
      <w:r w:rsidRPr="0088408E">
        <w:rPr>
          <w:rFonts w:ascii="Arial Narrow" w:hAnsi="Arial Narrow"/>
          <w:sz w:val="18"/>
          <w:szCs w:val="18"/>
        </w:rPr>
        <w:t xml:space="preserve"> In the IA05-EU subgroup, omalizumab patients were assessed as responders (rated as excellent or good on the GETE), while all placebo patients were included</w:t>
      </w:r>
    </w:p>
    <w:p w:rsidR="003628BC" w:rsidRPr="00A94A58" w:rsidRDefault="003628BC" w:rsidP="003628BC">
      <w:pPr>
        <w:pStyle w:val="TableFooter"/>
        <w:keepNext/>
        <w:widowControl/>
        <w:ind w:left="709"/>
        <w:rPr>
          <w:szCs w:val="18"/>
        </w:rPr>
      </w:pPr>
      <w:r w:rsidRPr="0088408E">
        <w:rPr>
          <w:szCs w:val="18"/>
          <w:vertAlign w:val="superscript"/>
        </w:rPr>
        <w:t>b</w:t>
      </w:r>
      <w:r w:rsidRPr="0088408E">
        <w:rPr>
          <w:szCs w:val="18"/>
        </w:rPr>
        <w:t xml:space="preserve"> Patients were included in this pre-specified </w:t>
      </w:r>
      <w:r w:rsidRPr="00A94A58">
        <w:rPr>
          <w:szCs w:val="18"/>
        </w:rPr>
        <w:t>subgroup if they were treated with LABA and were on high dose ICS</w:t>
      </w:r>
    </w:p>
    <w:p w:rsidR="003628BC" w:rsidRPr="0088408E" w:rsidRDefault="003628BC" w:rsidP="003628BC">
      <w:pPr>
        <w:pStyle w:val="TableFooter"/>
        <w:keepNext/>
        <w:widowControl/>
        <w:ind w:left="709"/>
        <w:rPr>
          <w:szCs w:val="18"/>
        </w:rPr>
      </w:pPr>
      <w:proofErr w:type="gramStart"/>
      <w:r w:rsidRPr="00A94A58">
        <w:rPr>
          <w:szCs w:val="18"/>
          <w:vertAlign w:val="superscript"/>
        </w:rPr>
        <w:t>c</w:t>
      </w:r>
      <w:proofErr w:type="gramEnd"/>
      <w:r w:rsidRPr="00A94A58">
        <w:rPr>
          <w:szCs w:val="18"/>
        </w:rPr>
        <w:t xml:space="preserve"> The estimated exacerbation rate for </w:t>
      </w:r>
      <w:proofErr w:type="spellStart"/>
      <w:r w:rsidRPr="00A94A58">
        <w:rPr>
          <w:szCs w:val="18"/>
        </w:rPr>
        <w:t>omalizumab</w:t>
      </w:r>
      <w:proofErr w:type="spellEnd"/>
      <w:r w:rsidRPr="00A94A58">
        <w:rPr>
          <w:szCs w:val="18"/>
        </w:rPr>
        <w:t xml:space="preserve"> was 0.</w:t>
      </w:r>
      <w:r w:rsidR="00E440EC" w:rsidRPr="00A94A58">
        <w:rPr>
          <w:szCs w:val="18"/>
        </w:rPr>
        <w:t>77</w:t>
      </w:r>
      <w:r w:rsidRPr="0088408E">
        <w:rPr>
          <w:szCs w:val="18"/>
        </w:rPr>
        <w:t>, and 24% would be non-responders receiving 24 weeks of treatment only.</w:t>
      </w:r>
    </w:p>
    <w:p w:rsidR="003649A2" w:rsidRPr="0088408E" w:rsidRDefault="003649A2" w:rsidP="003649A2">
      <w:pPr>
        <w:widowControl/>
        <w:rPr>
          <w:szCs w:val="22"/>
        </w:rPr>
      </w:pPr>
    </w:p>
    <w:p w:rsidR="00B97D2C" w:rsidRPr="00B97D2C" w:rsidRDefault="00B97D2C" w:rsidP="00B97D2C">
      <w:pPr>
        <w:pStyle w:val="ListParagraph"/>
        <w:widowControl/>
        <w:numPr>
          <w:ilvl w:val="1"/>
          <w:numId w:val="2"/>
        </w:numPr>
        <w:rPr>
          <w:szCs w:val="22"/>
        </w:rPr>
      </w:pPr>
      <w:r w:rsidRPr="00B97D2C">
        <w:rPr>
          <w:szCs w:val="22"/>
        </w:rPr>
        <w:t xml:space="preserve">The redacted table shows that </w:t>
      </w:r>
      <w:r>
        <w:rPr>
          <w:szCs w:val="22"/>
        </w:rPr>
        <w:t xml:space="preserve">the proposed new base case and the proposed new base case using methodology of commentary are both less than </w:t>
      </w:r>
      <w:r w:rsidR="00047228">
        <w:rPr>
          <w:szCs w:val="22"/>
        </w:rPr>
        <w:t xml:space="preserve">$15,000 per </w:t>
      </w:r>
      <w:r w:rsidR="00047228" w:rsidRPr="0088408E">
        <w:rPr>
          <w:szCs w:val="22"/>
        </w:rPr>
        <w:t>clinically significant exacerbation avoided</w:t>
      </w:r>
      <w:proofErr w:type="gramStart"/>
      <w:r w:rsidR="00047228">
        <w:rPr>
          <w:szCs w:val="22"/>
        </w:rPr>
        <w:t>.</w:t>
      </w:r>
      <w:r>
        <w:rPr>
          <w:szCs w:val="22"/>
        </w:rPr>
        <w:t>.</w:t>
      </w:r>
      <w:proofErr w:type="gramEnd"/>
    </w:p>
    <w:p w:rsidR="00B97D2C" w:rsidRDefault="00B97D2C" w:rsidP="00B97D2C">
      <w:pPr>
        <w:pStyle w:val="ListParagraph"/>
        <w:widowControl/>
        <w:rPr>
          <w:szCs w:val="22"/>
        </w:rPr>
      </w:pPr>
    </w:p>
    <w:p w:rsidR="003649A2" w:rsidRPr="0088408E" w:rsidRDefault="003649A2" w:rsidP="001F69C2">
      <w:pPr>
        <w:pStyle w:val="ListParagraph"/>
        <w:widowControl/>
        <w:numPr>
          <w:ilvl w:val="1"/>
          <w:numId w:val="2"/>
        </w:numPr>
        <w:rPr>
          <w:szCs w:val="22"/>
        </w:rPr>
      </w:pPr>
      <w:r w:rsidRPr="0088408E">
        <w:rPr>
          <w:szCs w:val="22"/>
        </w:rPr>
        <w:t xml:space="preserve">The submission estimated a cost per </w:t>
      </w:r>
      <w:r w:rsidR="005358B4" w:rsidRPr="0088408E">
        <w:rPr>
          <w:szCs w:val="22"/>
        </w:rPr>
        <w:t xml:space="preserve">clinically significant </w:t>
      </w:r>
      <w:r w:rsidRPr="0088408E">
        <w:rPr>
          <w:szCs w:val="22"/>
        </w:rPr>
        <w:t>exacerbation avoided of $</w:t>
      </w:r>
      <w:r w:rsidR="00F34CCB">
        <w:rPr>
          <w:noProof/>
          <w:color w:val="000000"/>
          <w:szCs w:val="22"/>
          <w:highlight w:val="black"/>
        </w:rPr>
        <w:t>'''''''''''''''</w:t>
      </w:r>
      <w:r w:rsidRPr="0088408E">
        <w:rPr>
          <w:szCs w:val="22"/>
        </w:rPr>
        <w:t xml:space="preserve"> </w:t>
      </w:r>
      <w:r w:rsidR="00C04028" w:rsidRPr="0088408E">
        <w:rPr>
          <w:szCs w:val="22"/>
        </w:rPr>
        <w:t>in the IA05-EU R</w:t>
      </w:r>
      <w:r w:rsidRPr="0088408E">
        <w:rPr>
          <w:szCs w:val="22"/>
        </w:rPr>
        <w:t xml:space="preserve">esponder </w:t>
      </w:r>
      <w:r w:rsidR="00C04028" w:rsidRPr="0088408E">
        <w:rPr>
          <w:szCs w:val="22"/>
        </w:rPr>
        <w:t>sub</w:t>
      </w:r>
      <w:r w:rsidRPr="0088408E">
        <w:rPr>
          <w:szCs w:val="22"/>
        </w:rPr>
        <w:t xml:space="preserve">group, which according to the submission best reflected the proposed PBS population. </w:t>
      </w:r>
      <w:r w:rsidR="003628BC" w:rsidRPr="0088408E">
        <w:rPr>
          <w:szCs w:val="22"/>
        </w:rPr>
        <w:t>The ESC agreed with the commentary that t</w:t>
      </w:r>
      <w:r w:rsidRPr="0088408E">
        <w:t xml:space="preserve">he subgroup </w:t>
      </w:r>
      <w:r w:rsidR="00A27876" w:rsidRPr="0088408E">
        <w:t xml:space="preserve">used in the base case was inappropriate </w:t>
      </w:r>
      <w:r w:rsidRPr="0088408E">
        <w:t xml:space="preserve">due to the exclusion of non-responders in the omalizumab arm, while all patients were included in the placebo arm. These non-responders in the omalizumab arm would be treated for 24 weeks, and therefore costs and </w:t>
      </w:r>
      <w:r w:rsidR="005358B4" w:rsidRPr="0088408E">
        <w:t>clinically significant exacerbations</w:t>
      </w:r>
      <w:r w:rsidRPr="0088408E">
        <w:t xml:space="preserve"> would be accrued</w:t>
      </w:r>
      <w:r w:rsidR="00097B85" w:rsidRPr="0088408E">
        <w:t xml:space="preserve">. </w:t>
      </w:r>
      <w:r w:rsidR="00052CE3" w:rsidRPr="0088408E">
        <w:t>T</w:t>
      </w:r>
      <w:r w:rsidRPr="0088408E">
        <w:t>he</w:t>
      </w:r>
      <w:r w:rsidR="00EA0C32" w:rsidRPr="0088408E">
        <w:t>refore, the</w:t>
      </w:r>
      <w:r w:rsidRPr="0088408E">
        <w:t xml:space="preserve"> most appropriate analysis group of those presented by the submission was </w:t>
      </w:r>
      <w:r w:rsidR="005358B4" w:rsidRPr="0088408E">
        <w:t xml:space="preserve">the </w:t>
      </w:r>
      <w:r w:rsidRPr="0088408E">
        <w:t>IA05-EU</w:t>
      </w:r>
      <w:r w:rsidR="005358B4" w:rsidRPr="0088408E">
        <w:t xml:space="preserve"> subgroup, </w:t>
      </w:r>
      <w:r w:rsidR="003628BC" w:rsidRPr="0088408E">
        <w:t xml:space="preserve">in which the ICER was estimated to be </w:t>
      </w:r>
      <w:r w:rsidR="00B97D2C" w:rsidRPr="00AA338D">
        <w:rPr>
          <w:rFonts w:cs="Times New Roman"/>
          <w:szCs w:val="24"/>
        </w:rPr>
        <w:t>less than $</w:t>
      </w:r>
      <w:proofErr w:type="gramStart"/>
      <w:r w:rsidR="00B97D2C" w:rsidRPr="00AA338D">
        <w:rPr>
          <w:rFonts w:cs="Times New Roman"/>
          <w:szCs w:val="24"/>
        </w:rPr>
        <w:t xml:space="preserve">15,000 </w:t>
      </w:r>
      <w:r w:rsidR="005358B4" w:rsidRPr="0088408E">
        <w:t xml:space="preserve"> per</w:t>
      </w:r>
      <w:proofErr w:type="gramEnd"/>
      <w:r w:rsidR="005358B4" w:rsidRPr="0088408E">
        <w:t xml:space="preserve"> clinically significant exacerbation avoided</w:t>
      </w:r>
      <w:r w:rsidRPr="0088408E">
        <w:t xml:space="preserve">. </w:t>
      </w:r>
    </w:p>
    <w:p w:rsidR="00787A0F" w:rsidRPr="0088408E" w:rsidRDefault="00787A0F" w:rsidP="00787A0F">
      <w:pPr>
        <w:pStyle w:val="ListParagraph"/>
        <w:widowControl/>
        <w:rPr>
          <w:szCs w:val="22"/>
        </w:rPr>
      </w:pPr>
    </w:p>
    <w:p w:rsidR="00A27876" w:rsidRPr="0088408E" w:rsidRDefault="00EA0C32" w:rsidP="00B97D2C">
      <w:pPr>
        <w:pStyle w:val="ListParagraph"/>
        <w:widowControl/>
        <w:numPr>
          <w:ilvl w:val="1"/>
          <w:numId w:val="2"/>
        </w:numPr>
      </w:pPr>
      <w:r w:rsidRPr="0088408E">
        <w:t>T</w:t>
      </w:r>
      <w:r w:rsidR="00C35595" w:rsidRPr="0088408E">
        <w:t xml:space="preserve">he PSCR (p4) </w:t>
      </w:r>
      <w:r w:rsidRPr="0088408E">
        <w:t>applied the</w:t>
      </w:r>
      <w:r w:rsidR="00C35595" w:rsidRPr="0088408E">
        <w:t xml:space="preserve"> continuation criteria to the IA05-EU subgroup </w:t>
      </w:r>
      <w:r w:rsidRPr="0088408E">
        <w:t xml:space="preserve">to </w:t>
      </w:r>
      <w:r w:rsidR="00C35595" w:rsidRPr="0088408E">
        <w:t>g</w:t>
      </w:r>
      <w:r w:rsidRPr="0088408E">
        <w:t>i</w:t>
      </w:r>
      <w:r w:rsidR="00C35595" w:rsidRPr="0088408E">
        <w:t xml:space="preserve">ve a more appropriate base case population. In this case the ICER was estimated to </w:t>
      </w:r>
      <w:proofErr w:type="gramStart"/>
      <w:r w:rsidR="00C35595" w:rsidRPr="0088408E">
        <w:t xml:space="preserve">be </w:t>
      </w:r>
      <w:r w:rsidR="00B97D2C">
        <w:t xml:space="preserve"> less</w:t>
      </w:r>
      <w:proofErr w:type="gramEnd"/>
      <w:r w:rsidR="00B97D2C">
        <w:t xml:space="preserve"> than $15,000 </w:t>
      </w:r>
      <w:r w:rsidR="00C35595" w:rsidRPr="0088408E">
        <w:t>per clinically significant exacerbation avoided</w:t>
      </w:r>
      <w:r w:rsidRPr="0088408E">
        <w:t>.</w:t>
      </w:r>
      <w:r w:rsidR="00C35595" w:rsidRPr="0088408E">
        <w:t xml:space="preserve"> </w:t>
      </w:r>
    </w:p>
    <w:p w:rsidR="00D42947" w:rsidRPr="0088408E" w:rsidRDefault="00D42947" w:rsidP="00D42947">
      <w:pPr>
        <w:pStyle w:val="ListParagraph"/>
      </w:pPr>
    </w:p>
    <w:p w:rsidR="00726E01" w:rsidRPr="0088408E" w:rsidRDefault="00726E01" w:rsidP="001F69C2">
      <w:pPr>
        <w:pStyle w:val="ListParagraph"/>
        <w:widowControl/>
        <w:numPr>
          <w:ilvl w:val="1"/>
          <w:numId w:val="2"/>
        </w:numPr>
        <w:rPr>
          <w:szCs w:val="22"/>
        </w:rPr>
      </w:pPr>
      <w:r w:rsidRPr="0088408E">
        <w:t>The submission did not provide sensitivity analyses. During the evaluation, sensitivity analyses were performed, using</w:t>
      </w:r>
      <w:r w:rsidR="007926A9" w:rsidRPr="0088408E">
        <w:t>:</w:t>
      </w:r>
      <w:r w:rsidRPr="0088408E">
        <w:t xml:space="preserve"> a shorter time frame</w:t>
      </w:r>
      <w:r w:rsidR="007926A9" w:rsidRPr="0088408E">
        <w:t>;</w:t>
      </w:r>
      <w:r w:rsidRPr="0088408E">
        <w:t xml:space="preserve"> the adolescent/adult populations</w:t>
      </w:r>
      <w:r w:rsidR="000E0690" w:rsidRPr="0088408E">
        <w:t xml:space="preserve"> </w:t>
      </w:r>
      <w:r w:rsidR="00234276" w:rsidRPr="0088408E">
        <w:t>(using Studies 2306 and 2425, which formed the basis for the PBAC’s November 2010 recommendation in this population)</w:t>
      </w:r>
      <w:r w:rsidR="007926A9" w:rsidRPr="0088408E">
        <w:t>;</w:t>
      </w:r>
      <w:r w:rsidRPr="0088408E">
        <w:t xml:space="preserve"> and severe clinically significant exacerbations as an outcome. The results of these sensitivity analyses </w:t>
      </w:r>
      <w:r w:rsidR="00C35595" w:rsidRPr="0088408E">
        <w:t xml:space="preserve">(using the updated prices provided in the PSCR) </w:t>
      </w:r>
      <w:r w:rsidRPr="0088408E">
        <w:t xml:space="preserve">are presented in the </w:t>
      </w:r>
      <w:r w:rsidR="007926A9" w:rsidRPr="0088408E">
        <w:t>t</w:t>
      </w:r>
      <w:r w:rsidRPr="0088408E">
        <w:t xml:space="preserve">able below. </w:t>
      </w:r>
    </w:p>
    <w:p w:rsidR="00726E01" w:rsidRPr="0088408E" w:rsidRDefault="00726E01" w:rsidP="00726E01">
      <w:pPr>
        <w:pStyle w:val="PBACHeading1"/>
        <w:numPr>
          <w:ilvl w:val="0"/>
          <w:numId w:val="0"/>
        </w:numPr>
        <w:ind w:left="720"/>
      </w:pPr>
    </w:p>
    <w:p w:rsidR="00C35595" w:rsidRPr="0088408E" w:rsidRDefault="00C35595" w:rsidP="00C35595">
      <w:pPr>
        <w:keepNext/>
        <w:keepLines/>
        <w:ind w:left="709"/>
        <w:rPr>
          <w:rStyle w:val="CommentReference"/>
          <w:b w:val="0"/>
          <w:szCs w:val="20"/>
        </w:rPr>
      </w:pPr>
      <w:r w:rsidRPr="0088408E">
        <w:rPr>
          <w:rStyle w:val="CommentReference"/>
          <w:szCs w:val="20"/>
        </w:rPr>
        <w:t>Table 9: Results of the sensitivity analyses –conducted during evaluation – updated effective omalizumab price (1 June 2016)</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43"/>
        <w:gridCol w:w="943"/>
        <w:gridCol w:w="794"/>
        <w:gridCol w:w="1683"/>
      </w:tblGrid>
      <w:tr w:rsidR="00C35595" w:rsidRPr="0088408E" w:rsidTr="00ED6DC4">
        <w:trPr>
          <w:trHeight w:val="20"/>
          <w:tblHeader/>
        </w:trPr>
        <w:tc>
          <w:tcPr>
            <w:tcW w:w="2955" w:type="pct"/>
            <w:vAlign w:val="center"/>
          </w:tcPr>
          <w:p w:rsidR="00C35595" w:rsidRPr="0088408E" w:rsidRDefault="00C35595" w:rsidP="00ED6DC4">
            <w:pPr>
              <w:pStyle w:val="Tabletext"/>
              <w:keepNext/>
              <w:keepLines/>
              <w:jc w:val="center"/>
              <w:rPr>
                <w:rFonts w:cs="Arial"/>
              </w:rPr>
            </w:pPr>
          </w:p>
        </w:tc>
        <w:tc>
          <w:tcPr>
            <w:tcW w:w="564" w:type="pct"/>
            <w:vAlign w:val="center"/>
          </w:tcPr>
          <w:p w:rsidR="00C35595" w:rsidRPr="0088408E" w:rsidRDefault="00C35595" w:rsidP="00ED6DC4">
            <w:pPr>
              <w:pStyle w:val="Tabletext"/>
              <w:keepNext/>
              <w:keepLines/>
              <w:jc w:val="center"/>
              <w:rPr>
                <w:rFonts w:cs="Arial"/>
                <w:b/>
              </w:rPr>
            </w:pPr>
            <w:r w:rsidRPr="0088408E">
              <w:rPr>
                <w:rFonts w:cs="Arial"/>
                <w:b/>
              </w:rPr>
              <w:t>Δ Cost</w:t>
            </w:r>
          </w:p>
        </w:tc>
        <w:tc>
          <w:tcPr>
            <w:tcW w:w="475" w:type="pct"/>
            <w:vAlign w:val="center"/>
          </w:tcPr>
          <w:p w:rsidR="00C35595" w:rsidRPr="0088408E" w:rsidRDefault="00C35595" w:rsidP="00ED6DC4">
            <w:pPr>
              <w:pStyle w:val="Tabletext"/>
              <w:keepNext/>
              <w:keepLines/>
              <w:jc w:val="center"/>
              <w:rPr>
                <w:rFonts w:cs="Arial"/>
                <w:b/>
              </w:rPr>
            </w:pPr>
            <w:r w:rsidRPr="0088408E">
              <w:rPr>
                <w:rFonts w:cs="Arial"/>
                <w:b/>
              </w:rPr>
              <w:t>Δ CSE</w:t>
            </w:r>
          </w:p>
        </w:tc>
        <w:tc>
          <w:tcPr>
            <w:tcW w:w="1006" w:type="pct"/>
            <w:vAlign w:val="center"/>
          </w:tcPr>
          <w:p w:rsidR="00C35595" w:rsidRPr="0088408E" w:rsidRDefault="00C35595" w:rsidP="00ED6DC4">
            <w:pPr>
              <w:pStyle w:val="Tabletext"/>
              <w:keepNext/>
              <w:keepLines/>
              <w:jc w:val="center"/>
              <w:rPr>
                <w:rFonts w:cs="Arial"/>
                <w:b/>
              </w:rPr>
            </w:pPr>
            <w:r w:rsidRPr="0088408E">
              <w:rPr>
                <w:rFonts w:cs="Arial"/>
                <w:b/>
              </w:rPr>
              <w:t>ICER</w:t>
            </w:r>
          </w:p>
          <w:p w:rsidR="00C35595" w:rsidRPr="0088408E" w:rsidRDefault="00C35595" w:rsidP="00ED6DC4">
            <w:pPr>
              <w:pStyle w:val="Tabletext"/>
              <w:keepNext/>
              <w:keepLines/>
              <w:jc w:val="center"/>
              <w:rPr>
                <w:rFonts w:cs="Arial"/>
                <w:b/>
              </w:rPr>
            </w:pPr>
            <w:r w:rsidRPr="0088408E">
              <w:rPr>
                <w:rFonts w:cs="Arial"/>
                <w:b/>
              </w:rPr>
              <w:t>(cost/CSE avoided)</w:t>
            </w:r>
          </w:p>
        </w:tc>
      </w:tr>
      <w:tr w:rsidR="00C35595" w:rsidRPr="0088408E" w:rsidTr="00ED6DC4">
        <w:trPr>
          <w:trHeight w:val="20"/>
        </w:trPr>
        <w:tc>
          <w:tcPr>
            <w:tcW w:w="5000" w:type="pct"/>
            <w:gridSpan w:val="4"/>
          </w:tcPr>
          <w:p w:rsidR="00C35595" w:rsidRPr="0088408E" w:rsidRDefault="00C35595" w:rsidP="00ED6DC4">
            <w:pPr>
              <w:pStyle w:val="Tabletext"/>
              <w:keepNext/>
              <w:keepLines/>
              <w:rPr>
                <w:rFonts w:cs="Arial"/>
                <w:b/>
              </w:rPr>
            </w:pPr>
            <w:r w:rsidRPr="0088408E">
              <w:rPr>
                <w:rFonts w:cs="Arial"/>
                <w:b/>
              </w:rPr>
              <w:t>Clinically significant exacerbations ($</w:t>
            </w:r>
            <w:r w:rsidR="00F34CCB">
              <w:rPr>
                <w:rFonts w:cs="Arial"/>
                <w:b/>
                <w:noProof/>
                <w:color w:val="000000"/>
                <w:highlight w:val="black"/>
              </w:rPr>
              <w:t>''''''''''</w:t>
            </w:r>
            <w:r w:rsidRPr="0088408E">
              <w:rPr>
                <w:rFonts w:cs="Arial"/>
                <w:b/>
              </w:rPr>
              <w:t xml:space="preserve">) </w:t>
            </w:r>
          </w:p>
        </w:tc>
      </w:tr>
      <w:tr w:rsidR="00C35595" w:rsidRPr="0088408E" w:rsidTr="00ED6DC4">
        <w:trPr>
          <w:trHeight w:val="20"/>
        </w:trPr>
        <w:tc>
          <w:tcPr>
            <w:tcW w:w="2955" w:type="pct"/>
          </w:tcPr>
          <w:p w:rsidR="00C35595" w:rsidRPr="0088408E" w:rsidRDefault="00C35595" w:rsidP="00ED6DC4">
            <w:pPr>
              <w:pStyle w:val="Tabletext"/>
              <w:keepNext/>
              <w:keepLines/>
              <w:ind w:left="284" w:hanging="170"/>
              <w:rPr>
                <w:rFonts w:cs="Arial"/>
              </w:rPr>
            </w:pPr>
            <w:r w:rsidRPr="0088408E">
              <w:rPr>
                <w:rFonts w:cs="Arial"/>
              </w:rPr>
              <w:t>Paediatric population</w:t>
            </w:r>
          </w:p>
          <w:p w:rsidR="00C35595" w:rsidRPr="0088408E" w:rsidRDefault="00C35595" w:rsidP="00ED6DC4">
            <w:pPr>
              <w:pStyle w:val="Tabletext"/>
              <w:keepNext/>
              <w:keepLines/>
              <w:ind w:left="284"/>
              <w:rPr>
                <w:rFonts w:cs="Arial"/>
              </w:rPr>
            </w:pPr>
            <w:r w:rsidRPr="0088408E">
              <w:rPr>
                <w:rFonts w:cs="Arial"/>
              </w:rPr>
              <w:t>IA05-EU – 52 weeks</w:t>
            </w:r>
          </w:p>
          <w:p w:rsidR="00C35595" w:rsidRPr="0088408E" w:rsidRDefault="00C35595" w:rsidP="00ED6DC4">
            <w:pPr>
              <w:pStyle w:val="Tabletext"/>
              <w:keepNext/>
              <w:keepLines/>
              <w:ind w:left="284"/>
              <w:rPr>
                <w:rFonts w:cs="Arial"/>
              </w:rPr>
            </w:pPr>
            <w:r w:rsidRPr="0088408E">
              <w:rPr>
                <w:rFonts w:cs="Arial"/>
              </w:rPr>
              <w:t>IA05-EU – 24 weeks</w:t>
            </w:r>
          </w:p>
          <w:p w:rsidR="00C35595" w:rsidRPr="0088408E" w:rsidRDefault="00C35595" w:rsidP="00ED6DC4">
            <w:pPr>
              <w:pStyle w:val="Tabletext"/>
              <w:keepNext/>
              <w:keepLines/>
              <w:ind w:left="284" w:hanging="170"/>
              <w:rPr>
                <w:rFonts w:cs="Arial"/>
              </w:rPr>
            </w:pPr>
            <w:r w:rsidRPr="0088408E">
              <w:rPr>
                <w:rFonts w:cs="Arial"/>
              </w:rPr>
              <w:t xml:space="preserve">Adolescent/adult population </w:t>
            </w:r>
            <w:r w:rsidRPr="0088408E">
              <w:rPr>
                <w:rFonts w:cs="Arial"/>
                <w:vertAlign w:val="superscript"/>
              </w:rPr>
              <w:t>a</w:t>
            </w:r>
          </w:p>
          <w:p w:rsidR="00C35595" w:rsidRPr="0088408E" w:rsidRDefault="00C35595" w:rsidP="00ED6DC4">
            <w:pPr>
              <w:pStyle w:val="Tabletext"/>
              <w:keepNext/>
              <w:keepLines/>
              <w:ind w:left="284"/>
              <w:rPr>
                <w:rFonts w:cs="Arial"/>
              </w:rPr>
            </w:pPr>
            <w:r w:rsidRPr="0088408E">
              <w:rPr>
                <w:rFonts w:cs="Arial"/>
              </w:rPr>
              <w:t>2306 – 28 weeks</w:t>
            </w:r>
          </w:p>
          <w:p w:rsidR="00C35595" w:rsidRPr="0088408E" w:rsidRDefault="00C35595" w:rsidP="00ED6DC4">
            <w:pPr>
              <w:pStyle w:val="Tabletext"/>
              <w:keepNext/>
              <w:keepLines/>
              <w:ind w:firstLine="256"/>
              <w:rPr>
                <w:rFonts w:cs="Arial"/>
              </w:rPr>
            </w:pPr>
            <w:r w:rsidRPr="0088408E">
              <w:rPr>
                <w:rFonts w:cs="Arial"/>
              </w:rPr>
              <w:t>2425 – 32 weeks</w:t>
            </w:r>
          </w:p>
        </w:tc>
        <w:tc>
          <w:tcPr>
            <w:tcW w:w="564" w:type="pct"/>
            <w:vAlign w:val="center"/>
          </w:tcPr>
          <w:p w:rsidR="00C35595" w:rsidRPr="0088408E" w:rsidRDefault="00C35595" w:rsidP="00ED6DC4">
            <w:pPr>
              <w:pStyle w:val="Tabletext"/>
              <w:keepNext/>
              <w:keepLines/>
              <w:jc w:val="right"/>
              <w:rPr>
                <w:rFonts w:cs="Arial"/>
              </w:rPr>
            </w:pPr>
          </w:p>
          <w:p w:rsidR="00C35595" w:rsidRPr="0088408E" w:rsidRDefault="00C35595" w:rsidP="00ED6DC4">
            <w:pPr>
              <w:pStyle w:val="Tabletext"/>
              <w:keepNext/>
              <w:keepLines/>
              <w:jc w:val="right"/>
              <w:rPr>
                <w:rFonts w:cs="Arial"/>
              </w:rPr>
            </w:pPr>
            <w:r w:rsidRPr="0088408E">
              <w:rPr>
                <w:rFonts w:cs="Arial"/>
              </w:rPr>
              <w:t>$</w:t>
            </w:r>
            <w:r w:rsidR="00F34CCB">
              <w:rPr>
                <w:rFonts w:cs="Arial"/>
                <w:noProof/>
                <w:color w:val="000000"/>
                <w:highlight w:val="black"/>
              </w:rPr>
              <w:t>'''''''''''''</w:t>
            </w:r>
          </w:p>
          <w:p w:rsidR="00C35595" w:rsidRPr="0088408E" w:rsidRDefault="00C35595" w:rsidP="00ED6DC4">
            <w:pPr>
              <w:pStyle w:val="Tabletext"/>
              <w:keepNext/>
              <w:keepLines/>
              <w:jc w:val="right"/>
              <w:rPr>
                <w:rFonts w:cs="Arial"/>
              </w:rPr>
            </w:pPr>
            <w:r w:rsidRPr="0088408E">
              <w:rPr>
                <w:rFonts w:cs="Arial"/>
              </w:rPr>
              <w:t>$</w:t>
            </w:r>
            <w:r w:rsidR="00F34CCB">
              <w:rPr>
                <w:rFonts w:cs="Arial"/>
                <w:noProof/>
                <w:color w:val="000000"/>
                <w:highlight w:val="black"/>
              </w:rPr>
              <w:t>''''''''''''''</w:t>
            </w:r>
          </w:p>
          <w:p w:rsidR="00C35595" w:rsidRPr="0088408E" w:rsidRDefault="00C35595" w:rsidP="00ED6DC4">
            <w:pPr>
              <w:pStyle w:val="Tabletext"/>
              <w:keepNext/>
              <w:keepLines/>
              <w:jc w:val="right"/>
              <w:rPr>
                <w:rFonts w:cs="Arial"/>
              </w:rPr>
            </w:pPr>
          </w:p>
          <w:p w:rsidR="00C35595" w:rsidRPr="0088408E" w:rsidRDefault="00C35595" w:rsidP="00ED6DC4">
            <w:pPr>
              <w:pStyle w:val="Tabletext"/>
              <w:keepNext/>
              <w:keepLines/>
              <w:jc w:val="right"/>
              <w:rPr>
                <w:rFonts w:cs="Arial"/>
              </w:rPr>
            </w:pPr>
            <w:r w:rsidRPr="0088408E">
              <w:rPr>
                <w:rFonts w:cs="Arial"/>
              </w:rPr>
              <w:t>$</w:t>
            </w:r>
            <w:r w:rsidR="00F34CCB">
              <w:rPr>
                <w:rFonts w:cs="Arial"/>
                <w:noProof/>
                <w:color w:val="000000"/>
                <w:highlight w:val="black"/>
              </w:rPr>
              <w:t>'''''''''''''</w:t>
            </w:r>
          </w:p>
          <w:p w:rsidR="00C35595" w:rsidRPr="0088408E" w:rsidRDefault="00C35595" w:rsidP="00ED6DC4">
            <w:pPr>
              <w:pStyle w:val="Tabletext"/>
              <w:keepNext/>
              <w:keepLines/>
              <w:jc w:val="right"/>
              <w:rPr>
                <w:rFonts w:cs="Arial"/>
              </w:rPr>
            </w:pPr>
            <w:r w:rsidRPr="0088408E">
              <w:rPr>
                <w:rFonts w:cs="Arial"/>
              </w:rPr>
              <w:t>$</w:t>
            </w:r>
            <w:r w:rsidR="00F34CCB">
              <w:rPr>
                <w:rFonts w:cs="Arial"/>
                <w:noProof/>
                <w:color w:val="000000"/>
                <w:highlight w:val="black"/>
              </w:rPr>
              <w:t>''''''''''''</w:t>
            </w:r>
          </w:p>
        </w:tc>
        <w:tc>
          <w:tcPr>
            <w:tcW w:w="475" w:type="pct"/>
            <w:vAlign w:val="center"/>
          </w:tcPr>
          <w:p w:rsidR="00C35595" w:rsidRPr="0088408E" w:rsidRDefault="00C35595" w:rsidP="00ED6DC4">
            <w:pPr>
              <w:pStyle w:val="Tabletext"/>
              <w:keepNext/>
              <w:keepLines/>
              <w:jc w:val="center"/>
              <w:rPr>
                <w:rFonts w:cs="Arial"/>
              </w:rPr>
            </w:pPr>
          </w:p>
          <w:p w:rsidR="00C35595" w:rsidRPr="0088408E" w:rsidRDefault="00C35595" w:rsidP="00ED6DC4">
            <w:pPr>
              <w:pStyle w:val="Tabletext"/>
              <w:keepNext/>
              <w:keepLines/>
              <w:jc w:val="center"/>
              <w:rPr>
                <w:rFonts w:cs="Arial"/>
              </w:rPr>
            </w:pPr>
            <w:r w:rsidRPr="0088408E">
              <w:rPr>
                <w:rFonts w:cs="Arial"/>
              </w:rPr>
              <w:t>-0.71</w:t>
            </w:r>
          </w:p>
          <w:p w:rsidR="00C35595" w:rsidRPr="0088408E" w:rsidRDefault="00C35595" w:rsidP="00ED6DC4">
            <w:pPr>
              <w:pStyle w:val="Tabletext"/>
              <w:keepNext/>
              <w:keepLines/>
              <w:jc w:val="center"/>
              <w:rPr>
                <w:rFonts w:cs="Arial"/>
              </w:rPr>
            </w:pPr>
            <w:r w:rsidRPr="0088408E">
              <w:rPr>
                <w:rFonts w:cs="Arial"/>
              </w:rPr>
              <w:t>-0.21</w:t>
            </w:r>
          </w:p>
          <w:p w:rsidR="00C35595" w:rsidRPr="0088408E" w:rsidRDefault="00C35595" w:rsidP="00ED6DC4">
            <w:pPr>
              <w:pStyle w:val="Tabletext"/>
              <w:keepNext/>
              <w:keepLines/>
              <w:jc w:val="center"/>
              <w:rPr>
                <w:rFonts w:cs="Arial"/>
              </w:rPr>
            </w:pPr>
          </w:p>
          <w:p w:rsidR="00C35595" w:rsidRPr="0088408E" w:rsidRDefault="00C35595" w:rsidP="00ED6DC4">
            <w:pPr>
              <w:pStyle w:val="Tabletext"/>
              <w:keepNext/>
              <w:keepLines/>
              <w:jc w:val="center"/>
              <w:rPr>
                <w:rFonts w:cs="Arial"/>
              </w:rPr>
            </w:pPr>
            <w:r w:rsidRPr="0088408E">
              <w:rPr>
                <w:rFonts w:cs="Arial"/>
              </w:rPr>
              <w:t>-0.22</w:t>
            </w:r>
          </w:p>
          <w:p w:rsidR="00C35595" w:rsidRPr="0088408E" w:rsidRDefault="00C35595" w:rsidP="00ED6DC4">
            <w:pPr>
              <w:pStyle w:val="Tabletext"/>
              <w:keepNext/>
              <w:keepLines/>
              <w:jc w:val="center"/>
              <w:rPr>
                <w:rFonts w:cs="Arial"/>
              </w:rPr>
            </w:pPr>
            <w:r w:rsidRPr="0088408E">
              <w:rPr>
                <w:rFonts w:cs="Arial"/>
              </w:rPr>
              <w:t>-0.43</w:t>
            </w:r>
          </w:p>
        </w:tc>
        <w:tc>
          <w:tcPr>
            <w:tcW w:w="1006" w:type="pct"/>
            <w:vAlign w:val="center"/>
          </w:tcPr>
          <w:p w:rsidR="00C35595" w:rsidRPr="0088408E" w:rsidRDefault="00C35595" w:rsidP="00ED6DC4">
            <w:pPr>
              <w:pStyle w:val="Tabletext"/>
              <w:keepNext/>
              <w:keepLines/>
              <w:jc w:val="right"/>
              <w:rPr>
                <w:rFonts w:cs="Arial"/>
              </w:rPr>
            </w:pPr>
          </w:p>
          <w:p w:rsidR="00C35595" w:rsidRPr="0088408E" w:rsidRDefault="00C35595" w:rsidP="00ED6DC4">
            <w:pPr>
              <w:pStyle w:val="Tabletext"/>
              <w:keepNext/>
              <w:keepLines/>
              <w:jc w:val="right"/>
              <w:rPr>
                <w:rFonts w:cs="Arial"/>
              </w:rPr>
            </w:pPr>
            <w:r w:rsidRPr="0088408E">
              <w:rPr>
                <w:rFonts w:cs="Arial"/>
              </w:rPr>
              <w:t>$</w:t>
            </w:r>
            <w:r w:rsidR="00F34CCB">
              <w:rPr>
                <w:rFonts w:cs="Arial"/>
                <w:noProof/>
                <w:color w:val="000000"/>
                <w:highlight w:val="black"/>
              </w:rPr>
              <w:t>''''''''''''''''</w:t>
            </w:r>
          </w:p>
          <w:p w:rsidR="00C35595" w:rsidRPr="0088408E" w:rsidRDefault="00C35595" w:rsidP="00ED6DC4">
            <w:pPr>
              <w:pStyle w:val="Tabletext"/>
              <w:keepNext/>
              <w:keepLines/>
              <w:jc w:val="right"/>
              <w:rPr>
                <w:rFonts w:cs="Arial"/>
              </w:rPr>
            </w:pPr>
            <w:r w:rsidRPr="0088408E">
              <w:rPr>
                <w:rFonts w:cs="Arial"/>
              </w:rPr>
              <w:t>$</w:t>
            </w:r>
            <w:r w:rsidR="00F34CCB">
              <w:rPr>
                <w:rFonts w:cs="Arial"/>
                <w:noProof/>
                <w:color w:val="000000"/>
                <w:highlight w:val="black"/>
              </w:rPr>
              <w:t>'''''''''''''''''</w:t>
            </w:r>
          </w:p>
          <w:p w:rsidR="00C35595" w:rsidRPr="0088408E" w:rsidRDefault="00C35595" w:rsidP="00ED6DC4">
            <w:pPr>
              <w:pStyle w:val="Tabletext"/>
              <w:keepNext/>
              <w:keepLines/>
              <w:jc w:val="right"/>
              <w:rPr>
                <w:rFonts w:cs="Arial"/>
              </w:rPr>
            </w:pPr>
          </w:p>
          <w:p w:rsidR="00C35595" w:rsidRPr="0088408E" w:rsidRDefault="00C35595" w:rsidP="00ED6DC4">
            <w:pPr>
              <w:pStyle w:val="Tabletext"/>
              <w:keepNext/>
              <w:keepLines/>
              <w:jc w:val="right"/>
              <w:rPr>
                <w:rFonts w:cs="Arial"/>
              </w:rPr>
            </w:pPr>
            <w:r w:rsidRPr="0088408E">
              <w:rPr>
                <w:rFonts w:cs="Arial"/>
              </w:rPr>
              <w:t>$</w:t>
            </w:r>
            <w:r w:rsidR="00F34CCB">
              <w:rPr>
                <w:rFonts w:cs="Arial"/>
                <w:noProof/>
                <w:color w:val="000000"/>
                <w:highlight w:val="black"/>
              </w:rPr>
              <w:t>''''''''''''''''</w:t>
            </w:r>
          </w:p>
          <w:p w:rsidR="00C35595" w:rsidRPr="0088408E" w:rsidRDefault="00C35595" w:rsidP="00ED6DC4">
            <w:pPr>
              <w:pStyle w:val="Tabletext"/>
              <w:keepNext/>
              <w:keepLines/>
              <w:jc w:val="right"/>
              <w:rPr>
                <w:rFonts w:cs="Arial"/>
              </w:rPr>
            </w:pPr>
            <w:r w:rsidRPr="0088408E">
              <w:rPr>
                <w:rFonts w:cs="Arial"/>
              </w:rPr>
              <w:t>$</w:t>
            </w:r>
            <w:r w:rsidR="00F34CCB">
              <w:rPr>
                <w:rFonts w:cs="Arial"/>
                <w:noProof/>
                <w:color w:val="000000"/>
                <w:highlight w:val="black"/>
              </w:rPr>
              <w:t>''''''''''''''''</w:t>
            </w:r>
          </w:p>
        </w:tc>
      </w:tr>
      <w:tr w:rsidR="00C35595" w:rsidRPr="0088408E" w:rsidTr="00ED6DC4">
        <w:trPr>
          <w:trHeight w:val="20"/>
        </w:trPr>
        <w:tc>
          <w:tcPr>
            <w:tcW w:w="5000" w:type="pct"/>
            <w:gridSpan w:val="4"/>
          </w:tcPr>
          <w:p w:rsidR="00C35595" w:rsidRPr="0088408E" w:rsidRDefault="00C35595" w:rsidP="00ED6DC4">
            <w:pPr>
              <w:pStyle w:val="Tabletext"/>
              <w:keepNext/>
              <w:rPr>
                <w:rFonts w:cs="Arial"/>
              </w:rPr>
            </w:pPr>
            <w:r w:rsidRPr="0088408E">
              <w:rPr>
                <w:rFonts w:cs="Arial"/>
                <w:b/>
              </w:rPr>
              <w:t>Severe clinically significant exacerbation (cost per severe exacerbation = $</w:t>
            </w:r>
            <w:r w:rsidR="00F34CCB">
              <w:rPr>
                <w:rFonts w:cs="Arial"/>
                <w:b/>
                <w:noProof/>
                <w:color w:val="000000"/>
                <w:highlight w:val="black"/>
              </w:rPr>
              <w:t>'''''''''''</w:t>
            </w:r>
            <w:r w:rsidRPr="0088408E">
              <w:rPr>
                <w:rFonts w:cs="Arial"/>
                <w:b/>
              </w:rPr>
              <w:t xml:space="preserve">) </w:t>
            </w:r>
          </w:p>
        </w:tc>
      </w:tr>
      <w:tr w:rsidR="00C35595" w:rsidRPr="0088408E" w:rsidTr="00ED6DC4">
        <w:trPr>
          <w:trHeight w:val="20"/>
        </w:trPr>
        <w:tc>
          <w:tcPr>
            <w:tcW w:w="2955" w:type="pct"/>
          </w:tcPr>
          <w:p w:rsidR="00C35595" w:rsidRPr="0088408E" w:rsidRDefault="00C35595" w:rsidP="00ED6DC4">
            <w:pPr>
              <w:pStyle w:val="Tabletext"/>
              <w:keepNext/>
              <w:ind w:left="284" w:hanging="170"/>
              <w:rPr>
                <w:rFonts w:cs="Arial"/>
              </w:rPr>
            </w:pPr>
            <w:r w:rsidRPr="0088408E">
              <w:rPr>
                <w:rFonts w:cs="Arial"/>
              </w:rPr>
              <w:t>Paediatric population</w:t>
            </w:r>
          </w:p>
          <w:p w:rsidR="00C35595" w:rsidRPr="0088408E" w:rsidRDefault="00C35595" w:rsidP="00ED6DC4">
            <w:pPr>
              <w:pStyle w:val="Tabletext"/>
              <w:keepNext/>
              <w:ind w:left="284"/>
              <w:rPr>
                <w:rFonts w:cs="Arial"/>
              </w:rPr>
            </w:pPr>
            <w:r w:rsidRPr="0088408E">
              <w:rPr>
                <w:rFonts w:cs="Arial"/>
              </w:rPr>
              <w:t>IA05-EU – 52 weeks</w:t>
            </w:r>
          </w:p>
          <w:p w:rsidR="00C35595" w:rsidRPr="0088408E" w:rsidRDefault="00C35595" w:rsidP="00ED6DC4">
            <w:pPr>
              <w:pStyle w:val="Tabletext"/>
              <w:keepNext/>
              <w:ind w:left="284"/>
              <w:rPr>
                <w:rFonts w:cs="Arial"/>
              </w:rPr>
            </w:pPr>
            <w:r w:rsidRPr="0088408E">
              <w:rPr>
                <w:rFonts w:cs="Arial"/>
              </w:rPr>
              <w:t>IA05-EU – 24 weeks</w:t>
            </w:r>
          </w:p>
          <w:p w:rsidR="00C35595" w:rsidRPr="0088408E" w:rsidRDefault="00C35595" w:rsidP="00ED6DC4">
            <w:pPr>
              <w:pStyle w:val="Tabletext"/>
              <w:keepNext/>
              <w:ind w:left="284" w:hanging="170"/>
              <w:rPr>
                <w:rFonts w:cs="Arial"/>
              </w:rPr>
            </w:pPr>
            <w:r w:rsidRPr="0088408E">
              <w:rPr>
                <w:rFonts w:cs="Arial"/>
              </w:rPr>
              <w:t xml:space="preserve">Adolescent/adult population </w:t>
            </w:r>
            <w:r w:rsidRPr="0088408E">
              <w:rPr>
                <w:rFonts w:cs="Arial"/>
                <w:vertAlign w:val="superscript"/>
              </w:rPr>
              <w:t>a</w:t>
            </w:r>
          </w:p>
          <w:p w:rsidR="00C35595" w:rsidRPr="0088408E" w:rsidRDefault="00C35595" w:rsidP="00ED6DC4">
            <w:pPr>
              <w:pStyle w:val="Tabletext"/>
              <w:keepNext/>
              <w:ind w:left="284"/>
              <w:rPr>
                <w:rFonts w:cs="Arial"/>
              </w:rPr>
            </w:pPr>
            <w:r w:rsidRPr="0088408E">
              <w:rPr>
                <w:rFonts w:cs="Arial"/>
              </w:rPr>
              <w:t>2306 – 28 weeks</w:t>
            </w:r>
          </w:p>
          <w:p w:rsidR="00C35595" w:rsidRPr="0088408E" w:rsidRDefault="00C35595" w:rsidP="00ED6DC4">
            <w:pPr>
              <w:pStyle w:val="Tabletext"/>
              <w:keepNext/>
              <w:ind w:left="284"/>
              <w:rPr>
                <w:rFonts w:cs="Arial"/>
              </w:rPr>
            </w:pPr>
            <w:r w:rsidRPr="0088408E">
              <w:rPr>
                <w:rFonts w:cs="Arial"/>
              </w:rPr>
              <w:t>2425 – 32 weeks</w:t>
            </w:r>
          </w:p>
        </w:tc>
        <w:tc>
          <w:tcPr>
            <w:tcW w:w="564" w:type="pct"/>
          </w:tcPr>
          <w:p w:rsidR="00C35595" w:rsidRPr="0088408E" w:rsidRDefault="00C35595" w:rsidP="00ED6DC4">
            <w:pPr>
              <w:pStyle w:val="Tabletext"/>
              <w:keepNext/>
              <w:jc w:val="right"/>
              <w:rPr>
                <w:rFonts w:cs="Arial"/>
              </w:rPr>
            </w:pPr>
          </w:p>
          <w:p w:rsidR="00C35595" w:rsidRPr="0088408E" w:rsidRDefault="00C35595" w:rsidP="00ED6DC4">
            <w:pPr>
              <w:pStyle w:val="Tabletext"/>
              <w:keepNext/>
              <w:jc w:val="right"/>
              <w:rPr>
                <w:rFonts w:cs="Arial"/>
              </w:rPr>
            </w:pPr>
            <w:r w:rsidRPr="0088408E">
              <w:rPr>
                <w:rFonts w:cs="Arial"/>
              </w:rPr>
              <w:t>$</w:t>
            </w:r>
            <w:r w:rsidR="00F34CCB">
              <w:rPr>
                <w:rFonts w:cs="Arial"/>
                <w:noProof/>
                <w:color w:val="000000"/>
                <w:highlight w:val="black"/>
              </w:rPr>
              <w:t>''''''''''''''</w:t>
            </w:r>
          </w:p>
          <w:p w:rsidR="00C35595" w:rsidRPr="0088408E" w:rsidRDefault="00C35595" w:rsidP="00ED6DC4">
            <w:pPr>
              <w:pStyle w:val="Tabletext"/>
              <w:keepNext/>
              <w:jc w:val="right"/>
              <w:rPr>
                <w:rFonts w:cs="Arial"/>
              </w:rPr>
            </w:pPr>
            <w:r w:rsidRPr="0088408E">
              <w:rPr>
                <w:rFonts w:cs="Arial"/>
              </w:rPr>
              <w:t>$</w:t>
            </w:r>
            <w:r w:rsidR="00F34CCB">
              <w:rPr>
                <w:rFonts w:cs="Arial"/>
                <w:noProof/>
                <w:color w:val="000000"/>
                <w:highlight w:val="black"/>
              </w:rPr>
              <w:t>''''''''''''</w:t>
            </w:r>
          </w:p>
          <w:p w:rsidR="00C35595" w:rsidRPr="0088408E" w:rsidRDefault="00C35595" w:rsidP="00ED6DC4">
            <w:pPr>
              <w:pStyle w:val="Tabletext"/>
              <w:keepNext/>
              <w:jc w:val="right"/>
              <w:rPr>
                <w:rFonts w:cs="Arial"/>
              </w:rPr>
            </w:pPr>
          </w:p>
          <w:p w:rsidR="00C35595" w:rsidRPr="0088408E" w:rsidRDefault="00C35595" w:rsidP="00ED6DC4">
            <w:pPr>
              <w:pStyle w:val="Tabletext"/>
              <w:keepNext/>
              <w:jc w:val="right"/>
              <w:rPr>
                <w:rFonts w:cs="Arial"/>
              </w:rPr>
            </w:pPr>
            <w:r w:rsidRPr="0088408E">
              <w:rPr>
                <w:rFonts w:cs="Arial"/>
              </w:rPr>
              <w:t>$</w:t>
            </w:r>
            <w:r w:rsidR="00F34CCB">
              <w:rPr>
                <w:rFonts w:cs="Arial"/>
                <w:noProof/>
                <w:color w:val="000000"/>
                <w:highlight w:val="black"/>
              </w:rPr>
              <w:t>'''''''''''''</w:t>
            </w:r>
          </w:p>
          <w:p w:rsidR="00C35595" w:rsidRPr="0088408E" w:rsidRDefault="00C35595" w:rsidP="00ED6DC4">
            <w:pPr>
              <w:pStyle w:val="Tabletext"/>
              <w:keepNext/>
              <w:jc w:val="right"/>
              <w:rPr>
                <w:rFonts w:cs="Arial"/>
              </w:rPr>
            </w:pPr>
            <w:r w:rsidRPr="0088408E">
              <w:rPr>
                <w:rFonts w:cs="Arial"/>
              </w:rPr>
              <w:t>$</w:t>
            </w:r>
            <w:r w:rsidR="00F34CCB">
              <w:rPr>
                <w:rFonts w:cs="Arial"/>
                <w:noProof/>
                <w:color w:val="000000"/>
                <w:highlight w:val="black"/>
              </w:rPr>
              <w:t>'''''''''''''''</w:t>
            </w:r>
          </w:p>
        </w:tc>
        <w:tc>
          <w:tcPr>
            <w:tcW w:w="475" w:type="pct"/>
          </w:tcPr>
          <w:p w:rsidR="00C35595" w:rsidRPr="0088408E" w:rsidRDefault="00C35595" w:rsidP="00ED6DC4">
            <w:pPr>
              <w:pStyle w:val="Tabletext"/>
              <w:keepNext/>
              <w:jc w:val="center"/>
              <w:rPr>
                <w:rFonts w:cs="Arial"/>
              </w:rPr>
            </w:pPr>
          </w:p>
          <w:p w:rsidR="00C35595" w:rsidRPr="0088408E" w:rsidRDefault="00C35595" w:rsidP="00ED6DC4">
            <w:pPr>
              <w:pStyle w:val="Tabletext"/>
              <w:keepNext/>
              <w:jc w:val="center"/>
              <w:rPr>
                <w:rFonts w:cs="Arial"/>
              </w:rPr>
            </w:pPr>
            <w:r w:rsidRPr="0088408E">
              <w:rPr>
                <w:rFonts w:cs="Arial"/>
              </w:rPr>
              <w:t>-0.22</w:t>
            </w:r>
          </w:p>
          <w:p w:rsidR="00C35595" w:rsidRPr="0088408E" w:rsidRDefault="00C35595" w:rsidP="00ED6DC4">
            <w:pPr>
              <w:pStyle w:val="Tabletext"/>
              <w:keepNext/>
              <w:jc w:val="center"/>
              <w:rPr>
                <w:rFonts w:cs="Arial"/>
              </w:rPr>
            </w:pPr>
            <w:r w:rsidRPr="0088408E">
              <w:rPr>
                <w:rFonts w:cs="Arial"/>
              </w:rPr>
              <w:t>-0.08</w:t>
            </w:r>
          </w:p>
          <w:p w:rsidR="00C35595" w:rsidRPr="0088408E" w:rsidRDefault="00C35595" w:rsidP="00ED6DC4">
            <w:pPr>
              <w:pStyle w:val="Tabletext"/>
              <w:keepNext/>
              <w:jc w:val="center"/>
              <w:rPr>
                <w:rFonts w:cs="Arial"/>
              </w:rPr>
            </w:pPr>
          </w:p>
          <w:p w:rsidR="00C35595" w:rsidRPr="0088408E" w:rsidRDefault="00C35595" w:rsidP="00ED6DC4">
            <w:pPr>
              <w:pStyle w:val="Tabletext"/>
              <w:keepNext/>
              <w:jc w:val="center"/>
              <w:rPr>
                <w:rFonts w:cs="Arial"/>
              </w:rPr>
            </w:pPr>
            <w:r w:rsidRPr="0088408E">
              <w:rPr>
                <w:rFonts w:cs="Arial"/>
              </w:rPr>
              <w:t>-0.24</w:t>
            </w:r>
          </w:p>
          <w:p w:rsidR="00C35595" w:rsidRPr="0088408E" w:rsidRDefault="00C35595" w:rsidP="00ED6DC4">
            <w:pPr>
              <w:pStyle w:val="Tabletext"/>
              <w:keepNext/>
              <w:jc w:val="center"/>
              <w:rPr>
                <w:rFonts w:cs="Arial"/>
              </w:rPr>
            </w:pPr>
            <w:r w:rsidRPr="0088408E">
              <w:rPr>
                <w:rFonts w:cs="Arial"/>
              </w:rPr>
              <w:t>-0.18</w:t>
            </w:r>
          </w:p>
        </w:tc>
        <w:tc>
          <w:tcPr>
            <w:tcW w:w="1006" w:type="pct"/>
          </w:tcPr>
          <w:p w:rsidR="00C35595" w:rsidRPr="0088408E" w:rsidRDefault="00C35595" w:rsidP="00ED6DC4">
            <w:pPr>
              <w:pStyle w:val="Tabletext"/>
              <w:keepNext/>
              <w:jc w:val="right"/>
              <w:rPr>
                <w:rFonts w:cs="Arial"/>
              </w:rPr>
            </w:pPr>
          </w:p>
          <w:p w:rsidR="00C35595" w:rsidRPr="0088408E" w:rsidRDefault="00C35595" w:rsidP="00ED6DC4">
            <w:pPr>
              <w:pStyle w:val="Tabletext"/>
              <w:keepNext/>
              <w:jc w:val="right"/>
              <w:rPr>
                <w:rFonts w:cs="Arial"/>
              </w:rPr>
            </w:pPr>
            <w:r w:rsidRPr="0088408E">
              <w:rPr>
                <w:rFonts w:cs="Arial"/>
              </w:rPr>
              <w:t>$</w:t>
            </w:r>
            <w:r w:rsidR="00F34CCB">
              <w:rPr>
                <w:rFonts w:cs="Arial"/>
                <w:noProof/>
                <w:color w:val="000000"/>
                <w:highlight w:val="black"/>
              </w:rPr>
              <w:t>'''''''''''''''</w:t>
            </w:r>
          </w:p>
          <w:p w:rsidR="00C35595" w:rsidRPr="0088408E" w:rsidRDefault="00C35595" w:rsidP="00ED6DC4">
            <w:pPr>
              <w:pStyle w:val="Tabletext"/>
              <w:keepNext/>
              <w:jc w:val="right"/>
              <w:rPr>
                <w:rFonts w:cs="Arial"/>
              </w:rPr>
            </w:pPr>
            <w:r w:rsidRPr="0088408E">
              <w:rPr>
                <w:rFonts w:cs="Arial"/>
              </w:rPr>
              <w:t>$</w:t>
            </w:r>
            <w:r w:rsidR="00F34CCB">
              <w:rPr>
                <w:rFonts w:cs="Arial"/>
                <w:noProof/>
                <w:color w:val="000000"/>
                <w:highlight w:val="black"/>
              </w:rPr>
              <w:t>'''''''''''''''''</w:t>
            </w:r>
          </w:p>
          <w:p w:rsidR="00C35595" w:rsidRPr="0088408E" w:rsidRDefault="00C35595" w:rsidP="00ED6DC4">
            <w:pPr>
              <w:pStyle w:val="Tabletext"/>
              <w:keepNext/>
              <w:jc w:val="right"/>
              <w:rPr>
                <w:rFonts w:cs="Arial"/>
              </w:rPr>
            </w:pPr>
          </w:p>
          <w:p w:rsidR="00C35595" w:rsidRPr="0088408E" w:rsidRDefault="00C35595" w:rsidP="00ED6DC4">
            <w:pPr>
              <w:pStyle w:val="Tabletext"/>
              <w:keepNext/>
              <w:jc w:val="right"/>
              <w:rPr>
                <w:rFonts w:cs="Arial"/>
              </w:rPr>
            </w:pPr>
            <w:r w:rsidRPr="0088408E">
              <w:rPr>
                <w:rFonts w:cs="Arial"/>
              </w:rPr>
              <w:t>$</w:t>
            </w:r>
            <w:r w:rsidR="00F34CCB">
              <w:rPr>
                <w:rFonts w:cs="Arial"/>
                <w:noProof/>
                <w:color w:val="000000"/>
                <w:highlight w:val="black"/>
              </w:rPr>
              <w:t>''''''''''''''''</w:t>
            </w:r>
          </w:p>
          <w:p w:rsidR="00C35595" w:rsidRPr="0088408E" w:rsidRDefault="00C35595" w:rsidP="00ED6DC4">
            <w:pPr>
              <w:pStyle w:val="Tabletext"/>
              <w:keepNext/>
              <w:jc w:val="right"/>
              <w:rPr>
                <w:rFonts w:cs="Arial"/>
              </w:rPr>
            </w:pPr>
            <w:r w:rsidRPr="0088408E">
              <w:rPr>
                <w:rFonts w:cs="Arial"/>
              </w:rPr>
              <w:t>$</w:t>
            </w:r>
            <w:r w:rsidR="00F34CCB">
              <w:rPr>
                <w:rFonts w:cs="Arial"/>
                <w:noProof/>
                <w:color w:val="000000"/>
                <w:highlight w:val="black"/>
              </w:rPr>
              <w:t>''''''''''''''''</w:t>
            </w:r>
          </w:p>
        </w:tc>
      </w:tr>
    </w:tbl>
    <w:p w:rsidR="00C35595" w:rsidRPr="0088408E" w:rsidRDefault="00C35595" w:rsidP="00C35595">
      <w:pPr>
        <w:pStyle w:val="TableFooter"/>
        <w:ind w:left="709"/>
      </w:pPr>
      <w:r w:rsidRPr="0088408E">
        <w:t>Source: Table 76, p181 of the submission; and constructed during the evaluation</w:t>
      </w:r>
    </w:p>
    <w:p w:rsidR="00C35595" w:rsidRPr="0088408E" w:rsidRDefault="00C35595" w:rsidP="00C35595">
      <w:pPr>
        <w:pStyle w:val="TableFooter"/>
        <w:ind w:left="709"/>
      </w:pPr>
      <w:r w:rsidRPr="0088408E">
        <w:t>CSE = clinically significant exacerbation; ICER = incremental cost effectiveness ratio; PBS = Pharmaceutical Benefits Scheme</w:t>
      </w:r>
    </w:p>
    <w:p w:rsidR="00C35595" w:rsidRPr="0088408E" w:rsidRDefault="00C35595" w:rsidP="00C35595">
      <w:pPr>
        <w:pStyle w:val="TableFooter"/>
        <w:ind w:left="709"/>
      </w:pPr>
      <w:r w:rsidRPr="0088408E">
        <w:rPr>
          <w:vertAlign w:val="superscript"/>
        </w:rPr>
        <w:t xml:space="preserve">a </w:t>
      </w:r>
      <w:r w:rsidRPr="0088408E">
        <w:t xml:space="preserve">The dosing for adults was sourced from tab “ChildvsAdolAd” in the section D workbook of the submission </w:t>
      </w:r>
    </w:p>
    <w:p w:rsidR="003649A2" w:rsidRPr="0088408E" w:rsidRDefault="003649A2" w:rsidP="009166CC">
      <w:pPr>
        <w:pStyle w:val="TableFooter"/>
        <w:ind w:left="709"/>
        <w:rPr>
          <w:szCs w:val="22"/>
        </w:rPr>
      </w:pPr>
    </w:p>
    <w:p w:rsidR="000D56D7" w:rsidRPr="000A656C" w:rsidRDefault="000D56D7" w:rsidP="000D56D7">
      <w:pPr>
        <w:pStyle w:val="ListParagraph"/>
        <w:widowControl/>
      </w:pPr>
      <w:r w:rsidRPr="000A656C">
        <w:t xml:space="preserve">The redacted table shows ICERs in the range of </w:t>
      </w:r>
      <w:r>
        <w:t>less than $15,000 per CSE avoided, $15,000 - $45,000/CSE avoided and $45,000- $75,000/CSE avoided.</w:t>
      </w:r>
    </w:p>
    <w:p w:rsidR="000A656C" w:rsidRPr="000A656C" w:rsidRDefault="000A656C" w:rsidP="000A656C">
      <w:pPr>
        <w:pStyle w:val="ListParagraph"/>
        <w:widowControl/>
        <w:rPr>
          <w:szCs w:val="22"/>
        </w:rPr>
      </w:pPr>
    </w:p>
    <w:p w:rsidR="003649A2" w:rsidRPr="0088408E" w:rsidRDefault="006F7346" w:rsidP="001F69C2">
      <w:pPr>
        <w:pStyle w:val="ListParagraph"/>
        <w:widowControl/>
        <w:numPr>
          <w:ilvl w:val="1"/>
          <w:numId w:val="2"/>
        </w:numPr>
        <w:rPr>
          <w:szCs w:val="22"/>
        </w:rPr>
      </w:pPr>
      <w:r w:rsidRPr="0088408E">
        <w:t>The sensitivity analyses showed</w:t>
      </w:r>
      <w:r w:rsidR="003649A2" w:rsidRPr="0088408E">
        <w:t>:</w:t>
      </w:r>
    </w:p>
    <w:p w:rsidR="003649A2" w:rsidRPr="0088408E" w:rsidRDefault="00471B61" w:rsidP="001F69C2">
      <w:pPr>
        <w:pStyle w:val="ListParagraph"/>
        <w:widowControl/>
        <w:numPr>
          <w:ilvl w:val="2"/>
          <w:numId w:val="2"/>
        </w:numPr>
        <w:ind w:left="993" w:hanging="284"/>
      </w:pPr>
      <w:r w:rsidRPr="0088408E">
        <w:t>The cost per clinically significant exacerbation avoided was reasonably similar between the paediatric and adolescent/adult population;</w:t>
      </w:r>
      <w:r w:rsidR="003649A2" w:rsidRPr="0088408E">
        <w:t xml:space="preserve"> and</w:t>
      </w:r>
    </w:p>
    <w:p w:rsidR="003649A2" w:rsidRPr="0088408E" w:rsidRDefault="003649A2" w:rsidP="001F69C2">
      <w:pPr>
        <w:pStyle w:val="ListParagraph"/>
        <w:widowControl/>
        <w:numPr>
          <w:ilvl w:val="2"/>
          <w:numId w:val="2"/>
        </w:numPr>
        <w:ind w:left="993" w:hanging="284"/>
      </w:pPr>
      <w:r w:rsidRPr="0088408E">
        <w:t>The cost per severe exacerbation avoided was higher in the paediatric population</w:t>
      </w:r>
      <w:r w:rsidR="00471B61" w:rsidRPr="0088408E">
        <w:t xml:space="preserve"> compared with the adolescent/adult population</w:t>
      </w:r>
      <w:r w:rsidRPr="0088408E">
        <w:t xml:space="preserve">. </w:t>
      </w:r>
    </w:p>
    <w:p w:rsidR="00C41F2D" w:rsidRPr="0088408E" w:rsidRDefault="00C41F2D" w:rsidP="00C41F2D">
      <w:pPr>
        <w:widowControl/>
        <w:rPr>
          <w:szCs w:val="22"/>
        </w:rPr>
      </w:pPr>
      <w:bookmarkStart w:id="25" w:name="_Toc451348700"/>
    </w:p>
    <w:p w:rsidR="00C41F2D" w:rsidRPr="0088408E" w:rsidRDefault="00C41F2D" w:rsidP="001F69C2">
      <w:pPr>
        <w:pStyle w:val="ListParagraph"/>
        <w:widowControl/>
        <w:numPr>
          <w:ilvl w:val="1"/>
          <w:numId w:val="2"/>
        </w:numPr>
        <w:rPr>
          <w:szCs w:val="22"/>
        </w:rPr>
      </w:pPr>
      <w:r w:rsidRPr="0088408E">
        <w:rPr>
          <w:szCs w:val="22"/>
        </w:rPr>
        <w:t>The ESC acknowled</w:t>
      </w:r>
      <w:r w:rsidR="002D50A4" w:rsidRPr="0088408E">
        <w:rPr>
          <w:szCs w:val="22"/>
        </w:rPr>
        <w:t>ged the difficulties inherent in</w:t>
      </w:r>
      <w:r w:rsidRPr="0088408E">
        <w:rPr>
          <w:szCs w:val="22"/>
        </w:rPr>
        <w:t xml:space="preserve"> determining utility values to inform a cost-utility analysis in the proposed population, noting in particular that it is difficult to estimate utilities in paediatric populations, but considered that it was difficult to interpret the cost per clinically significant exacerbation avoided. Overall the ESC considered that:</w:t>
      </w:r>
    </w:p>
    <w:p w:rsidR="004D1BB0" w:rsidRPr="0088408E" w:rsidRDefault="004D1BB0" w:rsidP="001F69C2">
      <w:pPr>
        <w:pStyle w:val="ListParagraph"/>
        <w:widowControl/>
        <w:numPr>
          <w:ilvl w:val="2"/>
          <w:numId w:val="2"/>
        </w:numPr>
        <w:ind w:left="1260" w:hanging="450"/>
        <w:rPr>
          <w:szCs w:val="22"/>
        </w:rPr>
      </w:pPr>
      <w:r w:rsidRPr="0088408E">
        <w:rPr>
          <w:szCs w:val="22"/>
        </w:rPr>
        <w:t xml:space="preserve">The comparison of cost per clinically significant exacerbation avoided in the paediatric population compared to the adolescent/adult population suggested similar cost-effectiveness based on this outcome, but the cost per severe exacerbation avoided is higher in the paediatric population; </w:t>
      </w:r>
    </w:p>
    <w:p w:rsidR="004D1BB0" w:rsidRPr="0088408E" w:rsidRDefault="004D1BB0" w:rsidP="001F69C2">
      <w:pPr>
        <w:pStyle w:val="ListParagraph"/>
        <w:widowControl/>
        <w:numPr>
          <w:ilvl w:val="2"/>
          <w:numId w:val="2"/>
        </w:numPr>
        <w:ind w:left="1260" w:hanging="450"/>
      </w:pPr>
      <w:r w:rsidRPr="0088408E">
        <w:rPr>
          <w:szCs w:val="22"/>
        </w:rPr>
        <w:t>It is difficult to directly interpret the cost per clinically significant exacerbation avoided in a QALY framework because the impact of exacerbations on mortality and quality of life has not been modelled, though health care costs (including hospitalisations) associated with exacerbations are included in the reported ICERs;</w:t>
      </w:r>
      <w:r w:rsidR="00CB26CB" w:rsidRPr="0088408E">
        <w:rPr>
          <w:szCs w:val="22"/>
        </w:rPr>
        <w:t xml:space="preserve"> and</w:t>
      </w:r>
    </w:p>
    <w:p w:rsidR="004D1BB0" w:rsidRPr="0088408E" w:rsidRDefault="002D50A4" w:rsidP="001F69C2">
      <w:pPr>
        <w:pStyle w:val="ListParagraph"/>
        <w:widowControl/>
        <w:numPr>
          <w:ilvl w:val="2"/>
          <w:numId w:val="2"/>
        </w:numPr>
        <w:ind w:left="1260" w:hanging="450"/>
        <w:rPr>
          <w:szCs w:val="22"/>
        </w:rPr>
      </w:pPr>
      <w:r w:rsidRPr="0088408E">
        <w:t>To provide a frame of reference for interpreting a cost per clinically significant exacerbation in a QALY framework, the ESC noted that if no mortality effect is modelled, an exacerbation would need to be lead to a loss of 0.28 QALYs to achieve an ICER of $50,000 per QALY.</w:t>
      </w:r>
    </w:p>
    <w:p w:rsidR="00BD736F" w:rsidRPr="0088408E" w:rsidRDefault="00BD736F" w:rsidP="00BD736F"/>
    <w:p w:rsidR="003649A2" w:rsidRPr="00DA2551" w:rsidRDefault="003649A2" w:rsidP="00F34CCB">
      <w:pPr>
        <w:pStyle w:val="Heading2"/>
      </w:pPr>
      <w:r w:rsidRPr="00DA2551">
        <w:t>Drug cost/patient/year: $</w:t>
      </w:r>
      <w:bookmarkEnd w:id="25"/>
      <w:r w:rsidR="00F34CCB">
        <w:rPr>
          <w:noProof/>
          <w:color w:val="000000"/>
          <w:highlight w:val="black"/>
        </w:rPr>
        <w:t>'''''''''''''</w:t>
      </w:r>
    </w:p>
    <w:p w:rsidR="00DE730E" w:rsidRPr="0088408E" w:rsidRDefault="00DE730E" w:rsidP="00DE730E">
      <w:pPr>
        <w:pStyle w:val="ListParagraph"/>
        <w:rPr>
          <w:szCs w:val="22"/>
        </w:rPr>
      </w:pPr>
    </w:p>
    <w:p w:rsidR="003649A2" w:rsidRPr="0088408E" w:rsidRDefault="00540E9A" w:rsidP="001F69C2">
      <w:pPr>
        <w:pStyle w:val="ListParagraph"/>
        <w:numPr>
          <w:ilvl w:val="1"/>
          <w:numId w:val="2"/>
        </w:numPr>
        <w:rPr>
          <w:szCs w:val="22"/>
        </w:rPr>
      </w:pPr>
      <w:r w:rsidRPr="0088408E">
        <w:rPr>
          <w:szCs w:val="22"/>
        </w:rPr>
        <w:t xml:space="preserve">The drug cost/patient/year for </w:t>
      </w:r>
      <w:r w:rsidR="003649A2" w:rsidRPr="0088408E">
        <w:rPr>
          <w:szCs w:val="22"/>
        </w:rPr>
        <w:t>omalizumab</w:t>
      </w:r>
      <w:r w:rsidR="00B56F7E" w:rsidRPr="0088408E">
        <w:rPr>
          <w:szCs w:val="22"/>
        </w:rPr>
        <w:t xml:space="preserve"> is</w:t>
      </w:r>
      <w:r w:rsidR="003649A2" w:rsidRPr="0088408E">
        <w:rPr>
          <w:szCs w:val="22"/>
        </w:rPr>
        <w:t xml:space="preserve"> </w:t>
      </w:r>
      <w:r w:rsidR="00962313" w:rsidRPr="0088408E">
        <w:rPr>
          <w:szCs w:val="22"/>
        </w:rPr>
        <w:t xml:space="preserve">based on the effective price of </w:t>
      </w:r>
      <w:r w:rsidR="008E14E6" w:rsidRPr="0088408E">
        <w:rPr>
          <w:szCs w:val="22"/>
        </w:rPr>
        <w:t>$</w:t>
      </w:r>
      <w:r w:rsidR="00F34CCB">
        <w:rPr>
          <w:noProof/>
          <w:color w:val="000000"/>
          <w:szCs w:val="22"/>
          <w:highlight w:val="black"/>
        </w:rPr>
        <w:t>''''''''''''''''</w:t>
      </w:r>
      <w:r w:rsidR="00962313" w:rsidRPr="0088408E">
        <w:rPr>
          <w:szCs w:val="22"/>
        </w:rPr>
        <w:t xml:space="preserve"> </w:t>
      </w:r>
      <w:r w:rsidR="003649A2" w:rsidRPr="0088408E">
        <w:rPr>
          <w:szCs w:val="22"/>
        </w:rPr>
        <w:t>per patient per four weeks. This was based on the IA05-EU dosing schedule where on average 0.6</w:t>
      </w:r>
      <w:r w:rsidR="00FA36C0" w:rsidRPr="0088408E">
        <w:rPr>
          <w:szCs w:val="22"/>
        </w:rPr>
        <w:t xml:space="preserve"> x </w:t>
      </w:r>
      <w:r w:rsidR="003649A2" w:rsidRPr="0088408E">
        <w:rPr>
          <w:szCs w:val="22"/>
        </w:rPr>
        <w:t xml:space="preserve">75 mg syringes and 2.2 </w:t>
      </w:r>
      <w:r w:rsidR="00FA36C0" w:rsidRPr="0088408E">
        <w:rPr>
          <w:szCs w:val="22"/>
        </w:rPr>
        <w:t xml:space="preserve">x </w:t>
      </w:r>
      <w:r w:rsidR="003649A2" w:rsidRPr="0088408E">
        <w:rPr>
          <w:szCs w:val="22"/>
        </w:rPr>
        <w:t>150 mg syringes were used every four weeks</w:t>
      </w:r>
      <w:r w:rsidR="00234276" w:rsidRPr="0088408E">
        <w:rPr>
          <w:szCs w:val="22"/>
        </w:rPr>
        <w:t xml:space="preserve">, and included the </w:t>
      </w:r>
      <w:r w:rsidR="00F34CCB">
        <w:rPr>
          <w:noProof/>
          <w:color w:val="000000"/>
          <w:szCs w:val="22"/>
          <w:highlight w:val="black"/>
        </w:rPr>
        <w:t>'''''''''''''''</w:t>
      </w:r>
      <w:r w:rsidR="00234276" w:rsidRPr="0088408E">
        <w:rPr>
          <w:szCs w:val="22"/>
        </w:rPr>
        <w:t>% rebate</w:t>
      </w:r>
      <w:r w:rsidR="003649A2" w:rsidRPr="0088408E">
        <w:rPr>
          <w:szCs w:val="22"/>
        </w:rPr>
        <w:t xml:space="preserve">. This four-weekly cost was multiplied by 13 to get the yearly cost per patient of </w:t>
      </w:r>
      <w:r w:rsidR="00D84F00" w:rsidRPr="0088408E">
        <w:rPr>
          <w:szCs w:val="22"/>
        </w:rPr>
        <w:t>$</w:t>
      </w:r>
      <w:r w:rsidR="00F34CCB">
        <w:rPr>
          <w:noProof/>
          <w:color w:val="000000"/>
          <w:szCs w:val="22"/>
          <w:highlight w:val="black"/>
        </w:rPr>
        <w:t>''''''''''''''''</w:t>
      </w:r>
      <w:r w:rsidR="003649A2" w:rsidRPr="0088408E">
        <w:rPr>
          <w:szCs w:val="22"/>
        </w:rPr>
        <w:t xml:space="preserve">. </w:t>
      </w:r>
    </w:p>
    <w:p w:rsidR="003649A2" w:rsidRPr="0088408E" w:rsidRDefault="003649A2" w:rsidP="003649A2">
      <w:pPr>
        <w:rPr>
          <w:szCs w:val="22"/>
        </w:rPr>
      </w:pPr>
    </w:p>
    <w:p w:rsidR="003649A2" w:rsidRPr="00DA2551" w:rsidRDefault="00F14E0C" w:rsidP="00F34CCB">
      <w:pPr>
        <w:pStyle w:val="Heading2"/>
      </w:pPr>
      <w:bookmarkStart w:id="26" w:name="_Toc451348701"/>
      <w:r w:rsidRPr="00DA2551">
        <w:t>Estimated PBS usage and</w:t>
      </w:r>
      <w:r w:rsidR="003649A2" w:rsidRPr="00DA2551">
        <w:t xml:space="preserve"> financial implications</w:t>
      </w:r>
      <w:bookmarkEnd w:id="26"/>
    </w:p>
    <w:p w:rsidR="003649A2" w:rsidRPr="0088408E" w:rsidRDefault="003649A2" w:rsidP="003649A2">
      <w:pPr>
        <w:ind w:left="720" w:hanging="720"/>
        <w:rPr>
          <w:b/>
          <w:szCs w:val="22"/>
        </w:rPr>
      </w:pPr>
    </w:p>
    <w:p w:rsidR="003649A2" w:rsidRPr="0088408E" w:rsidRDefault="00DA0377" w:rsidP="003649A2">
      <w:pPr>
        <w:pStyle w:val="ListParagraph"/>
        <w:widowControl/>
        <w:ind w:hanging="720"/>
      </w:pPr>
      <w:r w:rsidRPr="00F34CCB">
        <w:rPr>
          <w:bCs/>
          <w:szCs w:val="22"/>
        </w:rPr>
        <w:t>This submission was not considered by DUSC</w:t>
      </w:r>
      <w:r w:rsidR="003649A2" w:rsidRPr="00F34CCB">
        <w:rPr>
          <w:color w:val="0070C0"/>
        </w:rPr>
        <w:t xml:space="preserve">.  </w:t>
      </w:r>
    </w:p>
    <w:p w:rsidR="003649A2" w:rsidRPr="00200BDE" w:rsidRDefault="003649A2" w:rsidP="001F69C2">
      <w:pPr>
        <w:pStyle w:val="ListParagraph"/>
        <w:widowControl/>
        <w:numPr>
          <w:ilvl w:val="1"/>
          <w:numId w:val="2"/>
        </w:numPr>
        <w:rPr>
          <w:szCs w:val="22"/>
        </w:rPr>
      </w:pPr>
      <w:r w:rsidRPr="00200BDE">
        <w:rPr>
          <w:szCs w:val="22"/>
        </w:rPr>
        <w:t xml:space="preserve">The submission presented an epidemiological approach to the analysis of the financial impact of listing omalizumab on the PBS. The submission modified the </w:t>
      </w:r>
      <w:r w:rsidR="0088408E" w:rsidRPr="00200BDE">
        <w:rPr>
          <w:szCs w:val="22"/>
        </w:rPr>
        <w:t>approach that</w:t>
      </w:r>
      <w:r w:rsidRPr="00200BDE">
        <w:rPr>
          <w:szCs w:val="22"/>
        </w:rPr>
        <w:t xml:space="preserve"> it took for the listing of omalizumab for the adult population (November 2010).</w:t>
      </w:r>
      <w:r w:rsidR="00D42947" w:rsidRPr="00200BDE">
        <w:rPr>
          <w:szCs w:val="22"/>
        </w:rPr>
        <w:t xml:space="preserve"> The PSCR (p6) provided the following table of financial implications updated to account for the change in </w:t>
      </w:r>
      <w:r w:rsidR="00EB4576" w:rsidRPr="00200BDE">
        <w:rPr>
          <w:szCs w:val="22"/>
        </w:rPr>
        <w:t>SPA</w:t>
      </w:r>
      <w:r w:rsidR="00D42947" w:rsidRPr="00200BDE">
        <w:rPr>
          <w:szCs w:val="22"/>
        </w:rPr>
        <w:t>.</w:t>
      </w:r>
    </w:p>
    <w:p w:rsidR="00946DAD" w:rsidRPr="0088408E" w:rsidRDefault="00946DAD" w:rsidP="005230EA">
      <w:pPr>
        <w:pStyle w:val="ListParagraph"/>
        <w:rPr>
          <w:szCs w:val="22"/>
        </w:rPr>
      </w:pPr>
    </w:p>
    <w:p w:rsidR="001A05EA" w:rsidRPr="0088408E" w:rsidRDefault="001A05EA" w:rsidP="001A05EA">
      <w:pPr>
        <w:keepNext/>
        <w:keepLines/>
        <w:ind w:left="709"/>
        <w:rPr>
          <w:rStyle w:val="CommentReference"/>
          <w:b w:val="0"/>
          <w:szCs w:val="20"/>
        </w:rPr>
      </w:pPr>
      <w:r w:rsidRPr="0088408E">
        <w:rPr>
          <w:rStyle w:val="CommentReference"/>
          <w:szCs w:val="20"/>
        </w:rPr>
        <w:t>Table 10: Estimated use and financial implications – updated effective omalizumab price (1 June 2016)</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9"/>
        <w:gridCol w:w="1134"/>
        <w:gridCol w:w="1133"/>
        <w:gridCol w:w="1275"/>
        <w:gridCol w:w="1275"/>
        <w:gridCol w:w="1260"/>
      </w:tblGrid>
      <w:tr w:rsidR="001A05EA" w:rsidRPr="0088408E" w:rsidTr="00FD73F9">
        <w:trPr>
          <w:tblHeader/>
        </w:trPr>
        <w:tc>
          <w:tcPr>
            <w:tcW w:w="1359" w:type="pct"/>
            <w:shd w:val="clear" w:color="auto" w:fill="auto"/>
            <w:vAlign w:val="center"/>
          </w:tcPr>
          <w:p w:rsidR="001A05EA" w:rsidRPr="0088408E" w:rsidRDefault="001A05EA" w:rsidP="00FD73F9">
            <w:pPr>
              <w:keepNext/>
              <w:tabs>
                <w:tab w:val="left" w:pos="142"/>
              </w:tabs>
              <w:rPr>
                <w:rFonts w:ascii="Arial Narrow" w:hAnsi="Arial Narrow"/>
                <w:b/>
                <w:sz w:val="20"/>
              </w:rPr>
            </w:pPr>
          </w:p>
        </w:tc>
        <w:tc>
          <w:tcPr>
            <w:tcW w:w="679" w:type="pct"/>
            <w:shd w:val="clear" w:color="auto" w:fill="auto"/>
            <w:vAlign w:val="center"/>
          </w:tcPr>
          <w:p w:rsidR="001A05EA" w:rsidRPr="0088408E" w:rsidRDefault="001A05EA" w:rsidP="00FD73F9">
            <w:pPr>
              <w:keepNext/>
              <w:jc w:val="center"/>
              <w:rPr>
                <w:rFonts w:ascii="Arial Narrow" w:hAnsi="Arial Narrow"/>
                <w:b/>
                <w:sz w:val="20"/>
              </w:rPr>
            </w:pPr>
            <w:r w:rsidRPr="0088408E">
              <w:rPr>
                <w:rFonts w:ascii="Arial Narrow" w:hAnsi="Arial Narrow"/>
                <w:b/>
                <w:sz w:val="20"/>
              </w:rPr>
              <w:t>Year 1</w:t>
            </w:r>
          </w:p>
        </w:tc>
        <w:tc>
          <w:tcPr>
            <w:tcW w:w="679" w:type="pct"/>
            <w:shd w:val="clear" w:color="auto" w:fill="auto"/>
            <w:vAlign w:val="center"/>
          </w:tcPr>
          <w:p w:rsidR="001A05EA" w:rsidRPr="0088408E" w:rsidRDefault="001A05EA" w:rsidP="00FD73F9">
            <w:pPr>
              <w:keepNext/>
              <w:jc w:val="center"/>
              <w:rPr>
                <w:rFonts w:ascii="Arial Narrow" w:hAnsi="Arial Narrow"/>
                <w:b/>
                <w:sz w:val="20"/>
              </w:rPr>
            </w:pPr>
            <w:r w:rsidRPr="0088408E">
              <w:rPr>
                <w:rFonts w:ascii="Arial Narrow" w:hAnsi="Arial Narrow"/>
                <w:b/>
                <w:sz w:val="20"/>
              </w:rPr>
              <w:t>Year 2</w:t>
            </w:r>
          </w:p>
        </w:tc>
        <w:tc>
          <w:tcPr>
            <w:tcW w:w="764" w:type="pct"/>
            <w:shd w:val="clear" w:color="auto" w:fill="auto"/>
            <w:vAlign w:val="center"/>
          </w:tcPr>
          <w:p w:rsidR="001A05EA" w:rsidRPr="0088408E" w:rsidRDefault="001A05EA" w:rsidP="00FD73F9">
            <w:pPr>
              <w:keepNext/>
              <w:jc w:val="center"/>
              <w:rPr>
                <w:rFonts w:ascii="Arial Narrow" w:hAnsi="Arial Narrow"/>
                <w:b/>
                <w:sz w:val="20"/>
              </w:rPr>
            </w:pPr>
            <w:r w:rsidRPr="0088408E">
              <w:rPr>
                <w:rFonts w:ascii="Arial Narrow" w:hAnsi="Arial Narrow"/>
                <w:b/>
                <w:sz w:val="20"/>
              </w:rPr>
              <w:t>Year 3</w:t>
            </w:r>
          </w:p>
        </w:tc>
        <w:tc>
          <w:tcPr>
            <w:tcW w:w="764" w:type="pct"/>
            <w:shd w:val="clear" w:color="auto" w:fill="auto"/>
            <w:vAlign w:val="center"/>
          </w:tcPr>
          <w:p w:rsidR="001A05EA" w:rsidRPr="0088408E" w:rsidRDefault="001A05EA" w:rsidP="00FD73F9">
            <w:pPr>
              <w:keepNext/>
              <w:jc w:val="center"/>
              <w:rPr>
                <w:rFonts w:ascii="Arial Narrow" w:hAnsi="Arial Narrow"/>
                <w:b/>
                <w:sz w:val="20"/>
              </w:rPr>
            </w:pPr>
            <w:r w:rsidRPr="0088408E">
              <w:rPr>
                <w:rFonts w:ascii="Arial Narrow" w:hAnsi="Arial Narrow"/>
                <w:b/>
                <w:sz w:val="20"/>
              </w:rPr>
              <w:t>Year 4</w:t>
            </w:r>
          </w:p>
        </w:tc>
        <w:tc>
          <w:tcPr>
            <w:tcW w:w="755" w:type="pct"/>
            <w:shd w:val="clear" w:color="auto" w:fill="auto"/>
            <w:vAlign w:val="center"/>
          </w:tcPr>
          <w:p w:rsidR="001A05EA" w:rsidRPr="0088408E" w:rsidRDefault="001A05EA" w:rsidP="00FD73F9">
            <w:pPr>
              <w:keepNext/>
              <w:jc w:val="center"/>
              <w:rPr>
                <w:rFonts w:ascii="Arial Narrow" w:hAnsi="Arial Narrow"/>
                <w:b/>
                <w:sz w:val="20"/>
              </w:rPr>
            </w:pPr>
            <w:r w:rsidRPr="0088408E">
              <w:rPr>
                <w:rFonts w:ascii="Arial Narrow" w:hAnsi="Arial Narrow"/>
                <w:b/>
                <w:sz w:val="20"/>
              </w:rPr>
              <w:t>Year 5</w:t>
            </w:r>
          </w:p>
        </w:tc>
      </w:tr>
      <w:tr w:rsidR="001A05EA" w:rsidRPr="0088408E" w:rsidTr="00FD73F9">
        <w:tc>
          <w:tcPr>
            <w:tcW w:w="5000" w:type="pct"/>
            <w:gridSpan w:val="6"/>
            <w:shd w:val="clear" w:color="auto" w:fill="auto"/>
            <w:vAlign w:val="center"/>
          </w:tcPr>
          <w:p w:rsidR="001A05EA" w:rsidRPr="0088408E" w:rsidRDefault="001A05EA" w:rsidP="00FD73F9">
            <w:pPr>
              <w:keepNext/>
              <w:rPr>
                <w:rFonts w:ascii="Arial Narrow" w:hAnsi="Arial Narrow"/>
                <w:b/>
                <w:bCs/>
                <w:color w:val="000000"/>
                <w:sz w:val="20"/>
              </w:rPr>
            </w:pPr>
            <w:r w:rsidRPr="0088408E">
              <w:rPr>
                <w:rFonts w:ascii="Arial Narrow" w:hAnsi="Arial Narrow"/>
                <w:b/>
                <w:bCs/>
                <w:color w:val="000000"/>
                <w:sz w:val="20"/>
              </w:rPr>
              <w:t>Estimated extent of use</w:t>
            </w:r>
          </w:p>
        </w:tc>
      </w:tr>
      <w:tr w:rsidR="001A05EA" w:rsidRPr="0088408E" w:rsidTr="00FD73F9">
        <w:tc>
          <w:tcPr>
            <w:tcW w:w="1359" w:type="pct"/>
            <w:shd w:val="clear" w:color="auto" w:fill="auto"/>
            <w:vAlign w:val="center"/>
          </w:tcPr>
          <w:p w:rsidR="001A05EA" w:rsidRPr="0088408E" w:rsidRDefault="001A05EA" w:rsidP="00FD73F9">
            <w:pPr>
              <w:keepNext/>
              <w:tabs>
                <w:tab w:val="left" w:pos="142"/>
              </w:tabs>
              <w:rPr>
                <w:rFonts w:ascii="Arial Narrow" w:hAnsi="Arial Narrow"/>
                <w:sz w:val="20"/>
              </w:rPr>
            </w:pPr>
            <w:r w:rsidRPr="0088408E">
              <w:rPr>
                <w:rFonts w:ascii="Arial Narrow" w:hAnsi="Arial Narrow"/>
                <w:sz w:val="20"/>
              </w:rPr>
              <w:t>Number treated (responders)</w:t>
            </w:r>
          </w:p>
        </w:tc>
        <w:tc>
          <w:tcPr>
            <w:tcW w:w="679" w:type="pct"/>
            <w:shd w:val="clear" w:color="auto" w:fill="auto"/>
          </w:tcPr>
          <w:p w:rsidR="001A05EA" w:rsidRPr="0088408E" w:rsidRDefault="00F34CCB" w:rsidP="00FD73F9">
            <w:pPr>
              <w:keepNext/>
              <w:jc w:val="center"/>
              <w:rPr>
                <w:rFonts w:ascii="Arial Narrow" w:hAnsi="Arial Narrow"/>
                <w:sz w:val="20"/>
              </w:rPr>
            </w:pPr>
            <w:r>
              <w:rPr>
                <w:rFonts w:ascii="Arial Narrow" w:hAnsi="Arial Narrow"/>
                <w:noProof/>
                <w:color w:val="000000"/>
                <w:sz w:val="20"/>
                <w:highlight w:val="black"/>
              </w:rPr>
              <w:t>'''''</w:t>
            </w:r>
            <w:r w:rsidR="001A05EA" w:rsidRPr="0088408E">
              <w:rPr>
                <w:rFonts w:ascii="Arial Narrow" w:hAnsi="Arial Narrow"/>
                <w:sz w:val="20"/>
              </w:rPr>
              <w:t xml:space="preserve"> (</w:t>
            </w:r>
            <w:r>
              <w:rPr>
                <w:rFonts w:ascii="Arial Narrow" w:hAnsi="Arial Narrow"/>
                <w:noProof/>
                <w:color w:val="000000"/>
                <w:sz w:val="20"/>
                <w:highlight w:val="black"/>
              </w:rPr>
              <w:t>''''''</w:t>
            </w:r>
            <w:r w:rsidR="001A05EA" w:rsidRPr="0088408E">
              <w:rPr>
                <w:rFonts w:ascii="Arial Narrow" w:hAnsi="Arial Narrow"/>
                <w:sz w:val="20"/>
              </w:rPr>
              <w:t>)</w:t>
            </w:r>
          </w:p>
        </w:tc>
        <w:tc>
          <w:tcPr>
            <w:tcW w:w="679" w:type="pct"/>
            <w:shd w:val="clear" w:color="auto" w:fill="auto"/>
          </w:tcPr>
          <w:p w:rsidR="001A05EA" w:rsidRPr="0088408E" w:rsidRDefault="00F34CCB" w:rsidP="00FD73F9">
            <w:pPr>
              <w:keepNext/>
              <w:jc w:val="center"/>
              <w:rPr>
                <w:rFonts w:ascii="Arial Narrow" w:hAnsi="Arial Narrow"/>
                <w:sz w:val="20"/>
              </w:rPr>
            </w:pPr>
            <w:r>
              <w:rPr>
                <w:rFonts w:ascii="Arial Narrow" w:hAnsi="Arial Narrow"/>
                <w:noProof/>
                <w:color w:val="000000"/>
                <w:sz w:val="20"/>
                <w:highlight w:val="black"/>
              </w:rPr>
              <w:t>''''''</w:t>
            </w:r>
            <w:r w:rsidR="001A05EA" w:rsidRPr="0088408E">
              <w:rPr>
                <w:rFonts w:ascii="Arial Narrow" w:hAnsi="Arial Narrow"/>
                <w:sz w:val="20"/>
              </w:rPr>
              <w:t xml:space="preserve"> (</w:t>
            </w:r>
            <w:r>
              <w:rPr>
                <w:rFonts w:ascii="Arial Narrow" w:hAnsi="Arial Narrow"/>
                <w:noProof/>
                <w:color w:val="000000"/>
                <w:sz w:val="20"/>
                <w:highlight w:val="black"/>
              </w:rPr>
              <w:t>''''''</w:t>
            </w:r>
            <w:r w:rsidR="001A05EA" w:rsidRPr="0088408E">
              <w:rPr>
                <w:rFonts w:ascii="Arial Narrow" w:hAnsi="Arial Narrow"/>
                <w:sz w:val="20"/>
              </w:rPr>
              <w:t>)</w:t>
            </w:r>
          </w:p>
        </w:tc>
        <w:tc>
          <w:tcPr>
            <w:tcW w:w="764" w:type="pct"/>
            <w:shd w:val="clear" w:color="auto" w:fill="auto"/>
          </w:tcPr>
          <w:p w:rsidR="001A05EA" w:rsidRPr="0088408E" w:rsidRDefault="00F34CCB" w:rsidP="00FD73F9">
            <w:pPr>
              <w:keepNext/>
              <w:jc w:val="center"/>
              <w:rPr>
                <w:rFonts w:ascii="Arial Narrow" w:hAnsi="Arial Narrow"/>
                <w:sz w:val="20"/>
              </w:rPr>
            </w:pPr>
            <w:r>
              <w:rPr>
                <w:rFonts w:ascii="Arial Narrow" w:hAnsi="Arial Narrow"/>
                <w:noProof/>
                <w:color w:val="000000"/>
                <w:sz w:val="20"/>
                <w:highlight w:val="black"/>
              </w:rPr>
              <w:t>''''''</w:t>
            </w:r>
            <w:r w:rsidR="001A05EA" w:rsidRPr="0088408E">
              <w:rPr>
                <w:rFonts w:ascii="Arial Narrow" w:hAnsi="Arial Narrow"/>
                <w:sz w:val="20"/>
              </w:rPr>
              <w:t xml:space="preserve"> (</w:t>
            </w:r>
            <w:r>
              <w:rPr>
                <w:rFonts w:ascii="Arial Narrow" w:hAnsi="Arial Narrow"/>
                <w:noProof/>
                <w:color w:val="000000"/>
                <w:sz w:val="20"/>
                <w:highlight w:val="black"/>
              </w:rPr>
              <w:t>'''''</w:t>
            </w:r>
            <w:r w:rsidR="001A05EA" w:rsidRPr="0088408E">
              <w:rPr>
                <w:rFonts w:ascii="Arial Narrow" w:hAnsi="Arial Narrow"/>
                <w:sz w:val="20"/>
              </w:rPr>
              <w:t>)</w:t>
            </w:r>
          </w:p>
        </w:tc>
        <w:tc>
          <w:tcPr>
            <w:tcW w:w="764" w:type="pct"/>
            <w:shd w:val="clear" w:color="auto" w:fill="auto"/>
          </w:tcPr>
          <w:p w:rsidR="001A05EA" w:rsidRPr="0088408E" w:rsidRDefault="00F34CCB" w:rsidP="00FD73F9">
            <w:pPr>
              <w:keepNext/>
              <w:jc w:val="center"/>
              <w:rPr>
                <w:rFonts w:ascii="Arial Narrow" w:hAnsi="Arial Narrow"/>
                <w:sz w:val="20"/>
              </w:rPr>
            </w:pPr>
            <w:r>
              <w:rPr>
                <w:rFonts w:ascii="Arial Narrow" w:hAnsi="Arial Narrow"/>
                <w:noProof/>
                <w:color w:val="000000"/>
                <w:sz w:val="20"/>
                <w:highlight w:val="black"/>
              </w:rPr>
              <w:t>''''''</w:t>
            </w:r>
            <w:r w:rsidR="001A05EA" w:rsidRPr="0088408E">
              <w:rPr>
                <w:rFonts w:ascii="Arial Narrow" w:hAnsi="Arial Narrow"/>
                <w:sz w:val="20"/>
              </w:rPr>
              <w:t xml:space="preserve"> (</w:t>
            </w:r>
            <w:r>
              <w:rPr>
                <w:rFonts w:ascii="Arial Narrow" w:hAnsi="Arial Narrow"/>
                <w:noProof/>
                <w:color w:val="000000"/>
                <w:sz w:val="20"/>
                <w:highlight w:val="black"/>
              </w:rPr>
              <w:t>'''''</w:t>
            </w:r>
            <w:r w:rsidR="001A05EA" w:rsidRPr="0088408E">
              <w:rPr>
                <w:rFonts w:ascii="Arial Narrow" w:hAnsi="Arial Narrow"/>
                <w:sz w:val="20"/>
              </w:rPr>
              <w:t>)</w:t>
            </w:r>
          </w:p>
        </w:tc>
        <w:tc>
          <w:tcPr>
            <w:tcW w:w="755" w:type="pct"/>
            <w:shd w:val="clear" w:color="auto" w:fill="auto"/>
          </w:tcPr>
          <w:p w:rsidR="001A05EA" w:rsidRPr="0088408E" w:rsidRDefault="00F34CCB" w:rsidP="00FD73F9">
            <w:pPr>
              <w:keepNext/>
              <w:jc w:val="center"/>
              <w:rPr>
                <w:rFonts w:ascii="Arial Narrow" w:hAnsi="Arial Narrow"/>
                <w:sz w:val="20"/>
              </w:rPr>
            </w:pPr>
            <w:r>
              <w:rPr>
                <w:rFonts w:ascii="Arial Narrow" w:hAnsi="Arial Narrow"/>
                <w:noProof/>
                <w:color w:val="000000"/>
                <w:sz w:val="20"/>
                <w:highlight w:val="black"/>
              </w:rPr>
              <w:t>'''''</w:t>
            </w:r>
            <w:r w:rsidR="001A05EA" w:rsidRPr="0088408E">
              <w:rPr>
                <w:rFonts w:ascii="Arial Narrow" w:hAnsi="Arial Narrow"/>
                <w:sz w:val="20"/>
              </w:rPr>
              <w:t xml:space="preserve"> (</w:t>
            </w:r>
            <w:r>
              <w:rPr>
                <w:rFonts w:ascii="Arial Narrow" w:hAnsi="Arial Narrow"/>
                <w:noProof/>
                <w:color w:val="000000"/>
                <w:sz w:val="20"/>
                <w:highlight w:val="black"/>
              </w:rPr>
              <w:t>''''''</w:t>
            </w:r>
            <w:r w:rsidR="001A05EA" w:rsidRPr="0088408E">
              <w:rPr>
                <w:rFonts w:ascii="Arial Narrow" w:hAnsi="Arial Narrow"/>
                <w:sz w:val="20"/>
              </w:rPr>
              <w:t>)</w:t>
            </w:r>
          </w:p>
        </w:tc>
      </w:tr>
      <w:tr w:rsidR="001A05EA" w:rsidRPr="0088408E" w:rsidTr="00FD73F9">
        <w:tc>
          <w:tcPr>
            <w:tcW w:w="1359" w:type="pct"/>
            <w:shd w:val="clear" w:color="auto" w:fill="auto"/>
            <w:vAlign w:val="center"/>
          </w:tcPr>
          <w:p w:rsidR="001A05EA" w:rsidRPr="0088408E" w:rsidRDefault="001A05EA" w:rsidP="00FD73F9">
            <w:pPr>
              <w:keepNext/>
              <w:tabs>
                <w:tab w:val="left" w:pos="142"/>
              </w:tabs>
              <w:rPr>
                <w:rFonts w:ascii="Arial Narrow" w:hAnsi="Arial Narrow"/>
                <w:sz w:val="20"/>
              </w:rPr>
            </w:pPr>
            <w:r w:rsidRPr="0088408E">
              <w:rPr>
                <w:rFonts w:ascii="Arial Narrow" w:hAnsi="Arial Narrow"/>
                <w:sz w:val="20"/>
              </w:rPr>
              <w:t>Market share</w:t>
            </w:r>
          </w:p>
        </w:tc>
        <w:tc>
          <w:tcPr>
            <w:tcW w:w="679" w:type="pct"/>
            <w:shd w:val="clear" w:color="auto" w:fill="auto"/>
            <w:vAlign w:val="center"/>
          </w:tcPr>
          <w:p w:rsidR="001A05EA" w:rsidRPr="0088408E" w:rsidRDefault="001A05EA" w:rsidP="00FD73F9">
            <w:pPr>
              <w:keepNext/>
              <w:jc w:val="center"/>
              <w:rPr>
                <w:rFonts w:ascii="Arial Narrow" w:hAnsi="Arial Narrow"/>
                <w:bCs/>
                <w:color w:val="000000"/>
                <w:sz w:val="20"/>
              </w:rPr>
            </w:pPr>
            <w:r w:rsidRPr="0088408E">
              <w:rPr>
                <w:rFonts w:ascii="Arial Narrow" w:hAnsi="Arial Narrow"/>
                <w:bCs/>
                <w:color w:val="000000"/>
                <w:sz w:val="20"/>
              </w:rPr>
              <w:t>50%</w:t>
            </w:r>
          </w:p>
        </w:tc>
        <w:tc>
          <w:tcPr>
            <w:tcW w:w="679" w:type="pct"/>
            <w:shd w:val="clear" w:color="auto" w:fill="auto"/>
            <w:vAlign w:val="center"/>
          </w:tcPr>
          <w:p w:rsidR="001A05EA" w:rsidRPr="0088408E" w:rsidRDefault="001A05EA" w:rsidP="00FD73F9">
            <w:pPr>
              <w:keepNext/>
              <w:jc w:val="center"/>
              <w:rPr>
                <w:rFonts w:ascii="Arial Narrow" w:hAnsi="Arial Narrow"/>
                <w:bCs/>
                <w:color w:val="000000"/>
                <w:sz w:val="20"/>
              </w:rPr>
            </w:pPr>
            <w:r w:rsidRPr="0088408E">
              <w:rPr>
                <w:rFonts w:ascii="Arial Narrow" w:hAnsi="Arial Narrow"/>
                <w:bCs/>
                <w:color w:val="000000"/>
                <w:sz w:val="20"/>
              </w:rPr>
              <w:t>50%</w:t>
            </w:r>
          </w:p>
        </w:tc>
        <w:tc>
          <w:tcPr>
            <w:tcW w:w="764" w:type="pct"/>
            <w:shd w:val="clear" w:color="auto" w:fill="auto"/>
          </w:tcPr>
          <w:p w:rsidR="001A05EA" w:rsidRPr="0088408E" w:rsidRDefault="001A05EA" w:rsidP="00FD73F9">
            <w:pPr>
              <w:keepNext/>
              <w:jc w:val="center"/>
              <w:rPr>
                <w:rFonts w:ascii="Arial Narrow" w:hAnsi="Arial Narrow"/>
                <w:sz w:val="20"/>
              </w:rPr>
            </w:pPr>
            <w:r w:rsidRPr="0088408E">
              <w:rPr>
                <w:rFonts w:ascii="Arial Narrow" w:hAnsi="Arial Narrow"/>
                <w:bCs/>
                <w:color w:val="000000"/>
                <w:sz w:val="20"/>
              </w:rPr>
              <w:t>50%</w:t>
            </w:r>
          </w:p>
        </w:tc>
        <w:tc>
          <w:tcPr>
            <w:tcW w:w="764" w:type="pct"/>
            <w:shd w:val="clear" w:color="auto" w:fill="auto"/>
          </w:tcPr>
          <w:p w:rsidR="001A05EA" w:rsidRPr="0088408E" w:rsidRDefault="001A05EA" w:rsidP="00FD73F9">
            <w:pPr>
              <w:keepNext/>
              <w:jc w:val="center"/>
              <w:rPr>
                <w:rFonts w:ascii="Arial Narrow" w:hAnsi="Arial Narrow"/>
                <w:sz w:val="20"/>
              </w:rPr>
            </w:pPr>
            <w:r w:rsidRPr="0088408E">
              <w:rPr>
                <w:rFonts w:ascii="Arial Narrow" w:hAnsi="Arial Narrow"/>
                <w:bCs/>
                <w:color w:val="000000"/>
                <w:sz w:val="20"/>
              </w:rPr>
              <w:t>50%</w:t>
            </w:r>
          </w:p>
        </w:tc>
        <w:tc>
          <w:tcPr>
            <w:tcW w:w="755" w:type="pct"/>
            <w:shd w:val="clear" w:color="auto" w:fill="auto"/>
          </w:tcPr>
          <w:p w:rsidR="001A05EA" w:rsidRPr="0088408E" w:rsidRDefault="001A05EA" w:rsidP="00FD73F9">
            <w:pPr>
              <w:keepNext/>
              <w:jc w:val="center"/>
              <w:rPr>
                <w:rFonts w:ascii="Arial Narrow" w:hAnsi="Arial Narrow"/>
                <w:sz w:val="20"/>
              </w:rPr>
            </w:pPr>
            <w:r w:rsidRPr="0088408E">
              <w:rPr>
                <w:rFonts w:ascii="Arial Narrow" w:hAnsi="Arial Narrow"/>
                <w:bCs/>
                <w:color w:val="000000"/>
                <w:sz w:val="20"/>
              </w:rPr>
              <w:t>50%</w:t>
            </w:r>
          </w:p>
        </w:tc>
      </w:tr>
      <w:tr w:rsidR="001A05EA" w:rsidRPr="0088408E" w:rsidTr="00FD73F9">
        <w:tc>
          <w:tcPr>
            <w:tcW w:w="1359" w:type="pct"/>
            <w:shd w:val="clear" w:color="auto" w:fill="auto"/>
            <w:vAlign w:val="center"/>
          </w:tcPr>
          <w:p w:rsidR="001A05EA" w:rsidRPr="0088408E" w:rsidRDefault="001A05EA" w:rsidP="00FD73F9">
            <w:pPr>
              <w:keepNext/>
              <w:tabs>
                <w:tab w:val="left" w:pos="142"/>
              </w:tabs>
              <w:rPr>
                <w:rFonts w:ascii="Arial Narrow" w:hAnsi="Arial Narrow"/>
                <w:sz w:val="20"/>
              </w:rPr>
            </w:pPr>
            <w:r w:rsidRPr="0088408E">
              <w:rPr>
                <w:rFonts w:ascii="Arial Narrow" w:hAnsi="Arial Narrow"/>
                <w:sz w:val="20"/>
              </w:rPr>
              <w:t xml:space="preserve">Scripts </w:t>
            </w:r>
            <w:r w:rsidRPr="0088408E">
              <w:rPr>
                <w:rFonts w:ascii="Arial Narrow" w:hAnsi="Arial Narrow"/>
                <w:sz w:val="20"/>
                <w:vertAlign w:val="superscript"/>
              </w:rPr>
              <w:t>a</w:t>
            </w:r>
          </w:p>
        </w:tc>
        <w:tc>
          <w:tcPr>
            <w:tcW w:w="679" w:type="pct"/>
            <w:shd w:val="clear" w:color="auto" w:fill="auto"/>
          </w:tcPr>
          <w:p w:rsidR="001A05EA" w:rsidRPr="00F34CCB" w:rsidRDefault="00F34CCB" w:rsidP="00FD73F9">
            <w:pPr>
              <w:keepNext/>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tcPr>
          <w:p w:rsidR="001A05EA" w:rsidRPr="00F34CCB" w:rsidRDefault="00F34CCB" w:rsidP="00FD73F9">
            <w:pPr>
              <w:keepNext/>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tcPr>
          <w:p w:rsidR="001A05EA" w:rsidRPr="00F34CCB" w:rsidRDefault="00F34CCB" w:rsidP="00FD73F9">
            <w:pPr>
              <w:keepNext/>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tcPr>
          <w:p w:rsidR="001A05EA" w:rsidRPr="00F34CCB" w:rsidRDefault="00F34CCB" w:rsidP="00FD73F9">
            <w:pPr>
              <w:keepNext/>
              <w:jc w:val="center"/>
              <w:rPr>
                <w:rFonts w:ascii="Arial Narrow" w:hAnsi="Arial Narrow"/>
                <w:sz w:val="20"/>
                <w:highlight w:val="black"/>
              </w:rPr>
            </w:pPr>
            <w:r>
              <w:rPr>
                <w:rFonts w:ascii="Arial Narrow" w:hAnsi="Arial Narrow"/>
                <w:noProof/>
                <w:color w:val="000000"/>
                <w:sz w:val="20"/>
                <w:highlight w:val="black"/>
              </w:rPr>
              <w:t>'''''''''''''</w:t>
            </w:r>
          </w:p>
        </w:tc>
        <w:tc>
          <w:tcPr>
            <w:tcW w:w="755" w:type="pct"/>
            <w:shd w:val="clear" w:color="auto" w:fill="auto"/>
          </w:tcPr>
          <w:p w:rsidR="001A05EA" w:rsidRPr="00F34CCB" w:rsidRDefault="00F34CCB" w:rsidP="00FD73F9">
            <w:pPr>
              <w:keepNext/>
              <w:jc w:val="center"/>
              <w:rPr>
                <w:rFonts w:ascii="Arial Narrow" w:hAnsi="Arial Narrow"/>
                <w:sz w:val="20"/>
                <w:highlight w:val="black"/>
              </w:rPr>
            </w:pPr>
            <w:r>
              <w:rPr>
                <w:rFonts w:ascii="Arial Narrow" w:hAnsi="Arial Narrow"/>
                <w:noProof/>
                <w:color w:val="000000"/>
                <w:sz w:val="20"/>
                <w:highlight w:val="black"/>
              </w:rPr>
              <w:t>''''''''''''</w:t>
            </w:r>
          </w:p>
        </w:tc>
      </w:tr>
      <w:tr w:rsidR="001A05EA" w:rsidRPr="0088408E" w:rsidTr="00FD73F9">
        <w:tc>
          <w:tcPr>
            <w:tcW w:w="5000" w:type="pct"/>
            <w:gridSpan w:val="6"/>
            <w:shd w:val="clear" w:color="auto" w:fill="auto"/>
            <w:vAlign w:val="center"/>
          </w:tcPr>
          <w:p w:rsidR="001A05EA" w:rsidRPr="0088408E" w:rsidRDefault="001A05EA" w:rsidP="00FD73F9">
            <w:pPr>
              <w:keepNext/>
              <w:rPr>
                <w:rFonts w:ascii="Arial Narrow" w:hAnsi="Arial Narrow"/>
                <w:b/>
                <w:bCs/>
                <w:color w:val="000000"/>
                <w:sz w:val="20"/>
              </w:rPr>
            </w:pPr>
            <w:r w:rsidRPr="0088408E">
              <w:rPr>
                <w:rFonts w:ascii="Arial Narrow" w:hAnsi="Arial Narrow"/>
                <w:b/>
                <w:bCs/>
                <w:color w:val="000000"/>
                <w:sz w:val="20"/>
              </w:rPr>
              <w:t>Estimated net cost to PBS/RPBS/MBS</w:t>
            </w:r>
          </w:p>
        </w:tc>
      </w:tr>
      <w:tr w:rsidR="001A05EA" w:rsidRPr="0088408E" w:rsidTr="00FD73F9">
        <w:tc>
          <w:tcPr>
            <w:tcW w:w="1359" w:type="pct"/>
            <w:shd w:val="clear" w:color="auto" w:fill="auto"/>
            <w:vAlign w:val="center"/>
          </w:tcPr>
          <w:p w:rsidR="001A05EA" w:rsidRPr="0088408E" w:rsidRDefault="001A05EA" w:rsidP="00FD73F9">
            <w:pPr>
              <w:keepNext/>
              <w:tabs>
                <w:tab w:val="left" w:pos="142"/>
              </w:tabs>
              <w:rPr>
                <w:rFonts w:ascii="Arial Narrow" w:hAnsi="Arial Narrow"/>
                <w:sz w:val="20"/>
              </w:rPr>
            </w:pPr>
            <w:r w:rsidRPr="0088408E">
              <w:rPr>
                <w:rFonts w:ascii="Arial Narrow" w:hAnsi="Arial Narrow"/>
                <w:sz w:val="20"/>
              </w:rPr>
              <w:t>Net cost to PBS/RPBS</w:t>
            </w:r>
          </w:p>
        </w:tc>
        <w:tc>
          <w:tcPr>
            <w:tcW w:w="679" w:type="pct"/>
            <w:shd w:val="clear" w:color="auto" w:fill="auto"/>
          </w:tcPr>
          <w:p w:rsidR="001A05EA" w:rsidRPr="0088408E" w:rsidRDefault="001A05EA" w:rsidP="00FD73F9">
            <w:pPr>
              <w:keepNext/>
              <w:jc w:val="right"/>
              <w:rPr>
                <w:rFonts w:ascii="Arial Narrow" w:hAnsi="Arial Narrow"/>
                <w:sz w:val="20"/>
              </w:rPr>
            </w:pPr>
            <w:r w:rsidRPr="0088408E">
              <w:rPr>
                <w:rFonts w:ascii="Arial Narrow" w:hAnsi="Arial Narrow"/>
                <w:sz w:val="20"/>
              </w:rPr>
              <w:t>$</w:t>
            </w:r>
            <w:r w:rsidR="00F34CCB">
              <w:rPr>
                <w:rFonts w:ascii="Arial Narrow" w:hAnsi="Arial Narrow"/>
                <w:noProof/>
                <w:color w:val="000000"/>
                <w:sz w:val="20"/>
                <w:highlight w:val="black"/>
              </w:rPr>
              <w:t>''''''''''''''''''</w:t>
            </w:r>
          </w:p>
        </w:tc>
        <w:tc>
          <w:tcPr>
            <w:tcW w:w="679" w:type="pct"/>
            <w:shd w:val="clear" w:color="auto" w:fill="auto"/>
          </w:tcPr>
          <w:p w:rsidR="001A05EA" w:rsidRPr="0088408E" w:rsidRDefault="001A05EA" w:rsidP="00FD73F9">
            <w:pPr>
              <w:keepNext/>
              <w:jc w:val="right"/>
              <w:rPr>
                <w:rFonts w:ascii="Arial Narrow" w:hAnsi="Arial Narrow"/>
                <w:sz w:val="20"/>
              </w:rPr>
            </w:pPr>
            <w:r w:rsidRPr="0088408E">
              <w:rPr>
                <w:rFonts w:ascii="Arial Narrow" w:hAnsi="Arial Narrow"/>
                <w:sz w:val="20"/>
              </w:rPr>
              <w:t>$</w:t>
            </w:r>
            <w:r w:rsidR="00F34CCB">
              <w:rPr>
                <w:rFonts w:ascii="Arial Narrow" w:hAnsi="Arial Narrow"/>
                <w:noProof/>
                <w:color w:val="000000"/>
                <w:sz w:val="20"/>
                <w:highlight w:val="black"/>
              </w:rPr>
              <w:t>''''''''''''''''''''</w:t>
            </w:r>
          </w:p>
        </w:tc>
        <w:tc>
          <w:tcPr>
            <w:tcW w:w="764" w:type="pct"/>
            <w:shd w:val="clear" w:color="auto" w:fill="auto"/>
          </w:tcPr>
          <w:p w:rsidR="001A05EA" w:rsidRPr="0088408E" w:rsidRDefault="001A05EA" w:rsidP="00FD73F9">
            <w:pPr>
              <w:keepNext/>
              <w:jc w:val="right"/>
              <w:rPr>
                <w:rFonts w:ascii="Arial Narrow" w:hAnsi="Arial Narrow"/>
                <w:sz w:val="20"/>
              </w:rPr>
            </w:pPr>
            <w:r w:rsidRPr="0088408E">
              <w:rPr>
                <w:rFonts w:ascii="Arial Narrow" w:hAnsi="Arial Narrow"/>
                <w:sz w:val="20"/>
              </w:rPr>
              <w:t>$</w:t>
            </w:r>
            <w:r w:rsidR="00F34CCB">
              <w:rPr>
                <w:rFonts w:ascii="Arial Narrow" w:hAnsi="Arial Narrow"/>
                <w:noProof/>
                <w:color w:val="000000"/>
                <w:sz w:val="20"/>
                <w:highlight w:val="black"/>
              </w:rPr>
              <w:t>''''''''''''''''''</w:t>
            </w:r>
          </w:p>
        </w:tc>
        <w:tc>
          <w:tcPr>
            <w:tcW w:w="764" w:type="pct"/>
            <w:shd w:val="clear" w:color="auto" w:fill="auto"/>
          </w:tcPr>
          <w:p w:rsidR="001A05EA" w:rsidRPr="0088408E" w:rsidRDefault="001A05EA" w:rsidP="00FD73F9">
            <w:pPr>
              <w:keepNext/>
              <w:jc w:val="right"/>
              <w:rPr>
                <w:rFonts w:ascii="Arial Narrow" w:hAnsi="Arial Narrow"/>
                <w:sz w:val="20"/>
              </w:rPr>
            </w:pPr>
            <w:r w:rsidRPr="0088408E">
              <w:rPr>
                <w:rFonts w:ascii="Arial Narrow" w:hAnsi="Arial Narrow"/>
                <w:sz w:val="20"/>
              </w:rPr>
              <w:t>$</w:t>
            </w:r>
            <w:r w:rsidR="00F34CCB">
              <w:rPr>
                <w:rFonts w:ascii="Arial Narrow" w:hAnsi="Arial Narrow"/>
                <w:noProof/>
                <w:color w:val="000000"/>
                <w:sz w:val="20"/>
                <w:highlight w:val="black"/>
              </w:rPr>
              <w:t>''''''''''''''''''</w:t>
            </w:r>
          </w:p>
        </w:tc>
        <w:tc>
          <w:tcPr>
            <w:tcW w:w="755" w:type="pct"/>
            <w:shd w:val="clear" w:color="auto" w:fill="auto"/>
          </w:tcPr>
          <w:p w:rsidR="001A05EA" w:rsidRPr="0088408E" w:rsidRDefault="001A05EA" w:rsidP="00FD73F9">
            <w:pPr>
              <w:keepNext/>
              <w:jc w:val="right"/>
              <w:rPr>
                <w:rFonts w:ascii="Arial Narrow" w:hAnsi="Arial Narrow"/>
                <w:sz w:val="20"/>
              </w:rPr>
            </w:pPr>
            <w:r w:rsidRPr="0088408E">
              <w:rPr>
                <w:rFonts w:ascii="Arial Narrow" w:hAnsi="Arial Narrow"/>
                <w:sz w:val="20"/>
              </w:rPr>
              <w:t>$</w:t>
            </w:r>
            <w:r w:rsidR="00F34CCB">
              <w:rPr>
                <w:rFonts w:ascii="Arial Narrow" w:hAnsi="Arial Narrow"/>
                <w:noProof/>
                <w:color w:val="000000"/>
                <w:sz w:val="20"/>
                <w:highlight w:val="black"/>
              </w:rPr>
              <w:t>''''''''''''''''''''</w:t>
            </w:r>
          </w:p>
        </w:tc>
      </w:tr>
      <w:tr w:rsidR="001A05EA" w:rsidRPr="0088408E" w:rsidTr="00FD73F9">
        <w:tc>
          <w:tcPr>
            <w:tcW w:w="1359" w:type="pct"/>
            <w:shd w:val="clear" w:color="auto" w:fill="auto"/>
            <w:vAlign w:val="center"/>
          </w:tcPr>
          <w:p w:rsidR="001A05EA" w:rsidRPr="0088408E" w:rsidRDefault="001A05EA" w:rsidP="00FD73F9">
            <w:pPr>
              <w:keepNext/>
              <w:tabs>
                <w:tab w:val="left" w:pos="142"/>
              </w:tabs>
              <w:rPr>
                <w:rFonts w:ascii="Arial Narrow" w:hAnsi="Arial Narrow"/>
                <w:sz w:val="20"/>
              </w:rPr>
            </w:pPr>
            <w:r w:rsidRPr="0088408E">
              <w:rPr>
                <w:rFonts w:ascii="Arial Narrow" w:hAnsi="Arial Narrow"/>
                <w:sz w:val="20"/>
              </w:rPr>
              <w:t>Net cost to MBS</w:t>
            </w:r>
          </w:p>
        </w:tc>
        <w:tc>
          <w:tcPr>
            <w:tcW w:w="679" w:type="pct"/>
            <w:shd w:val="clear" w:color="auto" w:fill="auto"/>
          </w:tcPr>
          <w:p w:rsidR="001A05EA" w:rsidRPr="0088408E" w:rsidRDefault="001A05EA" w:rsidP="00FD73F9">
            <w:pPr>
              <w:keepNext/>
              <w:jc w:val="right"/>
              <w:rPr>
                <w:rFonts w:ascii="Arial Narrow" w:hAnsi="Arial Narrow"/>
                <w:sz w:val="20"/>
              </w:rPr>
            </w:pPr>
            <w:r w:rsidRPr="0088408E">
              <w:rPr>
                <w:rFonts w:ascii="Arial Narrow" w:hAnsi="Arial Narrow"/>
                <w:sz w:val="20"/>
              </w:rPr>
              <w:t>$</w:t>
            </w:r>
            <w:r w:rsidR="00F34CCB">
              <w:rPr>
                <w:rFonts w:ascii="Arial Narrow" w:hAnsi="Arial Narrow"/>
                <w:noProof/>
                <w:color w:val="000000"/>
                <w:sz w:val="20"/>
                <w:highlight w:val="black"/>
              </w:rPr>
              <w:t>'''''''''''''''</w:t>
            </w:r>
          </w:p>
        </w:tc>
        <w:tc>
          <w:tcPr>
            <w:tcW w:w="679" w:type="pct"/>
            <w:shd w:val="clear" w:color="auto" w:fill="auto"/>
          </w:tcPr>
          <w:p w:rsidR="001A05EA" w:rsidRPr="0088408E" w:rsidRDefault="001A05EA" w:rsidP="00FD73F9">
            <w:pPr>
              <w:keepNext/>
              <w:jc w:val="right"/>
              <w:rPr>
                <w:rFonts w:ascii="Arial Narrow" w:hAnsi="Arial Narrow"/>
                <w:sz w:val="20"/>
              </w:rPr>
            </w:pPr>
            <w:r w:rsidRPr="0088408E">
              <w:rPr>
                <w:rFonts w:ascii="Arial Narrow" w:hAnsi="Arial Narrow"/>
                <w:sz w:val="20"/>
              </w:rPr>
              <w:t>$</w:t>
            </w:r>
            <w:r w:rsidR="00F34CCB">
              <w:rPr>
                <w:rFonts w:ascii="Arial Narrow" w:hAnsi="Arial Narrow"/>
                <w:noProof/>
                <w:color w:val="000000"/>
                <w:sz w:val="20"/>
                <w:highlight w:val="black"/>
              </w:rPr>
              <w:t>'''''''''''''''''</w:t>
            </w:r>
          </w:p>
        </w:tc>
        <w:tc>
          <w:tcPr>
            <w:tcW w:w="764" w:type="pct"/>
            <w:shd w:val="clear" w:color="auto" w:fill="auto"/>
          </w:tcPr>
          <w:p w:rsidR="001A05EA" w:rsidRPr="0088408E" w:rsidRDefault="001A05EA" w:rsidP="00FD73F9">
            <w:pPr>
              <w:keepNext/>
              <w:jc w:val="right"/>
              <w:rPr>
                <w:rFonts w:ascii="Arial Narrow" w:hAnsi="Arial Narrow"/>
                <w:sz w:val="20"/>
              </w:rPr>
            </w:pPr>
            <w:r w:rsidRPr="0088408E">
              <w:rPr>
                <w:rFonts w:ascii="Arial Narrow" w:hAnsi="Arial Narrow"/>
                <w:sz w:val="20"/>
              </w:rPr>
              <w:t>$</w:t>
            </w:r>
            <w:r w:rsidR="00F34CCB">
              <w:rPr>
                <w:rFonts w:ascii="Arial Narrow" w:hAnsi="Arial Narrow"/>
                <w:noProof/>
                <w:color w:val="000000"/>
                <w:sz w:val="20"/>
                <w:highlight w:val="black"/>
              </w:rPr>
              <w:t>'''''''''''''''</w:t>
            </w:r>
          </w:p>
        </w:tc>
        <w:tc>
          <w:tcPr>
            <w:tcW w:w="764" w:type="pct"/>
            <w:shd w:val="clear" w:color="auto" w:fill="auto"/>
          </w:tcPr>
          <w:p w:rsidR="001A05EA" w:rsidRPr="0088408E" w:rsidRDefault="001A05EA" w:rsidP="00FD73F9">
            <w:pPr>
              <w:keepNext/>
              <w:jc w:val="right"/>
              <w:rPr>
                <w:rFonts w:ascii="Arial Narrow" w:hAnsi="Arial Narrow"/>
                <w:sz w:val="20"/>
              </w:rPr>
            </w:pPr>
            <w:r w:rsidRPr="0088408E">
              <w:rPr>
                <w:rFonts w:ascii="Arial Narrow" w:hAnsi="Arial Narrow"/>
                <w:sz w:val="20"/>
              </w:rPr>
              <w:t>$</w:t>
            </w:r>
            <w:r w:rsidR="00F34CCB">
              <w:rPr>
                <w:rFonts w:ascii="Arial Narrow" w:hAnsi="Arial Narrow"/>
                <w:noProof/>
                <w:color w:val="000000"/>
                <w:sz w:val="20"/>
                <w:highlight w:val="black"/>
              </w:rPr>
              <w:t>'''''''''''''''</w:t>
            </w:r>
          </w:p>
        </w:tc>
        <w:tc>
          <w:tcPr>
            <w:tcW w:w="755" w:type="pct"/>
            <w:shd w:val="clear" w:color="auto" w:fill="auto"/>
          </w:tcPr>
          <w:p w:rsidR="001A05EA" w:rsidRPr="0088408E" w:rsidRDefault="001A05EA" w:rsidP="00FD73F9">
            <w:pPr>
              <w:keepNext/>
              <w:jc w:val="right"/>
              <w:rPr>
                <w:rFonts w:ascii="Arial Narrow" w:hAnsi="Arial Narrow"/>
                <w:sz w:val="20"/>
              </w:rPr>
            </w:pPr>
            <w:r w:rsidRPr="0088408E">
              <w:rPr>
                <w:rFonts w:ascii="Arial Narrow" w:hAnsi="Arial Narrow"/>
                <w:sz w:val="20"/>
              </w:rPr>
              <w:t>$</w:t>
            </w:r>
            <w:r w:rsidR="00F34CCB">
              <w:rPr>
                <w:rFonts w:ascii="Arial Narrow" w:hAnsi="Arial Narrow"/>
                <w:noProof/>
                <w:color w:val="000000"/>
                <w:sz w:val="20"/>
                <w:highlight w:val="black"/>
              </w:rPr>
              <w:t>'''''''''''''''''</w:t>
            </w:r>
          </w:p>
        </w:tc>
      </w:tr>
      <w:tr w:rsidR="001A05EA" w:rsidRPr="0088408E" w:rsidTr="00FD73F9">
        <w:tc>
          <w:tcPr>
            <w:tcW w:w="5000" w:type="pct"/>
            <w:gridSpan w:val="6"/>
            <w:shd w:val="clear" w:color="auto" w:fill="auto"/>
            <w:vAlign w:val="center"/>
          </w:tcPr>
          <w:p w:rsidR="001A05EA" w:rsidRPr="0088408E" w:rsidRDefault="001A05EA" w:rsidP="00FD73F9">
            <w:pPr>
              <w:keepNext/>
              <w:rPr>
                <w:rFonts w:ascii="Arial Narrow" w:hAnsi="Arial Narrow"/>
                <w:b/>
                <w:color w:val="000000"/>
                <w:sz w:val="20"/>
              </w:rPr>
            </w:pPr>
            <w:r w:rsidRPr="0088408E">
              <w:rPr>
                <w:rFonts w:ascii="Arial Narrow" w:hAnsi="Arial Narrow"/>
                <w:b/>
                <w:color w:val="000000"/>
                <w:sz w:val="20"/>
              </w:rPr>
              <w:t>Estimated total net cost</w:t>
            </w:r>
          </w:p>
        </w:tc>
      </w:tr>
      <w:tr w:rsidR="001A05EA" w:rsidRPr="0088408E" w:rsidTr="00FD73F9">
        <w:tc>
          <w:tcPr>
            <w:tcW w:w="1359" w:type="pct"/>
            <w:shd w:val="clear" w:color="auto" w:fill="auto"/>
            <w:vAlign w:val="center"/>
          </w:tcPr>
          <w:p w:rsidR="001A05EA" w:rsidRPr="0088408E" w:rsidRDefault="001A05EA" w:rsidP="00FD73F9">
            <w:pPr>
              <w:keepNext/>
              <w:tabs>
                <w:tab w:val="left" w:pos="142"/>
              </w:tabs>
              <w:rPr>
                <w:rFonts w:ascii="Arial Narrow" w:hAnsi="Arial Narrow"/>
                <w:b/>
                <w:sz w:val="20"/>
              </w:rPr>
            </w:pPr>
            <w:r w:rsidRPr="0088408E">
              <w:rPr>
                <w:rFonts w:ascii="Arial Narrow" w:hAnsi="Arial Narrow"/>
                <w:b/>
                <w:bCs/>
                <w:color w:val="000000"/>
                <w:sz w:val="20"/>
              </w:rPr>
              <w:t>Net cost to PBS/RPBS/MBS</w:t>
            </w:r>
          </w:p>
        </w:tc>
        <w:tc>
          <w:tcPr>
            <w:tcW w:w="679" w:type="pct"/>
            <w:shd w:val="clear" w:color="auto" w:fill="auto"/>
          </w:tcPr>
          <w:p w:rsidR="001A05EA" w:rsidRPr="0088408E" w:rsidRDefault="001A05EA" w:rsidP="00FD73F9">
            <w:pPr>
              <w:keepNext/>
              <w:jc w:val="right"/>
              <w:rPr>
                <w:rFonts w:ascii="Arial Narrow" w:hAnsi="Arial Narrow"/>
                <w:sz w:val="20"/>
              </w:rPr>
            </w:pPr>
            <w:r w:rsidRPr="0088408E">
              <w:rPr>
                <w:rFonts w:ascii="Arial Narrow" w:hAnsi="Arial Narrow"/>
                <w:sz w:val="20"/>
              </w:rPr>
              <w:t>$</w:t>
            </w:r>
            <w:r w:rsidR="00F34CCB">
              <w:rPr>
                <w:rFonts w:ascii="Arial Narrow" w:hAnsi="Arial Narrow"/>
                <w:noProof/>
                <w:color w:val="000000"/>
                <w:sz w:val="20"/>
                <w:highlight w:val="black"/>
              </w:rPr>
              <w:t>''''''''''''''''''</w:t>
            </w:r>
          </w:p>
        </w:tc>
        <w:tc>
          <w:tcPr>
            <w:tcW w:w="679" w:type="pct"/>
            <w:shd w:val="clear" w:color="auto" w:fill="auto"/>
          </w:tcPr>
          <w:p w:rsidR="001A05EA" w:rsidRPr="0088408E" w:rsidRDefault="001A05EA" w:rsidP="00FD73F9">
            <w:pPr>
              <w:keepNext/>
              <w:jc w:val="right"/>
              <w:rPr>
                <w:rFonts w:ascii="Arial Narrow" w:hAnsi="Arial Narrow"/>
                <w:sz w:val="20"/>
              </w:rPr>
            </w:pPr>
            <w:r w:rsidRPr="0088408E">
              <w:rPr>
                <w:rFonts w:ascii="Arial Narrow" w:hAnsi="Arial Narrow"/>
                <w:sz w:val="20"/>
              </w:rPr>
              <w:t>$</w:t>
            </w:r>
            <w:r w:rsidR="00F34CCB">
              <w:rPr>
                <w:rFonts w:ascii="Arial Narrow" w:hAnsi="Arial Narrow"/>
                <w:noProof/>
                <w:color w:val="000000"/>
                <w:sz w:val="20"/>
                <w:highlight w:val="black"/>
              </w:rPr>
              <w:t>'''''''''''''''''''</w:t>
            </w:r>
          </w:p>
        </w:tc>
        <w:tc>
          <w:tcPr>
            <w:tcW w:w="764" w:type="pct"/>
            <w:shd w:val="clear" w:color="auto" w:fill="auto"/>
          </w:tcPr>
          <w:p w:rsidR="001A05EA" w:rsidRPr="0088408E" w:rsidRDefault="001A05EA" w:rsidP="00FD73F9">
            <w:pPr>
              <w:keepNext/>
              <w:jc w:val="right"/>
              <w:rPr>
                <w:rFonts w:ascii="Arial Narrow" w:hAnsi="Arial Narrow"/>
                <w:sz w:val="20"/>
              </w:rPr>
            </w:pPr>
            <w:r w:rsidRPr="0088408E">
              <w:rPr>
                <w:rFonts w:ascii="Arial Narrow" w:hAnsi="Arial Narrow"/>
                <w:sz w:val="20"/>
              </w:rPr>
              <w:t>$</w:t>
            </w:r>
            <w:r w:rsidR="00F34CCB">
              <w:rPr>
                <w:rFonts w:ascii="Arial Narrow" w:hAnsi="Arial Narrow"/>
                <w:noProof/>
                <w:color w:val="000000"/>
                <w:sz w:val="20"/>
                <w:highlight w:val="black"/>
              </w:rPr>
              <w:t>'''''''''''''''''''</w:t>
            </w:r>
          </w:p>
        </w:tc>
        <w:tc>
          <w:tcPr>
            <w:tcW w:w="764" w:type="pct"/>
            <w:shd w:val="clear" w:color="auto" w:fill="auto"/>
          </w:tcPr>
          <w:p w:rsidR="001A05EA" w:rsidRPr="0088408E" w:rsidRDefault="001A05EA" w:rsidP="00FD73F9">
            <w:pPr>
              <w:keepNext/>
              <w:jc w:val="right"/>
              <w:rPr>
                <w:rFonts w:ascii="Arial Narrow" w:hAnsi="Arial Narrow"/>
                <w:sz w:val="20"/>
              </w:rPr>
            </w:pPr>
            <w:r w:rsidRPr="0088408E">
              <w:rPr>
                <w:rFonts w:ascii="Arial Narrow" w:hAnsi="Arial Narrow"/>
                <w:sz w:val="20"/>
              </w:rPr>
              <w:t>$</w:t>
            </w:r>
            <w:r w:rsidR="00F34CCB">
              <w:rPr>
                <w:rFonts w:ascii="Arial Narrow" w:hAnsi="Arial Narrow"/>
                <w:noProof/>
                <w:color w:val="000000"/>
                <w:sz w:val="20"/>
                <w:highlight w:val="black"/>
              </w:rPr>
              <w:t>''''''''''''''''''''</w:t>
            </w:r>
          </w:p>
        </w:tc>
        <w:tc>
          <w:tcPr>
            <w:tcW w:w="755" w:type="pct"/>
            <w:shd w:val="clear" w:color="auto" w:fill="auto"/>
          </w:tcPr>
          <w:p w:rsidR="001A05EA" w:rsidRPr="0088408E" w:rsidRDefault="001A05EA" w:rsidP="00FD73F9">
            <w:pPr>
              <w:keepNext/>
              <w:jc w:val="right"/>
              <w:rPr>
                <w:rFonts w:ascii="Arial Narrow" w:hAnsi="Arial Narrow"/>
                <w:sz w:val="20"/>
              </w:rPr>
            </w:pPr>
            <w:r w:rsidRPr="0088408E">
              <w:rPr>
                <w:rFonts w:ascii="Arial Narrow" w:hAnsi="Arial Narrow"/>
                <w:sz w:val="20"/>
              </w:rPr>
              <w:t>$</w:t>
            </w:r>
            <w:r w:rsidR="00F34CCB">
              <w:rPr>
                <w:rFonts w:ascii="Arial Narrow" w:hAnsi="Arial Narrow"/>
                <w:noProof/>
                <w:color w:val="000000"/>
                <w:sz w:val="20"/>
                <w:highlight w:val="black"/>
              </w:rPr>
              <w:t>'''''''''''''''''''''</w:t>
            </w:r>
          </w:p>
        </w:tc>
      </w:tr>
    </w:tbl>
    <w:p w:rsidR="001A05EA" w:rsidRPr="0088408E" w:rsidRDefault="001A05EA" w:rsidP="001A05EA">
      <w:pPr>
        <w:pStyle w:val="TableFooter"/>
        <w:keepNext/>
        <w:widowControl/>
        <w:ind w:firstLine="720"/>
      </w:pPr>
      <w:r w:rsidRPr="0088408E">
        <w:t>Source Table 2, p6 of the Pre Sub-Committee Response</w:t>
      </w:r>
    </w:p>
    <w:p w:rsidR="001A05EA" w:rsidRPr="0088408E" w:rsidRDefault="001A05EA" w:rsidP="001A05EA">
      <w:pPr>
        <w:pStyle w:val="TableFooter"/>
        <w:keepNext/>
        <w:widowControl/>
        <w:ind w:left="709"/>
      </w:pPr>
      <w:r w:rsidRPr="0088408E">
        <w:t xml:space="preserve">MBS = Medicare Benefits Schedule; PBS = Pharmaceutical Benefits Scheme; RPBS = Repatriation Pharmaceutical Benefits Scheme </w:t>
      </w:r>
    </w:p>
    <w:p w:rsidR="001A05EA" w:rsidRPr="0088408E" w:rsidRDefault="001A05EA" w:rsidP="001A05EA">
      <w:pPr>
        <w:pStyle w:val="TableFooter"/>
        <w:ind w:firstLine="720"/>
      </w:pPr>
      <w:r w:rsidRPr="0088408E">
        <w:rPr>
          <w:vertAlign w:val="superscript"/>
        </w:rPr>
        <w:t xml:space="preserve"> </w:t>
      </w:r>
      <w:proofErr w:type="gramStart"/>
      <w:r w:rsidRPr="0088408E">
        <w:rPr>
          <w:vertAlign w:val="superscript"/>
        </w:rPr>
        <w:t>a</w:t>
      </w:r>
      <w:proofErr w:type="gramEnd"/>
      <w:r w:rsidRPr="0088408E">
        <w:rPr>
          <w:vertAlign w:val="superscript"/>
        </w:rPr>
        <w:t xml:space="preserve"> </w:t>
      </w:r>
      <w:r w:rsidRPr="0088408E">
        <w:t>Assuming 16.9 scripts per year for responders and 9.1 scripts for non-responders as estimated by the submission.</w:t>
      </w:r>
    </w:p>
    <w:p w:rsidR="00B96340" w:rsidRPr="0088408E" w:rsidRDefault="00B96340" w:rsidP="005230EA">
      <w:pPr>
        <w:pStyle w:val="ListParagraph"/>
        <w:widowControl/>
        <w:rPr>
          <w:i/>
          <w:szCs w:val="22"/>
        </w:rPr>
      </w:pPr>
    </w:p>
    <w:p w:rsidR="004D71D9" w:rsidRPr="004D71D9" w:rsidRDefault="004D71D9" w:rsidP="004D71D9">
      <w:pPr>
        <w:widowControl/>
        <w:ind w:left="709"/>
        <w:rPr>
          <w:szCs w:val="22"/>
        </w:rPr>
      </w:pPr>
      <w:r w:rsidRPr="00FC29ED">
        <w:t>The redacted table shows that at year 5, the es</w:t>
      </w:r>
      <w:r>
        <w:t>timated number of patients was less than 10,000</w:t>
      </w:r>
      <w:r w:rsidRPr="00FC29ED">
        <w:t xml:space="preserve"> and th</w:t>
      </w:r>
      <w:r>
        <w:t>e net cost to the PBS would be less than $10 million.</w:t>
      </w:r>
    </w:p>
    <w:p w:rsidR="00FC29ED" w:rsidRPr="00FC29ED" w:rsidRDefault="00FC29ED" w:rsidP="00FC29ED">
      <w:pPr>
        <w:pStyle w:val="ListParagraph"/>
        <w:widowControl/>
        <w:rPr>
          <w:szCs w:val="22"/>
        </w:rPr>
      </w:pPr>
    </w:p>
    <w:p w:rsidR="00B96340" w:rsidRPr="0088408E" w:rsidRDefault="00B96340" w:rsidP="001F69C2">
      <w:pPr>
        <w:pStyle w:val="ListParagraph"/>
        <w:widowControl/>
        <w:numPr>
          <w:ilvl w:val="1"/>
          <w:numId w:val="2"/>
        </w:numPr>
        <w:rPr>
          <w:szCs w:val="22"/>
        </w:rPr>
      </w:pPr>
      <w:r w:rsidRPr="0088408E">
        <w:t>The estimated financial implications for the PBS/MBS of listing omalizumab might be an under- or overestimate given:</w:t>
      </w:r>
    </w:p>
    <w:p w:rsidR="00B96340" w:rsidRPr="0088408E" w:rsidRDefault="00B96340" w:rsidP="001F69C2">
      <w:pPr>
        <w:pStyle w:val="ListParagraph"/>
        <w:widowControl/>
        <w:numPr>
          <w:ilvl w:val="2"/>
          <w:numId w:val="2"/>
        </w:numPr>
        <w:ind w:left="993" w:hanging="284"/>
      </w:pPr>
      <w:r w:rsidRPr="0088408E">
        <w:t>the possible underestimation of the number of patients likely to be eligible for treatment with omalizumab due to multiple measures of disease severity with unknown overlaps in populations being applied sequentially; and</w:t>
      </w:r>
    </w:p>
    <w:p w:rsidR="00903B77" w:rsidRPr="0088408E" w:rsidRDefault="00B96340" w:rsidP="001F69C2">
      <w:pPr>
        <w:pStyle w:val="ListParagraph"/>
        <w:widowControl/>
        <w:numPr>
          <w:ilvl w:val="2"/>
          <w:numId w:val="2"/>
        </w:numPr>
        <w:ind w:left="993" w:hanging="284"/>
        <w:rPr>
          <w:szCs w:val="22"/>
        </w:rPr>
      </w:pPr>
      <w:r w:rsidRPr="0088408E">
        <w:rPr>
          <w:szCs w:val="24"/>
        </w:rPr>
        <w:t>the unknown uptake rate.</w:t>
      </w:r>
    </w:p>
    <w:p w:rsidR="00BC546E" w:rsidRPr="0088408E" w:rsidRDefault="00BC546E" w:rsidP="00F34CCB">
      <w:bookmarkStart w:id="27" w:name="_Toc451348702"/>
    </w:p>
    <w:p w:rsidR="00DA2551" w:rsidRPr="0052109E" w:rsidRDefault="007427F9" w:rsidP="003649A2">
      <w:pPr>
        <w:pStyle w:val="ListParagraph"/>
        <w:widowControl/>
        <w:numPr>
          <w:ilvl w:val="1"/>
          <w:numId w:val="2"/>
        </w:numPr>
        <w:rPr>
          <w:i/>
          <w:szCs w:val="22"/>
        </w:rPr>
      </w:pPr>
      <w:r w:rsidRPr="0088408E">
        <w:t xml:space="preserve">In the pre-PBAC response (p4) it was stated that omalizumab is currently underutilised compared with the estimates (DUSC PRD 2014). The PBAC agreed with the </w:t>
      </w:r>
      <w:r w:rsidR="0088408E" w:rsidRPr="0088408E">
        <w:t>estimates, considered that there was a low risk of leakage due to the drug’s various clinical implications such as subcutaneous administration and potential anaphylaxis risks,</w:t>
      </w:r>
      <w:r w:rsidRPr="0052109E">
        <w:rPr>
          <w:bCs/>
        </w:rPr>
        <w:t xml:space="preserve"> and would therefore only be used when necessary.</w:t>
      </w:r>
      <w:r w:rsidRPr="0088408E">
        <w:t xml:space="preserve"> The PBAC questioned the reduction in responders presented in the estimate of utilisation, however, given the change was minimal, the PBAC considered it acceptable.</w:t>
      </w:r>
      <w:bookmarkEnd w:id="27"/>
    </w:p>
    <w:p w:rsidR="00660F7D" w:rsidRDefault="00660F7D">
      <w:pPr>
        <w:widowControl/>
        <w:jc w:val="left"/>
        <w:rPr>
          <w:b/>
          <w:i/>
        </w:rPr>
      </w:pPr>
      <w:bookmarkStart w:id="28" w:name="_Toc451348703"/>
    </w:p>
    <w:p w:rsidR="003649A2" w:rsidRPr="00DA2551" w:rsidRDefault="003649A2" w:rsidP="00F34CCB">
      <w:pPr>
        <w:pStyle w:val="Heading2"/>
      </w:pPr>
      <w:r w:rsidRPr="00DA2551">
        <w:t xml:space="preserve">Financial Management – </w:t>
      </w:r>
      <w:bookmarkEnd w:id="28"/>
      <w:r w:rsidR="00EB4576" w:rsidRPr="00DA2551">
        <w:t>Special Pricing Arrangement</w:t>
      </w:r>
    </w:p>
    <w:p w:rsidR="003649A2" w:rsidRPr="0088408E" w:rsidRDefault="003649A2" w:rsidP="003649A2">
      <w:pPr>
        <w:widowControl/>
        <w:rPr>
          <w:szCs w:val="22"/>
        </w:rPr>
      </w:pPr>
    </w:p>
    <w:p w:rsidR="00734682" w:rsidRPr="0088408E" w:rsidRDefault="00734682" w:rsidP="00CA2FBD">
      <w:pPr>
        <w:pStyle w:val="ListParagraph"/>
        <w:widowControl/>
        <w:numPr>
          <w:ilvl w:val="1"/>
          <w:numId w:val="2"/>
        </w:numPr>
        <w:rPr>
          <w:szCs w:val="22"/>
        </w:rPr>
      </w:pPr>
      <w:r w:rsidRPr="0088408E">
        <w:t>The PSCR (p1) report</w:t>
      </w:r>
      <w:r w:rsidR="00AC716E" w:rsidRPr="0088408E">
        <w:t>ed</w:t>
      </w:r>
      <w:r w:rsidRPr="0088408E">
        <w:t xml:space="preserve"> that the </w:t>
      </w:r>
      <w:r w:rsidR="00294985">
        <w:t>SPA</w:t>
      </w:r>
      <w:r w:rsidR="00294985" w:rsidRPr="0088408E">
        <w:t xml:space="preserve"> </w:t>
      </w:r>
      <w:r w:rsidR="00787A0F" w:rsidRPr="0088408E">
        <w:t>had been</w:t>
      </w:r>
      <w:r w:rsidRPr="0088408E">
        <w:t xml:space="preserve"> updated since the time of submission.</w:t>
      </w:r>
    </w:p>
    <w:p w:rsidR="001156E4" w:rsidRPr="0088408E" w:rsidRDefault="001156E4" w:rsidP="00734682">
      <w:pPr>
        <w:pStyle w:val="ListParagraph"/>
        <w:widowControl/>
        <w:rPr>
          <w:szCs w:val="22"/>
        </w:rPr>
      </w:pPr>
    </w:p>
    <w:p w:rsidR="003649A2" w:rsidRPr="0088408E" w:rsidRDefault="00734682" w:rsidP="00660F7D">
      <w:pPr>
        <w:pStyle w:val="ListParagraph"/>
        <w:widowControl/>
        <w:numPr>
          <w:ilvl w:val="1"/>
          <w:numId w:val="2"/>
        </w:numPr>
        <w:rPr>
          <w:szCs w:val="22"/>
        </w:rPr>
      </w:pPr>
      <w:r w:rsidRPr="0088408E">
        <w:t xml:space="preserve">Under the new </w:t>
      </w:r>
      <w:r w:rsidR="00294985">
        <w:t>SPA</w:t>
      </w:r>
      <w:r w:rsidRPr="0088408E">
        <w:t>, e</w:t>
      </w:r>
      <w:r w:rsidR="00787A0F" w:rsidRPr="0088408E">
        <w:t>ffective 1 June 16, the rebate wa</w:t>
      </w:r>
      <w:r w:rsidRPr="0088408E">
        <w:t xml:space="preserve">s </w:t>
      </w:r>
      <w:r w:rsidR="00F34CCB">
        <w:rPr>
          <w:noProof/>
          <w:color w:val="000000"/>
          <w:highlight w:val="black"/>
        </w:rPr>
        <w:t>''''''''''''</w:t>
      </w:r>
      <w:r w:rsidRPr="0088408E">
        <w:t>%</w:t>
      </w:r>
      <w:r w:rsidR="00787A0F" w:rsidRPr="0088408E">
        <w:t>. The effective prices we</w:t>
      </w:r>
      <w:r w:rsidRPr="0088408E">
        <w:t>re $</w:t>
      </w:r>
      <w:r w:rsidR="00F34CCB">
        <w:rPr>
          <w:noProof/>
          <w:color w:val="000000"/>
          <w:highlight w:val="black"/>
        </w:rPr>
        <w:t>''''''''''''''''</w:t>
      </w:r>
      <w:r w:rsidRPr="0088408E">
        <w:t xml:space="preserve"> for 75</w:t>
      </w:r>
      <w:r w:rsidR="004D71D9">
        <w:t> </w:t>
      </w:r>
      <w:r w:rsidRPr="0088408E">
        <w:t>mg and $</w:t>
      </w:r>
      <w:r w:rsidR="00F34CCB">
        <w:rPr>
          <w:noProof/>
          <w:color w:val="000000"/>
          <w:highlight w:val="black"/>
        </w:rPr>
        <w:t>'''''''''''''''</w:t>
      </w:r>
      <w:r w:rsidRPr="0088408E">
        <w:t xml:space="preserve"> for 150</w:t>
      </w:r>
      <w:r w:rsidR="004D71D9">
        <w:t> </w:t>
      </w:r>
      <w:r w:rsidRPr="0088408E">
        <w:t>mg.</w:t>
      </w:r>
      <w:r w:rsidR="003649A2" w:rsidRPr="0088408E">
        <w:t xml:space="preserve"> </w:t>
      </w:r>
    </w:p>
    <w:p w:rsidR="00083E66" w:rsidRPr="0088408E" w:rsidRDefault="00083E66" w:rsidP="00083E66">
      <w:pPr>
        <w:pStyle w:val="ListParagraph"/>
        <w:rPr>
          <w:szCs w:val="22"/>
        </w:rPr>
      </w:pPr>
    </w:p>
    <w:p w:rsidR="00386B49" w:rsidRPr="0088408E" w:rsidRDefault="00386B49" w:rsidP="00660F7D">
      <w:pPr>
        <w:ind w:firstLine="720"/>
        <w:rPr>
          <w:bCs/>
          <w:szCs w:val="22"/>
        </w:rPr>
      </w:pPr>
      <w:r w:rsidRPr="0088408E">
        <w:rPr>
          <w:bCs/>
          <w:i/>
          <w:szCs w:val="22"/>
        </w:rPr>
        <w:t>For more detail on PBAC’s view, see section 7 “PBAC outcome”</w:t>
      </w:r>
    </w:p>
    <w:p w:rsidR="00386B49" w:rsidRPr="0088408E" w:rsidRDefault="00386B49" w:rsidP="00386B49">
      <w:pPr>
        <w:rPr>
          <w:szCs w:val="22"/>
        </w:rPr>
      </w:pPr>
    </w:p>
    <w:p w:rsidR="00A84BA7" w:rsidRPr="0088408E" w:rsidRDefault="00A84BA7" w:rsidP="005509F5">
      <w:pPr>
        <w:jc w:val="left"/>
      </w:pPr>
    </w:p>
    <w:p w:rsidR="001F69C2" w:rsidRPr="0088408E" w:rsidRDefault="001F69C2" w:rsidP="00F34CCB">
      <w:pPr>
        <w:pStyle w:val="Heading1"/>
      </w:pPr>
      <w:r w:rsidRPr="0088408E">
        <w:t>PBAC Outcome</w:t>
      </w:r>
    </w:p>
    <w:p w:rsidR="001F69C2" w:rsidRPr="00624DC7" w:rsidRDefault="001F69C2" w:rsidP="001F69C2">
      <w:pPr>
        <w:rPr>
          <w:b/>
          <w:bCs/>
        </w:rPr>
      </w:pPr>
    </w:p>
    <w:p w:rsidR="001F69C2" w:rsidRPr="00624DC7" w:rsidRDefault="001F69C2" w:rsidP="001F69C2">
      <w:pPr>
        <w:numPr>
          <w:ilvl w:val="1"/>
          <w:numId w:val="2"/>
        </w:numPr>
        <w:rPr>
          <w:bCs/>
        </w:rPr>
      </w:pPr>
      <w:r w:rsidRPr="00624DC7">
        <w:rPr>
          <w:bCs/>
        </w:rPr>
        <w:t xml:space="preserve">The PBAC recommended </w:t>
      </w:r>
      <w:r w:rsidR="00F85533" w:rsidRPr="0088408E">
        <w:t xml:space="preserve">a written Authority Required Section 100 (Highly Specialised Drugs Program) </w:t>
      </w:r>
      <w:r w:rsidRPr="00624DC7">
        <w:rPr>
          <w:bCs/>
        </w:rPr>
        <w:t xml:space="preserve">listing of </w:t>
      </w:r>
      <w:r w:rsidR="000B2F3A" w:rsidRPr="00624DC7">
        <w:rPr>
          <w:bCs/>
        </w:rPr>
        <w:t>oma</w:t>
      </w:r>
      <w:r w:rsidR="00F868C1" w:rsidRPr="00624DC7">
        <w:rPr>
          <w:bCs/>
        </w:rPr>
        <w:t>lizumab</w:t>
      </w:r>
      <w:r w:rsidR="00895631" w:rsidRPr="00624DC7">
        <w:rPr>
          <w:bCs/>
        </w:rPr>
        <w:t xml:space="preserve"> for treatment of severe allergic asthma in patients aged 6 to less than 12 years. </w:t>
      </w:r>
      <w:r w:rsidRPr="00624DC7">
        <w:rPr>
          <w:bCs/>
        </w:rPr>
        <w:t xml:space="preserve">The PBAC </w:t>
      </w:r>
      <w:r w:rsidR="0088408E">
        <w:rPr>
          <w:bCs/>
        </w:rPr>
        <w:t>wa</w:t>
      </w:r>
      <w:r w:rsidR="0088408E" w:rsidRPr="00624DC7">
        <w:rPr>
          <w:bCs/>
        </w:rPr>
        <w:t xml:space="preserve">s </w:t>
      </w:r>
      <w:r w:rsidRPr="00624DC7">
        <w:rPr>
          <w:bCs/>
        </w:rPr>
        <w:t xml:space="preserve">satisfied that </w:t>
      </w:r>
      <w:r w:rsidR="00D232B9" w:rsidRPr="00624DC7">
        <w:rPr>
          <w:bCs/>
        </w:rPr>
        <w:t xml:space="preserve">omalizumab </w:t>
      </w:r>
      <w:r w:rsidRPr="00624DC7">
        <w:rPr>
          <w:bCs/>
        </w:rPr>
        <w:t>provides, for some patients, a significant improvement in efficacy over</w:t>
      </w:r>
      <w:r w:rsidR="00C628D3" w:rsidRPr="00624DC7">
        <w:rPr>
          <w:bCs/>
        </w:rPr>
        <w:t xml:space="preserve"> placebo plus optimised asthma therapy</w:t>
      </w:r>
      <w:r w:rsidRPr="00624DC7">
        <w:rPr>
          <w:bCs/>
        </w:rPr>
        <w:t>.</w:t>
      </w:r>
    </w:p>
    <w:p w:rsidR="001F69C2" w:rsidRPr="00624DC7" w:rsidRDefault="001F69C2" w:rsidP="001F69C2">
      <w:pPr>
        <w:rPr>
          <w:bCs/>
        </w:rPr>
      </w:pPr>
    </w:p>
    <w:p w:rsidR="001F69C2" w:rsidRPr="00624DC7" w:rsidRDefault="00891C13" w:rsidP="0058755B">
      <w:pPr>
        <w:numPr>
          <w:ilvl w:val="1"/>
          <w:numId w:val="2"/>
        </w:numPr>
        <w:rPr>
          <w:bCs/>
        </w:rPr>
      </w:pPr>
      <w:r w:rsidRPr="00624DC7">
        <w:rPr>
          <w:bCs/>
        </w:rPr>
        <w:t xml:space="preserve">The PBAC </w:t>
      </w:r>
      <w:r w:rsidR="0058755B" w:rsidRPr="00624DC7">
        <w:rPr>
          <w:bCs/>
        </w:rPr>
        <w:t xml:space="preserve">recommended that the </w:t>
      </w:r>
      <w:r w:rsidRPr="00624DC7">
        <w:rPr>
          <w:bCs/>
        </w:rPr>
        <w:t>restriction for the proposed age group</w:t>
      </w:r>
      <w:r w:rsidR="0058755B" w:rsidRPr="00624DC7">
        <w:rPr>
          <w:bCs/>
        </w:rPr>
        <w:t xml:space="preserve"> be </w:t>
      </w:r>
      <w:r w:rsidR="007D0EA5" w:rsidRPr="00624DC7">
        <w:rPr>
          <w:bCs/>
        </w:rPr>
        <w:t>as consistent</w:t>
      </w:r>
      <w:r w:rsidR="0058755B" w:rsidRPr="00624DC7">
        <w:rPr>
          <w:bCs/>
        </w:rPr>
        <w:t xml:space="preserve"> as possible</w:t>
      </w:r>
      <w:r w:rsidRPr="00624DC7">
        <w:rPr>
          <w:bCs/>
        </w:rPr>
        <w:t xml:space="preserve"> with the adult population </w:t>
      </w:r>
      <w:r w:rsidR="0058755B" w:rsidRPr="00624DC7">
        <w:rPr>
          <w:bCs/>
        </w:rPr>
        <w:t>given the results from the clinical trials were similar in the paediatric and adult groups</w:t>
      </w:r>
      <w:r w:rsidR="001F69C2" w:rsidRPr="00624DC7">
        <w:rPr>
          <w:bCs/>
        </w:rPr>
        <w:t>.</w:t>
      </w:r>
      <w:r w:rsidR="006C7AC5" w:rsidRPr="00624DC7">
        <w:rPr>
          <w:bCs/>
        </w:rPr>
        <w:t xml:space="preserve"> The PBAC </w:t>
      </w:r>
      <w:r w:rsidR="00787A0F" w:rsidRPr="00624DC7">
        <w:rPr>
          <w:bCs/>
        </w:rPr>
        <w:t xml:space="preserve">noted the suggestion that </w:t>
      </w:r>
      <w:r w:rsidR="00787A0F" w:rsidRPr="0088408E">
        <w:rPr>
          <w:szCs w:val="22"/>
        </w:rPr>
        <w:t xml:space="preserve">the threshold for exacerbations be increased, but </w:t>
      </w:r>
      <w:r w:rsidR="006C7AC5" w:rsidRPr="00624DC7">
        <w:rPr>
          <w:bCs/>
        </w:rPr>
        <w:t xml:space="preserve">considered that </w:t>
      </w:r>
      <w:r w:rsidR="0088408E">
        <w:rPr>
          <w:bCs/>
        </w:rPr>
        <w:t xml:space="preserve">increasing </w:t>
      </w:r>
      <w:r w:rsidR="006C7AC5" w:rsidRPr="00624DC7">
        <w:rPr>
          <w:bCs/>
        </w:rPr>
        <w:t xml:space="preserve">the threshold from two to three was immaterial and </w:t>
      </w:r>
      <w:r w:rsidR="007D0EA5" w:rsidRPr="00624DC7">
        <w:rPr>
          <w:bCs/>
        </w:rPr>
        <w:t>recommended the</w:t>
      </w:r>
      <w:r w:rsidR="006C7AC5" w:rsidRPr="00624DC7">
        <w:rPr>
          <w:bCs/>
        </w:rPr>
        <w:t xml:space="preserve"> restriction </w:t>
      </w:r>
      <w:r w:rsidR="007D0EA5" w:rsidRPr="00624DC7">
        <w:rPr>
          <w:bCs/>
        </w:rPr>
        <w:t>remain as two exacerbations as</w:t>
      </w:r>
      <w:r w:rsidR="006C7AC5" w:rsidRPr="00624DC7">
        <w:rPr>
          <w:bCs/>
        </w:rPr>
        <w:t xml:space="preserve"> proposed</w:t>
      </w:r>
      <w:r w:rsidR="00FE7B75" w:rsidRPr="00624DC7">
        <w:rPr>
          <w:bCs/>
        </w:rPr>
        <w:t xml:space="preserve">. </w:t>
      </w:r>
    </w:p>
    <w:p w:rsidR="001F69C2" w:rsidRPr="00624DC7" w:rsidRDefault="001F69C2" w:rsidP="001F69C2">
      <w:pPr>
        <w:rPr>
          <w:bCs/>
        </w:rPr>
      </w:pPr>
    </w:p>
    <w:p w:rsidR="001F69C2" w:rsidRPr="00624DC7" w:rsidRDefault="00891C13" w:rsidP="001F69C2">
      <w:pPr>
        <w:numPr>
          <w:ilvl w:val="1"/>
          <w:numId w:val="2"/>
        </w:numPr>
        <w:rPr>
          <w:bCs/>
        </w:rPr>
      </w:pPr>
      <w:r w:rsidRPr="00624DC7">
        <w:rPr>
          <w:bCs/>
        </w:rPr>
        <w:t xml:space="preserve">The PBAC </w:t>
      </w:r>
      <w:r w:rsidR="00787A0F" w:rsidRPr="00624DC7">
        <w:rPr>
          <w:bCs/>
        </w:rPr>
        <w:t>agre</w:t>
      </w:r>
      <w:r w:rsidR="00E95DD5" w:rsidRPr="00624DC7">
        <w:rPr>
          <w:bCs/>
        </w:rPr>
        <w:t xml:space="preserve">ed </w:t>
      </w:r>
      <w:r w:rsidRPr="00624DC7">
        <w:rPr>
          <w:bCs/>
        </w:rPr>
        <w:t>there was a c</w:t>
      </w:r>
      <w:r w:rsidR="001F69C2" w:rsidRPr="00624DC7">
        <w:rPr>
          <w:bCs/>
        </w:rPr>
        <w:t xml:space="preserve">linical place for </w:t>
      </w:r>
      <w:r w:rsidRPr="00624DC7">
        <w:rPr>
          <w:bCs/>
        </w:rPr>
        <w:t xml:space="preserve">the </w:t>
      </w:r>
      <w:r w:rsidR="001F69C2" w:rsidRPr="00624DC7">
        <w:rPr>
          <w:bCs/>
        </w:rPr>
        <w:t>proposed therapy</w:t>
      </w:r>
      <w:r w:rsidRPr="00624DC7">
        <w:rPr>
          <w:bCs/>
        </w:rPr>
        <w:t xml:space="preserve"> and noted </w:t>
      </w:r>
      <w:r w:rsidR="00D1637F" w:rsidRPr="00624DC7">
        <w:rPr>
          <w:bCs/>
        </w:rPr>
        <w:t>that there</w:t>
      </w:r>
      <w:r w:rsidR="00D55EEA" w:rsidRPr="00624DC7">
        <w:rPr>
          <w:bCs/>
        </w:rPr>
        <w:t xml:space="preserve"> are currently </w:t>
      </w:r>
      <w:r w:rsidRPr="00624DC7">
        <w:rPr>
          <w:bCs/>
        </w:rPr>
        <w:t xml:space="preserve">limited </w:t>
      </w:r>
      <w:r w:rsidR="00D1637F" w:rsidRPr="00624DC7">
        <w:rPr>
          <w:bCs/>
        </w:rPr>
        <w:t>options available to treat the proposed</w:t>
      </w:r>
      <w:r w:rsidRPr="00624DC7">
        <w:rPr>
          <w:bCs/>
        </w:rPr>
        <w:t xml:space="preserve"> group</w:t>
      </w:r>
      <w:r w:rsidR="006C7AC5" w:rsidRPr="00624DC7">
        <w:rPr>
          <w:bCs/>
        </w:rPr>
        <w:t xml:space="preserve"> and that </w:t>
      </w:r>
      <w:r w:rsidR="0088408E" w:rsidRPr="0088408E">
        <w:rPr>
          <w:bCs/>
        </w:rPr>
        <w:t>long-term</w:t>
      </w:r>
      <w:r w:rsidR="006C7AC5" w:rsidRPr="00624DC7">
        <w:rPr>
          <w:bCs/>
        </w:rPr>
        <w:t xml:space="preserve"> oral steroid use is unfavourable</w:t>
      </w:r>
      <w:r w:rsidRPr="00624DC7">
        <w:rPr>
          <w:bCs/>
        </w:rPr>
        <w:t>.</w:t>
      </w:r>
      <w:r w:rsidR="00355A17" w:rsidRPr="00624DC7">
        <w:rPr>
          <w:bCs/>
        </w:rPr>
        <w:t xml:space="preserve"> Additionally, the PBAC considered that there was a low risk of leakage due to the drug’s </w:t>
      </w:r>
      <w:r w:rsidR="00AD44B8" w:rsidRPr="00624DC7">
        <w:rPr>
          <w:bCs/>
        </w:rPr>
        <w:t xml:space="preserve">various </w:t>
      </w:r>
      <w:r w:rsidR="00355A17" w:rsidRPr="00624DC7">
        <w:rPr>
          <w:bCs/>
        </w:rPr>
        <w:t>c</w:t>
      </w:r>
      <w:r w:rsidR="006502DD" w:rsidRPr="00624DC7">
        <w:rPr>
          <w:bCs/>
        </w:rPr>
        <w:t>linical im</w:t>
      </w:r>
      <w:r w:rsidR="00AD44B8" w:rsidRPr="00624DC7">
        <w:rPr>
          <w:bCs/>
        </w:rPr>
        <w:t>plications</w:t>
      </w:r>
      <w:r w:rsidR="006502DD" w:rsidRPr="00624DC7">
        <w:rPr>
          <w:bCs/>
        </w:rPr>
        <w:t xml:space="preserve"> such as</w:t>
      </w:r>
      <w:r w:rsidR="00355A17" w:rsidRPr="00624DC7">
        <w:rPr>
          <w:bCs/>
        </w:rPr>
        <w:t xml:space="preserve"> subcutaneous administration and potential anaphylaxis risks</w:t>
      </w:r>
      <w:r w:rsidR="00AD44B8" w:rsidRPr="00624DC7">
        <w:rPr>
          <w:bCs/>
        </w:rPr>
        <w:t xml:space="preserve"> and would therefore only be used when necessary</w:t>
      </w:r>
      <w:r w:rsidR="00355A17" w:rsidRPr="00624DC7">
        <w:rPr>
          <w:bCs/>
        </w:rPr>
        <w:t>.</w:t>
      </w:r>
    </w:p>
    <w:p w:rsidR="001F69C2" w:rsidRPr="00624DC7" w:rsidRDefault="001F69C2" w:rsidP="001F69C2">
      <w:pPr>
        <w:rPr>
          <w:bCs/>
        </w:rPr>
      </w:pPr>
    </w:p>
    <w:p w:rsidR="001F69C2" w:rsidRPr="00624DC7" w:rsidRDefault="00891C13" w:rsidP="001F69C2">
      <w:pPr>
        <w:numPr>
          <w:ilvl w:val="1"/>
          <w:numId w:val="2"/>
        </w:numPr>
        <w:rPr>
          <w:bCs/>
        </w:rPr>
      </w:pPr>
      <w:r w:rsidRPr="00624DC7">
        <w:rPr>
          <w:bCs/>
        </w:rPr>
        <w:t>Th</w:t>
      </w:r>
      <w:r w:rsidR="00D1637F" w:rsidRPr="00624DC7">
        <w:rPr>
          <w:bCs/>
        </w:rPr>
        <w:t xml:space="preserve">e PBAC agreed that </w:t>
      </w:r>
      <w:r w:rsidRPr="00624DC7">
        <w:rPr>
          <w:bCs/>
        </w:rPr>
        <w:t>placebo plus optimised asthma therapy</w:t>
      </w:r>
      <w:r w:rsidR="00D1637F" w:rsidRPr="00624DC7">
        <w:rPr>
          <w:bCs/>
        </w:rPr>
        <w:t xml:space="preserve"> was the appropriate comparator</w:t>
      </w:r>
      <w:r w:rsidRPr="00624DC7">
        <w:rPr>
          <w:bCs/>
        </w:rPr>
        <w:t>.</w:t>
      </w:r>
      <w:r w:rsidR="001F69C2" w:rsidRPr="00624DC7">
        <w:rPr>
          <w:bCs/>
        </w:rPr>
        <w:t xml:space="preserve"> </w:t>
      </w:r>
    </w:p>
    <w:p w:rsidR="001F69C2" w:rsidRPr="00624DC7" w:rsidRDefault="001F69C2" w:rsidP="001F69C2">
      <w:pPr>
        <w:rPr>
          <w:bCs/>
        </w:rPr>
      </w:pPr>
    </w:p>
    <w:p w:rsidR="00787A0F" w:rsidRPr="00624DC7" w:rsidRDefault="00E95DD5" w:rsidP="001F69C2">
      <w:pPr>
        <w:numPr>
          <w:ilvl w:val="1"/>
          <w:numId w:val="2"/>
        </w:numPr>
        <w:rPr>
          <w:bCs/>
        </w:rPr>
      </w:pPr>
      <w:r w:rsidRPr="00624DC7">
        <w:rPr>
          <w:bCs/>
        </w:rPr>
        <w:t xml:space="preserve">The PBAC </w:t>
      </w:r>
      <w:r w:rsidR="00787A0F" w:rsidRPr="00624DC7">
        <w:rPr>
          <w:bCs/>
        </w:rPr>
        <w:t xml:space="preserve">noted the limitations of the clinical trial data presented, but considered that there was no biologically plausible reason for effect modification based upon age. The PBAC considered clinical trial </w:t>
      </w:r>
      <w:r w:rsidR="0088408E" w:rsidRPr="0088408E">
        <w:rPr>
          <w:bCs/>
        </w:rPr>
        <w:t>evidence that</w:t>
      </w:r>
      <w:r w:rsidR="00787A0F" w:rsidRPr="00624DC7">
        <w:rPr>
          <w:bCs/>
        </w:rPr>
        <w:t xml:space="preserve"> demonstrated that there were similar outcomes in the paediatric population when compared to the adult population. </w:t>
      </w:r>
    </w:p>
    <w:p w:rsidR="00787A0F" w:rsidRPr="00624DC7" w:rsidRDefault="00787A0F" w:rsidP="00787A0F">
      <w:pPr>
        <w:pStyle w:val="ListParagraph"/>
        <w:rPr>
          <w:bCs/>
        </w:rPr>
      </w:pPr>
    </w:p>
    <w:p w:rsidR="0023284B" w:rsidRPr="0088408E" w:rsidRDefault="0023284B" w:rsidP="0023284B">
      <w:pPr>
        <w:pStyle w:val="ListParagraph"/>
        <w:widowControl/>
        <w:numPr>
          <w:ilvl w:val="1"/>
          <w:numId w:val="2"/>
        </w:numPr>
      </w:pPr>
      <w:r w:rsidRPr="00624DC7">
        <w:rPr>
          <w:bCs/>
        </w:rPr>
        <w:t>The PBAC noted t</w:t>
      </w:r>
      <w:r w:rsidRPr="0088408E">
        <w:rPr>
          <w:szCs w:val="22"/>
        </w:rPr>
        <w:t xml:space="preserve">he clinically significant exacerbation rate was significantly lower in omalizumab plus optimised asthma therapy compared with placebo plus optimised asthma therapy in each of the analysis groups. For the IA05-EU subgroup, none of the secondary outcomes were statistically significantly different between the two treatment arms (such as severe exacerbation rate, hospitalisation rate, puffs of rescue medication per day, Paediatric Asthma Quality of Life Questionnaire and lung function). </w:t>
      </w:r>
      <w:r w:rsidRPr="0088408E">
        <w:t>The PBAC considered that this was acceptable as the ICATA study demonstrated there were benefits in a paediatric population being treated with omalizumab.</w:t>
      </w:r>
    </w:p>
    <w:p w:rsidR="0023284B" w:rsidRPr="0088408E" w:rsidRDefault="0023284B" w:rsidP="0023284B">
      <w:pPr>
        <w:widowControl/>
      </w:pPr>
    </w:p>
    <w:p w:rsidR="001F69C2" w:rsidRPr="00624DC7" w:rsidRDefault="00787A0F" w:rsidP="001F69C2">
      <w:pPr>
        <w:numPr>
          <w:ilvl w:val="1"/>
          <w:numId w:val="2"/>
        </w:numPr>
        <w:rPr>
          <w:bCs/>
        </w:rPr>
      </w:pPr>
      <w:r w:rsidRPr="00624DC7">
        <w:rPr>
          <w:bCs/>
        </w:rPr>
        <w:t>Similarly, t</w:t>
      </w:r>
      <w:r w:rsidR="00E95DD5" w:rsidRPr="00624DC7">
        <w:rPr>
          <w:bCs/>
        </w:rPr>
        <w:t xml:space="preserve">he PBAC noted </w:t>
      </w:r>
      <w:r w:rsidRPr="00624DC7">
        <w:rPr>
          <w:bCs/>
        </w:rPr>
        <w:t xml:space="preserve">there were some limitations to the </w:t>
      </w:r>
      <w:r w:rsidR="00E95DD5" w:rsidRPr="00624DC7">
        <w:rPr>
          <w:bCs/>
        </w:rPr>
        <w:t>safety data</w:t>
      </w:r>
      <w:r w:rsidR="0023284B" w:rsidRPr="00624DC7">
        <w:rPr>
          <w:bCs/>
        </w:rPr>
        <w:t>, but considered the additional data</w:t>
      </w:r>
      <w:r w:rsidR="00E95DD5" w:rsidRPr="00624DC7">
        <w:rPr>
          <w:bCs/>
        </w:rPr>
        <w:t xml:space="preserve"> that </w:t>
      </w:r>
      <w:r w:rsidR="0088408E" w:rsidRPr="00624DC7">
        <w:rPr>
          <w:bCs/>
        </w:rPr>
        <w:t>w</w:t>
      </w:r>
      <w:r w:rsidR="0088408E">
        <w:rPr>
          <w:bCs/>
        </w:rPr>
        <w:t>ere</w:t>
      </w:r>
      <w:r w:rsidR="0088408E" w:rsidRPr="00624DC7">
        <w:rPr>
          <w:bCs/>
        </w:rPr>
        <w:t xml:space="preserve"> </w:t>
      </w:r>
      <w:r w:rsidR="00E95DD5" w:rsidRPr="00624DC7">
        <w:rPr>
          <w:bCs/>
        </w:rPr>
        <w:t>lodged to the US and Canada for the assessment of paediatric safety</w:t>
      </w:r>
      <w:r w:rsidR="0023284B" w:rsidRPr="00624DC7">
        <w:rPr>
          <w:bCs/>
        </w:rPr>
        <w:t xml:space="preserve"> addressed these concerns</w:t>
      </w:r>
      <w:r w:rsidR="00E95DD5" w:rsidRPr="00624DC7">
        <w:rPr>
          <w:bCs/>
        </w:rPr>
        <w:t xml:space="preserve">. </w:t>
      </w:r>
    </w:p>
    <w:p w:rsidR="001F69C2" w:rsidRPr="00624DC7" w:rsidRDefault="001F69C2" w:rsidP="0023284B">
      <w:pPr>
        <w:pStyle w:val="ListParagraph"/>
        <w:rPr>
          <w:bCs/>
        </w:rPr>
      </w:pPr>
    </w:p>
    <w:p w:rsidR="001F69C2" w:rsidRPr="00624DC7" w:rsidRDefault="000356E1" w:rsidP="001F69C2">
      <w:pPr>
        <w:numPr>
          <w:ilvl w:val="1"/>
          <w:numId w:val="2"/>
        </w:numPr>
        <w:rPr>
          <w:bCs/>
        </w:rPr>
      </w:pPr>
      <w:r w:rsidRPr="00624DC7">
        <w:rPr>
          <w:bCs/>
        </w:rPr>
        <w:t xml:space="preserve">The PBAC considered the economic model to be reasonable where a cost effectiveness analysis </w:t>
      </w:r>
      <w:r w:rsidR="002112A5" w:rsidRPr="00624DC7">
        <w:rPr>
          <w:bCs/>
        </w:rPr>
        <w:t xml:space="preserve">was presented </w:t>
      </w:r>
      <w:r w:rsidRPr="00624DC7">
        <w:rPr>
          <w:bCs/>
        </w:rPr>
        <w:t>in the form of cos</w:t>
      </w:r>
      <w:r w:rsidR="00AD576A" w:rsidRPr="00624DC7">
        <w:rPr>
          <w:bCs/>
        </w:rPr>
        <w:t>t</w:t>
      </w:r>
      <w:r w:rsidRPr="00624DC7">
        <w:rPr>
          <w:bCs/>
        </w:rPr>
        <w:t xml:space="preserve"> per clinica</w:t>
      </w:r>
      <w:r w:rsidR="00F70659" w:rsidRPr="00624DC7">
        <w:rPr>
          <w:bCs/>
        </w:rPr>
        <w:t>lly significant exacerbation av</w:t>
      </w:r>
      <w:r w:rsidRPr="00624DC7">
        <w:rPr>
          <w:bCs/>
        </w:rPr>
        <w:t>oided</w:t>
      </w:r>
      <w:r w:rsidR="0023284B" w:rsidRPr="00624DC7">
        <w:rPr>
          <w:bCs/>
        </w:rPr>
        <w:t>. The economic model</w:t>
      </w:r>
      <w:r w:rsidR="00F70659" w:rsidRPr="00624DC7">
        <w:rPr>
          <w:bCs/>
        </w:rPr>
        <w:t xml:space="preserve"> was </w:t>
      </w:r>
      <w:r w:rsidRPr="00624DC7">
        <w:rPr>
          <w:bCs/>
        </w:rPr>
        <w:t>based on the direct randomised trial, Study IA05 and its subgroups and performed as a responder analysis using the clinically significant exacerbation rate as the outcome.</w:t>
      </w:r>
      <w:r w:rsidR="0023284B" w:rsidRPr="00624DC7">
        <w:rPr>
          <w:bCs/>
        </w:rPr>
        <w:t xml:space="preserve"> Additionally, the claim of cost-effectiveness was supported by the PBAC’s previous consideration that omalizumab treatment was cost-effective in the adolescent and adult populations.</w:t>
      </w:r>
    </w:p>
    <w:p w:rsidR="001F69C2" w:rsidRPr="00624DC7" w:rsidRDefault="001F69C2" w:rsidP="001F69C2">
      <w:pPr>
        <w:rPr>
          <w:bCs/>
        </w:rPr>
      </w:pPr>
    </w:p>
    <w:p w:rsidR="001F69C2" w:rsidRPr="00624DC7" w:rsidRDefault="00E87710" w:rsidP="001F69C2">
      <w:pPr>
        <w:numPr>
          <w:ilvl w:val="1"/>
          <w:numId w:val="2"/>
        </w:numPr>
        <w:rPr>
          <w:bCs/>
        </w:rPr>
      </w:pPr>
      <w:r w:rsidRPr="00624DC7">
        <w:rPr>
          <w:bCs/>
        </w:rPr>
        <w:t xml:space="preserve">The PBAC noted that the total number of patients utilising the drug would be low and therefore considered the total cost of the drug to be relatively </w:t>
      </w:r>
      <w:r w:rsidR="004420FB" w:rsidRPr="00624DC7">
        <w:rPr>
          <w:bCs/>
        </w:rPr>
        <w:t>low</w:t>
      </w:r>
      <w:r w:rsidRPr="00624DC7">
        <w:rPr>
          <w:bCs/>
        </w:rPr>
        <w:t>.</w:t>
      </w:r>
      <w:r w:rsidR="000B2F3A" w:rsidRPr="00624DC7">
        <w:rPr>
          <w:bCs/>
        </w:rPr>
        <w:t xml:space="preserve"> The </w:t>
      </w:r>
      <w:r w:rsidR="0088408E" w:rsidRPr="0088408E">
        <w:rPr>
          <w:bCs/>
        </w:rPr>
        <w:t>clinician in the sponsor hearing confirmed the utilisation of omalizumab in the proposed population</w:t>
      </w:r>
      <w:r w:rsidR="00D66DAA" w:rsidRPr="00624DC7">
        <w:rPr>
          <w:bCs/>
        </w:rPr>
        <w:t>. The PBAC questioned the reduction in responders in the estimate of utilisation</w:t>
      </w:r>
      <w:r w:rsidR="00213C51" w:rsidRPr="00624DC7">
        <w:rPr>
          <w:bCs/>
        </w:rPr>
        <w:t>. H</w:t>
      </w:r>
      <w:r w:rsidR="00D66DAA" w:rsidRPr="00624DC7">
        <w:rPr>
          <w:bCs/>
        </w:rPr>
        <w:t xml:space="preserve">owever, </w:t>
      </w:r>
      <w:r w:rsidR="00213C51" w:rsidRPr="00624DC7">
        <w:rPr>
          <w:bCs/>
        </w:rPr>
        <w:t xml:space="preserve">PBAC noted that it was acceptable in this case </w:t>
      </w:r>
      <w:r w:rsidR="00F3366D" w:rsidRPr="00624DC7">
        <w:rPr>
          <w:bCs/>
        </w:rPr>
        <w:t xml:space="preserve">as </w:t>
      </w:r>
      <w:r w:rsidR="00D66DAA" w:rsidRPr="00624DC7">
        <w:rPr>
          <w:bCs/>
        </w:rPr>
        <w:t>the change was</w:t>
      </w:r>
      <w:r w:rsidR="00A138E9" w:rsidRPr="00624DC7">
        <w:rPr>
          <w:bCs/>
        </w:rPr>
        <w:t xml:space="preserve"> minimal.</w:t>
      </w:r>
    </w:p>
    <w:p w:rsidR="003D0A63" w:rsidRPr="00624DC7" w:rsidRDefault="003D0A63" w:rsidP="00BE1647">
      <w:pPr>
        <w:pStyle w:val="ListParagraph"/>
        <w:rPr>
          <w:bCs/>
        </w:rPr>
      </w:pPr>
    </w:p>
    <w:p w:rsidR="001F69C2" w:rsidRPr="00624DC7" w:rsidRDefault="001F69C2" w:rsidP="001F69C2">
      <w:pPr>
        <w:numPr>
          <w:ilvl w:val="1"/>
          <w:numId w:val="2"/>
        </w:numPr>
        <w:rPr>
          <w:bCs/>
        </w:rPr>
      </w:pPr>
      <w:r w:rsidRPr="00624DC7">
        <w:rPr>
          <w:bCs/>
        </w:rPr>
        <w:t xml:space="preserve">The PBAC recommended that </w:t>
      </w:r>
      <w:r w:rsidR="007F2974" w:rsidRPr="00624DC7">
        <w:rPr>
          <w:bCs/>
        </w:rPr>
        <w:t xml:space="preserve">omalizumab </w:t>
      </w:r>
      <w:r w:rsidRPr="00624DC7">
        <w:rPr>
          <w:bCs/>
        </w:rPr>
        <w:t>should</w:t>
      </w:r>
      <w:r w:rsidR="007F2974" w:rsidRPr="00624DC7">
        <w:rPr>
          <w:bCs/>
        </w:rPr>
        <w:t xml:space="preserve"> not</w:t>
      </w:r>
      <w:r w:rsidRPr="00624DC7">
        <w:rPr>
          <w:bCs/>
        </w:rPr>
        <w:t xml:space="preserve"> be treated as interchangeable with any other drugs</w:t>
      </w:r>
      <w:r w:rsidR="007F2974" w:rsidRPr="00624DC7">
        <w:rPr>
          <w:bCs/>
        </w:rPr>
        <w:t>.</w:t>
      </w:r>
    </w:p>
    <w:p w:rsidR="001F69C2" w:rsidRPr="00624DC7" w:rsidRDefault="001F69C2" w:rsidP="001F69C2">
      <w:pPr>
        <w:rPr>
          <w:bCs/>
        </w:rPr>
      </w:pPr>
    </w:p>
    <w:p w:rsidR="001F69C2" w:rsidRPr="00624DC7" w:rsidRDefault="0023284B" w:rsidP="001F69C2">
      <w:pPr>
        <w:numPr>
          <w:ilvl w:val="1"/>
          <w:numId w:val="2"/>
        </w:numPr>
        <w:rPr>
          <w:bCs/>
        </w:rPr>
      </w:pPr>
      <w:r w:rsidRPr="0088408E">
        <w:rPr>
          <w:szCs w:val="22"/>
        </w:rPr>
        <w:t>The PBAC advised that Section 100 medicines are currently considered out of scope for prescribing by nurse practitioners.</w:t>
      </w:r>
      <w:bookmarkStart w:id="29" w:name="_GoBack"/>
      <w:bookmarkEnd w:id="29"/>
      <w:r w:rsidR="001F69C2" w:rsidRPr="00624DC7">
        <w:rPr>
          <w:bCs/>
        </w:rPr>
        <w:t xml:space="preserve"> </w:t>
      </w:r>
    </w:p>
    <w:p w:rsidR="001F69C2" w:rsidRPr="00624DC7" w:rsidRDefault="001F69C2" w:rsidP="001F69C2">
      <w:pPr>
        <w:rPr>
          <w:bCs/>
        </w:rPr>
      </w:pPr>
    </w:p>
    <w:p w:rsidR="00D238DB" w:rsidRPr="00624DC7" w:rsidRDefault="0023284B" w:rsidP="00BE1647">
      <w:pPr>
        <w:numPr>
          <w:ilvl w:val="1"/>
          <w:numId w:val="2"/>
        </w:numPr>
        <w:rPr>
          <w:bCs/>
        </w:rPr>
      </w:pPr>
      <w:r w:rsidRPr="00624DC7">
        <w:rPr>
          <w:bCs/>
        </w:rPr>
        <w:t>The PBAC noted that the Early Supply Rule does not currently apply to Section 100</w:t>
      </w:r>
      <w:r w:rsidR="00E249CB">
        <w:rPr>
          <w:bCs/>
        </w:rPr>
        <w:t xml:space="preserve"> listings</w:t>
      </w:r>
      <w:r w:rsidRPr="00624DC7">
        <w:rPr>
          <w:bCs/>
        </w:rPr>
        <w:t xml:space="preserve">, but should this change in the future the Committee considered that it would be appropriate for the Early Supply Rule to apply to </w:t>
      </w:r>
      <w:proofErr w:type="spellStart"/>
      <w:r w:rsidR="0002256D">
        <w:rPr>
          <w:bCs/>
        </w:rPr>
        <w:t>omalizumab</w:t>
      </w:r>
      <w:proofErr w:type="spellEnd"/>
      <w:r w:rsidR="001F69C2" w:rsidRPr="00624DC7">
        <w:rPr>
          <w:bCs/>
        </w:rPr>
        <w:t xml:space="preserve">. </w:t>
      </w:r>
    </w:p>
    <w:p w:rsidR="00D238DB" w:rsidRPr="00624DC7" w:rsidRDefault="00D238DB" w:rsidP="00BE1647">
      <w:pPr>
        <w:ind w:left="720"/>
        <w:rPr>
          <w:bCs/>
        </w:rPr>
      </w:pPr>
    </w:p>
    <w:p w:rsidR="001F69C2" w:rsidRPr="00624DC7" w:rsidRDefault="001F69C2" w:rsidP="00BE1647">
      <w:pPr>
        <w:numPr>
          <w:ilvl w:val="1"/>
          <w:numId w:val="2"/>
        </w:numPr>
        <w:rPr>
          <w:bCs/>
        </w:rPr>
      </w:pPr>
      <w:r w:rsidRPr="00624DC7">
        <w:rPr>
          <w:bCs/>
        </w:rPr>
        <w:t>The PBAC noted that this submission is not eligible for an Independent Review</w:t>
      </w:r>
      <w:r w:rsidR="00501DAC" w:rsidRPr="00624DC7">
        <w:rPr>
          <w:bCs/>
        </w:rPr>
        <w:t xml:space="preserve"> because the PBAC has made a positive recommendation</w:t>
      </w:r>
      <w:r w:rsidRPr="00624DC7">
        <w:rPr>
          <w:bCs/>
        </w:rPr>
        <w:t>.</w:t>
      </w:r>
      <w:r w:rsidR="00501DAC" w:rsidRPr="00624DC7" w:rsidDel="00501DAC">
        <w:rPr>
          <w:bCs/>
        </w:rPr>
        <w:t xml:space="preserve"> </w:t>
      </w:r>
    </w:p>
    <w:p w:rsidR="001F69C2" w:rsidRPr="00624DC7" w:rsidRDefault="001F69C2" w:rsidP="001F69C2">
      <w:pPr>
        <w:rPr>
          <w:b/>
          <w:bCs/>
          <w:highlight w:val="yellow"/>
        </w:rPr>
      </w:pPr>
    </w:p>
    <w:p w:rsidR="001F69C2" w:rsidRPr="00624DC7" w:rsidRDefault="001F69C2" w:rsidP="001F69C2">
      <w:pPr>
        <w:rPr>
          <w:b/>
          <w:bCs/>
        </w:rPr>
      </w:pPr>
      <w:r w:rsidRPr="00624DC7">
        <w:rPr>
          <w:b/>
          <w:bCs/>
        </w:rPr>
        <w:t>Outcome:</w:t>
      </w:r>
    </w:p>
    <w:p w:rsidR="001F69C2" w:rsidRPr="00624DC7" w:rsidRDefault="001F69C2" w:rsidP="001F69C2">
      <w:pPr>
        <w:rPr>
          <w:bCs/>
          <w:highlight w:val="yellow"/>
        </w:rPr>
      </w:pPr>
      <w:r w:rsidRPr="00624DC7">
        <w:rPr>
          <w:bCs/>
        </w:rPr>
        <w:t>Recommended</w:t>
      </w:r>
    </w:p>
    <w:p w:rsidR="004F617B" w:rsidRPr="00F3613B" w:rsidRDefault="004F617B" w:rsidP="001F69C2">
      <w:pPr>
        <w:rPr>
          <w:b/>
          <w:bCs/>
        </w:rPr>
      </w:pPr>
    </w:p>
    <w:p w:rsidR="001F69C2" w:rsidRPr="0088408E" w:rsidRDefault="001F69C2" w:rsidP="001F69C2">
      <w:pPr>
        <w:rPr>
          <w:bCs/>
        </w:rPr>
      </w:pPr>
    </w:p>
    <w:p w:rsidR="001F69C2" w:rsidRPr="00624DC7" w:rsidRDefault="001F69C2" w:rsidP="00F34CCB">
      <w:pPr>
        <w:pStyle w:val="Heading1"/>
        <w:rPr>
          <w:i/>
        </w:rPr>
      </w:pPr>
      <w:r w:rsidRPr="00624DC7">
        <w:t>Recommended listing</w:t>
      </w:r>
    </w:p>
    <w:p w:rsidR="001F69C2" w:rsidRPr="00624DC7" w:rsidRDefault="001F69C2" w:rsidP="001F69C2">
      <w:pPr>
        <w:rPr>
          <w:b/>
          <w:bCs/>
          <w:i/>
        </w:rPr>
      </w:pPr>
    </w:p>
    <w:p w:rsidR="001F69C2" w:rsidRPr="0088408E" w:rsidRDefault="001F69C2" w:rsidP="00D31079">
      <w:pPr>
        <w:numPr>
          <w:ilvl w:val="1"/>
          <w:numId w:val="2"/>
        </w:numPr>
        <w:rPr>
          <w:bCs/>
        </w:rPr>
      </w:pPr>
      <w:r w:rsidRPr="0088408E">
        <w:rPr>
          <w:bCs/>
        </w:rPr>
        <w:t>Amend existing/recommended listing as follows:</w:t>
      </w:r>
    </w:p>
    <w:p w:rsidR="00F73364" w:rsidRPr="0088408E" w:rsidRDefault="00F73364" w:rsidP="00D31079">
      <w:pPr>
        <w:ind w:left="720"/>
        <w:rPr>
          <w:bCs/>
        </w:rPr>
      </w:pPr>
    </w:p>
    <w:p w:rsidR="00453E6D" w:rsidRDefault="00453E6D" w:rsidP="00D31079">
      <w:pPr>
        <w:ind w:left="720"/>
        <w:rPr>
          <w:bCs/>
        </w:rPr>
      </w:pPr>
      <w:r w:rsidRPr="0088408E">
        <w:rPr>
          <w:bCs/>
        </w:rPr>
        <w:t>To be finalised</w:t>
      </w:r>
    </w:p>
    <w:p w:rsidR="003327B3" w:rsidRPr="0088408E" w:rsidRDefault="003327B3" w:rsidP="00D31079">
      <w:pPr>
        <w:ind w:left="720"/>
        <w:rPr>
          <w:bCs/>
        </w:rPr>
      </w:pPr>
    </w:p>
    <w:bookmarkEnd w:id="1"/>
    <w:bookmarkEnd w:id="2"/>
    <w:bookmarkEnd w:id="3"/>
    <w:bookmarkEnd w:id="4"/>
    <w:bookmarkEnd w:id="5"/>
    <w:p w:rsidR="003327B3" w:rsidRPr="003327B3" w:rsidRDefault="003327B3" w:rsidP="00F34CCB">
      <w:pPr>
        <w:pStyle w:val="Heading1"/>
      </w:pPr>
      <w:r w:rsidRPr="003327B3">
        <w:t>Context for Decision</w:t>
      </w:r>
    </w:p>
    <w:p w:rsidR="003327B3" w:rsidRDefault="003327B3" w:rsidP="003327B3">
      <w:pPr>
        <w:ind w:left="426"/>
      </w:pPr>
    </w:p>
    <w:p w:rsidR="003327B3" w:rsidRPr="003327B3" w:rsidRDefault="003327B3" w:rsidP="003327B3">
      <w:pPr>
        <w:ind w:left="720"/>
        <w:rPr>
          <w:bCs/>
        </w:rPr>
      </w:pPr>
      <w:r w:rsidRPr="003327B3">
        <w:rPr>
          <w:bC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327B3" w:rsidRDefault="003327B3" w:rsidP="003327B3">
      <w:pPr>
        <w:ind w:left="426"/>
      </w:pPr>
    </w:p>
    <w:p w:rsidR="003327B3" w:rsidRPr="003327B3" w:rsidRDefault="003327B3" w:rsidP="00F34CCB">
      <w:pPr>
        <w:pStyle w:val="Heading1"/>
      </w:pPr>
      <w:r w:rsidRPr="003327B3">
        <w:t>Sponsor’s Comment</w:t>
      </w:r>
    </w:p>
    <w:p w:rsidR="003327B3" w:rsidRDefault="003327B3" w:rsidP="003327B3">
      <w:pPr>
        <w:ind w:left="426"/>
        <w:rPr>
          <w:bCs/>
          <w:highlight w:val="yellow"/>
          <w:lang w:val="en-GB"/>
        </w:rPr>
      </w:pPr>
    </w:p>
    <w:p w:rsidR="00047228" w:rsidRDefault="00047228" w:rsidP="008461A7">
      <w:pPr>
        <w:ind w:left="720"/>
        <w:jc w:val="left"/>
        <w:rPr>
          <w:szCs w:val="22"/>
        </w:rPr>
      </w:pPr>
      <w:r>
        <w:t xml:space="preserve">Novartis is very pleased that children with severe allergic asthma will have access to </w:t>
      </w:r>
      <w:proofErr w:type="spellStart"/>
      <w:r>
        <w:t>omalizumab</w:t>
      </w:r>
      <w:proofErr w:type="spellEnd"/>
      <w:r>
        <w:t xml:space="preserve"> via the PBS. </w:t>
      </w:r>
      <w:r>
        <w:rPr>
          <w:szCs w:val="22"/>
        </w:rPr>
        <w:t>Novartis wishes to thank the consumer organisations and physicians that supported this submission, as well as the PBAC and government.</w:t>
      </w:r>
    </w:p>
    <w:p w:rsidR="001F69C2" w:rsidRPr="0088408E" w:rsidRDefault="001F69C2" w:rsidP="005509F5">
      <w:pPr>
        <w:jc w:val="left"/>
      </w:pPr>
    </w:p>
    <w:sectPr w:rsidR="001F69C2" w:rsidRPr="0088408E" w:rsidSect="001A3CB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05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CCB" w:rsidRDefault="00F34CCB" w:rsidP="00124A51">
      <w:r>
        <w:separator/>
      </w:r>
    </w:p>
  </w:endnote>
  <w:endnote w:type="continuationSeparator" w:id="0">
    <w:p w:rsidR="00F34CCB" w:rsidRDefault="00F34CCB"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ews Gothic MT">
    <w:altName w:val="Corbel"/>
    <w:charset w:val="00"/>
    <w:family w:val="swiss"/>
    <w:pitch w:val="variable"/>
    <w:sig w:usb0="00000001" w:usb1="00000000" w:usb2="00000000" w:usb3="00000000" w:csb0="0000009F" w:csb1="00000000"/>
  </w:font>
  <w:font w:name="Sabon">
    <w:altName w:val="Constantia"/>
    <w:charset w:val="00"/>
    <w:family w:val="roman"/>
    <w:pitch w:val="variable"/>
    <w:sig w:usb0="00000001" w:usb1="00000000" w:usb2="00000000" w:usb3="00000000" w:csb0="0000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CB" w:rsidRDefault="00F34C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CB" w:rsidRDefault="00F34CCB">
    <w:pPr>
      <w:pStyle w:val="Footer"/>
      <w:jc w:val="center"/>
    </w:pPr>
  </w:p>
  <w:p w:rsidR="00F34CCB" w:rsidRDefault="00F34CCB">
    <w:pPr>
      <w:pStyle w:val="Footer"/>
      <w:jc w:val="center"/>
    </w:pPr>
    <w:sdt>
      <w:sdtPr>
        <w:id w:val="1319914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146BA">
          <w:rPr>
            <w:noProof/>
          </w:rPr>
          <w:t>1</w:t>
        </w:r>
        <w:r>
          <w:rPr>
            <w:noProof/>
          </w:rPr>
          <w:fldChar w:fldCharType="end"/>
        </w:r>
      </w:sdtContent>
    </w:sdt>
  </w:p>
  <w:p w:rsidR="00F34CCB" w:rsidRDefault="00F34C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CB" w:rsidRDefault="00F34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CCB" w:rsidRDefault="00F34CCB" w:rsidP="00124A51">
      <w:r>
        <w:separator/>
      </w:r>
    </w:p>
  </w:footnote>
  <w:footnote w:type="continuationSeparator" w:id="0">
    <w:p w:rsidR="00F34CCB" w:rsidRDefault="00F34CCB" w:rsidP="00124A51">
      <w:r>
        <w:continuationSeparator/>
      </w:r>
    </w:p>
  </w:footnote>
  <w:footnote w:id="1">
    <w:p w:rsidR="00F34CCB" w:rsidRPr="002B7889" w:rsidRDefault="00F34CCB" w:rsidP="00200B9C">
      <w:pPr>
        <w:pStyle w:val="FootnoteText"/>
        <w:rPr>
          <w:sz w:val="18"/>
          <w:szCs w:val="18"/>
        </w:rPr>
      </w:pPr>
      <w:r w:rsidRPr="002B7889">
        <w:rPr>
          <w:rStyle w:val="FootnoteReference"/>
          <w:sz w:val="18"/>
          <w:szCs w:val="18"/>
        </w:rPr>
        <w:footnoteRef/>
      </w:r>
      <w:r w:rsidRPr="002B7889">
        <w:rPr>
          <w:sz w:val="18"/>
          <w:szCs w:val="18"/>
        </w:rPr>
        <w:t xml:space="preserve"> Busse WW, Morgan WJ, Gergen PJ, et al. Randomized trial of omalizumab (anti-IgE) for asthma in inner-city children. N Engl J Med 2011; 364:1005-15.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CB" w:rsidRDefault="00F34C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CB" w:rsidRPr="003327B3" w:rsidRDefault="00F34CCB" w:rsidP="003327B3">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July 2016 </w:t>
    </w:r>
    <w:r w:rsidRPr="00DF217D">
      <w:rPr>
        <w:i/>
        <w:color w:val="808080"/>
      </w:rPr>
      <w:t>PBAC</w:t>
    </w:r>
    <w:r>
      <w:rPr>
        <w:i/>
        <w:color w:val="808080"/>
      </w:rPr>
      <w:t xml:space="preserve"> </w:t>
    </w:r>
    <w:r w:rsidRPr="00DF217D">
      <w:rPr>
        <w:i/>
        <w:color w:val="808080"/>
      </w:rPr>
      <w:t>Meeting</w:t>
    </w:r>
  </w:p>
  <w:p w:rsidR="00F34CCB" w:rsidRDefault="00F34C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CB" w:rsidRDefault="00F34C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CD04498"/>
    <w:multiLevelType w:val="hybridMultilevel"/>
    <w:tmpl w:val="A766616E"/>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13">
      <w:start w:val="1"/>
      <w:numFmt w:val="upperRoman"/>
      <w:lvlText w:val="%3."/>
      <w:lvlJc w:val="righ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D7567B"/>
    <w:multiLevelType w:val="multilevel"/>
    <w:tmpl w:val="F4284B90"/>
    <w:styleLink w:val="PBACTableTextBullets"/>
    <w:lvl w:ilvl="0">
      <w:start w:val="1"/>
      <w:numFmt w:val="bullet"/>
      <w:lvlText w:val=""/>
      <w:lvlJc w:val="left"/>
      <w:pPr>
        <w:tabs>
          <w:tab w:val="num" w:pos="170"/>
        </w:tabs>
        <w:ind w:left="170" w:hanging="170"/>
      </w:pPr>
      <w:rPr>
        <w:rFonts w:ascii="Symbol" w:hAnsi="Symbol"/>
      </w:rPr>
    </w:lvl>
    <w:lvl w:ilvl="1">
      <w:start w:val="1"/>
      <w:numFmt w:val="bullet"/>
      <w:lvlText w:val=""/>
      <w:lvlJc w:val="left"/>
      <w:pPr>
        <w:tabs>
          <w:tab w:val="num" w:pos="1250"/>
        </w:tabs>
        <w:ind w:left="1307" w:hanging="22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8D7268"/>
    <w:multiLevelType w:val="hybridMultilevel"/>
    <w:tmpl w:val="9A3C8DB8"/>
    <w:lvl w:ilvl="0" w:tplc="0C090001">
      <w:start w:val="1"/>
      <w:numFmt w:val="bullet"/>
      <w:lvlText w:val=""/>
      <w:lvlJc w:val="left"/>
      <w:pPr>
        <w:ind w:left="360" w:hanging="360"/>
      </w:pPr>
      <w:rPr>
        <w:rFonts w:ascii="Symbol" w:hAnsi="Symbol" w:hint="default"/>
      </w:rPr>
    </w:lvl>
    <w:lvl w:ilvl="1" w:tplc="F488CFD6">
      <w:numFmt w:val="bullet"/>
      <w:lvlText w:val="-"/>
      <w:lvlJc w:val="left"/>
      <w:pPr>
        <w:ind w:left="1080" w:hanging="360"/>
      </w:pPr>
      <w:rPr>
        <w:rFonts w:ascii="Times New Roman" w:eastAsia="Times New Roman" w:hAnsi="Times New Roman" w:cs="Times New Roman"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AE418D7"/>
    <w:multiLevelType w:val="hybridMultilevel"/>
    <w:tmpl w:val="4B64C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45A0BC7"/>
    <w:multiLevelType w:val="hybridMultilevel"/>
    <w:tmpl w:val="FFA88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8FE1C74"/>
    <w:multiLevelType w:val="hybridMultilevel"/>
    <w:tmpl w:val="6C3CD5CC"/>
    <w:lvl w:ilvl="0" w:tplc="F488CFD6">
      <w:numFmt w:val="bullet"/>
      <w:lvlText w:val="-"/>
      <w:lvlJc w:val="left"/>
      <w:pPr>
        <w:ind w:left="720" w:hanging="360"/>
      </w:pPr>
      <w:rPr>
        <w:rFonts w:ascii="Times New Roman" w:eastAsia="Times New Roman" w:hAnsi="Times New Roman" w:cs="Times New Roman" w:hint="default"/>
      </w:rPr>
    </w:lvl>
    <w:lvl w:ilvl="1" w:tplc="F488CFD6">
      <w:numFmt w:val="bullet"/>
      <w:lvlText w:val="-"/>
      <w:lvlJc w:val="left"/>
      <w:pPr>
        <w:ind w:left="1440" w:hanging="360"/>
      </w:pPr>
      <w:rPr>
        <w:rFonts w:ascii="Times New Roman" w:eastAsia="Times New Roman" w:hAnsi="Times New Roman" w:cs="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59844C8"/>
    <w:multiLevelType w:val="hybridMultilevel"/>
    <w:tmpl w:val="E5103302"/>
    <w:lvl w:ilvl="0" w:tplc="F488CFD6">
      <w:numFmt w:val="bullet"/>
      <w:lvlText w:val="-"/>
      <w:lvlJc w:val="left"/>
      <w:pPr>
        <w:ind w:left="720" w:hanging="360"/>
      </w:pPr>
      <w:rPr>
        <w:rFonts w:ascii="Times New Roman" w:eastAsia="Times New Roman" w:hAnsi="Times New Roman" w:cs="Times New Roman" w:hint="default"/>
      </w:rPr>
    </w:lvl>
    <w:lvl w:ilvl="1" w:tplc="F488CFD6">
      <w:numFmt w:val="bullet"/>
      <w:lvlText w:val="-"/>
      <w:lvlJc w:val="left"/>
      <w:pPr>
        <w:ind w:left="1440" w:hanging="360"/>
      </w:pPr>
      <w:rPr>
        <w:rFonts w:ascii="Times New Roman" w:eastAsia="Times New Roman" w:hAnsi="Times New Roman" w:cs="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42D42FE"/>
    <w:multiLevelType w:val="hybridMultilevel"/>
    <w:tmpl w:val="76A8837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784D033C"/>
    <w:multiLevelType w:val="multilevel"/>
    <w:tmpl w:val="C11ABDA8"/>
    <w:lvl w:ilvl="0">
      <w:start w:val="1"/>
      <w:numFmt w:val="decimal"/>
      <w:pStyle w:val="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bullet"/>
      <w:lvlText w:val=""/>
      <w:lvlJc w:val="left"/>
      <w:pPr>
        <w:ind w:left="1996" w:hanging="720"/>
      </w:pPr>
      <w:rPr>
        <w:rFonts w:ascii="Symbol" w:hAnsi="Symbol" w:hint="default"/>
      </w:rPr>
    </w:lvl>
    <w:lvl w:ilvl="3">
      <w:start w:val="1"/>
      <w:numFmt w:val="bullet"/>
      <w:lvlText w:val="o"/>
      <w:lvlJc w:val="left"/>
      <w:pPr>
        <w:ind w:left="1080" w:hanging="108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3"/>
  </w:num>
  <w:num w:numId="3">
    <w:abstractNumId w:val="4"/>
  </w:num>
  <w:num w:numId="4">
    <w:abstractNumId w:val="3"/>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1"/>
  </w:num>
  <w:num w:numId="10">
    <w:abstractNumId w:val="9"/>
  </w:num>
  <w:num w:numId="11">
    <w:abstractNumId w:val="10"/>
  </w:num>
  <w:num w:numId="12">
    <w:abstractNumId w:val="2"/>
  </w:num>
  <w:num w:numId="13">
    <w:abstractNumId w:val="0"/>
  </w:num>
  <w:num w:numId="14">
    <w:abstractNumId w:val="5"/>
  </w:num>
  <w:num w:numId="15">
    <w:abstractNumId w:val="8"/>
  </w:num>
  <w:num w:numId="16">
    <w:abstractNumId w:val="7"/>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athan Craig">
    <w15:presenceInfo w15:providerId="None" w15:userId="Jonathan Craig"/>
  </w15:person>
  <w15:person w15:author="SHARMA Rashmi">
    <w15:presenceInfo w15:providerId="AD" w15:userId="S-1-12-1-164440413-1326570189-3782217144-2814986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21B"/>
    <w:rsid w:val="00000790"/>
    <w:rsid w:val="00000D1D"/>
    <w:rsid w:val="0000110B"/>
    <w:rsid w:val="00001BE4"/>
    <w:rsid w:val="00002E7B"/>
    <w:rsid w:val="00003499"/>
    <w:rsid w:val="0000655D"/>
    <w:rsid w:val="00011282"/>
    <w:rsid w:val="00013150"/>
    <w:rsid w:val="00013247"/>
    <w:rsid w:val="0001365B"/>
    <w:rsid w:val="0001526F"/>
    <w:rsid w:val="000155AD"/>
    <w:rsid w:val="00015886"/>
    <w:rsid w:val="00015F8B"/>
    <w:rsid w:val="000162EF"/>
    <w:rsid w:val="0001664E"/>
    <w:rsid w:val="000177A7"/>
    <w:rsid w:val="0002106F"/>
    <w:rsid w:val="000214A5"/>
    <w:rsid w:val="0002225F"/>
    <w:rsid w:val="0002256D"/>
    <w:rsid w:val="0002313B"/>
    <w:rsid w:val="00023227"/>
    <w:rsid w:val="000235E7"/>
    <w:rsid w:val="00023763"/>
    <w:rsid w:val="0002535C"/>
    <w:rsid w:val="0002536A"/>
    <w:rsid w:val="00025F71"/>
    <w:rsid w:val="00026A43"/>
    <w:rsid w:val="00026F62"/>
    <w:rsid w:val="000309E3"/>
    <w:rsid w:val="00031BAB"/>
    <w:rsid w:val="0003285B"/>
    <w:rsid w:val="0003363E"/>
    <w:rsid w:val="00034AE2"/>
    <w:rsid w:val="000356E1"/>
    <w:rsid w:val="00035BD8"/>
    <w:rsid w:val="0003603B"/>
    <w:rsid w:val="00037983"/>
    <w:rsid w:val="00037EDA"/>
    <w:rsid w:val="00040895"/>
    <w:rsid w:val="00040EA3"/>
    <w:rsid w:val="000433E3"/>
    <w:rsid w:val="00043BD3"/>
    <w:rsid w:val="00043C37"/>
    <w:rsid w:val="000441FB"/>
    <w:rsid w:val="000441FC"/>
    <w:rsid w:val="00045F5B"/>
    <w:rsid w:val="00046B76"/>
    <w:rsid w:val="00047228"/>
    <w:rsid w:val="0004737A"/>
    <w:rsid w:val="00047F5E"/>
    <w:rsid w:val="000507C2"/>
    <w:rsid w:val="00050F87"/>
    <w:rsid w:val="000518C6"/>
    <w:rsid w:val="0005237C"/>
    <w:rsid w:val="00052C7C"/>
    <w:rsid w:val="00052CE3"/>
    <w:rsid w:val="0005372D"/>
    <w:rsid w:val="000546D7"/>
    <w:rsid w:val="00054A3E"/>
    <w:rsid w:val="00055410"/>
    <w:rsid w:val="00056AA5"/>
    <w:rsid w:val="00057EB4"/>
    <w:rsid w:val="0006034E"/>
    <w:rsid w:val="00061576"/>
    <w:rsid w:val="000619AE"/>
    <w:rsid w:val="0006628B"/>
    <w:rsid w:val="000665CD"/>
    <w:rsid w:val="00067DDA"/>
    <w:rsid w:val="00070364"/>
    <w:rsid w:val="000705D2"/>
    <w:rsid w:val="00070B19"/>
    <w:rsid w:val="00070D73"/>
    <w:rsid w:val="00071248"/>
    <w:rsid w:val="000720B9"/>
    <w:rsid w:val="000720CD"/>
    <w:rsid w:val="00072E1E"/>
    <w:rsid w:val="0007392E"/>
    <w:rsid w:val="00074B60"/>
    <w:rsid w:val="0007686B"/>
    <w:rsid w:val="00077842"/>
    <w:rsid w:val="000812CA"/>
    <w:rsid w:val="0008132B"/>
    <w:rsid w:val="000816B8"/>
    <w:rsid w:val="00081D0A"/>
    <w:rsid w:val="00083E66"/>
    <w:rsid w:val="000840F9"/>
    <w:rsid w:val="00086E73"/>
    <w:rsid w:val="00087584"/>
    <w:rsid w:val="000906AE"/>
    <w:rsid w:val="0009082E"/>
    <w:rsid w:val="00090C7E"/>
    <w:rsid w:val="00091162"/>
    <w:rsid w:val="00092292"/>
    <w:rsid w:val="00092FA3"/>
    <w:rsid w:val="000934CC"/>
    <w:rsid w:val="0009358B"/>
    <w:rsid w:val="00093616"/>
    <w:rsid w:val="00093662"/>
    <w:rsid w:val="00094B91"/>
    <w:rsid w:val="0009793F"/>
    <w:rsid w:val="00097B85"/>
    <w:rsid w:val="000A0166"/>
    <w:rsid w:val="000A09E4"/>
    <w:rsid w:val="000A1202"/>
    <w:rsid w:val="000A1791"/>
    <w:rsid w:val="000A1A1C"/>
    <w:rsid w:val="000A1C89"/>
    <w:rsid w:val="000A2D72"/>
    <w:rsid w:val="000A3CDF"/>
    <w:rsid w:val="000A40EC"/>
    <w:rsid w:val="000A414E"/>
    <w:rsid w:val="000A5520"/>
    <w:rsid w:val="000A5A3D"/>
    <w:rsid w:val="000A5EF7"/>
    <w:rsid w:val="000A656C"/>
    <w:rsid w:val="000A7071"/>
    <w:rsid w:val="000B030B"/>
    <w:rsid w:val="000B09A0"/>
    <w:rsid w:val="000B181C"/>
    <w:rsid w:val="000B2F3A"/>
    <w:rsid w:val="000B3721"/>
    <w:rsid w:val="000B5557"/>
    <w:rsid w:val="000B5EDE"/>
    <w:rsid w:val="000B65C8"/>
    <w:rsid w:val="000B6CA7"/>
    <w:rsid w:val="000B7868"/>
    <w:rsid w:val="000C095F"/>
    <w:rsid w:val="000C12EB"/>
    <w:rsid w:val="000C231F"/>
    <w:rsid w:val="000C25BC"/>
    <w:rsid w:val="000C266E"/>
    <w:rsid w:val="000C2892"/>
    <w:rsid w:val="000C37A5"/>
    <w:rsid w:val="000C546B"/>
    <w:rsid w:val="000C6C9F"/>
    <w:rsid w:val="000C6F47"/>
    <w:rsid w:val="000C77BF"/>
    <w:rsid w:val="000D012D"/>
    <w:rsid w:val="000D13E8"/>
    <w:rsid w:val="000D19A3"/>
    <w:rsid w:val="000D1BFC"/>
    <w:rsid w:val="000D2120"/>
    <w:rsid w:val="000D2E2F"/>
    <w:rsid w:val="000D33BA"/>
    <w:rsid w:val="000D4840"/>
    <w:rsid w:val="000D56D7"/>
    <w:rsid w:val="000E026D"/>
    <w:rsid w:val="000E0690"/>
    <w:rsid w:val="000E1EFB"/>
    <w:rsid w:val="000E28D7"/>
    <w:rsid w:val="000E2C6D"/>
    <w:rsid w:val="000E3931"/>
    <w:rsid w:val="000E3A15"/>
    <w:rsid w:val="000E43C5"/>
    <w:rsid w:val="000E4D6B"/>
    <w:rsid w:val="000E5217"/>
    <w:rsid w:val="000E5853"/>
    <w:rsid w:val="000E5D1C"/>
    <w:rsid w:val="000E6458"/>
    <w:rsid w:val="000E6FDB"/>
    <w:rsid w:val="000E76A0"/>
    <w:rsid w:val="000F0D68"/>
    <w:rsid w:val="000F1A2B"/>
    <w:rsid w:val="000F1FA4"/>
    <w:rsid w:val="000F2587"/>
    <w:rsid w:val="000F2A41"/>
    <w:rsid w:val="000F321D"/>
    <w:rsid w:val="000F3706"/>
    <w:rsid w:val="000F4BB8"/>
    <w:rsid w:val="000F5491"/>
    <w:rsid w:val="000F5741"/>
    <w:rsid w:val="000F5A92"/>
    <w:rsid w:val="000F5E3B"/>
    <w:rsid w:val="000F6B90"/>
    <w:rsid w:val="000F7127"/>
    <w:rsid w:val="00100F8A"/>
    <w:rsid w:val="00101366"/>
    <w:rsid w:val="001016C5"/>
    <w:rsid w:val="00101F24"/>
    <w:rsid w:val="001027F8"/>
    <w:rsid w:val="0010557F"/>
    <w:rsid w:val="00105A0E"/>
    <w:rsid w:val="00105DA8"/>
    <w:rsid w:val="00105FCA"/>
    <w:rsid w:val="001065AE"/>
    <w:rsid w:val="0011032E"/>
    <w:rsid w:val="00111030"/>
    <w:rsid w:val="0011187E"/>
    <w:rsid w:val="00111BCB"/>
    <w:rsid w:val="001128A7"/>
    <w:rsid w:val="00112E56"/>
    <w:rsid w:val="0011348B"/>
    <w:rsid w:val="00113824"/>
    <w:rsid w:val="00114032"/>
    <w:rsid w:val="001156E4"/>
    <w:rsid w:val="00116523"/>
    <w:rsid w:val="00116DB6"/>
    <w:rsid w:val="00117DF7"/>
    <w:rsid w:val="0012094B"/>
    <w:rsid w:val="00120E45"/>
    <w:rsid w:val="00121772"/>
    <w:rsid w:val="00121799"/>
    <w:rsid w:val="001222FC"/>
    <w:rsid w:val="00123BB2"/>
    <w:rsid w:val="00123D2B"/>
    <w:rsid w:val="00124A51"/>
    <w:rsid w:val="00126621"/>
    <w:rsid w:val="00126C9E"/>
    <w:rsid w:val="00126E6E"/>
    <w:rsid w:val="001301E9"/>
    <w:rsid w:val="00130297"/>
    <w:rsid w:val="00131B87"/>
    <w:rsid w:val="00136DAC"/>
    <w:rsid w:val="00137645"/>
    <w:rsid w:val="001377BE"/>
    <w:rsid w:val="0014015A"/>
    <w:rsid w:val="001409BB"/>
    <w:rsid w:val="00140E99"/>
    <w:rsid w:val="00141B5E"/>
    <w:rsid w:val="0014258C"/>
    <w:rsid w:val="00142ADD"/>
    <w:rsid w:val="00142EDA"/>
    <w:rsid w:val="00145540"/>
    <w:rsid w:val="001456B0"/>
    <w:rsid w:val="001463A9"/>
    <w:rsid w:val="00146DB8"/>
    <w:rsid w:val="00150E5C"/>
    <w:rsid w:val="00152273"/>
    <w:rsid w:val="00152479"/>
    <w:rsid w:val="0015447F"/>
    <w:rsid w:val="00154CB2"/>
    <w:rsid w:val="00154E2F"/>
    <w:rsid w:val="001557B1"/>
    <w:rsid w:val="00155F9A"/>
    <w:rsid w:val="00155F9F"/>
    <w:rsid w:val="001560AE"/>
    <w:rsid w:val="00157130"/>
    <w:rsid w:val="00160BFE"/>
    <w:rsid w:val="001612CB"/>
    <w:rsid w:val="00161C14"/>
    <w:rsid w:val="00162913"/>
    <w:rsid w:val="00162A5F"/>
    <w:rsid w:val="0016314C"/>
    <w:rsid w:val="00163EFF"/>
    <w:rsid w:val="00164CDF"/>
    <w:rsid w:val="0016508C"/>
    <w:rsid w:val="00165736"/>
    <w:rsid w:val="00165773"/>
    <w:rsid w:val="001661FB"/>
    <w:rsid w:val="00167E3F"/>
    <w:rsid w:val="00171FA9"/>
    <w:rsid w:val="00172FB3"/>
    <w:rsid w:val="00173C89"/>
    <w:rsid w:val="00176EB6"/>
    <w:rsid w:val="00177B51"/>
    <w:rsid w:val="00180512"/>
    <w:rsid w:val="00180818"/>
    <w:rsid w:val="00181101"/>
    <w:rsid w:val="0018183C"/>
    <w:rsid w:val="00182A9C"/>
    <w:rsid w:val="001840FA"/>
    <w:rsid w:val="00184456"/>
    <w:rsid w:val="00184847"/>
    <w:rsid w:val="00185337"/>
    <w:rsid w:val="001858A2"/>
    <w:rsid w:val="00185D75"/>
    <w:rsid w:val="00186245"/>
    <w:rsid w:val="0018752F"/>
    <w:rsid w:val="001917E6"/>
    <w:rsid w:val="00192655"/>
    <w:rsid w:val="00194713"/>
    <w:rsid w:val="00194AFF"/>
    <w:rsid w:val="00194FF5"/>
    <w:rsid w:val="00195222"/>
    <w:rsid w:val="001959C7"/>
    <w:rsid w:val="00195A13"/>
    <w:rsid w:val="00195E24"/>
    <w:rsid w:val="001975D8"/>
    <w:rsid w:val="001A05EA"/>
    <w:rsid w:val="001A0B55"/>
    <w:rsid w:val="001A1527"/>
    <w:rsid w:val="001A1540"/>
    <w:rsid w:val="001A2D71"/>
    <w:rsid w:val="001A3436"/>
    <w:rsid w:val="001A3CB6"/>
    <w:rsid w:val="001A3DA5"/>
    <w:rsid w:val="001A3EC8"/>
    <w:rsid w:val="001A4764"/>
    <w:rsid w:val="001A5937"/>
    <w:rsid w:val="001B06DA"/>
    <w:rsid w:val="001B07F8"/>
    <w:rsid w:val="001B2F37"/>
    <w:rsid w:val="001B3443"/>
    <w:rsid w:val="001B41F6"/>
    <w:rsid w:val="001B4D9B"/>
    <w:rsid w:val="001B5FB2"/>
    <w:rsid w:val="001C095E"/>
    <w:rsid w:val="001C0FCC"/>
    <w:rsid w:val="001C1EC3"/>
    <w:rsid w:val="001C4001"/>
    <w:rsid w:val="001C442A"/>
    <w:rsid w:val="001C48B5"/>
    <w:rsid w:val="001C676B"/>
    <w:rsid w:val="001C6994"/>
    <w:rsid w:val="001C6E66"/>
    <w:rsid w:val="001C738D"/>
    <w:rsid w:val="001D0D26"/>
    <w:rsid w:val="001D141D"/>
    <w:rsid w:val="001D208A"/>
    <w:rsid w:val="001D3E2C"/>
    <w:rsid w:val="001D4DB6"/>
    <w:rsid w:val="001D53CF"/>
    <w:rsid w:val="001D5B15"/>
    <w:rsid w:val="001E06D7"/>
    <w:rsid w:val="001E077B"/>
    <w:rsid w:val="001E238E"/>
    <w:rsid w:val="001E2B1E"/>
    <w:rsid w:val="001E35DB"/>
    <w:rsid w:val="001E3A36"/>
    <w:rsid w:val="001E52EB"/>
    <w:rsid w:val="001E537F"/>
    <w:rsid w:val="001E58E7"/>
    <w:rsid w:val="001E5908"/>
    <w:rsid w:val="001E5A3F"/>
    <w:rsid w:val="001E5B59"/>
    <w:rsid w:val="001E68A9"/>
    <w:rsid w:val="001E740C"/>
    <w:rsid w:val="001E77D9"/>
    <w:rsid w:val="001F03F3"/>
    <w:rsid w:val="001F0A7C"/>
    <w:rsid w:val="001F1235"/>
    <w:rsid w:val="001F1468"/>
    <w:rsid w:val="001F1668"/>
    <w:rsid w:val="001F1CB3"/>
    <w:rsid w:val="001F2F34"/>
    <w:rsid w:val="001F432A"/>
    <w:rsid w:val="001F467F"/>
    <w:rsid w:val="001F47CA"/>
    <w:rsid w:val="001F4889"/>
    <w:rsid w:val="001F5A7E"/>
    <w:rsid w:val="001F6076"/>
    <w:rsid w:val="001F69C2"/>
    <w:rsid w:val="001F6B42"/>
    <w:rsid w:val="001F7361"/>
    <w:rsid w:val="00200B9C"/>
    <w:rsid w:val="00200BDE"/>
    <w:rsid w:val="00201071"/>
    <w:rsid w:val="0020134C"/>
    <w:rsid w:val="00201F1A"/>
    <w:rsid w:val="00202680"/>
    <w:rsid w:val="00202EBF"/>
    <w:rsid w:val="00202F19"/>
    <w:rsid w:val="00203837"/>
    <w:rsid w:val="0020385F"/>
    <w:rsid w:val="002040E5"/>
    <w:rsid w:val="0020609D"/>
    <w:rsid w:val="00207021"/>
    <w:rsid w:val="00207D00"/>
    <w:rsid w:val="002105C1"/>
    <w:rsid w:val="002112A5"/>
    <w:rsid w:val="002112EF"/>
    <w:rsid w:val="002117FB"/>
    <w:rsid w:val="00211D7C"/>
    <w:rsid w:val="002125A3"/>
    <w:rsid w:val="00213C51"/>
    <w:rsid w:val="002140E2"/>
    <w:rsid w:val="0021412C"/>
    <w:rsid w:val="00214EA9"/>
    <w:rsid w:val="002151C1"/>
    <w:rsid w:val="00217D7D"/>
    <w:rsid w:val="002206AC"/>
    <w:rsid w:val="0022120A"/>
    <w:rsid w:val="00221E6D"/>
    <w:rsid w:val="00222C97"/>
    <w:rsid w:val="00223552"/>
    <w:rsid w:val="00223B49"/>
    <w:rsid w:val="00223DE4"/>
    <w:rsid w:val="002242AC"/>
    <w:rsid w:val="00224DD4"/>
    <w:rsid w:val="00224E0E"/>
    <w:rsid w:val="00225092"/>
    <w:rsid w:val="00225168"/>
    <w:rsid w:val="0022544B"/>
    <w:rsid w:val="00226EDE"/>
    <w:rsid w:val="00227541"/>
    <w:rsid w:val="002306CC"/>
    <w:rsid w:val="002309CC"/>
    <w:rsid w:val="00230F76"/>
    <w:rsid w:val="00231369"/>
    <w:rsid w:val="002318C1"/>
    <w:rsid w:val="00231F0F"/>
    <w:rsid w:val="0023284B"/>
    <w:rsid w:val="00234276"/>
    <w:rsid w:val="00234732"/>
    <w:rsid w:val="00234F77"/>
    <w:rsid w:val="002352F8"/>
    <w:rsid w:val="00235DD6"/>
    <w:rsid w:val="0023614F"/>
    <w:rsid w:val="00237DB2"/>
    <w:rsid w:val="00241B43"/>
    <w:rsid w:val="0024218C"/>
    <w:rsid w:val="00242252"/>
    <w:rsid w:val="00242CDD"/>
    <w:rsid w:val="00242D69"/>
    <w:rsid w:val="0024557F"/>
    <w:rsid w:val="00245C9A"/>
    <w:rsid w:val="0024603B"/>
    <w:rsid w:val="00247528"/>
    <w:rsid w:val="00247B16"/>
    <w:rsid w:val="00252821"/>
    <w:rsid w:val="00252A4B"/>
    <w:rsid w:val="00252D95"/>
    <w:rsid w:val="00253FCD"/>
    <w:rsid w:val="00254704"/>
    <w:rsid w:val="00254DCF"/>
    <w:rsid w:val="0025534B"/>
    <w:rsid w:val="00255BB7"/>
    <w:rsid w:val="00255C78"/>
    <w:rsid w:val="00256B3C"/>
    <w:rsid w:val="00257ADF"/>
    <w:rsid w:val="00260836"/>
    <w:rsid w:val="00261362"/>
    <w:rsid w:val="002626F8"/>
    <w:rsid w:val="00262A87"/>
    <w:rsid w:val="002631DB"/>
    <w:rsid w:val="00263CF7"/>
    <w:rsid w:val="002644A8"/>
    <w:rsid w:val="00264738"/>
    <w:rsid w:val="00264C84"/>
    <w:rsid w:val="00265DFC"/>
    <w:rsid w:val="00266018"/>
    <w:rsid w:val="00267384"/>
    <w:rsid w:val="00270C14"/>
    <w:rsid w:val="00271C7D"/>
    <w:rsid w:val="00273853"/>
    <w:rsid w:val="0027560A"/>
    <w:rsid w:val="00275C5A"/>
    <w:rsid w:val="00277CB1"/>
    <w:rsid w:val="00281014"/>
    <w:rsid w:val="002823E5"/>
    <w:rsid w:val="00283F6B"/>
    <w:rsid w:val="002841BB"/>
    <w:rsid w:val="00284206"/>
    <w:rsid w:val="0028541A"/>
    <w:rsid w:val="00285A80"/>
    <w:rsid w:val="00287868"/>
    <w:rsid w:val="00292358"/>
    <w:rsid w:val="0029255F"/>
    <w:rsid w:val="00294985"/>
    <w:rsid w:val="002952AB"/>
    <w:rsid w:val="0029545D"/>
    <w:rsid w:val="002958B3"/>
    <w:rsid w:val="00295BF6"/>
    <w:rsid w:val="00297523"/>
    <w:rsid w:val="002975AC"/>
    <w:rsid w:val="002A14AB"/>
    <w:rsid w:val="002A1FF9"/>
    <w:rsid w:val="002A2562"/>
    <w:rsid w:val="002A53F0"/>
    <w:rsid w:val="002A74C7"/>
    <w:rsid w:val="002B03C1"/>
    <w:rsid w:val="002B1AD2"/>
    <w:rsid w:val="002B1C1F"/>
    <w:rsid w:val="002B1E0C"/>
    <w:rsid w:val="002B432F"/>
    <w:rsid w:val="002B4A35"/>
    <w:rsid w:val="002B506D"/>
    <w:rsid w:val="002B6CCE"/>
    <w:rsid w:val="002B71AF"/>
    <w:rsid w:val="002B7889"/>
    <w:rsid w:val="002C132A"/>
    <w:rsid w:val="002C2775"/>
    <w:rsid w:val="002C27C1"/>
    <w:rsid w:val="002C2E70"/>
    <w:rsid w:val="002C42B3"/>
    <w:rsid w:val="002C494B"/>
    <w:rsid w:val="002C4CCC"/>
    <w:rsid w:val="002C5065"/>
    <w:rsid w:val="002C520B"/>
    <w:rsid w:val="002C5E4F"/>
    <w:rsid w:val="002C70F4"/>
    <w:rsid w:val="002C73D1"/>
    <w:rsid w:val="002C7858"/>
    <w:rsid w:val="002D0325"/>
    <w:rsid w:val="002D202E"/>
    <w:rsid w:val="002D2EEE"/>
    <w:rsid w:val="002D50A4"/>
    <w:rsid w:val="002D5316"/>
    <w:rsid w:val="002D5BDC"/>
    <w:rsid w:val="002D6625"/>
    <w:rsid w:val="002D702C"/>
    <w:rsid w:val="002D7AB3"/>
    <w:rsid w:val="002E0101"/>
    <w:rsid w:val="002E25D6"/>
    <w:rsid w:val="002E292F"/>
    <w:rsid w:val="002E2E8E"/>
    <w:rsid w:val="002E3003"/>
    <w:rsid w:val="002E380F"/>
    <w:rsid w:val="002E3898"/>
    <w:rsid w:val="002E405D"/>
    <w:rsid w:val="002E4373"/>
    <w:rsid w:val="002E5574"/>
    <w:rsid w:val="002E67B8"/>
    <w:rsid w:val="002E7237"/>
    <w:rsid w:val="002F0781"/>
    <w:rsid w:val="002F0F87"/>
    <w:rsid w:val="002F1160"/>
    <w:rsid w:val="002F24FE"/>
    <w:rsid w:val="002F322C"/>
    <w:rsid w:val="002F39BE"/>
    <w:rsid w:val="002F7CCD"/>
    <w:rsid w:val="003005A8"/>
    <w:rsid w:val="00301017"/>
    <w:rsid w:val="00302CD0"/>
    <w:rsid w:val="00304A61"/>
    <w:rsid w:val="003058C9"/>
    <w:rsid w:val="00305AE8"/>
    <w:rsid w:val="00306B72"/>
    <w:rsid w:val="00306E3B"/>
    <w:rsid w:val="00307570"/>
    <w:rsid w:val="0030786C"/>
    <w:rsid w:val="00310088"/>
    <w:rsid w:val="0031031A"/>
    <w:rsid w:val="00310981"/>
    <w:rsid w:val="00311CCA"/>
    <w:rsid w:val="003146BA"/>
    <w:rsid w:val="00315498"/>
    <w:rsid w:val="00315692"/>
    <w:rsid w:val="00316764"/>
    <w:rsid w:val="00316BDD"/>
    <w:rsid w:val="00316DE4"/>
    <w:rsid w:val="003200C9"/>
    <w:rsid w:val="003208CF"/>
    <w:rsid w:val="00322202"/>
    <w:rsid w:val="003223BB"/>
    <w:rsid w:val="00323A9E"/>
    <w:rsid w:val="00323F72"/>
    <w:rsid w:val="003243AB"/>
    <w:rsid w:val="003256AB"/>
    <w:rsid w:val="00325D30"/>
    <w:rsid w:val="003274CE"/>
    <w:rsid w:val="003279E1"/>
    <w:rsid w:val="00331C58"/>
    <w:rsid w:val="003327B3"/>
    <w:rsid w:val="003350DD"/>
    <w:rsid w:val="0033525D"/>
    <w:rsid w:val="003366C9"/>
    <w:rsid w:val="00336BA1"/>
    <w:rsid w:val="003371B0"/>
    <w:rsid w:val="00340827"/>
    <w:rsid w:val="003418D8"/>
    <w:rsid w:val="00343133"/>
    <w:rsid w:val="003434EE"/>
    <w:rsid w:val="00343AC7"/>
    <w:rsid w:val="003456EC"/>
    <w:rsid w:val="00350DFC"/>
    <w:rsid w:val="003531E8"/>
    <w:rsid w:val="00354948"/>
    <w:rsid w:val="00355A17"/>
    <w:rsid w:val="0035620E"/>
    <w:rsid w:val="00356AC3"/>
    <w:rsid w:val="00356E07"/>
    <w:rsid w:val="00357EB1"/>
    <w:rsid w:val="00357F27"/>
    <w:rsid w:val="00360C7D"/>
    <w:rsid w:val="00361670"/>
    <w:rsid w:val="00361937"/>
    <w:rsid w:val="003628BC"/>
    <w:rsid w:val="00363605"/>
    <w:rsid w:val="003638A1"/>
    <w:rsid w:val="00363DE7"/>
    <w:rsid w:val="00364232"/>
    <w:rsid w:val="003649A2"/>
    <w:rsid w:val="00364DE0"/>
    <w:rsid w:val="00365689"/>
    <w:rsid w:val="00366404"/>
    <w:rsid w:val="00367B4F"/>
    <w:rsid w:val="00370021"/>
    <w:rsid w:val="00370299"/>
    <w:rsid w:val="0037043A"/>
    <w:rsid w:val="00370FA1"/>
    <w:rsid w:val="00371529"/>
    <w:rsid w:val="00372705"/>
    <w:rsid w:val="00373333"/>
    <w:rsid w:val="00374290"/>
    <w:rsid w:val="00374A48"/>
    <w:rsid w:val="00375298"/>
    <w:rsid w:val="00375320"/>
    <w:rsid w:val="0037739A"/>
    <w:rsid w:val="00377633"/>
    <w:rsid w:val="00377BB4"/>
    <w:rsid w:val="0038365C"/>
    <w:rsid w:val="00383AC5"/>
    <w:rsid w:val="00383CE6"/>
    <w:rsid w:val="00383E6B"/>
    <w:rsid w:val="003841EA"/>
    <w:rsid w:val="00384D1B"/>
    <w:rsid w:val="0038543A"/>
    <w:rsid w:val="00386B49"/>
    <w:rsid w:val="003922B5"/>
    <w:rsid w:val="0039296D"/>
    <w:rsid w:val="00392C5C"/>
    <w:rsid w:val="00393560"/>
    <w:rsid w:val="00393D76"/>
    <w:rsid w:val="00395743"/>
    <w:rsid w:val="00395C47"/>
    <w:rsid w:val="0039680D"/>
    <w:rsid w:val="00396FD0"/>
    <w:rsid w:val="00397507"/>
    <w:rsid w:val="00397D11"/>
    <w:rsid w:val="003A025F"/>
    <w:rsid w:val="003A117E"/>
    <w:rsid w:val="003A1A7A"/>
    <w:rsid w:val="003A28BC"/>
    <w:rsid w:val="003A39A0"/>
    <w:rsid w:val="003A409C"/>
    <w:rsid w:val="003A547C"/>
    <w:rsid w:val="003A6BDF"/>
    <w:rsid w:val="003A7252"/>
    <w:rsid w:val="003B6E58"/>
    <w:rsid w:val="003B70FA"/>
    <w:rsid w:val="003B7770"/>
    <w:rsid w:val="003C066F"/>
    <w:rsid w:val="003C07F1"/>
    <w:rsid w:val="003C0ACC"/>
    <w:rsid w:val="003C0F74"/>
    <w:rsid w:val="003C117B"/>
    <w:rsid w:val="003C1280"/>
    <w:rsid w:val="003C1497"/>
    <w:rsid w:val="003C175A"/>
    <w:rsid w:val="003C22AF"/>
    <w:rsid w:val="003C2919"/>
    <w:rsid w:val="003C427D"/>
    <w:rsid w:val="003C48A5"/>
    <w:rsid w:val="003C596E"/>
    <w:rsid w:val="003C5DED"/>
    <w:rsid w:val="003C66D1"/>
    <w:rsid w:val="003C67C6"/>
    <w:rsid w:val="003D0044"/>
    <w:rsid w:val="003D0A63"/>
    <w:rsid w:val="003D1828"/>
    <w:rsid w:val="003D2077"/>
    <w:rsid w:val="003D2422"/>
    <w:rsid w:val="003D2CAC"/>
    <w:rsid w:val="003D3870"/>
    <w:rsid w:val="003D3D90"/>
    <w:rsid w:val="003D3DED"/>
    <w:rsid w:val="003D4B02"/>
    <w:rsid w:val="003D5085"/>
    <w:rsid w:val="003D5583"/>
    <w:rsid w:val="003D5628"/>
    <w:rsid w:val="003D6400"/>
    <w:rsid w:val="003D6A3F"/>
    <w:rsid w:val="003D714F"/>
    <w:rsid w:val="003E2932"/>
    <w:rsid w:val="003E4392"/>
    <w:rsid w:val="003E44CF"/>
    <w:rsid w:val="003E4577"/>
    <w:rsid w:val="003E4C2C"/>
    <w:rsid w:val="003E55F0"/>
    <w:rsid w:val="003E61D2"/>
    <w:rsid w:val="003E779D"/>
    <w:rsid w:val="003E781B"/>
    <w:rsid w:val="003F196D"/>
    <w:rsid w:val="003F4156"/>
    <w:rsid w:val="003F4A18"/>
    <w:rsid w:val="003F6B3E"/>
    <w:rsid w:val="003F6D55"/>
    <w:rsid w:val="003F770A"/>
    <w:rsid w:val="004009C6"/>
    <w:rsid w:val="00401526"/>
    <w:rsid w:val="0040221B"/>
    <w:rsid w:val="00402C92"/>
    <w:rsid w:val="00403530"/>
    <w:rsid w:val="004046D9"/>
    <w:rsid w:val="00404E5F"/>
    <w:rsid w:val="00405F02"/>
    <w:rsid w:val="00406470"/>
    <w:rsid w:val="004070CF"/>
    <w:rsid w:val="00410708"/>
    <w:rsid w:val="00410EC7"/>
    <w:rsid w:val="0041159B"/>
    <w:rsid w:val="00412D7F"/>
    <w:rsid w:val="00412F76"/>
    <w:rsid w:val="0041309D"/>
    <w:rsid w:val="00413D2B"/>
    <w:rsid w:val="00413F89"/>
    <w:rsid w:val="00414476"/>
    <w:rsid w:val="00414F7C"/>
    <w:rsid w:val="0041555B"/>
    <w:rsid w:val="00415A30"/>
    <w:rsid w:val="004174D1"/>
    <w:rsid w:val="00420B9F"/>
    <w:rsid w:val="00423CB8"/>
    <w:rsid w:val="00423F41"/>
    <w:rsid w:val="0042465E"/>
    <w:rsid w:val="004278B5"/>
    <w:rsid w:val="0043040A"/>
    <w:rsid w:val="00430EDC"/>
    <w:rsid w:val="004319F8"/>
    <w:rsid w:val="004327C9"/>
    <w:rsid w:val="00432B28"/>
    <w:rsid w:val="00432F1E"/>
    <w:rsid w:val="00433044"/>
    <w:rsid w:val="004334C0"/>
    <w:rsid w:val="00433677"/>
    <w:rsid w:val="00433A4D"/>
    <w:rsid w:val="00434FCF"/>
    <w:rsid w:val="00435290"/>
    <w:rsid w:val="00435EC6"/>
    <w:rsid w:val="00436BD3"/>
    <w:rsid w:val="00437BC2"/>
    <w:rsid w:val="004405E0"/>
    <w:rsid w:val="00440953"/>
    <w:rsid w:val="004410E3"/>
    <w:rsid w:val="004420FB"/>
    <w:rsid w:val="00442AC3"/>
    <w:rsid w:val="004443A7"/>
    <w:rsid w:val="004445E4"/>
    <w:rsid w:val="0044512F"/>
    <w:rsid w:val="00445687"/>
    <w:rsid w:val="00445A15"/>
    <w:rsid w:val="004464EB"/>
    <w:rsid w:val="0044727E"/>
    <w:rsid w:val="00447462"/>
    <w:rsid w:val="00447E4C"/>
    <w:rsid w:val="00451CD6"/>
    <w:rsid w:val="00452E33"/>
    <w:rsid w:val="00453025"/>
    <w:rsid w:val="0045322B"/>
    <w:rsid w:val="0045330F"/>
    <w:rsid w:val="00453E6D"/>
    <w:rsid w:val="0045466E"/>
    <w:rsid w:val="004554DE"/>
    <w:rsid w:val="00455D45"/>
    <w:rsid w:val="0045782C"/>
    <w:rsid w:val="004618A8"/>
    <w:rsid w:val="0046372F"/>
    <w:rsid w:val="00463CF7"/>
    <w:rsid w:val="00464595"/>
    <w:rsid w:val="004649EF"/>
    <w:rsid w:val="00466593"/>
    <w:rsid w:val="004670E4"/>
    <w:rsid w:val="00467432"/>
    <w:rsid w:val="004677BB"/>
    <w:rsid w:val="00467EAC"/>
    <w:rsid w:val="004702DA"/>
    <w:rsid w:val="004702EC"/>
    <w:rsid w:val="00471505"/>
    <w:rsid w:val="004715F1"/>
    <w:rsid w:val="00471B61"/>
    <w:rsid w:val="00474221"/>
    <w:rsid w:val="004749E4"/>
    <w:rsid w:val="00476D45"/>
    <w:rsid w:val="00477695"/>
    <w:rsid w:val="00477A1E"/>
    <w:rsid w:val="0048454E"/>
    <w:rsid w:val="00485884"/>
    <w:rsid w:val="004867E2"/>
    <w:rsid w:val="00486AA5"/>
    <w:rsid w:val="00486E92"/>
    <w:rsid w:val="0049065C"/>
    <w:rsid w:val="00490F64"/>
    <w:rsid w:val="00491B3A"/>
    <w:rsid w:val="0049209E"/>
    <w:rsid w:val="00492CFD"/>
    <w:rsid w:val="00493626"/>
    <w:rsid w:val="00493696"/>
    <w:rsid w:val="004943E3"/>
    <w:rsid w:val="0049495A"/>
    <w:rsid w:val="00495A91"/>
    <w:rsid w:val="00495EA9"/>
    <w:rsid w:val="00495FDE"/>
    <w:rsid w:val="004962D2"/>
    <w:rsid w:val="004A0A27"/>
    <w:rsid w:val="004A0DA1"/>
    <w:rsid w:val="004A1C19"/>
    <w:rsid w:val="004A2812"/>
    <w:rsid w:val="004A2CA9"/>
    <w:rsid w:val="004A3462"/>
    <w:rsid w:val="004A3A87"/>
    <w:rsid w:val="004A42C4"/>
    <w:rsid w:val="004A5AF6"/>
    <w:rsid w:val="004A6597"/>
    <w:rsid w:val="004A701B"/>
    <w:rsid w:val="004B1CB4"/>
    <w:rsid w:val="004B22CE"/>
    <w:rsid w:val="004B27FE"/>
    <w:rsid w:val="004B2830"/>
    <w:rsid w:val="004B2F18"/>
    <w:rsid w:val="004B339E"/>
    <w:rsid w:val="004B3DDB"/>
    <w:rsid w:val="004B44FD"/>
    <w:rsid w:val="004B489C"/>
    <w:rsid w:val="004B5CFC"/>
    <w:rsid w:val="004B5E8E"/>
    <w:rsid w:val="004B5F1D"/>
    <w:rsid w:val="004B6A5F"/>
    <w:rsid w:val="004C13B1"/>
    <w:rsid w:val="004C3996"/>
    <w:rsid w:val="004C3BEB"/>
    <w:rsid w:val="004C4332"/>
    <w:rsid w:val="004C4741"/>
    <w:rsid w:val="004C4AED"/>
    <w:rsid w:val="004C5973"/>
    <w:rsid w:val="004C6513"/>
    <w:rsid w:val="004C7550"/>
    <w:rsid w:val="004C76A4"/>
    <w:rsid w:val="004D14AA"/>
    <w:rsid w:val="004D1BB0"/>
    <w:rsid w:val="004D1DAF"/>
    <w:rsid w:val="004D2894"/>
    <w:rsid w:val="004D2CF6"/>
    <w:rsid w:val="004D33EF"/>
    <w:rsid w:val="004D343F"/>
    <w:rsid w:val="004D71D9"/>
    <w:rsid w:val="004D77E4"/>
    <w:rsid w:val="004D7B4B"/>
    <w:rsid w:val="004D7C9F"/>
    <w:rsid w:val="004E023C"/>
    <w:rsid w:val="004E05C0"/>
    <w:rsid w:val="004E0EB8"/>
    <w:rsid w:val="004E128B"/>
    <w:rsid w:val="004E1E60"/>
    <w:rsid w:val="004E2461"/>
    <w:rsid w:val="004E2ADC"/>
    <w:rsid w:val="004E43B2"/>
    <w:rsid w:val="004E4FD7"/>
    <w:rsid w:val="004E602C"/>
    <w:rsid w:val="004E6786"/>
    <w:rsid w:val="004E69F7"/>
    <w:rsid w:val="004E6B03"/>
    <w:rsid w:val="004E71AB"/>
    <w:rsid w:val="004E741A"/>
    <w:rsid w:val="004F0771"/>
    <w:rsid w:val="004F16B6"/>
    <w:rsid w:val="004F1D02"/>
    <w:rsid w:val="004F2679"/>
    <w:rsid w:val="004F2E2E"/>
    <w:rsid w:val="004F617B"/>
    <w:rsid w:val="004F77AB"/>
    <w:rsid w:val="004F7865"/>
    <w:rsid w:val="005003FA"/>
    <w:rsid w:val="0050088F"/>
    <w:rsid w:val="00501DAC"/>
    <w:rsid w:val="005034E4"/>
    <w:rsid w:val="00503C6C"/>
    <w:rsid w:val="00503F59"/>
    <w:rsid w:val="005045A2"/>
    <w:rsid w:val="00504C3E"/>
    <w:rsid w:val="00505877"/>
    <w:rsid w:val="005060B3"/>
    <w:rsid w:val="00506327"/>
    <w:rsid w:val="00506928"/>
    <w:rsid w:val="005069FA"/>
    <w:rsid w:val="00510307"/>
    <w:rsid w:val="0051030F"/>
    <w:rsid w:val="005117E5"/>
    <w:rsid w:val="00511F6E"/>
    <w:rsid w:val="00512D51"/>
    <w:rsid w:val="00513564"/>
    <w:rsid w:val="005150BE"/>
    <w:rsid w:val="005152B5"/>
    <w:rsid w:val="00515418"/>
    <w:rsid w:val="005155CA"/>
    <w:rsid w:val="00516BD2"/>
    <w:rsid w:val="0051726A"/>
    <w:rsid w:val="005174E7"/>
    <w:rsid w:val="0052109E"/>
    <w:rsid w:val="00521319"/>
    <w:rsid w:val="005230EA"/>
    <w:rsid w:val="005238D3"/>
    <w:rsid w:val="00523C28"/>
    <w:rsid w:val="00523E2A"/>
    <w:rsid w:val="00524A27"/>
    <w:rsid w:val="00526145"/>
    <w:rsid w:val="00526361"/>
    <w:rsid w:val="00526808"/>
    <w:rsid w:val="00526883"/>
    <w:rsid w:val="00530371"/>
    <w:rsid w:val="00531087"/>
    <w:rsid w:val="00532606"/>
    <w:rsid w:val="005352D4"/>
    <w:rsid w:val="005358B4"/>
    <w:rsid w:val="00537626"/>
    <w:rsid w:val="005407CF"/>
    <w:rsid w:val="00540E9A"/>
    <w:rsid w:val="0054129E"/>
    <w:rsid w:val="00541900"/>
    <w:rsid w:val="00542964"/>
    <w:rsid w:val="00542D6B"/>
    <w:rsid w:val="00544212"/>
    <w:rsid w:val="00544557"/>
    <w:rsid w:val="00544593"/>
    <w:rsid w:val="00544E94"/>
    <w:rsid w:val="00544FA1"/>
    <w:rsid w:val="00545746"/>
    <w:rsid w:val="005457D8"/>
    <w:rsid w:val="0054640F"/>
    <w:rsid w:val="0055068B"/>
    <w:rsid w:val="005508D7"/>
    <w:rsid w:val="005509F5"/>
    <w:rsid w:val="0055218B"/>
    <w:rsid w:val="00552BD3"/>
    <w:rsid w:val="00554186"/>
    <w:rsid w:val="00555109"/>
    <w:rsid w:val="00555216"/>
    <w:rsid w:val="0055654E"/>
    <w:rsid w:val="00556FF2"/>
    <w:rsid w:val="005608C9"/>
    <w:rsid w:val="00562BB0"/>
    <w:rsid w:val="00562BBA"/>
    <w:rsid w:val="00562EA7"/>
    <w:rsid w:val="00563B7E"/>
    <w:rsid w:val="00565117"/>
    <w:rsid w:val="005653A5"/>
    <w:rsid w:val="0056696F"/>
    <w:rsid w:val="005676C4"/>
    <w:rsid w:val="00567F94"/>
    <w:rsid w:val="00571305"/>
    <w:rsid w:val="00571634"/>
    <w:rsid w:val="005722BF"/>
    <w:rsid w:val="00575530"/>
    <w:rsid w:val="005756B8"/>
    <w:rsid w:val="00575B6B"/>
    <w:rsid w:val="00575D8D"/>
    <w:rsid w:val="0057680A"/>
    <w:rsid w:val="00576972"/>
    <w:rsid w:val="00581910"/>
    <w:rsid w:val="005819F6"/>
    <w:rsid w:val="00582813"/>
    <w:rsid w:val="00582AEE"/>
    <w:rsid w:val="00582DDE"/>
    <w:rsid w:val="00583699"/>
    <w:rsid w:val="0058375F"/>
    <w:rsid w:val="005837BF"/>
    <w:rsid w:val="00583A55"/>
    <w:rsid w:val="00583C57"/>
    <w:rsid w:val="005864B3"/>
    <w:rsid w:val="0058755B"/>
    <w:rsid w:val="00590481"/>
    <w:rsid w:val="005904D0"/>
    <w:rsid w:val="005912E8"/>
    <w:rsid w:val="0059164E"/>
    <w:rsid w:val="00594BA6"/>
    <w:rsid w:val="00595DBD"/>
    <w:rsid w:val="00596302"/>
    <w:rsid w:val="005A0585"/>
    <w:rsid w:val="005A059A"/>
    <w:rsid w:val="005A115C"/>
    <w:rsid w:val="005A15CB"/>
    <w:rsid w:val="005A267B"/>
    <w:rsid w:val="005A48F7"/>
    <w:rsid w:val="005A6BA5"/>
    <w:rsid w:val="005A7A6D"/>
    <w:rsid w:val="005A7D81"/>
    <w:rsid w:val="005A7F41"/>
    <w:rsid w:val="005B102F"/>
    <w:rsid w:val="005B22D0"/>
    <w:rsid w:val="005B2C72"/>
    <w:rsid w:val="005B3C48"/>
    <w:rsid w:val="005B3D73"/>
    <w:rsid w:val="005B579C"/>
    <w:rsid w:val="005B5857"/>
    <w:rsid w:val="005B588E"/>
    <w:rsid w:val="005B6689"/>
    <w:rsid w:val="005C09B2"/>
    <w:rsid w:val="005C1B83"/>
    <w:rsid w:val="005C25B4"/>
    <w:rsid w:val="005C2985"/>
    <w:rsid w:val="005C303A"/>
    <w:rsid w:val="005C31AB"/>
    <w:rsid w:val="005C3375"/>
    <w:rsid w:val="005C346B"/>
    <w:rsid w:val="005C3F94"/>
    <w:rsid w:val="005C4109"/>
    <w:rsid w:val="005C52CC"/>
    <w:rsid w:val="005C53CD"/>
    <w:rsid w:val="005C5B98"/>
    <w:rsid w:val="005C71B6"/>
    <w:rsid w:val="005C75D3"/>
    <w:rsid w:val="005C7C1D"/>
    <w:rsid w:val="005C7EFB"/>
    <w:rsid w:val="005D044D"/>
    <w:rsid w:val="005D18AD"/>
    <w:rsid w:val="005D19E5"/>
    <w:rsid w:val="005D2A66"/>
    <w:rsid w:val="005D2D13"/>
    <w:rsid w:val="005D3F35"/>
    <w:rsid w:val="005D40AF"/>
    <w:rsid w:val="005E082B"/>
    <w:rsid w:val="005E0B16"/>
    <w:rsid w:val="005E0BA4"/>
    <w:rsid w:val="005E0F50"/>
    <w:rsid w:val="005E18B7"/>
    <w:rsid w:val="005E1F69"/>
    <w:rsid w:val="005E4505"/>
    <w:rsid w:val="005E46EE"/>
    <w:rsid w:val="005E4DB2"/>
    <w:rsid w:val="005E68D5"/>
    <w:rsid w:val="005E6A5F"/>
    <w:rsid w:val="005E720F"/>
    <w:rsid w:val="005E732D"/>
    <w:rsid w:val="005E73C0"/>
    <w:rsid w:val="005F216C"/>
    <w:rsid w:val="005F2706"/>
    <w:rsid w:val="005F3088"/>
    <w:rsid w:val="005F3AF2"/>
    <w:rsid w:val="005F3EFB"/>
    <w:rsid w:val="005F493D"/>
    <w:rsid w:val="005F6480"/>
    <w:rsid w:val="005F6A8F"/>
    <w:rsid w:val="0060028E"/>
    <w:rsid w:val="00600DB9"/>
    <w:rsid w:val="00601E59"/>
    <w:rsid w:val="006028DB"/>
    <w:rsid w:val="006041D2"/>
    <w:rsid w:val="006042BF"/>
    <w:rsid w:val="00604DEF"/>
    <w:rsid w:val="0060595D"/>
    <w:rsid w:val="006065B2"/>
    <w:rsid w:val="00606B8F"/>
    <w:rsid w:val="00607669"/>
    <w:rsid w:val="00611C4A"/>
    <w:rsid w:val="0061224D"/>
    <w:rsid w:val="0061270D"/>
    <w:rsid w:val="00612F97"/>
    <w:rsid w:val="006132AC"/>
    <w:rsid w:val="006140F1"/>
    <w:rsid w:val="00614405"/>
    <w:rsid w:val="00614C90"/>
    <w:rsid w:val="006151DC"/>
    <w:rsid w:val="0061525B"/>
    <w:rsid w:val="00615D27"/>
    <w:rsid w:val="006161A6"/>
    <w:rsid w:val="00616802"/>
    <w:rsid w:val="00617E12"/>
    <w:rsid w:val="00620AE3"/>
    <w:rsid w:val="00621477"/>
    <w:rsid w:val="00622391"/>
    <w:rsid w:val="00622C51"/>
    <w:rsid w:val="006236B9"/>
    <w:rsid w:val="00623D88"/>
    <w:rsid w:val="00623E2D"/>
    <w:rsid w:val="0062418B"/>
    <w:rsid w:val="0062497D"/>
    <w:rsid w:val="00624DC7"/>
    <w:rsid w:val="0062516D"/>
    <w:rsid w:val="006275B1"/>
    <w:rsid w:val="00627808"/>
    <w:rsid w:val="0062797A"/>
    <w:rsid w:val="006303E5"/>
    <w:rsid w:val="006311ED"/>
    <w:rsid w:val="00631D6B"/>
    <w:rsid w:val="006331B5"/>
    <w:rsid w:val="0063479F"/>
    <w:rsid w:val="0063595D"/>
    <w:rsid w:val="006364A1"/>
    <w:rsid w:val="00636F64"/>
    <w:rsid w:val="00637BFD"/>
    <w:rsid w:val="00637CAC"/>
    <w:rsid w:val="0064025D"/>
    <w:rsid w:val="0064194D"/>
    <w:rsid w:val="00642276"/>
    <w:rsid w:val="006440F0"/>
    <w:rsid w:val="00644195"/>
    <w:rsid w:val="00644A57"/>
    <w:rsid w:val="00644CEC"/>
    <w:rsid w:val="0064502C"/>
    <w:rsid w:val="00645BEA"/>
    <w:rsid w:val="006471CC"/>
    <w:rsid w:val="006502DD"/>
    <w:rsid w:val="006506F3"/>
    <w:rsid w:val="0065079F"/>
    <w:rsid w:val="006534DD"/>
    <w:rsid w:val="00654FD1"/>
    <w:rsid w:val="00655486"/>
    <w:rsid w:val="00655493"/>
    <w:rsid w:val="006564B8"/>
    <w:rsid w:val="0065664A"/>
    <w:rsid w:val="00660F7D"/>
    <w:rsid w:val="0066290A"/>
    <w:rsid w:val="00662A39"/>
    <w:rsid w:val="006644DE"/>
    <w:rsid w:val="00664641"/>
    <w:rsid w:val="00667FA1"/>
    <w:rsid w:val="00671932"/>
    <w:rsid w:val="0067197F"/>
    <w:rsid w:val="006723B1"/>
    <w:rsid w:val="00672B72"/>
    <w:rsid w:val="00672CC3"/>
    <w:rsid w:val="00672FB1"/>
    <w:rsid w:val="00673A0C"/>
    <w:rsid w:val="00674A34"/>
    <w:rsid w:val="00674E42"/>
    <w:rsid w:val="0067550D"/>
    <w:rsid w:val="006757C9"/>
    <w:rsid w:val="00675C83"/>
    <w:rsid w:val="00681BFD"/>
    <w:rsid w:val="00681EA3"/>
    <w:rsid w:val="00682112"/>
    <w:rsid w:val="006828AD"/>
    <w:rsid w:val="00683530"/>
    <w:rsid w:val="00683627"/>
    <w:rsid w:val="006838EB"/>
    <w:rsid w:val="0068413E"/>
    <w:rsid w:val="006859B8"/>
    <w:rsid w:val="006872BA"/>
    <w:rsid w:val="006878EE"/>
    <w:rsid w:val="006917D7"/>
    <w:rsid w:val="00691BE5"/>
    <w:rsid w:val="00693141"/>
    <w:rsid w:val="006942AE"/>
    <w:rsid w:val="0069434E"/>
    <w:rsid w:val="00694F44"/>
    <w:rsid w:val="006953FB"/>
    <w:rsid w:val="00695AF6"/>
    <w:rsid w:val="00695EC7"/>
    <w:rsid w:val="00696119"/>
    <w:rsid w:val="00696694"/>
    <w:rsid w:val="006A05D6"/>
    <w:rsid w:val="006A0F3B"/>
    <w:rsid w:val="006A10E3"/>
    <w:rsid w:val="006A26B7"/>
    <w:rsid w:val="006A4141"/>
    <w:rsid w:val="006A5786"/>
    <w:rsid w:val="006A692D"/>
    <w:rsid w:val="006A6CE6"/>
    <w:rsid w:val="006B2173"/>
    <w:rsid w:val="006B2326"/>
    <w:rsid w:val="006B27FB"/>
    <w:rsid w:val="006B354D"/>
    <w:rsid w:val="006B500F"/>
    <w:rsid w:val="006B611B"/>
    <w:rsid w:val="006B70EA"/>
    <w:rsid w:val="006B7B1D"/>
    <w:rsid w:val="006C15B8"/>
    <w:rsid w:val="006C17AC"/>
    <w:rsid w:val="006C1F25"/>
    <w:rsid w:val="006C2A8E"/>
    <w:rsid w:val="006C4145"/>
    <w:rsid w:val="006C48D4"/>
    <w:rsid w:val="006C5031"/>
    <w:rsid w:val="006C7AC5"/>
    <w:rsid w:val="006C7E21"/>
    <w:rsid w:val="006D010B"/>
    <w:rsid w:val="006D20FB"/>
    <w:rsid w:val="006D312F"/>
    <w:rsid w:val="006D3300"/>
    <w:rsid w:val="006D35F3"/>
    <w:rsid w:val="006D3C7D"/>
    <w:rsid w:val="006D56E4"/>
    <w:rsid w:val="006D592B"/>
    <w:rsid w:val="006D5D5F"/>
    <w:rsid w:val="006D6F57"/>
    <w:rsid w:val="006D7F67"/>
    <w:rsid w:val="006E05CF"/>
    <w:rsid w:val="006E0C56"/>
    <w:rsid w:val="006E1490"/>
    <w:rsid w:val="006E1753"/>
    <w:rsid w:val="006E1927"/>
    <w:rsid w:val="006E3A19"/>
    <w:rsid w:val="006E5426"/>
    <w:rsid w:val="006E5C08"/>
    <w:rsid w:val="006E683E"/>
    <w:rsid w:val="006E6ED3"/>
    <w:rsid w:val="006E750D"/>
    <w:rsid w:val="006F04EF"/>
    <w:rsid w:val="006F0854"/>
    <w:rsid w:val="006F10D8"/>
    <w:rsid w:val="006F19DA"/>
    <w:rsid w:val="006F2269"/>
    <w:rsid w:val="006F250B"/>
    <w:rsid w:val="006F2E9D"/>
    <w:rsid w:val="006F33FC"/>
    <w:rsid w:val="006F5D97"/>
    <w:rsid w:val="006F63A5"/>
    <w:rsid w:val="006F673A"/>
    <w:rsid w:val="006F7346"/>
    <w:rsid w:val="006F7E0C"/>
    <w:rsid w:val="0070276E"/>
    <w:rsid w:val="00702F8F"/>
    <w:rsid w:val="00703C04"/>
    <w:rsid w:val="0070401C"/>
    <w:rsid w:val="007040AC"/>
    <w:rsid w:val="00704D7E"/>
    <w:rsid w:val="00704F47"/>
    <w:rsid w:val="0070662B"/>
    <w:rsid w:val="007069FF"/>
    <w:rsid w:val="00710A15"/>
    <w:rsid w:val="00711935"/>
    <w:rsid w:val="00711A36"/>
    <w:rsid w:val="0071298B"/>
    <w:rsid w:val="007157BA"/>
    <w:rsid w:val="007172AD"/>
    <w:rsid w:val="007201F2"/>
    <w:rsid w:val="007205C7"/>
    <w:rsid w:val="00720C2C"/>
    <w:rsid w:val="00722D5F"/>
    <w:rsid w:val="0072416F"/>
    <w:rsid w:val="00724638"/>
    <w:rsid w:val="007249E6"/>
    <w:rsid w:val="00726E01"/>
    <w:rsid w:val="00727299"/>
    <w:rsid w:val="00727BD4"/>
    <w:rsid w:val="00730B1A"/>
    <w:rsid w:val="007314FA"/>
    <w:rsid w:val="007327DC"/>
    <w:rsid w:val="00732861"/>
    <w:rsid w:val="00732B8E"/>
    <w:rsid w:val="00733A57"/>
    <w:rsid w:val="00733F45"/>
    <w:rsid w:val="00734682"/>
    <w:rsid w:val="00734FFA"/>
    <w:rsid w:val="00735328"/>
    <w:rsid w:val="00735381"/>
    <w:rsid w:val="00735EB3"/>
    <w:rsid w:val="00735FB9"/>
    <w:rsid w:val="0073627E"/>
    <w:rsid w:val="0073685B"/>
    <w:rsid w:val="00737014"/>
    <w:rsid w:val="00740072"/>
    <w:rsid w:val="007404A8"/>
    <w:rsid w:val="00742004"/>
    <w:rsid w:val="007427F9"/>
    <w:rsid w:val="007438C5"/>
    <w:rsid w:val="00745920"/>
    <w:rsid w:val="00746058"/>
    <w:rsid w:val="00747A6A"/>
    <w:rsid w:val="0075059B"/>
    <w:rsid w:val="00750FB8"/>
    <w:rsid w:val="00751FC5"/>
    <w:rsid w:val="0075208A"/>
    <w:rsid w:val="0075251D"/>
    <w:rsid w:val="007528A6"/>
    <w:rsid w:val="007529EC"/>
    <w:rsid w:val="007534EF"/>
    <w:rsid w:val="00753577"/>
    <w:rsid w:val="00754809"/>
    <w:rsid w:val="007555C3"/>
    <w:rsid w:val="00755C17"/>
    <w:rsid w:val="00756BC0"/>
    <w:rsid w:val="00757157"/>
    <w:rsid w:val="007576A1"/>
    <w:rsid w:val="00757A31"/>
    <w:rsid w:val="007607C4"/>
    <w:rsid w:val="007621E2"/>
    <w:rsid w:val="00762275"/>
    <w:rsid w:val="00763133"/>
    <w:rsid w:val="007640F0"/>
    <w:rsid w:val="0076463D"/>
    <w:rsid w:val="00764B9A"/>
    <w:rsid w:val="0076586A"/>
    <w:rsid w:val="00766E13"/>
    <w:rsid w:val="007672C5"/>
    <w:rsid w:val="007676A7"/>
    <w:rsid w:val="00770EE3"/>
    <w:rsid w:val="00771529"/>
    <w:rsid w:val="007720F0"/>
    <w:rsid w:val="00772BFE"/>
    <w:rsid w:val="007742B7"/>
    <w:rsid w:val="00775C11"/>
    <w:rsid w:val="00775C14"/>
    <w:rsid w:val="00776E73"/>
    <w:rsid w:val="00777F61"/>
    <w:rsid w:val="007806F4"/>
    <w:rsid w:val="00783948"/>
    <w:rsid w:val="00784849"/>
    <w:rsid w:val="0078573D"/>
    <w:rsid w:val="00786554"/>
    <w:rsid w:val="007867FB"/>
    <w:rsid w:val="00786852"/>
    <w:rsid w:val="00787928"/>
    <w:rsid w:val="00787A0F"/>
    <w:rsid w:val="00791BDE"/>
    <w:rsid w:val="007926A9"/>
    <w:rsid w:val="007939C1"/>
    <w:rsid w:val="00794AE0"/>
    <w:rsid w:val="00795F61"/>
    <w:rsid w:val="007962BE"/>
    <w:rsid w:val="00797AEC"/>
    <w:rsid w:val="00797EA4"/>
    <w:rsid w:val="007A0A12"/>
    <w:rsid w:val="007A3173"/>
    <w:rsid w:val="007A379B"/>
    <w:rsid w:val="007A4317"/>
    <w:rsid w:val="007A50F1"/>
    <w:rsid w:val="007A5634"/>
    <w:rsid w:val="007A5DA6"/>
    <w:rsid w:val="007A6BE4"/>
    <w:rsid w:val="007B1E83"/>
    <w:rsid w:val="007B251D"/>
    <w:rsid w:val="007B3AFF"/>
    <w:rsid w:val="007B4784"/>
    <w:rsid w:val="007B516E"/>
    <w:rsid w:val="007B5F58"/>
    <w:rsid w:val="007B645E"/>
    <w:rsid w:val="007B77D1"/>
    <w:rsid w:val="007B7CA4"/>
    <w:rsid w:val="007B7FBD"/>
    <w:rsid w:val="007C049F"/>
    <w:rsid w:val="007C09BB"/>
    <w:rsid w:val="007C0C39"/>
    <w:rsid w:val="007C351E"/>
    <w:rsid w:val="007C361D"/>
    <w:rsid w:val="007C3F12"/>
    <w:rsid w:val="007C469C"/>
    <w:rsid w:val="007C4B3C"/>
    <w:rsid w:val="007C4D88"/>
    <w:rsid w:val="007C50E9"/>
    <w:rsid w:val="007C7723"/>
    <w:rsid w:val="007C7BA0"/>
    <w:rsid w:val="007D0B38"/>
    <w:rsid w:val="007D0EA5"/>
    <w:rsid w:val="007D2E85"/>
    <w:rsid w:val="007D55DC"/>
    <w:rsid w:val="007D6163"/>
    <w:rsid w:val="007D7A7F"/>
    <w:rsid w:val="007D7B5F"/>
    <w:rsid w:val="007E0812"/>
    <w:rsid w:val="007E17A2"/>
    <w:rsid w:val="007E2D6B"/>
    <w:rsid w:val="007E38BB"/>
    <w:rsid w:val="007E3E20"/>
    <w:rsid w:val="007E4D19"/>
    <w:rsid w:val="007E4E90"/>
    <w:rsid w:val="007E6ECA"/>
    <w:rsid w:val="007F1017"/>
    <w:rsid w:val="007F2974"/>
    <w:rsid w:val="007F2B0D"/>
    <w:rsid w:val="007F4A3F"/>
    <w:rsid w:val="007F5F09"/>
    <w:rsid w:val="007F6FB5"/>
    <w:rsid w:val="00800624"/>
    <w:rsid w:val="00800801"/>
    <w:rsid w:val="00801213"/>
    <w:rsid w:val="0080252E"/>
    <w:rsid w:val="00805142"/>
    <w:rsid w:val="008054CD"/>
    <w:rsid w:val="00805C16"/>
    <w:rsid w:val="00805EFD"/>
    <w:rsid w:val="008063F2"/>
    <w:rsid w:val="00806BE3"/>
    <w:rsid w:val="00807A8B"/>
    <w:rsid w:val="00812149"/>
    <w:rsid w:val="0081408B"/>
    <w:rsid w:val="00815D81"/>
    <w:rsid w:val="008166EF"/>
    <w:rsid w:val="00816B83"/>
    <w:rsid w:val="008214D8"/>
    <w:rsid w:val="008221EE"/>
    <w:rsid w:val="00822301"/>
    <w:rsid w:val="0082490A"/>
    <w:rsid w:val="0082553F"/>
    <w:rsid w:val="008261A1"/>
    <w:rsid w:val="0082633D"/>
    <w:rsid w:val="008264EB"/>
    <w:rsid w:val="00831FEA"/>
    <w:rsid w:val="00833B05"/>
    <w:rsid w:val="008343BF"/>
    <w:rsid w:val="008352D8"/>
    <w:rsid w:val="008355E2"/>
    <w:rsid w:val="00835870"/>
    <w:rsid w:val="008371C8"/>
    <w:rsid w:val="00840CA2"/>
    <w:rsid w:val="00840FB2"/>
    <w:rsid w:val="008415D1"/>
    <w:rsid w:val="00841995"/>
    <w:rsid w:val="00841C71"/>
    <w:rsid w:val="00842D00"/>
    <w:rsid w:val="008448D2"/>
    <w:rsid w:val="008461A7"/>
    <w:rsid w:val="00852BA9"/>
    <w:rsid w:val="00852CB5"/>
    <w:rsid w:val="00853BB7"/>
    <w:rsid w:val="00854031"/>
    <w:rsid w:val="00854CEF"/>
    <w:rsid w:val="0085501B"/>
    <w:rsid w:val="00855BC0"/>
    <w:rsid w:val="00856E9A"/>
    <w:rsid w:val="008573BB"/>
    <w:rsid w:val="008624EB"/>
    <w:rsid w:val="00862502"/>
    <w:rsid w:val="0086301B"/>
    <w:rsid w:val="0086415B"/>
    <w:rsid w:val="00864446"/>
    <w:rsid w:val="0086561D"/>
    <w:rsid w:val="0086585E"/>
    <w:rsid w:val="00865997"/>
    <w:rsid w:val="008665AC"/>
    <w:rsid w:val="00866BE0"/>
    <w:rsid w:val="0087074B"/>
    <w:rsid w:val="00871632"/>
    <w:rsid w:val="0087175C"/>
    <w:rsid w:val="008717A8"/>
    <w:rsid w:val="00872619"/>
    <w:rsid w:val="00874F28"/>
    <w:rsid w:val="008811C2"/>
    <w:rsid w:val="00881408"/>
    <w:rsid w:val="00881576"/>
    <w:rsid w:val="0088171E"/>
    <w:rsid w:val="00881C51"/>
    <w:rsid w:val="0088249F"/>
    <w:rsid w:val="00882874"/>
    <w:rsid w:val="00883787"/>
    <w:rsid w:val="008838CE"/>
    <w:rsid w:val="0088408E"/>
    <w:rsid w:val="008843C9"/>
    <w:rsid w:val="00884435"/>
    <w:rsid w:val="00885265"/>
    <w:rsid w:val="00885A9A"/>
    <w:rsid w:val="008864B2"/>
    <w:rsid w:val="00891C13"/>
    <w:rsid w:val="00892536"/>
    <w:rsid w:val="00892C8A"/>
    <w:rsid w:val="00894100"/>
    <w:rsid w:val="00894489"/>
    <w:rsid w:val="00895631"/>
    <w:rsid w:val="008963A5"/>
    <w:rsid w:val="008973F9"/>
    <w:rsid w:val="008A1F51"/>
    <w:rsid w:val="008A1FC3"/>
    <w:rsid w:val="008A2A83"/>
    <w:rsid w:val="008A2F81"/>
    <w:rsid w:val="008A3516"/>
    <w:rsid w:val="008A3BFC"/>
    <w:rsid w:val="008A3C3E"/>
    <w:rsid w:val="008A3C69"/>
    <w:rsid w:val="008A3FC8"/>
    <w:rsid w:val="008A405F"/>
    <w:rsid w:val="008A5A22"/>
    <w:rsid w:val="008A6280"/>
    <w:rsid w:val="008A65DC"/>
    <w:rsid w:val="008A79DE"/>
    <w:rsid w:val="008B07B3"/>
    <w:rsid w:val="008B1695"/>
    <w:rsid w:val="008B2DE1"/>
    <w:rsid w:val="008B2E99"/>
    <w:rsid w:val="008B37A5"/>
    <w:rsid w:val="008B3D53"/>
    <w:rsid w:val="008B4A37"/>
    <w:rsid w:val="008B5A48"/>
    <w:rsid w:val="008B6FA9"/>
    <w:rsid w:val="008B7D7E"/>
    <w:rsid w:val="008C02E6"/>
    <w:rsid w:val="008C14DA"/>
    <w:rsid w:val="008C2202"/>
    <w:rsid w:val="008C2567"/>
    <w:rsid w:val="008C2E6F"/>
    <w:rsid w:val="008C3A81"/>
    <w:rsid w:val="008C3AB8"/>
    <w:rsid w:val="008C3DF8"/>
    <w:rsid w:val="008C489A"/>
    <w:rsid w:val="008C4B74"/>
    <w:rsid w:val="008C53C7"/>
    <w:rsid w:val="008C73C5"/>
    <w:rsid w:val="008C7ECB"/>
    <w:rsid w:val="008D031E"/>
    <w:rsid w:val="008D032C"/>
    <w:rsid w:val="008D03E0"/>
    <w:rsid w:val="008D1644"/>
    <w:rsid w:val="008D171E"/>
    <w:rsid w:val="008D1806"/>
    <w:rsid w:val="008D1A86"/>
    <w:rsid w:val="008D1CAA"/>
    <w:rsid w:val="008D3456"/>
    <w:rsid w:val="008D621B"/>
    <w:rsid w:val="008D717E"/>
    <w:rsid w:val="008D7636"/>
    <w:rsid w:val="008D7EEC"/>
    <w:rsid w:val="008D7F45"/>
    <w:rsid w:val="008E0DD0"/>
    <w:rsid w:val="008E13B2"/>
    <w:rsid w:val="008E14E6"/>
    <w:rsid w:val="008E1990"/>
    <w:rsid w:val="008E1B9E"/>
    <w:rsid w:val="008E26B1"/>
    <w:rsid w:val="008E3336"/>
    <w:rsid w:val="008E4DFA"/>
    <w:rsid w:val="008E6331"/>
    <w:rsid w:val="008E6AD8"/>
    <w:rsid w:val="008E77C4"/>
    <w:rsid w:val="008E7ECF"/>
    <w:rsid w:val="008F032B"/>
    <w:rsid w:val="008F074E"/>
    <w:rsid w:val="008F0B41"/>
    <w:rsid w:val="008F1029"/>
    <w:rsid w:val="008F120A"/>
    <w:rsid w:val="008F13ED"/>
    <w:rsid w:val="008F165A"/>
    <w:rsid w:val="008F1CC3"/>
    <w:rsid w:val="008F3699"/>
    <w:rsid w:val="008F37E2"/>
    <w:rsid w:val="008F3F1B"/>
    <w:rsid w:val="008F48EB"/>
    <w:rsid w:val="008F4E33"/>
    <w:rsid w:val="008F4F0B"/>
    <w:rsid w:val="008F4F87"/>
    <w:rsid w:val="0090052E"/>
    <w:rsid w:val="00901271"/>
    <w:rsid w:val="0090172F"/>
    <w:rsid w:val="00902B36"/>
    <w:rsid w:val="009034ED"/>
    <w:rsid w:val="00903A14"/>
    <w:rsid w:val="00903B77"/>
    <w:rsid w:val="00903DA9"/>
    <w:rsid w:val="0090513D"/>
    <w:rsid w:val="009051A1"/>
    <w:rsid w:val="009062A5"/>
    <w:rsid w:val="009064B0"/>
    <w:rsid w:val="009078D8"/>
    <w:rsid w:val="00910B58"/>
    <w:rsid w:val="00910E0C"/>
    <w:rsid w:val="00911272"/>
    <w:rsid w:val="009116D4"/>
    <w:rsid w:val="00911D54"/>
    <w:rsid w:val="00913326"/>
    <w:rsid w:val="009137E9"/>
    <w:rsid w:val="00916069"/>
    <w:rsid w:val="009166CC"/>
    <w:rsid w:val="00916968"/>
    <w:rsid w:val="00920FBC"/>
    <w:rsid w:val="00921A72"/>
    <w:rsid w:val="0092277B"/>
    <w:rsid w:val="009250F2"/>
    <w:rsid w:val="009250FD"/>
    <w:rsid w:val="00925E49"/>
    <w:rsid w:val="009262AE"/>
    <w:rsid w:val="0092769D"/>
    <w:rsid w:val="009277CC"/>
    <w:rsid w:val="00930916"/>
    <w:rsid w:val="0093143A"/>
    <w:rsid w:val="009342D8"/>
    <w:rsid w:val="00934E22"/>
    <w:rsid w:val="00936954"/>
    <w:rsid w:val="009376CD"/>
    <w:rsid w:val="00937A10"/>
    <w:rsid w:val="00941752"/>
    <w:rsid w:val="0094184A"/>
    <w:rsid w:val="00941D5D"/>
    <w:rsid w:val="00943BA7"/>
    <w:rsid w:val="00944C3E"/>
    <w:rsid w:val="00945AB8"/>
    <w:rsid w:val="00946DAD"/>
    <w:rsid w:val="00951E7E"/>
    <w:rsid w:val="00952A0D"/>
    <w:rsid w:val="00953548"/>
    <w:rsid w:val="00953D38"/>
    <w:rsid w:val="00953E95"/>
    <w:rsid w:val="0095447F"/>
    <w:rsid w:val="00954C78"/>
    <w:rsid w:val="00955B53"/>
    <w:rsid w:val="0095644B"/>
    <w:rsid w:val="009576BA"/>
    <w:rsid w:val="00957FC5"/>
    <w:rsid w:val="00960702"/>
    <w:rsid w:val="00961FB8"/>
    <w:rsid w:val="00961FE8"/>
    <w:rsid w:val="00962137"/>
    <w:rsid w:val="00962313"/>
    <w:rsid w:val="00962801"/>
    <w:rsid w:val="00962CB9"/>
    <w:rsid w:val="009636EA"/>
    <w:rsid w:val="00964312"/>
    <w:rsid w:val="0096439E"/>
    <w:rsid w:val="00964EC1"/>
    <w:rsid w:val="009653C6"/>
    <w:rsid w:val="00965562"/>
    <w:rsid w:val="00965BCA"/>
    <w:rsid w:val="00965C05"/>
    <w:rsid w:val="00965C8B"/>
    <w:rsid w:val="0096629D"/>
    <w:rsid w:val="009668CE"/>
    <w:rsid w:val="009669E7"/>
    <w:rsid w:val="0097200C"/>
    <w:rsid w:val="00972555"/>
    <w:rsid w:val="00972876"/>
    <w:rsid w:val="00972FD4"/>
    <w:rsid w:val="009730B0"/>
    <w:rsid w:val="009736F4"/>
    <w:rsid w:val="00973B82"/>
    <w:rsid w:val="00975051"/>
    <w:rsid w:val="00975BD4"/>
    <w:rsid w:val="009760AD"/>
    <w:rsid w:val="0097630D"/>
    <w:rsid w:val="00976E0A"/>
    <w:rsid w:val="00977AA5"/>
    <w:rsid w:val="0098032D"/>
    <w:rsid w:val="009822F4"/>
    <w:rsid w:val="009838CE"/>
    <w:rsid w:val="00983E57"/>
    <w:rsid w:val="0098719B"/>
    <w:rsid w:val="00990ABA"/>
    <w:rsid w:val="0099191B"/>
    <w:rsid w:val="00993C70"/>
    <w:rsid w:val="0099450E"/>
    <w:rsid w:val="00994647"/>
    <w:rsid w:val="00994C1C"/>
    <w:rsid w:val="00994EAB"/>
    <w:rsid w:val="009953A0"/>
    <w:rsid w:val="00995746"/>
    <w:rsid w:val="00995A09"/>
    <w:rsid w:val="00996B1A"/>
    <w:rsid w:val="009A056B"/>
    <w:rsid w:val="009A0BD2"/>
    <w:rsid w:val="009A10B9"/>
    <w:rsid w:val="009A55E5"/>
    <w:rsid w:val="009A5D5F"/>
    <w:rsid w:val="009A6065"/>
    <w:rsid w:val="009A700A"/>
    <w:rsid w:val="009A74A2"/>
    <w:rsid w:val="009A78D5"/>
    <w:rsid w:val="009A7B96"/>
    <w:rsid w:val="009B04E6"/>
    <w:rsid w:val="009B1335"/>
    <w:rsid w:val="009B1C8F"/>
    <w:rsid w:val="009B239C"/>
    <w:rsid w:val="009B2B81"/>
    <w:rsid w:val="009B3E26"/>
    <w:rsid w:val="009B6AC1"/>
    <w:rsid w:val="009B724F"/>
    <w:rsid w:val="009C1D1C"/>
    <w:rsid w:val="009C1E2D"/>
    <w:rsid w:val="009C2399"/>
    <w:rsid w:val="009C2FDB"/>
    <w:rsid w:val="009C383B"/>
    <w:rsid w:val="009C40E5"/>
    <w:rsid w:val="009C780B"/>
    <w:rsid w:val="009D0740"/>
    <w:rsid w:val="009D11F9"/>
    <w:rsid w:val="009D1806"/>
    <w:rsid w:val="009D239A"/>
    <w:rsid w:val="009D3415"/>
    <w:rsid w:val="009D3C17"/>
    <w:rsid w:val="009D528A"/>
    <w:rsid w:val="009D560C"/>
    <w:rsid w:val="009D5AA0"/>
    <w:rsid w:val="009D5B73"/>
    <w:rsid w:val="009D5B91"/>
    <w:rsid w:val="009E015B"/>
    <w:rsid w:val="009E047F"/>
    <w:rsid w:val="009E11F2"/>
    <w:rsid w:val="009E1543"/>
    <w:rsid w:val="009E4C07"/>
    <w:rsid w:val="009E5EC3"/>
    <w:rsid w:val="009E6668"/>
    <w:rsid w:val="009F014F"/>
    <w:rsid w:val="009F1037"/>
    <w:rsid w:val="009F1A23"/>
    <w:rsid w:val="009F2450"/>
    <w:rsid w:val="009F3D7D"/>
    <w:rsid w:val="009F3F65"/>
    <w:rsid w:val="009F3FAE"/>
    <w:rsid w:val="009F4084"/>
    <w:rsid w:val="009F4B1D"/>
    <w:rsid w:val="00A007F4"/>
    <w:rsid w:val="00A0097A"/>
    <w:rsid w:val="00A01313"/>
    <w:rsid w:val="00A013A1"/>
    <w:rsid w:val="00A01536"/>
    <w:rsid w:val="00A01E85"/>
    <w:rsid w:val="00A020BE"/>
    <w:rsid w:val="00A027B0"/>
    <w:rsid w:val="00A03D43"/>
    <w:rsid w:val="00A04380"/>
    <w:rsid w:val="00A05785"/>
    <w:rsid w:val="00A06DE6"/>
    <w:rsid w:val="00A12E4F"/>
    <w:rsid w:val="00A133AD"/>
    <w:rsid w:val="00A138E9"/>
    <w:rsid w:val="00A13948"/>
    <w:rsid w:val="00A1425B"/>
    <w:rsid w:val="00A15851"/>
    <w:rsid w:val="00A16947"/>
    <w:rsid w:val="00A178D9"/>
    <w:rsid w:val="00A219EE"/>
    <w:rsid w:val="00A22D8D"/>
    <w:rsid w:val="00A23D3D"/>
    <w:rsid w:val="00A244F7"/>
    <w:rsid w:val="00A24CED"/>
    <w:rsid w:val="00A25FD2"/>
    <w:rsid w:val="00A2674A"/>
    <w:rsid w:val="00A26E63"/>
    <w:rsid w:val="00A27876"/>
    <w:rsid w:val="00A27AEC"/>
    <w:rsid w:val="00A27D53"/>
    <w:rsid w:val="00A32245"/>
    <w:rsid w:val="00A33AD9"/>
    <w:rsid w:val="00A340DE"/>
    <w:rsid w:val="00A35B2B"/>
    <w:rsid w:val="00A35D16"/>
    <w:rsid w:val="00A37665"/>
    <w:rsid w:val="00A406D7"/>
    <w:rsid w:val="00A40CF8"/>
    <w:rsid w:val="00A425F8"/>
    <w:rsid w:val="00A43C1C"/>
    <w:rsid w:val="00A43C59"/>
    <w:rsid w:val="00A4424A"/>
    <w:rsid w:val="00A44EDF"/>
    <w:rsid w:val="00A463FA"/>
    <w:rsid w:val="00A46C57"/>
    <w:rsid w:val="00A50A2E"/>
    <w:rsid w:val="00A50ECD"/>
    <w:rsid w:val="00A513CF"/>
    <w:rsid w:val="00A514A8"/>
    <w:rsid w:val="00A520A0"/>
    <w:rsid w:val="00A52729"/>
    <w:rsid w:val="00A532F5"/>
    <w:rsid w:val="00A53675"/>
    <w:rsid w:val="00A54820"/>
    <w:rsid w:val="00A5556E"/>
    <w:rsid w:val="00A55808"/>
    <w:rsid w:val="00A55904"/>
    <w:rsid w:val="00A5678E"/>
    <w:rsid w:val="00A56B6A"/>
    <w:rsid w:val="00A574DE"/>
    <w:rsid w:val="00A578DC"/>
    <w:rsid w:val="00A57D6F"/>
    <w:rsid w:val="00A602E5"/>
    <w:rsid w:val="00A6058D"/>
    <w:rsid w:val="00A6285B"/>
    <w:rsid w:val="00A63FAD"/>
    <w:rsid w:val="00A6457A"/>
    <w:rsid w:val="00A64B78"/>
    <w:rsid w:val="00A67123"/>
    <w:rsid w:val="00A6725B"/>
    <w:rsid w:val="00A67484"/>
    <w:rsid w:val="00A702A8"/>
    <w:rsid w:val="00A716E3"/>
    <w:rsid w:val="00A732DF"/>
    <w:rsid w:val="00A75A6E"/>
    <w:rsid w:val="00A75C61"/>
    <w:rsid w:val="00A761FD"/>
    <w:rsid w:val="00A7649E"/>
    <w:rsid w:val="00A7681F"/>
    <w:rsid w:val="00A82E9A"/>
    <w:rsid w:val="00A84421"/>
    <w:rsid w:val="00A84BA7"/>
    <w:rsid w:val="00A84DE8"/>
    <w:rsid w:val="00A8691E"/>
    <w:rsid w:val="00A86DB9"/>
    <w:rsid w:val="00A86E8B"/>
    <w:rsid w:val="00A90E91"/>
    <w:rsid w:val="00A93072"/>
    <w:rsid w:val="00A931D8"/>
    <w:rsid w:val="00A934F7"/>
    <w:rsid w:val="00A93694"/>
    <w:rsid w:val="00A94A58"/>
    <w:rsid w:val="00A94B31"/>
    <w:rsid w:val="00A94E21"/>
    <w:rsid w:val="00A959D8"/>
    <w:rsid w:val="00A95B96"/>
    <w:rsid w:val="00A9798A"/>
    <w:rsid w:val="00AA1935"/>
    <w:rsid w:val="00AA1A4A"/>
    <w:rsid w:val="00AA2147"/>
    <w:rsid w:val="00AA3B30"/>
    <w:rsid w:val="00AA40FD"/>
    <w:rsid w:val="00AA507D"/>
    <w:rsid w:val="00AA616A"/>
    <w:rsid w:val="00AA6933"/>
    <w:rsid w:val="00AA6C37"/>
    <w:rsid w:val="00AB0202"/>
    <w:rsid w:val="00AB042A"/>
    <w:rsid w:val="00AB0F6A"/>
    <w:rsid w:val="00AB26C6"/>
    <w:rsid w:val="00AB2D34"/>
    <w:rsid w:val="00AB2E05"/>
    <w:rsid w:val="00AB3430"/>
    <w:rsid w:val="00AB4791"/>
    <w:rsid w:val="00AB5745"/>
    <w:rsid w:val="00AB6864"/>
    <w:rsid w:val="00AB7C6B"/>
    <w:rsid w:val="00AB7CFA"/>
    <w:rsid w:val="00AB7DEF"/>
    <w:rsid w:val="00AC0252"/>
    <w:rsid w:val="00AC0B46"/>
    <w:rsid w:val="00AC1284"/>
    <w:rsid w:val="00AC1575"/>
    <w:rsid w:val="00AC199D"/>
    <w:rsid w:val="00AC4439"/>
    <w:rsid w:val="00AC68A5"/>
    <w:rsid w:val="00AC6F31"/>
    <w:rsid w:val="00AC716E"/>
    <w:rsid w:val="00AC73B8"/>
    <w:rsid w:val="00AD060B"/>
    <w:rsid w:val="00AD0D33"/>
    <w:rsid w:val="00AD14FE"/>
    <w:rsid w:val="00AD28C4"/>
    <w:rsid w:val="00AD33F8"/>
    <w:rsid w:val="00AD35ED"/>
    <w:rsid w:val="00AD3F6C"/>
    <w:rsid w:val="00AD44B8"/>
    <w:rsid w:val="00AD494F"/>
    <w:rsid w:val="00AD4B80"/>
    <w:rsid w:val="00AD4B87"/>
    <w:rsid w:val="00AD4C36"/>
    <w:rsid w:val="00AD576A"/>
    <w:rsid w:val="00AD57A2"/>
    <w:rsid w:val="00AD5AB9"/>
    <w:rsid w:val="00AD706F"/>
    <w:rsid w:val="00AD732C"/>
    <w:rsid w:val="00AD738A"/>
    <w:rsid w:val="00AD74AA"/>
    <w:rsid w:val="00AD7701"/>
    <w:rsid w:val="00AE010C"/>
    <w:rsid w:val="00AE0CC9"/>
    <w:rsid w:val="00AE1A2B"/>
    <w:rsid w:val="00AE1F1A"/>
    <w:rsid w:val="00AE36B1"/>
    <w:rsid w:val="00AE3CCA"/>
    <w:rsid w:val="00AE4522"/>
    <w:rsid w:val="00AE489D"/>
    <w:rsid w:val="00AE5099"/>
    <w:rsid w:val="00AE7EA0"/>
    <w:rsid w:val="00AF0DEE"/>
    <w:rsid w:val="00AF3946"/>
    <w:rsid w:val="00AF3AE2"/>
    <w:rsid w:val="00AF3F58"/>
    <w:rsid w:val="00AF4758"/>
    <w:rsid w:val="00AF49F0"/>
    <w:rsid w:val="00AF584A"/>
    <w:rsid w:val="00AF618F"/>
    <w:rsid w:val="00AF73B6"/>
    <w:rsid w:val="00B003B3"/>
    <w:rsid w:val="00B0215E"/>
    <w:rsid w:val="00B03ECB"/>
    <w:rsid w:val="00B03FD0"/>
    <w:rsid w:val="00B04376"/>
    <w:rsid w:val="00B04731"/>
    <w:rsid w:val="00B067E8"/>
    <w:rsid w:val="00B0692F"/>
    <w:rsid w:val="00B06FA7"/>
    <w:rsid w:val="00B071EB"/>
    <w:rsid w:val="00B07280"/>
    <w:rsid w:val="00B07842"/>
    <w:rsid w:val="00B07D49"/>
    <w:rsid w:val="00B10E42"/>
    <w:rsid w:val="00B1156A"/>
    <w:rsid w:val="00B1291E"/>
    <w:rsid w:val="00B156A4"/>
    <w:rsid w:val="00B167E4"/>
    <w:rsid w:val="00B17D9D"/>
    <w:rsid w:val="00B205D6"/>
    <w:rsid w:val="00B206DE"/>
    <w:rsid w:val="00B20A1C"/>
    <w:rsid w:val="00B21EBC"/>
    <w:rsid w:val="00B2259F"/>
    <w:rsid w:val="00B22EB8"/>
    <w:rsid w:val="00B2382C"/>
    <w:rsid w:val="00B238E9"/>
    <w:rsid w:val="00B2395A"/>
    <w:rsid w:val="00B250E2"/>
    <w:rsid w:val="00B2544D"/>
    <w:rsid w:val="00B2557C"/>
    <w:rsid w:val="00B25EDB"/>
    <w:rsid w:val="00B27231"/>
    <w:rsid w:val="00B302CC"/>
    <w:rsid w:val="00B302D0"/>
    <w:rsid w:val="00B30789"/>
    <w:rsid w:val="00B3119D"/>
    <w:rsid w:val="00B32847"/>
    <w:rsid w:val="00B33172"/>
    <w:rsid w:val="00B344EF"/>
    <w:rsid w:val="00B34DB4"/>
    <w:rsid w:val="00B35356"/>
    <w:rsid w:val="00B354E8"/>
    <w:rsid w:val="00B359EC"/>
    <w:rsid w:val="00B36800"/>
    <w:rsid w:val="00B3685D"/>
    <w:rsid w:val="00B3748D"/>
    <w:rsid w:val="00B40C90"/>
    <w:rsid w:val="00B4140F"/>
    <w:rsid w:val="00B42851"/>
    <w:rsid w:val="00B42BB1"/>
    <w:rsid w:val="00B43E34"/>
    <w:rsid w:val="00B44ECC"/>
    <w:rsid w:val="00B45ADD"/>
    <w:rsid w:val="00B47619"/>
    <w:rsid w:val="00B50DB8"/>
    <w:rsid w:val="00B512E9"/>
    <w:rsid w:val="00B513A8"/>
    <w:rsid w:val="00B529AD"/>
    <w:rsid w:val="00B53905"/>
    <w:rsid w:val="00B54B5B"/>
    <w:rsid w:val="00B5523B"/>
    <w:rsid w:val="00B55485"/>
    <w:rsid w:val="00B5562E"/>
    <w:rsid w:val="00B5572F"/>
    <w:rsid w:val="00B55987"/>
    <w:rsid w:val="00B55E39"/>
    <w:rsid w:val="00B56F7E"/>
    <w:rsid w:val="00B57000"/>
    <w:rsid w:val="00B57036"/>
    <w:rsid w:val="00B60939"/>
    <w:rsid w:val="00B60AFD"/>
    <w:rsid w:val="00B62715"/>
    <w:rsid w:val="00B62BDB"/>
    <w:rsid w:val="00B62F3A"/>
    <w:rsid w:val="00B636B4"/>
    <w:rsid w:val="00B63B22"/>
    <w:rsid w:val="00B63C3E"/>
    <w:rsid w:val="00B650A0"/>
    <w:rsid w:val="00B65CFA"/>
    <w:rsid w:val="00B66535"/>
    <w:rsid w:val="00B66ED3"/>
    <w:rsid w:val="00B70811"/>
    <w:rsid w:val="00B72E48"/>
    <w:rsid w:val="00B73A75"/>
    <w:rsid w:val="00B73D0C"/>
    <w:rsid w:val="00B7544E"/>
    <w:rsid w:val="00B775DD"/>
    <w:rsid w:val="00B778D6"/>
    <w:rsid w:val="00B77FF5"/>
    <w:rsid w:val="00B800DA"/>
    <w:rsid w:val="00B809EE"/>
    <w:rsid w:val="00B818A4"/>
    <w:rsid w:val="00B822D7"/>
    <w:rsid w:val="00B8318B"/>
    <w:rsid w:val="00B834CB"/>
    <w:rsid w:val="00B849E1"/>
    <w:rsid w:val="00B84DF9"/>
    <w:rsid w:val="00B84FCB"/>
    <w:rsid w:val="00B8504E"/>
    <w:rsid w:val="00B8649C"/>
    <w:rsid w:val="00B86867"/>
    <w:rsid w:val="00B86F2B"/>
    <w:rsid w:val="00B8753E"/>
    <w:rsid w:val="00B90C63"/>
    <w:rsid w:val="00B9140C"/>
    <w:rsid w:val="00B92A98"/>
    <w:rsid w:val="00B92D0B"/>
    <w:rsid w:val="00B931F5"/>
    <w:rsid w:val="00B93995"/>
    <w:rsid w:val="00B93C87"/>
    <w:rsid w:val="00B94945"/>
    <w:rsid w:val="00B96340"/>
    <w:rsid w:val="00B96BD0"/>
    <w:rsid w:val="00B96CF3"/>
    <w:rsid w:val="00B978D3"/>
    <w:rsid w:val="00B97D2C"/>
    <w:rsid w:val="00B97EA1"/>
    <w:rsid w:val="00BA13D1"/>
    <w:rsid w:val="00BA374F"/>
    <w:rsid w:val="00BA3F1B"/>
    <w:rsid w:val="00BA4261"/>
    <w:rsid w:val="00BA513C"/>
    <w:rsid w:val="00BA5BC4"/>
    <w:rsid w:val="00BA5EED"/>
    <w:rsid w:val="00BA6555"/>
    <w:rsid w:val="00BA7636"/>
    <w:rsid w:val="00BA79BC"/>
    <w:rsid w:val="00BA7E83"/>
    <w:rsid w:val="00BB2EF7"/>
    <w:rsid w:val="00BB3207"/>
    <w:rsid w:val="00BB5B6E"/>
    <w:rsid w:val="00BB65A7"/>
    <w:rsid w:val="00BB694F"/>
    <w:rsid w:val="00BB6A98"/>
    <w:rsid w:val="00BB6D67"/>
    <w:rsid w:val="00BB6D78"/>
    <w:rsid w:val="00BB70A0"/>
    <w:rsid w:val="00BB7405"/>
    <w:rsid w:val="00BC0E32"/>
    <w:rsid w:val="00BC26E1"/>
    <w:rsid w:val="00BC2C63"/>
    <w:rsid w:val="00BC546E"/>
    <w:rsid w:val="00BC548E"/>
    <w:rsid w:val="00BC59FC"/>
    <w:rsid w:val="00BC611F"/>
    <w:rsid w:val="00BC630E"/>
    <w:rsid w:val="00BC6661"/>
    <w:rsid w:val="00BC74D7"/>
    <w:rsid w:val="00BD0C3E"/>
    <w:rsid w:val="00BD0D41"/>
    <w:rsid w:val="00BD15E8"/>
    <w:rsid w:val="00BD33F0"/>
    <w:rsid w:val="00BD4047"/>
    <w:rsid w:val="00BD45F1"/>
    <w:rsid w:val="00BD56C4"/>
    <w:rsid w:val="00BD5909"/>
    <w:rsid w:val="00BD6CF3"/>
    <w:rsid w:val="00BD736F"/>
    <w:rsid w:val="00BE07A1"/>
    <w:rsid w:val="00BE1647"/>
    <w:rsid w:val="00BE2180"/>
    <w:rsid w:val="00BE3AEA"/>
    <w:rsid w:val="00BE3ED6"/>
    <w:rsid w:val="00BE4275"/>
    <w:rsid w:val="00BE75C0"/>
    <w:rsid w:val="00BE7D94"/>
    <w:rsid w:val="00BF0524"/>
    <w:rsid w:val="00BF07C1"/>
    <w:rsid w:val="00BF0FA4"/>
    <w:rsid w:val="00BF1F11"/>
    <w:rsid w:val="00BF1F86"/>
    <w:rsid w:val="00BF2433"/>
    <w:rsid w:val="00BF25CC"/>
    <w:rsid w:val="00BF3AA7"/>
    <w:rsid w:val="00BF61C9"/>
    <w:rsid w:val="00BF6383"/>
    <w:rsid w:val="00BF7753"/>
    <w:rsid w:val="00BF7B8D"/>
    <w:rsid w:val="00C00EE8"/>
    <w:rsid w:val="00C0198A"/>
    <w:rsid w:val="00C02413"/>
    <w:rsid w:val="00C02D01"/>
    <w:rsid w:val="00C02EE2"/>
    <w:rsid w:val="00C04028"/>
    <w:rsid w:val="00C046C4"/>
    <w:rsid w:val="00C04AD9"/>
    <w:rsid w:val="00C0635E"/>
    <w:rsid w:val="00C076C1"/>
    <w:rsid w:val="00C076C7"/>
    <w:rsid w:val="00C10480"/>
    <w:rsid w:val="00C1094B"/>
    <w:rsid w:val="00C109F6"/>
    <w:rsid w:val="00C114A2"/>
    <w:rsid w:val="00C11D34"/>
    <w:rsid w:val="00C11DC5"/>
    <w:rsid w:val="00C1321C"/>
    <w:rsid w:val="00C13A9C"/>
    <w:rsid w:val="00C13F0A"/>
    <w:rsid w:val="00C145C8"/>
    <w:rsid w:val="00C14ABB"/>
    <w:rsid w:val="00C15AFC"/>
    <w:rsid w:val="00C15DB8"/>
    <w:rsid w:val="00C17047"/>
    <w:rsid w:val="00C171C5"/>
    <w:rsid w:val="00C21101"/>
    <w:rsid w:val="00C21728"/>
    <w:rsid w:val="00C21B1D"/>
    <w:rsid w:val="00C22D97"/>
    <w:rsid w:val="00C22E01"/>
    <w:rsid w:val="00C24067"/>
    <w:rsid w:val="00C25418"/>
    <w:rsid w:val="00C25621"/>
    <w:rsid w:val="00C256A1"/>
    <w:rsid w:val="00C259D1"/>
    <w:rsid w:val="00C25D9C"/>
    <w:rsid w:val="00C31470"/>
    <w:rsid w:val="00C31649"/>
    <w:rsid w:val="00C3198F"/>
    <w:rsid w:val="00C325D3"/>
    <w:rsid w:val="00C32A34"/>
    <w:rsid w:val="00C33A1B"/>
    <w:rsid w:val="00C35595"/>
    <w:rsid w:val="00C357A6"/>
    <w:rsid w:val="00C35DC1"/>
    <w:rsid w:val="00C362EC"/>
    <w:rsid w:val="00C368B5"/>
    <w:rsid w:val="00C40385"/>
    <w:rsid w:val="00C41F2D"/>
    <w:rsid w:val="00C42208"/>
    <w:rsid w:val="00C43F0C"/>
    <w:rsid w:val="00C4583E"/>
    <w:rsid w:val="00C503D6"/>
    <w:rsid w:val="00C507E4"/>
    <w:rsid w:val="00C52D1F"/>
    <w:rsid w:val="00C53D2D"/>
    <w:rsid w:val="00C53EB5"/>
    <w:rsid w:val="00C54261"/>
    <w:rsid w:val="00C55069"/>
    <w:rsid w:val="00C5648C"/>
    <w:rsid w:val="00C57C6A"/>
    <w:rsid w:val="00C614FF"/>
    <w:rsid w:val="00C628D3"/>
    <w:rsid w:val="00C62969"/>
    <w:rsid w:val="00C62B01"/>
    <w:rsid w:val="00C632E2"/>
    <w:rsid w:val="00C63936"/>
    <w:rsid w:val="00C63BB8"/>
    <w:rsid w:val="00C64002"/>
    <w:rsid w:val="00C65576"/>
    <w:rsid w:val="00C65815"/>
    <w:rsid w:val="00C66165"/>
    <w:rsid w:val="00C66F70"/>
    <w:rsid w:val="00C670A6"/>
    <w:rsid w:val="00C70D21"/>
    <w:rsid w:val="00C71C11"/>
    <w:rsid w:val="00C7493C"/>
    <w:rsid w:val="00C74C1E"/>
    <w:rsid w:val="00C74F96"/>
    <w:rsid w:val="00C750C8"/>
    <w:rsid w:val="00C758A7"/>
    <w:rsid w:val="00C76DCE"/>
    <w:rsid w:val="00C77459"/>
    <w:rsid w:val="00C775D8"/>
    <w:rsid w:val="00C77A9D"/>
    <w:rsid w:val="00C8023E"/>
    <w:rsid w:val="00C80400"/>
    <w:rsid w:val="00C80844"/>
    <w:rsid w:val="00C81307"/>
    <w:rsid w:val="00C81BE8"/>
    <w:rsid w:val="00C8213F"/>
    <w:rsid w:val="00C83AB5"/>
    <w:rsid w:val="00C84787"/>
    <w:rsid w:val="00C8797A"/>
    <w:rsid w:val="00C87FCA"/>
    <w:rsid w:val="00C91D30"/>
    <w:rsid w:val="00C938CF"/>
    <w:rsid w:val="00C93BD9"/>
    <w:rsid w:val="00C9418F"/>
    <w:rsid w:val="00C95A21"/>
    <w:rsid w:val="00C95EEB"/>
    <w:rsid w:val="00C96117"/>
    <w:rsid w:val="00C9710C"/>
    <w:rsid w:val="00C972DD"/>
    <w:rsid w:val="00C97A91"/>
    <w:rsid w:val="00CA1D54"/>
    <w:rsid w:val="00CA24B8"/>
    <w:rsid w:val="00CA2FBD"/>
    <w:rsid w:val="00CA2FD6"/>
    <w:rsid w:val="00CA45B1"/>
    <w:rsid w:val="00CA5245"/>
    <w:rsid w:val="00CA533E"/>
    <w:rsid w:val="00CA5F44"/>
    <w:rsid w:val="00CA631F"/>
    <w:rsid w:val="00CA66F7"/>
    <w:rsid w:val="00CA6E79"/>
    <w:rsid w:val="00CA7843"/>
    <w:rsid w:val="00CA7B09"/>
    <w:rsid w:val="00CB1567"/>
    <w:rsid w:val="00CB26CB"/>
    <w:rsid w:val="00CB47A2"/>
    <w:rsid w:val="00CB48CD"/>
    <w:rsid w:val="00CB4936"/>
    <w:rsid w:val="00CB4F65"/>
    <w:rsid w:val="00CB5B1A"/>
    <w:rsid w:val="00CB7B96"/>
    <w:rsid w:val="00CC2028"/>
    <w:rsid w:val="00CC4290"/>
    <w:rsid w:val="00CC66AD"/>
    <w:rsid w:val="00CC7260"/>
    <w:rsid w:val="00CC75F9"/>
    <w:rsid w:val="00CC7758"/>
    <w:rsid w:val="00CC7ECB"/>
    <w:rsid w:val="00CD02A8"/>
    <w:rsid w:val="00CD0BED"/>
    <w:rsid w:val="00CD0DB6"/>
    <w:rsid w:val="00CD28AA"/>
    <w:rsid w:val="00CD331B"/>
    <w:rsid w:val="00CD3732"/>
    <w:rsid w:val="00CD4CD4"/>
    <w:rsid w:val="00CD4DA8"/>
    <w:rsid w:val="00CD6568"/>
    <w:rsid w:val="00CD6ADC"/>
    <w:rsid w:val="00CD7866"/>
    <w:rsid w:val="00CD7F86"/>
    <w:rsid w:val="00CE26E5"/>
    <w:rsid w:val="00CE36ED"/>
    <w:rsid w:val="00CE466D"/>
    <w:rsid w:val="00CE4915"/>
    <w:rsid w:val="00CE491B"/>
    <w:rsid w:val="00CE6274"/>
    <w:rsid w:val="00CE62F6"/>
    <w:rsid w:val="00CF0007"/>
    <w:rsid w:val="00CF0023"/>
    <w:rsid w:val="00CF1086"/>
    <w:rsid w:val="00CF12B8"/>
    <w:rsid w:val="00CF1340"/>
    <w:rsid w:val="00CF1D3F"/>
    <w:rsid w:val="00CF273F"/>
    <w:rsid w:val="00CF456B"/>
    <w:rsid w:val="00CF4E98"/>
    <w:rsid w:val="00CF5A22"/>
    <w:rsid w:val="00CF5DF6"/>
    <w:rsid w:val="00CF6EA4"/>
    <w:rsid w:val="00CF754D"/>
    <w:rsid w:val="00D00AFD"/>
    <w:rsid w:val="00D015FF"/>
    <w:rsid w:val="00D019AB"/>
    <w:rsid w:val="00D0262E"/>
    <w:rsid w:val="00D02D29"/>
    <w:rsid w:val="00D03693"/>
    <w:rsid w:val="00D04448"/>
    <w:rsid w:val="00D05661"/>
    <w:rsid w:val="00D06970"/>
    <w:rsid w:val="00D07280"/>
    <w:rsid w:val="00D07476"/>
    <w:rsid w:val="00D07E9C"/>
    <w:rsid w:val="00D1034A"/>
    <w:rsid w:val="00D10998"/>
    <w:rsid w:val="00D110BD"/>
    <w:rsid w:val="00D11221"/>
    <w:rsid w:val="00D1305D"/>
    <w:rsid w:val="00D1372D"/>
    <w:rsid w:val="00D1508F"/>
    <w:rsid w:val="00D15E90"/>
    <w:rsid w:val="00D1637F"/>
    <w:rsid w:val="00D16C2F"/>
    <w:rsid w:val="00D17D6C"/>
    <w:rsid w:val="00D20D06"/>
    <w:rsid w:val="00D21C53"/>
    <w:rsid w:val="00D2272A"/>
    <w:rsid w:val="00D232B9"/>
    <w:rsid w:val="00D23688"/>
    <w:rsid w:val="00D238DB"/>
    <w:rsid w:val="00D23996"/>
    <w:rsid w:val="00D23ACB"/>
    <w:rsid w:val="00D23DD0"/>
    <w:rsid w:val="00D24105"/>
    <w:rsid w:val="00D254E3"/>
    <w:rsid w:val="00D26F58"/>
    <w:rsid w:val="00D26FC3"/>
    <w:rsid w:val="00D30248"/>
    <w:rsid w:val="00D31079"/>
    <w:rsid w:val="00D31A3B"/>
    <w:rsid w:val="00D32519"/>
    <w:rsid w:val="00D32EC5"/>
    <w:rsid w:val="00D345B1"/>
    <w:rsid w:val="00D357FF"/>
    <w:rsid w:val="00D35ED2"/>
    <w:rsid w:val="00D4027C"/>
    <w:rsid w:val="00D40929"/>
    <w:rsid w:val="00D414B3"/>
    <w:rsid w:val="00D41AE1"/>
    <w:rsid w:val="00D422DB"/>
    <w:rsid w:val="00D42947"/>
    <w:rsid w:val="00D4376B"/>
    <w:rsid w:val="00D4397D"/>
    <w:rsid w:val="00D460E5"/>
    <w:rsid w:val="00D4611F"/>
    <w:rsid w:val="00D46552"/>
    <w:rsid w:val="00D47D99"/>
    <w:rsid w:val="00D50A08"/>
    <w:rsid w:val="00D51481"/>
    <w:rsid w:val="00D5342F"/>
    <w:rsid w:val="00D5371F"/>
    <w:rsid w:val="00D53AF7"/>
    <w:rsid w:val="00D54E09"/>
    <w:rsid w:val="00D55EEA"/>
    <w:rsid w:val="00D55F14"/>
    <w:rsid w:val="00D57C7A"/>
    <w:rsid w:val="00D639DB"/>
    <w:rsid w:val="00D64B4E"/>
    <w:rsid w:val="00D6510F"/>
    <w:rsid w:val="00D65D06"/>
    <w:rsid w:val="00D66DAA"/>
    <w:rsid w:val="00D73007"/>
    <w:rsid w:val="00D7369F"/>
    <w:rsid w:val="00D743B2"/>
    <w:rsid w:val="00D74A78"/>
    <w:rsid w:val="00D74F1D"/>
    <w:rsid w:val="00D75336"/>
    <w:rsid w:val="00D75E2F"/>
    <w:rsid w:val="00D76A44"/>
    <w:rsid w:val="00D77116"/>
    <w:rsid w:val="00D77D50"/>
    <w:rsid w:val="00D82325"/>
    <w:rsid w:val="00D82BE6"/>
    <w:rsid w:val="00D835BE"/>
    <w:rsid w:val="00D8438D"/>
    <w:rsid w:val="00D84E60"/>
    <w:rsid w:val="00D84F00"/>
    <w:rsid w:val="00D85C3B"/>
    <w:rsid w:val="00D863E6"/>
    <w:rsid w:val="00D86651"/>
    <w:rsid w:val="00D87B91"/>
    <w:rsid w:val="00D90090"/>
    <w:rsid w:val="00D92399"/>
    <w:rsid w:val="00D92807"/>
    <w:rsid w:val="00D92EF3"/>
    <w:rsid w:val="00D93753"/>
    <w:rsid w:val="00D93AF2"/>
    <w:rsid w:val="00D93D0F"/>
    <w:rsid w:val="00D93FB8"/>
    <w:rsid w:val="00D96DAE"/>
    <w:rsid w:val="00D9742B"/>
    <w:rsid w:val="00DA0377"/>
    <w:rsid w:val="00DA09BB"/>
    <w:rsid w:val="00DA0BA2"/>
    <w:rsid w:val="00DA0D30"/>
    <w:rsid w:val="00DA2274"/>
    <w:rsid w:val="00DA2410"/>
    <w:rsid w:val="00DA2551"/>
    <w:rsid w:val="00DA274F"/>
    <w:rsid w:val="00DA2B2E"/>
    <w:rsid w:val="00DA2B42"/>
    <w:rsid w:val="00DA5533"/>
    <w:rsid w:val="00DA57C7"/>
    <w:rsid w:val="00DA5C0F"/>
    <w:rsid w:val="00DA690A"/>
    <w:rsid w:val="00DA6ED2"/>
    <w:rsid w:val="00DA77A5"/>
    <w:rsid w:val="00DB0950"/>
    <w:rsid w:val="00DB1202"/>
    <w:rsid w:val="00DB2EEC"/>
    <w:rsid w:val="00DB2FF7"/>
    <w:rsid w:val="00DB542A"/>
    <w:rsid w:val="00DC2651"/>
    <w:rsid w:val="00DC29D3"/>
    <w:rsid w:val="00DC3718"/>
    <w:rsid w:val="00DC440F"/>
    <w:rsid w:val="00DC5501"/>
    <w:rsid w:val="00DD0782"/>
    <w:rsid w:val="00DD1F99"/>
    <w:rsid w:val="00DD3F28"/>
    <w:rsid w:val="00DD4537"/>
    <w:rsid w:val="00DD48AF"/>
    <w:rsid w:val="00DD4AB4"/>
    <w:rsid w:val="00DD4E15"/>
    <w:rsid w:val="00DD4F5F"/>
    <w:rsid w:val="00DD5B38"/>
    <w:rsid w:val="00DD6485"/>
    <w:rsid w:val="00DD72D5"/>
    <w:rsid w:val="00DD7974"/>
    <w:rsid w:val="00DD7D71"/>
    <w:rsid w:val="00DE1140"/>
    <w:rsid w:val="00DE1F65"/>
    <w:rsid w:val="00DE2827"/>
    <w:rsid w:val="00DE46D8"/>
    <w:rsid w:val="00DE4FCB"/>
    <w:rsid w:val="00DE6EF9"/>
    <w:rsid w:val="00DE730E"/>
    <w:rsid w:val="00DF00E8"/>
    <w:rsid w:val="00DF1498"/>
    <w:rsid w:val="00DF3CC0"/>
    <w:rsid w:val="00DF4D2C"/>
    <w:rsid w:val="00DF5220"/>
    <w:rsid w:val="00DF5664"/>
    <w:rsid w:val="00DF5D2B"/>
    <w:rsid w:val="00DF7747"/>
    <w:rsid w:val="00E0078B"/>
    <w:rsid w:val="00E010AC"/>
    <w:rsid w:val="00E0206B"/>
    <w:rsid w:val="00E03D76"/>
    <w:rsid w:val="00E04629"/>
    <w:rsid w:val="00E07B70"/>
    <w:rsid w:val="00E07F1B"/>
    <w:rsid w:val="00E10149"/>
    <w:rsid w:val="00E1104D"/>
    <w:rsid w:val="00E112A0"/>
    <w:rsid w:val="00E119D7"/>
    <w:rsid w:val="00E12448"/>
    <w:rsid w:val="00E132B4"/>
    <w:rsid w:val="00E13D5F"/>
    <w:rsid w:val="00E16372"/>
    <w:rsid w:val="00E165EC"/>
    <w:rsid w:val="00E16AC8"/>
    <w:rsid w:val="00E17078"/>
    <w:rsid w:val="00E179BF"/>
    <w:rsid w:val="00E2047B"/>
    <w:rsid w:val="00E20DC6"/>
    <w:rsid w:val="00E20ED6"/>
    <w:rsid w:val="00E21358"/>
    <w:rsid w:val="00E21493"/>
    <w:rsid w:val="00E2249B"/>
    <w:rsid w:val="00E226D9"/>
    <w:rsid w:val="00E22868"/>
    <w:rsid w:val="00E22A04"/>
    <w:rsid w:val="00E22A0D"/>
    <w:rsid w:val="00E233EC"/>
    <w:rsid w:val="00E249CB"/>
    <w:rsid w:val="00E26FFF"/>
    <w:rsid w:val="00E2771E"/>
    <w:rsid w:val="00E30C4E"/>
    <w:rsid w:val="00E3100C"/>
    <w:rsid w:val="00E3120C"/>
    <w:rsid w:val="00E31312"/>
    <w:rsid w:val="00E31351"/>
    <w:rsid w:val="00E32AF5"/>
    <w:rsid w:val="00E34971"/>
    <w:rsid w:val="00E3531C"/>
    <w:rsid w:val="00E354CC"/>
    <w:rsid w:val="00E37569"/>
    <w:rsid w:val="00E3771C"/>
    <w:rsid w:val="00E41E30"/>
    <w:rsid w:val="00E4214F"/>
    <w:rsid w:val="00E428D9"/>
    <w:rsid w:val="00E4316C"/>
    <w:rsid w:val="00E43A53"/>
    <w:rsid w:val="00E43D70"/>
    <w:rsid w:val="00E44084"/>
    <w:rsid w:val="00E440EC"/>
    <w:rsid w:val="00E456D4"/>
    <w:rsid w:val="00E45C7F"/>
    <w:rsid w:val="00E464A1"/>
    <w:rsid w:val="00E47B2C"/>
    <w:rsid w:val="00E509BA"/>
    <w:rsid w:val="00E5132A"/>
    <w:rsid w:val="00E51560"/>
    <w:rsid w:val="00E528C9"/>
    <w:rsid w:val="00E52CA5"/>
    <w:rsid w:val="00E52E5A"/>
    <w:rsid w:val="00E54CBB"/>
    <w:rsid w:val="00E54D0E"/>
    <w:rsid w:val="00E55424"/>
    <w:rsid w:val="00E554D4"/>
    <w:rsid w:val="00E5569E"/>
    <w:rsid w:val="00E55AE2"/>
    <w:rsid w:val="00E55BB5"/>
    <w:rsid w:val="00E55D6E"/>
    <w:rsid w:val="00E601DC"/>
    <w:rsid w:val="00E6044C"/>
    <w:rsid w:val="00E624E3"/>
    <w:rsid w:val="00E625A6"/>
    <w:rsid w:val="00E62DF3"/>
    <w:rsid w:val="00E65076"/>
    <w:rsid w:val="00E65E53"/>
    <w:rsid w:val="00E65E79"/>
    <w:rsid w:val="00E6602A"/>
    <w:rsid w:val="00E66DB9"/>
    <w:rsid w:val="00E66F4C"/>
    <w:rsid w:val="00E67416"/>
    <w:rsid w:val="00E70B09"/>
    <w:rsid w:val="00E716CD"/>
    <w:rsid w:val="00E718B6"/>
    <w:rsid w:val="00E723C2"/>
    <w:rsid w:val="00E73581"/>
    <w:rsid w:val="00E73E8C"/>
    <w:rsid w:val="00E75EFE"/>
    <w:rsid w:val="00E77409"/>
    <w:rsid w:val="00E805F3"/>
    <w:rsid w:val="00E806B4"/>
    <w:rsid w:val="00E8243B"/>
    <w:rsid w:val="00E8274D"/>
    <w:rsid w:val="00E82828"/>
    <w:rsid w:val="00E831B2"/>
    <w:rsid w:val="00E83372"/>
    <w:rsid w:val="00E835C4"/>
    <w:rsid w:val="00E83BDF"/>
    <w:rsid w:val="00E8502B"/>
    <w:rsid w:val="00E8520C"/>
    <w:rsid w:val="00E85A03"/>
    <w:rsid w:val="00E87710"/>
    <w:rsid w:val="00E87775"/>
    <w:rsid w:val="00E87BF8"/>
    <w:rsid w:val="00E90739"/>
    <w:rsid w:val="00E912DF"/>
    <w:rsid w:val="00E91ED6"/>
    <w:rsid w:val="00E92900"/>
    <w:rsid w:val="00E93524"/>
    <w:rsid w:val="00E94FBC"/>
    <w:rsid w:val="00E95956"/>
    <w:rsid w:val="00E95DD5"/>
    <w:rsid w:val="00E97628"/>
    <w:rsid w:val="00E97B91"/>
    <w:rsid w:val="00EA0545"/>
    <w:rsid w:val="00EA0695"/>
    <w:rsid w:val="00EA0C32"/>
    <w:rsid w:val="00EA1E51"/>
    <w:rsid w:val="00EA2F6A"/>
    <w:rsid w:val="00EA338C"/>
    <w:rsid w:val="00EA3864"/>
    <w:rsid w:val="00EA45DA"/>
    <w:rsid w:val="00EA76AC"/>
    <w:rsid w:val="00EA7E02"/>
    <w:rsid w:val="00EA7F3C"/>
    <w:rsid w:val="00EB104E"/>
    <w:rsid w:val="00EB15B6"/>
    <w:rsid w:val="00EB2333"/>
    <w:rsid w:val="00EB4576"/>
    <w:rsid w:val="00EB4916"/>
    <w:rsid w:val="00EB5670"/>
    <w:rsid w:val="00EB5ADF"/>
    <w:rsid w:val="00EB6249"/>
    <w:rsid w:val="00EB7968"/>
    <w:rsid w:val="00EB798D"/>
    <w:rsid w:val="00EB7B04"/>
    <w:rsid w:val="00EC00C9"/>
    <w:rsid w:val="00EC12D8"/>
    <w:rsid w:val="00EC13DC"/>
    <w:rsid w:val="00EC2F48"/>
    <w:rsid w:val="00EC38F5"/>
    <w:rsid w:val="00EC395D"/>
    <w:rsid w:val="00EC5F86"/>
    <w:rsid w:val="00EC65ED"/>
    <w:rsid w:val="00EC7982"/>
    <w:rsid w:val="00ED0309"/>
    <w:rsid w:val="00ED08F0"/>
    <w:rsid w:val="00ED1C3A"/>
    <w:rsid w:val="00ED6B54"/>
    <w:rsid w:val="00ED6DC4"/>
    <w:rsid w:val="00ED701D"/>
    <w:rsid w:val="00ED757C"/>
    <w:rsid w:val="00ED7B58"/>
    <w:rsid w:val="00EE07D3"/>
    <w:rsid w:val="00EE1996"/>
    <w:rsid w:val="00EE478B"/>
    <w:rsid w:val="00EE4B2D"/>
    <w:rsid w:val="00EE4E22"/>
    <w:rsid w:val="00EE4EB4"/>
    <w:rsid w:val="00EE4EE0"/>
    <w:rsid w:val="00EE5F4F"/>
    <w:rsid w:val="00EE6DD2"/>
    <w:rsid w:val="00EE73BE"/>
    <w:rsid w:val="00EE7AE7"/>
    <w:rsid w:val="00EF0764"/>
    <w:rsid w:val="00EF217B"/>
    <w:rsid w:val="00EF4373"/>
    <w:rsid w:val="00EF4E07"/>
    <w:rsid w:val="00EF5975"/>
    <w:rsid w:val="00EF6D87"/>
    <w:rsid w:val="00EF75AA"/>
    <w:rsid w:val="00EF7A9A"/>
    <w:rsid w:val="00EF7B8B"/>
    <w:rsid w:val="00F0013F"/>
    <w:rsid w:val="00F00FA0"/>
    <w:rsid w:val="00F01B08"/>
    <w:rsid w:val="00F01FC9"/>
    <w:rsid w:val="00F03CAE"/>
    <w:rsid w:val="00F03EA0"/>
    <w:rsid w:val="00F06262"/>
    <w:rsid w:val="00F067A2"/>
    <w:rsid w:val="00F06E77"/>
    <w:rsid w:val="00F07DC1"/>
    <w:rsid w:val="00F10A65"/>
    <w:rsid w:val="00F1131A"/>
    <w:rsid w:val="00F115CA"/>
    <w:rsid w:val="00F11ABC"/>
    <w:rsid w:val="00F11F6D"/>
    <w:rsid w:val="00F127F5"/>
    <w:rsid w:val="00F134E3"/>
    <w:rsid w:val="00F135AB"/>
    <w:rsid w:val="00F1387B"/>
    <w:rsid w:val="00F14D8F"/>
    <w:rsid w:val="00F14E0C"/>
    <w:rsid w:val="00F15376"/>
    <w:rsid w:val="00F15CDF"/>
    <w:rsid w:val="00F160CA"/>
    <w:rsid w:val="00F16678"/>
    <w:rsid w:val="00F17D76"/>
    <w:rsid w:val="00F17EEC"/>
    <w:rsid w:val="00F22048"/>
    <w:rsid w:val="00F2469A"/>
    <w:rsid w:val="00F24837"/>
    <w:rsid w:val="00F2575F"/>
    <w:rsid w:val="00F305DA"/>
    <w:rsid w:val="00F3107B"/>
    <w:rsid w:val="00F32F72"/>
    <w:rsid w:val="00F3366D"/>
    <w:rsid w:val="00F33DE9"/>
    <w:rsid w:val="00F3454F"/>
    <w:rsid w:val="00F34CCB"/>
    <w:rsid w:val="00F354CB"/>
    <w:rsid w:val="00F3613B"/>
    <w:rsid w:val="00F3619A"/>
    <w:rsid w:val="00F4110D"/>
    <w:rsid w:val="00F4303E"/>
    <w:rsid w:val="00F43059"/>
    <w:rsid w:val="00F44473"/>
    <w:rsid w:val="00F45639"/>
    <w:rsid w:val="00F4697E"/>
    <w:rsid w:val="00F46CB6"/>
    <w:rsid w:val="00F51C80"/>
    <w:rsid w:val="00F524D2"/>
    <w:rsid w:val="00F55172"/>
    <w:rsid w:val="00F55E73"/>
    <w:rsid w:val="00F56878"/>
    <w:rsid w:val="00F60092"/>
    <w:rsid w:val="00F60EA4"/>
    <w:rsid w:val="00F624AB"/>
    <w:rsid w:val="00F62EBE"/>
    <w:rsid w:val="00F63B5D"/>
    <w:rsid w:val="00F64072"/>
    <w:rsid w:val="00F642C7"/>
    <w:rsid w:val="00F64DF1"/>
    <w:rsid w:val="00F66E32"/>
    <w:rsid w:val="00F70046"/>
    <w:rsid w:val="00F70659"/>
    <w:rsid w:val="00F70D21"/>
    <w:rsid w:val="00F73364"/>
    <w:rsid w:val="00F73E84"/>
    <w:rsid w:val="00F742CF"/>
    <w:rsid w:val="00F745BD"/>
    <w:rsid w:val="00F74EB2"/>
    <w:rsid w:val="00F77421"/>
    <w:rsid w:val="00F776F7"/>
    <w:rsid w:val="00F77E0C"/>
    <w:rsid w:val="00F80358"/>
    <w:rsid w:val="00F80AD6"/>
    <w:rsid w:val="00F80E5D"/>
    <w:rsid w:val="00F8124C"/>
    <w:rsid w:val="00F82227"/>
    <w:rsid w:val="00F851CE"/>
    <w:rsid w:val="00F85533"/>
    <w:rsid w:val="00F85FF4"/>
    <w:rsid w:val="00F868C1"/>
    <w:rsid w:val="00F876A5"/>
    <w:rsid w:val="00F87EF4"/>
    <w:rsid w:val="00F90B58"/>
    <w:rsid w:val="00F92E22"/>
    <w:rsid w:val="00F9471A"/>
    <w:rsid w:val="00F97A78"/>
    <w:rsid w:val="00FA03CF"/>
    <w:rsid w:val="00FA24E7"/>
    <w:rsid w:val="00FA2EC6"/>
    <w:rsid w:val="00FA30C0"/>
    <w:rsid w:val="00FA36C0"/>
    <w:rsid w:val="00FA3FD3"/>
    <w:rsid w:val="00FA564B"/>
    <w:rsid w:val="00FA6747"/>
    <w:rsid w:val="00FA78E4"/>
    <w:rsid w:val="00FB0424"/>
    <w:rsid w:val="00FB04A1"/>
    <w:rsid w:val="00FB1653"/>
    <w:rsid w:val="00FB2939"/>
    <w:rsid w:val="00FB2FCB"/>
    <w:rsid w:val="00FB3501"/>
    <w:rsid w:val="00FB3934"/>
    <w:rsid w:val="00FB3992"/>
    <w:rsid w:val="00FB39D3"/>
    <w:rsid w:val="00FB478E"/>
    <w:rsid w:val="00FB664F"/>
    <w:rsid w:val="00FB6C13"/>
    <w:rsid w:val="00FC0CF4"/>
    <w:rsid w:val="00FC0FAA"/>
    <w:rsid w:val="00FC1074"/>
    <w:rsid w:val="00FC1884"/>
    <w:rsid w:val="00FC29ED"/>
    <w:rsid w:val="00FC4B7B"/>
    <w:rsid w:val="00FC6815"/>
    <w:rsid w:val="00FD2100"/>
    <w:rsid w:val="00FD248E"/>
    <w:rsid w:val="00FD2EE5"/>
    <w:rsid w:val="00FD3656"/>
    <w:rsid w:val="00FD40D0"/>
    <w:rsid w:val="00FD446D"/>
    <w:rsid w:val="00FD5082"/>
    <w:rsid w:val="00FD73F9"/>
    <w:rsid w:val="00FE0473"/>
    <w:rsid w:val="00FE4651"/>
    <w:rsid w:val="00FE4BF3"/>
    <w:rsid w:val="00FE4D62"/>
    <w:rsid w:val="00FE5E31"/>
    <w:rsid w:val="00FE655E"/>
    <w:rsid w:val="00FE7B75"/>
    <w:rsid w:val="00FF0084"/>
    <w:rsid w:val="00FF0146"/>
    <w:rsid w:val="00FF0222"/>
    <w:rsid w:val="00FF06B8"/>
    <w:rsid w:val="00FF26A7"/>
    <w:rsid w:val="00FF3057"/>
    <w:rsid w:val="00FF3DCF"/>
    <w:rsid w:val="00FF57A2"/>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annotation reference"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84DE8"/>
    <w:pPr>
      <w:widowControl w:val="0"/>
      <w:jc w:val="both"/>
    </w:pPr>
    <w:rPr>
      <w:rFonts w:ascii="Arial" w:hAnsi="Arial" w:cs="Arial"/>
      <w:snapToGrid w:val="0"/>
      <w:sz w:val="22"/>
      <w:lang w:eastAsia="en-US"/>
    </w:rPr>
  </w:style>
  <w:style w:type="paragraph" w:styleId="Heading1">
    <w:name w:val="heading 1"/>
    <w:basedOn w:val="PBACHeading1"/>
    <w:next w:val="Normal"/>
    <w:qFormat/>
    <w:rsid w:val="00F34CCB"/>
    <w:pPr>
      <w:keepNext/>
      <w:numPr>
        <w:numId w:val="2"/>
      </w:numPr>
      <w:outlineLvl w:val="0"/>
    </w:pPr>
  </w:style>
  <w:style w:type="paragraph" w:styleId="Heading2">
    <w:name w:val="heading 2"/>
    <w:aliases w:val="PBAC Heading 2"/>
    <w:basedOn w:val="Normal"/>
    <w:next w:val="Normal"/>
    <w:link w:val="Heading2Char"/>
    <w:qFormat/>
    <w:rsid w:val="00F34CCB"/>
    <w:pPr>
      <w:outlineLvl w:val="1"/>
    </w:pPr>
    <w:rPr>
      <w:b/>
      <w:bCs/>
      <w:i/>
      <w:szCs w:val="22"/>
    </w:rPr>
  </w:style>
  <w:style w:type="paragraph" w:styleId="Heading3">
    <w:name w:val="heading 3"/>
    <w:aliases w:val="PBAC 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PBAC Heading 2 Char"/>
    <w:link w:val="Heading2"/>
    <w:rsid w:val="00F34CCB"/>
    <w:rPr>
      <w:rFonts w:ascii="Arial" w:hAnsi="Arial" w:cs="Arial"/>
      <w:b/>
      <w:bCs/>
      <w:i/>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next w:val="Normal"/>
    <w:link w:val="TitleChar"/>
    <w:qFormat/>
    <w:rsid w:val="00F34CCB"/>
    <w:pPr>
      <w:outlineLvl w:val="0"/>
    </w:pPr>
    <w:rPr>
      <w:rFonts w:ascii="Arial Bold" w:hAnsi="Arial Bold" w:cs="Arial"/>
      <w:b/>
      <w:caps/>
      <w:snapToGrid w:val="0"/>
      <w:sz w:val="28"/>
      <w:lang w:eastAsia="en-US"/>
    </w:rPr>
  </w:style>
  <w:style w:type="character" w:customStyle="1" w:styleId="TitleChar">
    <w:name w:val="Title Char"/>
    <w:basedOn w:val="DefaultParagraphFont"/>
    <w:link w:val="Title"/>
    <w:rsid w:val="00F34CCB"/>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ASD Table,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link w:val="TableHeadingChar"/>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aliases w:val="PBAC TOC 1"/>
    <w:basedOn w:val="Normal"/>
    <w:next w:val="Normal"/>
    <w:autoRedefine/>
    <w:uiPriority w:val="39"/>
    <w:rsid w:val="00D0262E"/>
    <w:pPr>
      <w:spacing w:before="240" w:after="120"/>
      <w:jc w:val="left"/>
    </w:pPr>
    <w:rPr>
      <w:bCs/>
      <w:sz w:val="20"/>
    </w:rPr>
  </w:style>
  <w:style w:type="character" w:styleId="Hyperlink">
    <w:name w:val="Hyperlink"/>
    <w:basedOn w:val="DefaultParagraphFont"/>
    <w:unhideWhenUsed/>
    <w:rsid w:val="00621477"/>
    <w:rPr>
      <w:color w:val="0000FF" w:themeColor="hyperlink"/>
      <w:u w:val="single"/>
    </w:rPr>
  </w:style>
  <w:style w:type="paragraph" w:styleId="TOCHeading">
    <w:name w:val="TOC Heading"/>
    <w:basedOn w:val="Heading1"/>
    <w:next w:val="Normal"/>
    <w:uiPriority w:val="39"/>
    <w:unhideWhenUsed/>
    <w:rsid w:val="00CE6274"/>
    <w:pPr>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5"/>
      </w:numPr>
    </w:pPr>
    <w:rPr>
      <w:rFonts w:ascii="Arial" w:hAnsi="Arial" w:cs="Arial"/>
      <w:b/>
      <w:snapToGrid w:val="0"/>
      <w:sz w:val="22"/>
      <w:szCs w:val="22"/>
      <w:lang w:eastAsia="en-US"/>
    </w:rPr>
  </w:style>
  <w:style w:type="paragraph" w:customStyle="1" w:styleId="PBACTableText">
    <w:name w:val="PBAC Table Text"/>
    <w:basedOn w:val="Normal"/>
    <w:link w:val="PBACTableTextChar"/>
    <w:qFormat/>
    <w:rsid w:val="00A0097A"/>
    <w:pPr>
      <w:widowControl/>
      <w:spacing w:before="40" w:after="40"/>
      <w:jc w:val="left"/>
    </w:pPr>
    <w:rPr>
      <w:rFonts w:ascii="News Gothic MT" w:hAnsi="News Gothic MT" w:cs="Times New Roman"/>
      <w:snapToGrid/>
      <w:sz w:val="20"/>
      <w:lang w:val="en-US"/>
    </w:rPr>
  </w:style>
  <w:style w:type="character" w:customStyle="1" w:styleId="PBACTableTextChar">
    <w:name w:val="PBAC Table Text Char"/>
    <w:basedOn w:val="DefaultParagraphFont"/>
    <w:link w:val="PBACTableText"/>
    <w:rsid w:val="00A0097A"/>
    <w:rPr>
      <w:rFonts w:ascii="News Gothic MT" w:hAnsi="News Gothic MT"/>
      <w:lang w:val="en-US" w:eastAsia="en-US"/>
    </w:rPr>
  </w:style>
  <w:style w:type="paragraph" w:customStyle="1" w:styleId="CaptiomSub">
    <w:name w:val="Captiom Sub"/>
    <w:basedOn w:val="Normal"/>
    <w:rsid w:val="00225092"/>
    <w:pPr>
      <w:widowControl/>
      <w:spacing w:after="120"/>
      <w:jc w:val="left"/>
    </w:pPr>
    <w:rPr>
      <w:rFonts w:cs="Times New Roman"/>
      <w:b/>
      <w:snapToGrid/>
      <w:sz w:val="20"/>
      <w:szCs w:val="24"/>
      <w:lang w:val="en-US"/>
    </w:rPr>
  </w:style>
  <w:style w:type="numbering" w:customStyle="1" w:styleId="PBACTableTextBullets">
    <w:name w:val="PBAC Table Text + Bullets"/>
    <w:basedOn w:val="NoList"/>
    <w:rsid w:val="00512D51"/>
    <w:pPr>
      <w:numPr>
        <w:numId w:val="3"/>
      </w:numPr>
    </w:pPr>
  </w:style>
  <w:style w:type="paragraph" w:customStyle="1" w:styleId="PBACHeading4">
    <w:name w:val="PBAC Heading 4"/>
    <w:basedOn w:val="Normal"/>
    <w:next w:val="Normal"/>
    <w:qFormat/>
    <w:rsid w:val="00512D51"/>
    <w:pPr>
      <w:keepNext/>
      <w:widowControl/>
      <w:tabs>
        <w:tab w:val="num" w:pos="1418"/>
      </w:tabs>
      <w:spacing w:before="120" w:after="120"/>
      <w:ind w:left="1418" w:hanging="1418"/>
    </w:pPr>
    <w:rPr>
      <w:rFonts w:ascii="Sabon" w:hAnsi="Sabon" w:cs="Times New Roman"/>
      <w:b/>
      <w:snapToGrid/>
      <w:szCs w:val="24"/>
    </w:rPr>
  </w:style>
  <w:style w:type="character" w:customStyle="1" w:styleId="st">
    <w:name w:val="st"/>
    <w:basedOn w:val="DefaultParagraphFont"/>
    <w:rsid w:val="00835870"/>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E3A15"/>
    <w:pPr>
      <w:widowControl/>
      <w:spacing w:after="160" w:line="240" w:lineRule="exact"/>
      <w:jc w:val="left"/>
    </w:pPr>
    <w:rPr>
      <w:rFonts w:ascii="Verdana" w:eastAsia="MS Mincho" w:hAnsi="Verdana" w:cs="Verdana"/>
      <w:snapToGrid/>
      <w:sz w:val="20"/>
      <w:lang w:val="en-US"/>
    </w:rPr>
  </w:style>
  <w:style w:type="paragraph" w:customStyle="1" w:styleId="TableSub">
    <w:name w:val="Table Sub"/>
    <w:basedOn w:val="Normal"/>
    <w:link w:val="TableSubChar"/>
    <w:rsid w:val="00CA6E79"/>
    <w:pPr>
      <w:widowControl/>
      <w:spacing w:before="40" w:after="40"/>
      <w:jc w:val="left"/>
    </w:pPr>
    <w:rPr>
      <w:rFonts w:ascii="News Gothic MT" w:hAnsi="News Gothic MT" w:cs="Times New Roman"/>
      <w:snapToGrid/>
      <w:sz w:val="20"/>
      <w:lang w:val="en-US"/>
    </w:rPr>
  </w:style>
  <w:style w:type="character" w:customStyle="1" w:styleId="TableSubChar">
    <w:name w:val="Table Sub Char"/>
    <w:basedOn w:val="DefaultParagraphFont"/>
    <w:link w:val="TableSub"/>
    <w:rsid w:val="00CA6E79"/>
    <w:rPr>
      <w:rFonts w:ascii="News Gothic MT" w:hAnsi="News Gothic MT"/>
      <w:lang w:val="en-US" w:eastAsia="en-US"/>
    </w:rPr>
  </w:style>
  <w:style w:type="character" w:styleId="PlaceholderText">
    <w:name w:val="Placeholder Text"/>
    <w:basedOn w:val="DefaultParagraphFont"/>
    <w:uiPriority w:val="99"/>
    <w:semiHidden/>
    <w:rsid w:val="00DE46D8"/>
    <w:rPr>
      <w:color w:val="808080"/>
    </w:rPr>
  </w:style>
  <w:style w:type="paragraph" w:customStyle="1" w:styleId="StyleTableSubBold">
    <w:name w:val="Style Table Sub + Bold"/>
    <w:basedOn w:val="TableSub"/>
    <w:link w:val="StyleTableSubBoldChar"/>
    <w:rsid w:val="00C70D21"/>
    <w:rPr>
      <w:b/>
      <w:bCs/>
      <w:sz w:val="22"/>
      <w:szCs w:val="24"/>
    </w:rPr>
  </w:style>
  <w:style w:type="character" w:customStyle="1" w:styleId="StyleTableSubBoldChar">
    <w:name w:val="Style Table Sub + Bold Char"/>
    <w:basedOn w:val="TableSubChar"/>
    <w:link w:val="StyleTableSubBold"/>
    <w:rsid w:val="00C70D21"/>
    <w:rPr>
      <w:rFonts w:ascii="News Gothic MT" w:hAnsi="News Gothic MT"/>
      <w:b/>
      <w:bCs/>
      <w:sz w:val="22"/>
      <w:szCs w:val="24"/>
      <w:lang w:val="en-US" w:eastAsia="en-US"/>
    </w:rPr>
  </w:style>
  <w:style w:type="paragraph" w:customStyle="1" w:styleId="Arial10">
    <w:name w:val="Arial 10"/>
    <w:basedOn w:val="Normal"/>
    <w:link w:val="Arial10Char"/>
    <w:rsid w:val="00A761FD"/>
    <w:pPr>
      <w:widowControl/>
      <w:jc w:val="left"/>
    </w:pPr>
    <w:rPr>
      <w:rFonts w:cs="Times New Roman"/>
      <w:snapToGrid/>
      <w:sz w:val="20"/>
    </w:rPr>
  </w:style>
  <w:style w:type="paragraph" w:customStyle="1" w:styleId="Arial10Bold">
    <w:name w:val="Arial 10 Bold"/>
    <w:basedOn w:val="Arial10"/>
    <w:rsid w:val="00A761FD"/>
    <w:rPr>
      <w:b/>
    </w:rPr>
  </w:style>
  <w:style w:type="paragraph" w:customStyle="1" w:styleId="Arial10Boldcentred">
    <w:name w:val="Arial 10 Bold centred"/>
    <w:basedOn w:val="Arial10Bold"/>
    <w:rsid w:val="00A761FD"/>
    <w:pPr>
      <w:jc w:val="center"/>
    </w:pPr>
    <w:rPr>
      <w:szCs w:val="17"/>
    </w:rPr>
  </w:style>
  <w:style w:type="character" w:customStyle="1" w:styleId="Arial10Char">
    <w:name w:val="Arial 10 Char"/>
    <w:link w:val="Arial10"/>
    <w:rsid w:val="00A761FD"/>
    <w:rPr>
      <w:rFonts w:ascii="Arial" w:hAnsi="Arial"/>
      <w:lang w:eastAsia="en-US"/>
    </w:rPr>
  </w:style>
  <w:style w:type="character" w:customStyle="1" w:styleId="TableHeadingChar">
    <w:name w:val="TableHeading Char"/>
    <w:basedOn w:val="DefaultParagraphFont"/>
    <w:link w:val="TableHeading"/>
    <w:rsid w:val="00681BFD"/>
    <w:rPr>
      <w:rFonts w:ascii="Arial Narrow" w:hAnsi="Arial Narrow" w:cs="Arial Narrow"/>
      <w:b/>
      <w:bCs/>
      <w:lang w:eastAsia="en-US"/>
    </w:rPr>
  </w:style>
  <w:style w:type="paragraph" w:styleId="EndnoteText">
    <w:name w:val="endnote text"/>
    <w:basedOn w:val="Normal"/>
    <w:link w:val="EndnoteTextChar"/>
    <w:uiPriority w:val="99"/>
    <w:rsid w:val="00D019AB"/>
    <w:pPr>
      <w:widowControl/>
      <w:spacing w:line="360" w:lineRule="auto"/>
    </w:pPr>
    <w:rPr>
      <w:rFonts w:ascii="Sabon" w:hAnsi="Sabon" w:cs="Times New Roman"/>
      <w:snapToGrid/>
      <w:sz w:val="20"/>
    </w:rPr>
  </w:style>
  <w:style w:type="character" w:customStyle="1" w:styleId="EndnoteTextChar">
    <w:name w:val="Endnote Text Char"/>
    <w:basedOn w:val="DefaultParagraphFont"/>
    <w:link w:val="EndnoteText"/>
    <w:uiPriority w:val="99"/>
    <w:rsid w:val="00D019AB"/>
    <w:rPr>
      <w:rFonts w:ascii="Sabon" w:hAnsi="Sabon"/>
      <w:lang w:eastAsia="en-US"/>
    </w:rPr>
  </w:style>
  <w:style w:type="character" w:styleId="EndnoteReference">
    <w:name w:val="endnote reference"/>
    <w:basedOn w:val="DefaultParagraphFont"/>
    <w:rsid w:val="00D019AB"/>
    <w:rPr>
      <w:vertAlign w:val="superscript"/>
    </w:rPr>
  </w:style>
  <w:style w:type="character" w:customStyle="1" w:styleId="ListParagraphChar">
    <w:name w:val="List Paragraph Char"/>
    <w:aliases w:val="BulletPoints Char"/>
    <w:basedOn w:val="DefaultParagraphFont"/>
    <w:link w:val="ListParagraph"/>
    <w:uiPriority w:val="72"/>
    <w:rsid w:val="000D19A3"/>
    <w:rPr>
      <w:rFonts w:ascii="Arial" w:hAnsi="Arial" w:cs="Arial"/>
      <w:snapToGrid w:val="0"/>
      <w:sz w:val="22"/>
      <w:lang w:eastAsia="en-US"/>
    </w:rPr>
  </w:style>
  <w:style w:type="character" w:customStyle="1" w:styleId="Heading3Char">
    <w:name w:val="Heading 3 Char"/>
    <w:aliases w:val="PBAC Heading 3 Char"/>
    <w:basedOn w:val="DefaultParagraphFont"/>
    <w:link w:val="Heading3"/>
    <w:rsid w:val="00A340DE"/>
    <w:rPr>
      <w:rFonts w:ascii="Arial" w:hAnsi="Arial" w:cs="Arial"/>
      <w:snapToGrid w:val="0"/>
      <w:sz w:val="22"/>
      <w:u w:val="single"/>
      <w:lang w:eastAsia="en-US"/>
    </w:rPr>
  </w:style>
  <w:style w:type="character" w:customStyle="1" w:styleId="TableText1">
    <w:name w:val="Table Text"/>
    <w:basedOn w:val="DefaultParagraphFont"/>
    <w:uiPriority w:val="4"/>
    <w:qFormat/>
    <w:rsid w:val="00745920"/>
    <w:rPr>
      <w:rFonts w:ascii="Arial Narrow" w:hAnsi="Arial Narrow"/>
      <w:sz w:val="24"/>
    </w:rPr>
  </w:style>
  <w:style w:type="character" w:customStyle="1" w:styleId="TableTextChar0">
    <w:name w:val="TableText Char"/>
    <w:basedOn w:val="DefaultParagraphFont"/>
    <w:link w:val="TableText0"/>
    <w:locked/>
    <w:rsid w:val="006B500F"/>
    <w:rPr>
      <w:rFonts w:ascii="Arial Narrow" w:hAnsi="Arial Narrow" w:cs="Arial Narrow"/>
      <w:lang w:eastAsia="en-US"/>
    </w:rPr>
  </w:style>
  <w:style w:type="paragraph" w:styleId="DocumentMap">
    <w:name w:val="Document Map"/>
    <w:basedOn w:val="Normal"/>
    <w:link w:val="DocumentMapChar"/>
    <w:semiHidden/>
    <w:unhideWhenUsed/>
    <w:rsid w:val="001A4764"/>
    <w:rPr>
      <w:rFonts w:ascii="Lucida Grande" w:hAnsi="Lucida Grande" w:cs="Lucida Grande"/>
      <w:sz w:val="24"/>
      <w:szCs w:val="24"/>
    </w:rPr>
  </w:style>
  <w:style w:type="character" w:customStyle="1" w:styleId="DocumentMapChar">
    <w:name w:val="Document Map Char"/>
    <w:basedOn w:val="DefaultParagraphFont"/>
    <w:link w:val="DocumentMap"/>
    <w:semiHidden/>
    <w:rsid w:val="001A4764"/>
    <w:rPr>
      <w:rFonts w:ascii="Lucida Grande" w:hAnsi="Lucida Grande" w:cs="Lucida Grande"/>
      <w:snapToGrid w:val="0"/>
      <w:sz w:val="24"/>
      <w:szCs w:val="24"/>
      <w:lang w:eastAsia="en-US"/>
    </w:rPr>
  </w:style>
  <w:style w:type="paragraph" w:styleId="FootnoteText">
    <w:name w:val="footnote text"/>
    <w:basedOn w:val="Normal"/>
    <w:link w:val="FootnoteTextChar"/>
    <w:semiHidden/>
    <w:unhideWhenUsed/>
    <w:rsid w:val="00B63C3E"/>
    <w:rPr>
      <w:sz w:val="20"/>
    </w:rPr>
  </w:style>
  <w:style w:type="character" w:customStyle="1" w:styleId="FootnoteTextChar">
    <w:name w:val="Footnote Text Char"/>
    <w:basedOn w:val="DefaultParagraphFont"/>
    <w:link w:val="FootnoteText"/>
    <w:semiHidden/>
    <w:rsid w:val="00B63C3E"/>
    <w:rPr>
      <w:rFonts w:ascii="Arial" w:hAnsi="Arial" w:cs="Arial"/>
      <w:snapToGrid w:val="0"/>
      <w:lang w:eastAsia="en-US"/>
    </w:rPr>
  </w:style>
  <w:style w:type="character" w:styleId="FootnoteReference">
    <w:name w:val="footnote reference"/>
    <w:basedOn w:val="DefaultParagraphFont"/>
    <w:semiHidden/>
    <w:unhideWhenUsed/>
    <w:rsid w:val="00B63C3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annotation reference"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84DE8"/>
    <w:pPr>
      <w:widowControl w:val="0"/>
      <w:jc w:val="both"/>
    </w:pPr>
    <w:rPr>
      <w:rFonts w:ascii="Arial" w:hAnsi="Arial" w:cs="Arial"/>
      <w:snapToGrid w:val="0"/>
      <w:sz w:val="22"/>
      <w:lang w:eastAsia="en-US"/>
    </w:rPr>
  </w:style>
  <w:style w:type="paragraph" w:styleId="Heading1">
    <w:name w:val="heading 1"/>
    <w:basedOn w:val="PBACHeading1"/>
    <w:next w:val="Normal"/>
    <w:qFormat/>
    <w:rsid w:val="00F34CCB"/>
    <w:pPr>
      <w:keepNext/>
      <w:numPr>
        <w:numId w:val="2"/>
      </w:numPr>
      <w:outlineLvl w:val="0"/>
    </w:pPr>
  </w:style>
  <w:style w:type="paragraph" w:styleId="Heading2">
    <w:name w:val="heading 2"/>
    <w:aliases w:val="PBAC Heading 2"/>
    <w:basedOn w:val="Normal"/>
    <w:next w:val="Normal"/>
    <w:link w:val="Heading2Char"/>
    <w:qFormat/>
    <w:rsid w:val="00F34CCB"/>
    <w:pPr>
      <w:outlineLvl w:val="1"/>
    </w:pPr>
    <w:rPr>
      <w:b/>
      <w:bCs/>
      <w:i/>
      <w:szCs w:val="22"/>
    </w:rPr>
  </w:style>
  <w:style w:type="paragraph" w:styleId="Heading3">
    <w:name w:val="heading 3"/>
    <w:aliases w:val="PBAC 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PBAC Heading 2 Char"/>
    <w:link w:val="Heading2"/>
    <w:rsid w:val="00F34CCB"/>
    <w:rPr>
      <w:rFonts w:ascii="Arial" w:hAnsi="Arial" w:cs="Arial"/>
      <w:b/>
      <w:bCs/>
      <w:i/>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next w:val="Normal"/>
    <w:link w:val="TitleChar"/>
    <w:qFormat/>
    <w:rsid w:val="00F34CCB"/>
    <w:pPr>
      <w:outlineLvl w:val="0"/>
    </w:pPr>
    <w:rPr>
      <w:rFonts w:ascii="Arial Bold" w:hAnsi="Arial Bold" w:cs="Arial"/>
      <w:b/>
      <w:caps/>
      <w:snapToGrid w:val="0"/>
      <w:sz w:val="28"/>
      <w:lang w:eastAsia="en-US"/>
    </w:rPr>
  </w:style>
  <w:style w:type="character" w:customStyle="1" w:styleId="TitleChar">
    <w:name w:val="Title Char"/>
    <w:basedOn w:val="DefaultParagraphFont"/>
    <w:link w:val="Title"/>
    <w:rsid w:val="00F34CCB"/>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ASD Table,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link w:val="TableHeadingChar"/>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aliases w:val="PBAC TOC 1"/>
    <w:basedOn w:val="Normal"/>
    <w:next w:val="Normal"/>
    <w:autoRedefine/>
    <w:uiPriority w:val="39"/>
    <w:rsid w:val="00D0262E"/>
    <w:pPr>
      <w:spacing w:before="240" w:after="120"/>
      <w:jc w:val="left"/>
    </w:pPr>
    <w:rPr>
      <w:bCs/>
      <w:sz w:val="20"/>
    </w:rPr>
  </w:style>
  <w:style w:type="character" w:styleId="Hyperlink">
    <w:name w:val="Hyperlink"/>
    <w:basedOn w:val="DefaultParagraphFont"/>
    <w:unhideWhenUsed/>
    <w:rsid w:val="00621477"/>
    <w:rPr>
      <w:color w:val="0000FF" w:themeColor="hyperlink"/>
      <w:u w:val="single"/>
    </w:rPr>
  </w:style>
  <w:style w:type="paragraph" w:styleId="TOCHeading">
    <w:name w:val="TOC Heading"/>
    <w:basedOn w:val="Heading1"/>
    <w:next w:val="Normal"/>
    <w:uiPriority w:val="39"/>
    <w:unhideWhenUsed/>
    <w:rsid w:val="00CE6274"/>
    <w:pPr>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5"/>
      </w:numPr>
    </w:pPr>
    <w:rPr>
      <w:rFonts w:ascii="Arial" w:hAnsi="Arial" w:cs="Arial"/>
      <w:b/>
      <w:snapToGrid w:val="0"/>
      <w:sz w:val="22"/>
      <w:szCs w:val="22"/>
      <w:lang w:eastAsia="en-US"/>
    </w:rPr>
  </w:style>
  <w:style w:type="paragraph" w:customStyle="1" w:styleId="PBACTableText">
    <w:name w:val="PBAC Table Text"/>
    <w:basedOn w:val="Normal"/>
    <w:link w:val="PBACTableTextChar"/>
    <w:qFormat/>
    <w:rsid w:val="00A0097A"/>
    <w:pPr>
      <w:widowControl/>
      <w:spacing w:before="40" w:after="40"/>
      <w:jc w:val="left"/>
    </w:pPr>
    <w:rPr>
      <w:rFonts w:ascii="News Gothic MT" w:hAnsi="News Gothic MT" w:cs="Times New Roman"/>
      <w:snapToGrid/>
      <w:sz w:val="20"/>
      <w:lang w:val="en-US"/>
    </w:rPr>
  </w:style>
  <w:style w:type="character" w:customStyle="1" w:styleId="PBACTableTextChar">
    <w:name w:val="PBAC Table Text Char"/>
    <w:basedOn w:val="DefaultParagraphFont"/>
    <w:link w:val="PBACTableText"/>
    <w:rsid w:val="00A0097A"/>
    <w:rPr>
      <w:rFonts w:ascii="News Gothic MT" w:hAnsi="News Gothic MT"/>
      <w:lang w:val="en-US" w:eastAsia="en-US"/>
    </w:rPr>
  </w:style>
  <w:style w:type="paragraph" w:customStyle="1" w:styleId="CaptiomSub">
    <w:name w:val="Captiom Sub"/>
    <w:basedOn w:val="Normal"/>
    <w:rsid w:val="00225092"/>
    <w:pPr>
      <w:widowControl/>
      <w:spacing w:after="120"/>
      <w:jc w:val="left"/>
    </w:pPr>
    <w:rPr>
      <w:rFonts w:cs="Times New Roman"/>
      <w:b/>
      <w:snapToGrid/>
      <w:sz w:val="20"/>
      <w:szCs w:val="24"/>
      <w:lang w:val="en-US"/>
    </w:rPr>
  </w:style>
  <w:style w:type="numbering" w:customStyle="1" w:styleId="PBACTableTextBullets">
    <w:name w:val="PBAC Table Text + Bullets"/>
    <w:basedOn w:val="NoList"/>
    <w:rsid w:val="00512D51"/>
    <w:pPr>
      <w:numPr>
        <w:numId w:val="3"/>
      </w:numPr>
    </w:pPr>
  </w:style>
  <w:style w:type="paragraph" w:customStyle="1" w:styleId="PBACHeading4">
    <w:name w:val="PBAC Heading 4"/>
    <w:basedOn w:val="Normal"/>
    <w:next w:val="Normal"/>
    <w:qFormat/>
    <w:rsid w:val="00512D51"/>
    <w:pPr>
      <w:keepNext/>
      <w:widowControl/>
      <w:tabs>
        <w:tab w:val="num" w:pos="1418"/>
      </w:tabs>
      <w:spacing w:before="120" w:after="120"/>
      <w:ind w:left="1418" w:hanging="1418"/>
    </w:pPr>
    <w:rPr>
      <w:rFonts w:ascii="Sabon" w:hAnsi="Sabon" w:cs="Times New Roman"/>
      <w:b/>
      <w:snapToGrid/>
      <w:szCs w:val="24"/>
    </w:rPr>
  </w:style>
  <w:style w:type="character" w:customStyle="1" w:styleId="st">
    <w:name w:val="st"/>
    <w:basedOn w:val="DefaultParagraphFont"/>
    <w:rsid w:val="00835870"/>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E3A15"/>
    <w:pPr>
      <w:widowControl/>
      <w:spacing w:after="160" w:line="240" w:lineRule="exact"/>
      <w:jc w:val="left"/>
    </w:pPr>
    <w:rPr>
      <w:rFonts w:ascii="Verdana" w:eastAsia="MS Mincho" w:hAnsi="Verdana" w:cs="Verdana"/>
      <w:snapToGrid/>
      <w:sz w:val="20"/>
      <w:lang w:val="en-US"/>
    </w:rPr>
  </w:style>
  <w:style w:type="paragraph" w:customStyle="1" w:styleId="TableSub">
    <w:name w:val="Table Sub"/>
    <w:basedOn w:val="Normal"/>
    <w:link w:val="TableSubChar"/>
    <w:rsid w:val="00CA6E79"/>
    <w:pPr>
      <w:widowControl/>
      <w:spacing w:before="40" w:after="40"/>
      <w:jc w:val="left"/>
    </w:pPr>
    <w:rPr>
      <w:rFonts w:ascii="News Gothic MT" w:hAnsi="News Gothic MT" w:cs="Times New Roman"/>
      <w:snapToGrid/>
      <w:sz w:val="20"/>
      <w:lang w:val="en-US"/>
    </w:rPr>
  </w:style>
  <w:style w:type="character" w:customStyle="1" w:styleId="TableSubChar">
    <w:name w:val="Table Sub Char"/>
    <w:basedOn w:val="DefaultParagraphFont"/>
    <w:link w:val="TableSub"/>
    <w:rsid w:val="00CA6E79"/>
    <w:rPr>
      <w:rFonts w:ascii="News Gothic MT" w:hAnsi="News Gothic MT"/>
      <w:lang w:val="en-US" w:eastAsia="en-US"/>
    </w:rPr>
  </w:style>
  <w:style w:type="character" w:styleId="PlaceholderText">
    <w:name w:val="Placeholder Text"/>
    <w:basedOn w:val="DefaultParagraphFont"/>
    <w:uiPriority w:val="99"/>
    <w:semiHidden/>
    <w:rsid w:val="00DE46D8"/>
    <w:rPr>
      <w:color w:val="808080"/>
    </w:rPr>
  </w:style>
  <w:style w:type="paragraph" w:customStyle="1" w:styleId="StyleTableSubBold">
    <w:name w:val="Style Table Sub + Bold"/>
    <w:basedOn w:val="TableSub"/>
    <w:link w:val="StyleTableSubBoldChar"/>
    <w:rsid w:val="00C70D21"/>
    <w:rPr>
      <w:b/>
      <w:bCs/>
      <w:sz w:val="22"/>
      <w:szCs w:val="24"/>
    </w:rPr>
  </w:style>
  <w:style w:type="character" w:customStyle="1" w:styleId="StyleTableSubBoldChar">
    <w:name w:val="Style Table Sub + Bold Char"/>
    <w:basedOn w:val="TableSubChar"/>
    <w:link w:val="StyleTableSubBold"/>
    <w:rsid w:val="00C70D21"/>
    <w:rPr>
      <w:rFonts w:ascii="News Gothic MT" w:hAnsi="News Gothic MT"/>
      <w:b/>
      <w:bCs/>
      <w:sz w:val="22"/>
      <w:szCs w:val="24"/>
      <w:lang w:val="en-US" w:eastAsia="en-US"/>
    </w:rPr>
  </w:style>
  <w:style w:type="paragraph" w:customStyle="1" w:styleId="Arial10">
    <w:name w:val="Arial 10"/>
    <w:basedOn w:val="Normal"/>
    <w:link w:val="Arial10Char"/>
    <w:rsid w:val="00A761FD"/>
    <w:pPr>
      <w:widowControl/>
      <w:jc w:val="left"/>
    </w:pPr>
    <w:rPr>
      <w:rFonts w:cs="Times New Roman"/>
      <w:snapToGrid/>
      <w:sz w:val="20"/>
    </w:rPr>
  </w:style>
  <w:style w:type="paragraph" w:customStyle="1" w:styleId="Arial10Bold">
    <w:name w:val="Arial 10 Bold"/>
    <w:basedOn w:val="Arial10"/>
    <w:rsid w:val="00A761FD"/>
    <w:rPr>
      <w:b/>
    </w:rPr>
  </w:style>
  <w:style w:type="paragraph" w:customStyle="1" w:styleId="Arial10Boldcentred">
    <w:name w:val="Arial 10 Bold centred"/>
    <w:basedOn w:val="Arial10Bold"/>
    <w:rsid w:val="00A761FD"/>
    <w:pPr>
      <w:jc w:val="center"/>
    </w:pPr>
    <w:rPr>
      <w:szCs w:val="17"/>
    </w:rPr>
  </w:style>
  <w:style w:type="character" w:customStyle="1" w:styleId="Arial10Char">
    <w:name w:val="Arial 10 Char"/>
    <w:link w:val="Arial10"/>
    <w:rsid w:val="00A761FD"/>
    <w:rPr>
      <w:rFonts w:ascii="Arial" w:hAnsi="Arial"/>
      <w:lang w:eastAsia="en-US"/>
    </w:rPr>
  </w:style>
  <w:style w:type="character" w:customStyle="1" w:styleId="TableHeadingChar">
    <w:name w:val="TableHeading Char"/>
    <w:basedOn w:val="DefaultParagraphFont"/>
    <w:link w:val="TableHeading"/>
    <w:rsid w:val="00681BFD"/>
    <w:rPr>
      <w:rFonts w:ascii="Arial Narrow" w:hAnsi="Arial Narrow" w:cs="Arial Narrow"/>
      <w:b/>
      <w:bCs/>
      <w:lang w:eastAsia="en-US"/>
    </w:rPr>
  </w:style>
  <w:style w:type="paragraph" w:styleId="EndnoteText">
    <w:name w:val="endnote text"/>
    <w:basedOn w:val="Normal"/>
    <w:link w:val="EndnoteTextChar"/>
    <w:uiPriority w:val="99"/>
    <w:rsid w:val="00D019AB"/>
    <w:pPr>
      <w:widowControl/>
      <w:spacing w:line="360" w:lineRule="auto"/>
    </w:pPr>
    <w:rPr>
      <w:rFonts w:ascii="Sabon" w:hAnsi="Sabon" w:cs="Times New Roman"/>
      <w:snapToGrid/>
      <w:sz w:val="20"/>
    </w:rPr>
  </w:style>
  <w:style w:type="character" w:customStyle="1" w:styleId="EndnoteTextChar">
    <w:name w:val="Endnote Text Char"/>
    <w:basedOn w:val="DefaultParagraphFont"/>
    <w:link w:val="EndnoteText"/>
    <w:uiPriority w:val="99"/>
    <w:rsid w:val="00D019AB"/>
    <w:rPr>
      <w:rFonts w:ascii="Sabon" w:hAnsi="Sabon"/>
      <w:lang w:eastAsia="en-US"/>
    </w:rPr>
  </w:style>
  <w:style w:type="character" w:styleId="EndnoteReference">
    <w:name w:val="endnote reference"/>
    <w:basedOn w:val="DefaultParagraphFont"/>
    <w:rsid w:val="00D019AB"/>
    <w:rPr>
      <w:vertAlign w:val="superscript"/>
    </w:rPr>
  </w:style>
  <w:style w:type="character" w:customStyle="1" w:styleId="ListParagraphChar">
    <w:name w:val="List Paragraph Char"/>
    <w:aliases w:val="BulletPoints Char"/>
    <w:basedOn w:val="DefaultParagraphFont"/>
    <w:link w:val="ListParagraph"/>
    <w:uiPriority w:val="72"/>
    <w:rsid w:val="000D19A3"/>
    <w:rPr>
      <w:rFonts w:ascii="Arial" w:hAnsi="Arial" w:cs="Arial"/>
      <w:snapToGrid w:val="0"/>
      <w:sz w:val="22"/>
      <w:lang w:eastAsia="en-US"/>
    </w:rPr>
  </w:style>
  <w:style w:type="character" w:customStyle="1" w:styleId="Heading3Char">
    <w:name w:val="Heading 3 Char"/>
    <w:aliases w:val="PBAC Heading 3 Char"/>
    <w:basedOn w:val="DefaultParagraphFont"/>
    <w:link w:val="Heading3"/>
    <w:rsid w:val="00A340DE"/>
    <w:rPr>
      <w:rFonts w:ascii="Arial" w:hAnsi="Arial" w:cs="Arial"/>
      <w:snapToGrid w:val="0"/>
      <w:sz w:val="22"/>
      <w:u w:val="single"/>
      <w:lang w:eastAsia="en-US"/>
    </w:rPr>
  </w:style>
  <w:style w:type="character" w:customStyle="1" w:styleId="TableText1">
    <w:name w:val="Table Text"/>
    <w:basedOn w:val="DefaultParagraphFont"/>
    <w:uiPriority w:val="4"/>
    <w:qFormat/>
    <w:rsid w:val="00745920"/>
    <w:rPr>
      <w:rFonts w:ascii="Arial Narrow" w:hAnsi="Arial Narrow"/>
      <w:sz w:val="24"/>
    </w:rPr>
  </w:style>
  <w:style w:type="character" w:customStyle="1" w:styleId="TableTextChar0">
    <w:name w:val="TableText Char"/>
    <w:basedOn w:val="DefaultParagraphFont"/>
    <w:link w:val="TableText0"/>
    <w:locked/>
    <w:rsid w:val="006B500F"/>
    <w:rPr>
      <w:rFonts w:ascii="Arial Narrow" w:hAnsi="Arial Narrow" w:cs="Arial Narrow"/>
      <w:lang w:eastAsia="en-US"/>
    </w:rPr>
  </w:style>
  <w:style w:type="paragraph" w:styleId="DocumentMap">
    <w:name w:val="Document Map"/>
    <w:basedOn w:val="Normal"/>
    <w:link w:val="DocumentMapChar"/>
    <w:semiHidden/>
    <w:unhideWhenUsed/>
    <w:rsid w:val="001A4764"/>
    <w:rPr>
      <w:rFonts w:ascii="Lucida Grande" w:hAnsi="Lucida Grande" w:cs="Lucida Grande"/>
      <w:sz w:val="24"/>
      <w:szCs w:val="24"/>
    </w:rPr>
  </w:style>
  <w:style w:type="character" w:customStyle="1" w:styleId="DocumentMapChar">
    <w:name w:val="Document Map Char"/>
    <w:basedOn w:val="DefaultParagraphFont"/>
    <w:link w:val="DocumentMap"/>
    <w:semiHidden/>
    <w:rsid w:val="001A4764"/>
    <w:rPr>
      <w:rFonts w:ascii="Lucida Grande" w:hAnsi="Lucida Grande" w:cs="Lucida Grande"/>
      <w:snapToGrid w:val="0"/>
      <w:sz w:val="24"/>
      <w:szCs w:val="24"/>
      <w:lang w:eastAsia="en-US"/>
    </w:rPr>
  </w:style>
  <w:style w:type="paragraph" w:styleId="FootnoteText">
    <w:name w:val="footnote text"/>
    <w:basedOn w:val="Normal"/>
    <w:link w:val="FootnoteTextChar"/>
    <w:semiHidden/>
    <w:unhideWhenUsed/>
    <w:rsid w:val="00B63C3E"/>
    <w:rPr>
      <w:sz w:val="20"/>
    </w:rPr>
  </w:style>
  <w:style w:type="character" w:customStyle="1" w:styleId="FootnoteTextChar">
    <w:name w:val="Footnote Text Char"/>
    <w:basedOn w:val="DefaultParagraphFont"/>
    <w:link w:val="FootnoteText"/>
    <w:semiHidden/>
    <w:rsid w:val="00B63C3E"/>
    <w:rPr>
      <w:rFonts w:ascii="Arial" w:hAnsi="Arial" w:cs="Arial"/>
      <w:snapToGrid w:val="0"/>
      <w:lang w:eastAsia="en-US"/>
    </w:rPr>
  </w:style>
  <w:style w:type="character" w:styleId="FootnoteReference">
    <w:name w:val="footnote reference"/>
    <w:basedOn w:val="DefaultParagraphFont"/>
    <w:semiHidden/>
    <w:unhideWhenUsed/>
    <w:rsid w:val="00B63C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054475">
      <w:bodyDiv w:val="1"/>
      <w:marLeft w:val="0"/>
      <w:marRight w:val="0"/>
      <w:marTop w:val="0"/>
      <w:marBottom w:val="0"/>
      <w:divBdr>
        <w:top w:val="none" w:sz="0" w:space="0" w:color="auto"/>
        <w:left w:val="none" w:sz="0" w:space="0" w:color="auto"/>
        <w:bottom w:val="none" w:sz="0" w:space="0" w:color="auto"/>
        <w:right w:val="none" w:sz="0" w:space="0" w:color="auto"/>
      </w:divBdr>
    </w:div>
    <w:div w:id="560605178">
      <w:bodyDiv w:val="1"/>
      <w:marLeft w:val="0"/>
      <w:marRight w:val="0"/>
      <w:marTop w:val="0"/>
      <w:marBottom w:val="0"/>
      <w:divBdr>
        <w:top w:val="none" w:sz="0" w:space="0" w:color="auto"/>
        <w:left w:val="none" w:sz="0" w:space="0" w:color="auto"/>
        <w:bottom w:val="none" w:sz="0" w:space="0" w:color="auto"/>
        <w:right w:val="none" w:sz="0" w:space="0" w:color="auto"/>
      </w:divBdr>
    </w:div>
    <w:div w:id="1072001337">
      <w:bodyDiv w:val="1"/>
      <w:marLeft w:val="0"/>
      <w:marRight w:val="0"/>
      <w:marTop w:val="0"/>
      <w:marBottom w:val="0"/>
      <w:divBdr>
        <w:top w:val="none" w:sz="0" w:space="0" w:color="auto"/>
        <w:left w:val="none" w:sz="0" w:space="0" w:color="auto"/>
        <w:bottom w:val="none" w:sz="0" w:space="0" w:color="auto"/>
        <w:right w:val="none" w:sz="0" w:space="0" w:color="auto"/>
      </w:divBdr>
    </w:div>
    <w:div w:id="1079791029">
      <w:bodyDiv w:val="1"/>
      <w:marLeft w:val="0"/>
      <w:marRight w:val="0"/>
      <w:marTop w:val="0"/>
      <w:marBottom w:val="0"/>
      <w:divBdr>
        <w:top w:val="none" w:sz="0" w:space="0" w:color="auto"/>
        <w:left w:val="none" w:sz="0" w:space="0" w:color="auto"/>
        <w:bottom w:val="none" w:sz="0" w:space="0" w:color="auto"/>
        <w:right w:val="none" w:sz="0" w:space="0" w:color="auto"/>
      </w:divBdr>
    </w:div>
    <w:div w:id="1083406213">
      <w:bodyDiv w:val="1"/>
      <w:marLeft w:val="0"/>
      <w:marRight w:val="0"/>
      <w:marTop w:val="0"/>
      <w:marBottom w:val="0"/>
      <w:divBdr>
        <w:top w:val="none" w:sz="0" w:space="0" w:color="auto"/>
        <w:left w:val="none" w:sz="0" w:space="0" w:color="auto"/>
        <w:bottom w:val="none" w:sz="0" w:space="0" w:color="auto"/>
        <w:right w:val="none" w:sz="0" w:space="0" w:color="auto"/>
      </w:divBdr>
    </w:div>
    <w:div w:id="1314259417">
      <w:bodyDiv w:val="1"/>
      <w:marLeft w:val="0"/>
      <w:marRight w:val="0"/>
      <w:marTop w:val="0"/>
      <w:marBottom w:val="0"/>
      <w:divBdr>
        <w:top w:val="none" w:sz="0" w:space="0" w:color="auto"/>
        <w:left w:val="none" w:sz="0" w:space="0" w:color="auto"/>
        <w:bottom w:val="none" w:sz="0" w:space="0" w:color="auto"/>
        <w:right w:val="none" w:sz="0" w:space="0" w:color="auto"/>
      </w:divBdr>
    </w:div>
    <w:div w:id="1559510600">
      <w:bodyDiv w:val="1"/>
      <w:marLeft w:val="0"/>
      <w:marRight w:val="0"/>
      <w:marTop w:val="0"/>
      <w:marBottom w:val="0"/>
      <w:divBdr>
        <w:top w:val="none" w:sz="0" w:space="0" w:color="auto"/>
        <w:left w:val="none" w:sz="0" w:space="0" w:color="auto"/>
        <w:bottom w:val="none" w:sz="0" w:space="0" w:color="auto"/>
        <w:right w:val="none" w:sz="0" w:space="0" w:color="auto"/>
      </w:divBdr>
    </w:div>
    <w:div w:id="1573081706">
      <w:bodyDiv w:val="1"/>
      <w:marLeft w:val="0"/>
      <w:marRight w:val="0"/>
      <w:marTop w:val="0"/>
      <w:marBottom w:val="0"/>
      <w:divBdr>
        <w:top w:val="none" w:sz="0" w:space="0" w:color="auto"/>
        <w:left w:val="none" w:sz="0" w:space="0" w:color="auto"/>
        <w:bottom w:val="none" w:sz="0" w:space="0" w:color="auto"/>
        <w:right w:val="none" w:sz="0" w:space="0" w:color="auto"/>
      </w:divBdr>
    </w:div>
    <w:div w:id="18965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ADFE8-5DE4-4525-A34E-D3DE4D4E4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5708</Words>
  <Characters>32635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2016-10-11T00:37:00Z</dcterms:created>
  <dcterms:modified xsi:type="dcterms:W3CDTF">2016-10-11T00:48:00Z</dcterms:modified>
</cp:coreProperties>
</file>