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C1" w:rsidRPr="004B1954" w:rsidRDefault="006B71CD" w:rsidP="0091638E">
      <w:pPr>
        <w:pStyle w:val="Title"/>
      </w:pPr>
      <w:bookmarkStart w:id="0" w:name="_Toc450632522"/>
      <w:r>
        <w:t>7.07</w:t>
      </w:r>
      <w:r w:rsidR="00B60939" w:rsidRPr="004B1954">
        <w:tab/>
      </w:r>
      <w:r w:rsidR="00651822" w:rsidRPr="0091638E">
        <w:t>PNEUMOCOCCAL CONJUGATE VACCINE</w:t>
      </w:r>
      <w:r w:rsidR="004B1954" w:rsidRPr="0091638E">
        <w:br/>
      </w:r>
      <w:r w:rsidR="00651822" w:rsidRPr="0091638E">
        <w:t>13-Valent Adsorbed Pre-Filled Syringe, 0.5 mL</w:t>
      </w:r>
      <w:r w:rsidR="004B1954" w:rsidRPr="0091638E">
        <w:br/>
      </w:r>
      <w:proofErr w:type="spellStart"/>
      <w:r w:rsidR="00651822" w:rsidRPr="0091638E">
        <w:t>Prevenar</w:t>
      </w:r>
      <w:proofErr w:type="spellEnd"/>
      <w:r w:rsidR="00651822" w:rsidRPr="0091638E">
        <w:t xml:space="preserve"> 13</w:t>
      </w:r>
      <w:r w:rsidR="00651822" w:rsidRPr="0091638E">
        <w:rPr>
          <w:rFonts w:hint="eastAsia"/>
        </w:rPr>
        <w:t>®</w:t>
      </w:r>
      <w:r w:rsidR="004B1954" w:rsidRPr="0091638E">
        <w:br/>
      </w:r>
      <w:r w:rsidR="007458AA" w:rsidRPr="0091638E">
        <w:t>Pfizer Australia Pty Ltd</w:t>
      </w:r>
      <w:bookmarkEnd w:id="0"/>
    </w:p>
    <w:p w:rsidR="00F338FF" w:rsidRDefault="00F338FF" w:rsidP="00CB415E">
      <w:pPr>
        <w:widowControl/>
      </w:pPr>
    </w:p>
    <w:p w:rsidR="00CB415E" w:rsidRPr="00700585" w:rsidRDefault="00CB415E" w:rsidP="00CB415E">
      <w:pPr>
        <w:widowControl/>
      </w:pPr>
    </w:p>
    <w:p w:rsidR="00F338FF" w:rsidRPr="0091638E" w:rsidRDefault="00F338FF" w:rsidP="0091638E">
      <w:pPr>
        <w:pStyle w:val="Heading1"/>
      </w:pPr>
      <w:bookmarkStart w:id="1" w:name="_Toc450632524"/>
      <w:r w:rsidRPr="0091638E">
        <w:t>Purpose of Application</w:t>
      </w:r>
      <w:bookmarkEnd w:id="1"/>
    </w:p>
    <w:p w:rsidR="00B60939" w:rsidRPr="00C52B69" w:rsidRDefault="00B60939" w:rsidP="00230BF2">
      <w:pPr>
        <w:widowControl/>
        <w:rPr>
          <w:szCs w:val="22"/>
        </w:rPr>
      </w:pPr>
    </w:p>
    <w:p w:rsidR="00B60939" w:rsidRPr="00C52B69" w:rsidRDefault="00784796" w:rsidP="00230BF2">
      <w:pPr>
        <w:pStyle w:val="ListParagraph"/>
        <w:widowControl/>
        <w:numPr>
          <w:ilvl w:val="1"/>
          <w:numId w:val="3"/>
        </w:numPr>
        <w:rPr>
          <w:szCs w:val="22"/>
        </w:rPr>
      </w:pPr>
      <w:r w:rsidRPr="00C52B69">
        <w:rPr>
          <w:szCs w:val="22"/>
        </w:rPr>
        <w:t>Listing on the National Immunisation Program (NIP) for 13-valent pneumococcal conjugate vaccine (13vPCV) for the prevention of pneumococcal disease (community acquired pneumonia [CAP] and invasive pneumococcal disease [IPD] in adults</w:t>
      </w:r>
      <w:r w:rsidR="00F33460" w:rsidRPr="00C52B69">
        <w:rPr>
          <w:szCs w:val="22"/>
        </w:rPr>
        <w:t>)</w:t>
      </w:r>
      <w:r w:rsidRPr="00C52B69">
        <w:t>. At the July 2015 meeting, t</w:t>
      </w:r>
      <w:r w:rsidR="0092713D" w:rsidRPr="00C52B69">
        <w:t xml:space="preserve">he PBAC recommended </w:t>
      </w:r>
      <w:r w:rsidRPr="00C52B69">
        <w:t xml:space="preserve">listing of </w:t>
      </w:r>
      <w:r w:rsidR="0092713D" w:rsidRPr="00C52B69">
        <w:t xml:space="preserve">13vPCV on the basis of cost-minimisation to </w:t>
      </w:r>
      <w:r w:rsidRPr="00C52B69">
        <w:rPr>
          <w:szCs w:val="22"/>
        </w:rPr>
        <w:t xml:space="preserve">23-valent pneumococcal polysaccharide vaccine </w:t>
      </w:r>
      <w:r w:rsidRPr="00C52B69">
        <w:t>(23vPPV)</w:t>
      </w:r>
      <w:r w:rsidR="0092713D" w:rsidRPr="00C52B69">
        <w:t>. Th</w:t>
      </w:r>
      <w:r w:rsidRPr="00C52B69">
        <w:t xml:space="preserve">is application </w:t>
      </w:r>
      <w:r w:rsidR="00B0511A" w:rsidRPr="00C52B69">
        <w:t>sought</w:t>
      </w:r>
      <w:r w:rsidR="0092713D" w:rsidRPr="00C52B69">
        <w:t xml:space="preserve"> to demonstrate 13vPCV is cost-e</w:t>
      </w:r>
      <w:r w:rsidR="00677904" w:rsidRPr="00C52B69">
        <w:t>ffective compared with 23vPPV.</w:t>
      </w:r>
    </w:p>
    <w:p w:rsidR="001B6188" w:rsidRPr="00700585" w:rsidRDefault="001B6188" w:rsidP="00230BF2">
      <w:pPr>
        <w:widowControl/>
      </w:pPr>
    </w:p>
    <w:p w:rsidR="00700585" w:rsidRPr="00700585" w:rsidRDefault="00700585" w:rsidP="00230BF2">
      <w:pPr>
        <w:widowControl/>
      </w:pPr>
    </w:p>
    <w:p w:rsidR="00F338FF" w:rsidRPr="00444F48" w:rsidRDefault="00F338FF" w:rsidP="0091638E">
      <w:pPr>
        <w:pStyle w:val="Heading1"/>
      </w:pPr>
      <w:bookmarkStart w:id="2" w:name="_Toc450632525"/>
      <w:r w:rsidRPr="00444F48">
        <w:t>Requested listing</w:t>
      </w:r>
      <w:bookmarkEnd w:id="2"/>
    </w:p>
    <w:p w:rsidR="00B60939" w:rsidRPr="00700585" w:rsidRDefault="00B60939" w:rsidP="00230BF2">
      <w:pPr>
        <w:keepNext/>
        <w:widowControl/>
      </w:pPr>
    </w:p>
    <w:p w:rsidR="00D71553" w:rsidRDefault="00D71553" w:rsidP="00230BF2">
      <w:pPr>
        <w:widowControl/>
        <w:numPr>
          <w:ilvl w:val="1"/>
          <w:numId w:val="3"/>
        </w:numPr>
        <w:contextualSpacing/>
        <w:rPr>
          <w:szCs w:val="22"/>
        </w:rPr>
      </w:pPr>
      <w:r w:rsidRPr="00700585">
        <w:rPr>
          <w:szCs w:val="22"/>
        </w:rPr>
        <w:t>The submission sought the following listing:</w:t>
      </w:r>
    </w:p>
    <w:p w:rsidR="001426E3" w:rsidRPr="00700585" w:rsidRDefault="001426E3" w:rsidP="00230BF2">
      <w:pPr>
        <w:widowControl/>
        <w:ind w:left="720"/>
        <w:contextualSpacing/>
        <w:rPr>
          <w:szCs w:val="22"/>
        </w:rPr>
      </w:pPr>
    </w:p>
    <w:tbl>
      <w:tblPr>
        <w:tblW w:w="4548" w:type="pct"/>
        <w:tblInd w:w="737" w:type="dxa"/>
        <w:tblLayout w:type="fixed"/>
        <w:tblCellMar>
          <w:left w:w="28" w:type="dxa"/>
          <w:right w:w="28" w:type="dxa"/>
        </w:tblCellMar>
        <w:tblLook w:val="0000" w:firstRow="0" w:lastRow="0" w:firstColumn="0" w:lastColumn="0" w:noHBand="0" w:noVBand="0"/>
      </w:tblPr>
      <w:tblGrid>
        <w:gridCol w:w="4253"/>
        <w:gridCol w:w="502"/>
        <w:gridCol w:w="626"/>
        <w:gridCol w:w="858"/>
        <w:gridCol w:w="1177"/>
        <w:gridCol w:w="846"/>
      </w:tblGrid>
      <w:tr w:rsidR="00700585" w:rsidRPr="00700585" w:rsidTr="00D71553">
        <w:trPr>
          <w:cantSplit/>
          <w:trHeight w:val="471"/>
        </w:trPr>
        <w:tc>
          <w:tcPr>
            <w:tcW w:w="2574" w:type="pct"/>
            <w:tcBorders>
              <w:bottom w:val="single" w:sz="4" w:space="0" w:color="auto"/>
            </w:tcBorders>
          </w:tcPr>
          <w:p w:rsidR="00062DD2" w:rsidRPr="00700585" w:rsidRDefault="00062DD2" w:rsidP="00230BF2">
            <w:pPr>
              <w:keepNext/>
              <w:widowControl/>
              <w:rPr>
                <w:rFonts w:ascii="Arial Narrow" w:hAnsi="Arial Narrow"/>
                <w:sz w:val="20"/>
              </w:rPr>
            </w:pPr>
            <w:r w:rsidRPr="00700585">
              <w:rPr>
                <w:rFonts w:ascii="Arial Narrow" w:hAnsi="Arial Narrow"/>
                <w:sz w:val="20"/>
              </w:rPr>
              <w:t>Name, Restriction,</w:t>
            </w:r>
          </w:p>
          <w:p w:rsidR="00062DD2" w:rsidRPr="00700585" w:rsidRDefault="00062DD2" w:rsidP="00230BF2">
            <w:pPr>
              <w:keepNext/>
              <w:widowControl/>
              <w:rPr>
                <w:rFonts w:ascii="Arial Narrow" w:hAnsi="Arial Narrow"/>
                <w:sz w:val="20"/>
              </w:rPr>
            </w:pPr>
            <w:r w:rsidRPr="00700585">
              <w:rPr>
                <w:rFonts w:ascii="Arial Narrow" w:hAnsi="Arial Narrow"/>
                <w:sz w:val="20"/>
              </w:rPr>
              <w:t>Manner of administration and form</w:t>
            </w:r>
          </w:p>
        </w:tc>
        <w:tc>
          <w:tcPr>
            <w:tcW w:w="304" w:type="pct"/>
            <w:tcBorders>
              <w:bottom w:val="single" w:sz="4" w:space="0" w:color="auto"/>
            </w:tcBorders>
          </w:tcPr>
          <w:p w:rsidR="00062DD2" w:rsidRPr="00700585" w:rsidRDefault="00062DD2" w:rsidP="00230BF2">
            <w:pPr>
              <w:keepNext/>
              <w:widowControl/>
              <w:jc w:val="center"/>
              <w:rPr>
                <w:rFonts w:ascii="Arial Narrow" w:hAnsi="Arial Narrow"/>
                <w:sz w:val="20"/>
              </w:rPr>
            </w:pPr>
            <w:r w:rsidRPr="00700585">
              <w:rPr>
                <w:rFonts w:ascii="Arial Narrow" w:hAnsi="Arial Narrow"/>
                <w:sz w:val="20"/>
              </w:rPr>
              <w:t>Max.</w:t>
            </w:r>
          </w:p>
          <w:p w:rsidR="00062DD2" w:rsidRPr="00700585" w:rsidRDefault="00062DD2" w:rsidP="00230BF2">
            <w:pPr>
              <w:keepNext/>
              <w:widowControl/>
              <w:jc w:val="center"/>
              <w:rPr>
                <w:rFonts w:ascii="Arial Narrow" w:hAnsi="Arial Narrow"/>
                <w:sz w:val="20"/>
              </w:rPr>
            </w:pPr>
            <w:proofErr w:type="spellStart"/>
            <w:r w:rsidRPr="00700585">
              <w:rPr>
                <w:rFonts w:ascii="Arial Narrow" w:hAnsi="Arial Narrow"/>
                <w:sz w:val="20"/>
              </w:rPr>
              <w:t>Qty</w:t>
            </w:r>
            <w:proofErr w:type="spellEnd"/>
          </w:p>
        </w:tc>
        <w:tc>
          <w:tcPr>
            <w:tcW w:w="379" w:type="pct"/>
            <w:tcBorders>
              <w:bottom w:val="single" w:sz="4" w:space="0" w:color="auto"/>
            </w:tcBorders>
          </w:tcPr>
          <w:p w:rsidR="00062DD2" w:rsidRPr="00700585" w:rsidRDefault="00062DD2" w:rsidP="00230BF2">
            <w:pPr>
              <w:keepNext/>
              <w:widowControl/>
              <w:jc w:val="center"/>
              <w:rPr>
                <w:rFonts w:ascii="Arial Narrow" w:hAnsi="Arial Narrow"/>
                <w:sz w:val="20"/>
              </w:rPr>
            </w:pPr>
            <w:r w:rsidRPr="00700585">
              <w:rPr>
                <w:rFonts w:ascii="Arial Narrow" w:hAnsi="Arial Narrow"/>
                <w:sz w:val="20"/>
              </w:rPr>
              <w:t>№.of</w:t>
            </w:r>
          </w:p>
          <w:p w:rsidR="00062DD2" w:rsidRPr="00700585" w:rsidRDefault="00062DD2" w:rsidP="00230BF2">
            <w:pPr>
              <w:keepNext/>
              <w:widowControl/>
              <w:jc w:val="center"/>
              <w:rPr>
                <w:rFonts w:ascii="Arial Narrow" w:hAnsi="Arial Narrow"/>
                <w:sz w:val="20"/>
              </w:rPr>
            </w:pPr>
            <w:proofErr w:type="spellStart"/>
            <w:r w:rsidRPr="00700585">
              <w:rPr>
                <w:rFonts w:ascii="Arial Narrow" w:hAnsi="Arial Narrow"/>
                <w:sz w:val="20"/>
              </w:rPr>
              <w:t>Rpts</w:t>
            </w:r>
            <w:proofErr w:type="spellEnd"/>
          </w:p>
        </w:tc>
        <w:tc>
          <w:tcPr>
            <w:tcW w:w="519" w:type="pct"/>
            <w:tcBorders>
              <w:bottom w:val="single" w:sz="4" w:space="0" w:color="auto"/>
            </w:tcBorders>
          </w:tcPr>
          <w:p w:rsidR="00062DD2" w:rsidRPr="00700585" w:rsidRDefault="00062DD2" w:rsidP="00230BF2">
            <w:pPr>
              <w:keepNext/>
              <w:widowControl/>
              <w:jc w:val="center"/>
              <w:rPr>
                <w:rFonts w:ascii="Arial Narrow" w:hAnsi="Arial Narrow"/>
                <w:sz w:val="20"/>
              </w:rPr>
            </w:pPr>
            <w:r w:rsidRPr="00700585">
              <w:rPr>
                <w:rFonts w:ascii="Arial Narrow" w:hAnsi="Arial Narrow"/>
                <w:sz w:val="20"/>
              </w:rPr>
              <w:t>NIP price</w:t>
            </w:r>
          </w:p>
        </w:tc>
        <w:tc>
          <w:tcPr>
            <w:tcW w:w="1224" w:type="pct"/>
            <w:gridSpan w:val="2"/>
            <w:tcBorders>
              <w:bottom w:val="single" w:sz="4" w:space="0" w:color="auto"/>
            </w:tcBorders>
          </w:tcPr>
          <w:p w:rsidR="00062DD2" w:rsidRPr="00700585" w:rsidRDefault="00062DD2" w:rsidP="00230BF2">
            <w:pPr>
              <w:keepNext/>
              <w:widowControl/>
              <w:jc w:val="center"/>
              <w:rPr>
                <w:rFonts w:ascii="Arial Narrow" w:hAnsi="Arial Narrow"/>
                <w:sz w:val="20"/>
                <w:lang w:val="fr-FR"/>
              </w:rPr>
            </w:pPr>
            <w:r w:rsidRPr="00700585">
              <w:rPr>
                <w:rFonts w:ascii="Arial Narrow" w:hAnsi="Arial Narrow"/>
                <w:sz w:val="20"/>
              </w:rPr>
              <w:t>Proprietary Name and Manufacturer</w:t>
            </w:r>
          </w:p>
        </w:tc>
      </w:tr>
      <w:tr w:rsidR="00700585" w:rsidRPr="00700585" w:rsidTr="00D71553">
        <w:trPr>
          <w:cantSplit/>
          <w:trHeight w:val="577"/>
        </w:trPr>
        <w:tc>
          <w:tcPr>
            <w:tcW w:w="2574" w:type="pct"/>
          </w:tcPr>
          <w:p w:rsidR="00062DD2" w:rsidRPr="00700585" w:rsidRDefault="00062DD2" w:rsidP="00230BF2">
            <w:pPr>
              <w:keepNext/>
              <w:widowControl/>
              <w:jc w:val="left"/>
              <w:rPr>
                <w:rFonts w:ascii="Arial Narrow" w:hAnsi="Arial Narrow"/>
                <w:sz w:val="20"/>
              </w:rPr>
            </w:pPr>
            <w:r w:rsidRPr="00700585">
              <w:rPr>
                <w:rFonts w:ascii="Arial Narrow" w:hAnsi="Arial Narrow"/>
                <w:smallCaps/>
                <w:sz w:val="20"/>
              </w:rPr>
              <w:t>pneumococcal polysaccharide conjugate vaccine, 13-valent adsorbed</w:t>
            </w:r>
          </w:p>
          <w:p w:rsidR="00062DD2" w:rsidRPr="00700585" w:rsidRDefault="00062DD2" w:rsidP="00230BF2">
            <w:pPr>
              <w:keepNext/>
              <w:widowControl/>
              <w:rPr>
                <w:rFonts w:ascii="Arial Narrow" w:hAnsi="Arial Narrow"/>
                <w:sz w:val="20"/>
              </w:rPr>
            </w:pPr>
            <w:r w:rsidRPr="00700585">
              <w:rPr>
                <w:rFonts w:ascii="Arial Narrow" w:hAnsi="Arial Narrow"/>
                <w:sz w:val="20"/>
              </w:rPr>
              <w:t>Pre-filled syringe, 0.5 mL</w:t>
            </w:r>
          </w:p>
        </w:tc>
        <w:tc>
          <w:tcPr>
            <w:tcW w:w="304" w:type="pct"/>
          </w:tcPr>
          <w:p w:rsidR="00062DD2" w:rsidRPr="00700585" w:rsidRDefault="00062DD2" w:rsidP="00230BF2">
            <w:pPr>
              <w:keepNext/>
              <w:widowControl/>
              <w:jc w:val="center"/>
              <w:rPr>
                <w:rFonts w:ascii="Arial Narrow" w:hAnsi="Arial Narrow"/>
                <w:sz w:val="20"/>
              </w:rPr>
            </w:pPr>
          </w:p>
          <w:p w:rsidR="00062DD2" w:rsidRPr="00700585" w:rsidRDefault="00062DD2" w:rsidP="00230BF2">
            <w:pPr>
              <w:keepNext/>
              <w:widowControl/>
              <w:jc w:val="center"/>
              <w:rPr>
                <w:rFonts w:ascii="Arial Narrow" w:hAnsi="Arial Narrow"/>
                <w:sz w:val="20"/>
              </w:rPr>
            </w:pPr>
            <w:r w:rsidRPr="00700585">
              <w:rPr>
                <w:rFonts w:ascii="Arial Narrow" w:hAnsi="Arial Narrow"/>
                <w:sz w:val="20"/>
              </w:rPr>
              <w:t>1</w:t>
            </w:r>
          </w:p>
        </w:tc>
        <w:tc>
          <w:tcPr>
            <w:tcW w:w="379" w:type="pct"/>
          </w:tcPr>
          <w:p w:rsidR="00062DD2" w:rsidRPr="00700585" w:rsidRDefault="00062DD2" w:rsidP="00230BF2">
            <w:pPr>
              <w:keepNext/>
              <w:widowControl/>
              <w:jc w:val="center"/>
              <w:rPr>
                <w:rFonts w:ascii="Arial Narrow" w:hAnsi="Arial Narrow"/>
                <w:sz w:val="20"/>
              </w:rPr>
            </w:pPr>
          </w:p>
          <w:p w:rsidR="00062DD2" w:rsidRPr="00700585" w:rsidRDefault="00062DD2" w:rsidP="00230BF2">
            <w:pPr>
              <w:keepNext/>
              <w:widowControl/>
              <w:jc w:val="center"/>
              <w:rPr>
                <w:rFonts w:ascii="Arial Narrow" w:hAnsi="Arial Narrow"/>
                <w:sz w:val="20"/>
              </w:rPr>
            </w:pPr>
            <w:r w:rsidRPr="00700585">
              <w:rPr>
                <w:rFonts w:ascii="Arial Narrow" w:hAnsi="Arial Narrow"/>
                <w:sz w:val="20"/>
              </w:rPr>
              <w:t>0</w:t>
            </w:r>
          </w:p>
        </w:tc>
        <w:tc>
          <w:tcPr>
            <w:tcW w:w="519" w:type="pct"/>
          </w:tcPr>
          <w:p w:rsidR="00062DD2" w:rsidRPr="00700585" w:rsidRDefault="00062DD2" w:rsidP="00230BF2">
            <w:pPr>
              <w:keepNext/>
              <w:widowControl/>
              <w:jc w:val="center"/>
              <w:rPr>
                <w:rFonts w:ascii="Arial Narrow" w:hAnsi="Arial Narrow"/>
                <w:sz w:val="20"/>
              </w:rPr>
            </w:pPr>
          </w:p>
          <w:p w:rsidR="00062DD2" w:rsidRPr="00700585" w:rsidRDefault="00062DD2" w:rsidP="00230BF2">
            <w:pPr>
              <w:keepNext/>
              <w:widowControl/>
              <w:jc w:val="center"/>
              <w:rPr>
                <w:rFonts w:ascii="Arial Narrow" w:hAnsi="Arial Narrow"/>
                <w:sz w:val="20"/>
              </w:rPr>
            </w:pPr>
            <w:r w:rsidRPr="00700585">
              <w:rPr>
                <w:rFonts w:ascii="Arial Narrow" w:hAnsi="Arial Narrow"/>
                <w:sz w:val="20"/>
              </w:rPr>
              <w:t>$</w:t>
            </w:r>
            <w:r w:rsidR="0091638E">
              <w:rPr>
                <w:rFonts w:ascii="Arial Narrow" w:hAnsi="Arial Narrow"/>
                <w:noProof/>
                <w:color w:val="000000"/>
                <w:sz w:val="20"/>
                <w:highlight w:val="black"/>
              </w:rPr>
              <w:t>'''''''''''''</w:t>
            </w:r>
          </w:p>
        </w:tc>
        <w:tc>
          <w:tcPr>
            <w:tcW w:w="712" w:type="pct"/>
            <w:vAlign w:val="center"/>
          </w:tcPr>
          <w:p w:rsidR="00062DD2" w:rsidRPr="00700585" w:rsidRDefault="00062DD2" w:rsidP="00230BF2">
            <w:pPr>
              <w:keepNext/>
              <w:widowControl/>
              <w:jc w:val="center"/>
              <w:rPr>
                <w:rFonts w:ascii="Arial Narrow" w:hAnsi="Arial Narrow"/>
                <w:sz w:val="20"/>
              </w:rPr>
            </w:pPr>
            <w:proofErr w:type="spellStart"/>
            <w:r w:rsidRPr="00700585">
              <w:rPr>
                <w:rFonts w:ascii="Arial Narrow" w:hAnsi="Arial Narrow"/>
                <w:sz w:val="20"/>
              </w:rPr>
              <w:t>Prevenar</w:t>
            </w:r>
            <w:proofErr w:type="spellEnd"/>
            <w:r w:rsidRPr="00700585">
              <w:rPr>
                <w:rFonts w:ascii="Arial Narrow" w:hAnsi="Arial Narrow"/>
                <w:sz w:val="20"/>
              </w:rPr>
              <w:t xml:space="preserve"> 13</w:t>
            </w:r>
          </w:p>
        </w:tc>
        <w:tc>
          <w:tcPr>
            <w:tcW w:w="511" w:type="pct"/>
            <w:vAlign w:val="center"/>
          </w:tcPr>
          <w:p w:rsidR="00062DD2" w:rsidRPr="00700585" w:rsidRDefault="00062DD2" w:rsidP="00230BF2">
            <w:pPr>
              <w:keepNext/>
              <w:widowControl/>
              <w:jc w:val="center"/>
              <w:rPr>
                <w:rFonts w:ascii="Arial Narrow" w:hAnsi="Arial Narrow"/>
                <w:sz w:val="20"/>
              </w:rPr>
            </w:pPr>
            <w:r w:rsidRPr="00700585">
              <w:rPr>
                <w:rFonts w:ascii="Arial Narrow" w:hAnsi="Arial Narrow"/>
                <w:sz w:val="20"/>
              </w:rPr>
              <w:t>Pfizer</w:t>
            </w:r>
          </w:p>
        </w:tc>
      </w:tr>
      <w:tr w:rsidR="00062DD2" w:rsidRPr="00700585" w:rsidTr="00D71553">
        <w:trPr>
          <w:cantSplit/>
          <w:trHeight w:val="360"/>
        </w:trPr>
        <w:tc>
          <w:tcPr>
            <w:tcW w:w="5000" w:type="pct"/>
            <w:gridSpan w:val="6"/>
          </w:tcPr>
          <w:p w:rsidR="00062DD2" w:rsidRPr="00700585" w:rsidRDefault="00062DD2" w:rsidP="00230BF2">
            <w:pPr>
              <w:widowControl/>
              <w:rPr>
                <w:rFonts w:ascii="Arial Narrow" w:hAnsi="Arial Narrow"/>
                <w:sz w:val="20"/>
                <w:u w:val="single"/>
              </w:rPr>
            </w:pPr>
            <w:r w:rsidRPr="00700585">
              <w:rPr>
                <w:rFonts w:ascii="Arial Narrow" w:hAnsi="Arial Narrow"/>
                <w:sz w:val="20"/>
                <w:u w:val="single"/>
              </w:rPr>
              <w:t>NIP population:</w:t>
            </w:r>
          </w:p>
          <w:p w:rsidR="00062DD2" w:rsidRPr="00700585" w:rsidRDefault="00062DD2" w:rsidP="00230BF2">
            <w:pPr>
              <w:pStyle w:val="ListParagraph"/>
              <w:keepNext/>
              <w:widowControl/>
              <w:numPr>
                <w:ilvl w:val="0"/>
                <w:numId w:val="12"/>
              </w:numPr>
              <w:ind w:left="308" w:hanging="300"/>
              <w:rPr>
                <w:rFonts w:ascii="Arial Narrow" w:hAnsi="Arial Narrow"/>
                <w:sz w:val="20"/>
              </w:rPr>
            </w:pPr>
            <w:r w:rsidRPr="00700585">
              <w:rPr>
                <w:rFonts w:ascii="Arial Narrow" w:hAnsi="Arial Narrow"/>
                <w:sz w:val="20"/>
              </w:rPr>
              <w:t>A single 13vPCV dose for pneumococcal vaccine naïve non-Indigenous adults aged 65 years and over</w:t>
            </w:r>
          </w:p>
          <w:p w:rsidR="00062DD2" w:rsidRPr="00700585" w:rsidRDefault="00062DD2" w:rsidP="00230BF2">
            <w:pPr>
              <w:pStyle w:val="ListParagraph"/>
              <w:keepNext/>
              <w:widowControl/>
              <w:numPr>
                <w:ilvl w:val="0"/>
                <w:numId w:val="12"/>
              </w:numPr>
              <w:ind w:left="308" w:hanging="300"/>
              <w:rPr>
                <w:rFonts w:ascii="Arial Narrow" w:hAnsi="Arial Narrow"/>
                <w:sz w:val="20"/>
              </w:rPr>
            </w:pPr>
            <w:r w:rsidRPr="00700585">
              <w:rPr>
                <w:rFonts w:ascii="Arial Narrow" w:hAnsi="Arial Narrow"/>
                <w:sz w:val="20"/>
              </w:rPr>
              <w:t>A single 13vPCV dose for pneumococcal vaccine naïve Indigenous adults aged 50 years and over</w:t>
            </w:r>
          </w:p>
        </w:tc>
      </w:tr>
    </w:tbl>
    <w:p w:rsidR="00B60939" w:rsidRPr="00700585" w:rsidRDefault="00B60939" w:rsidP="00230BF2">
      <w:pPr>
        <w:widowControl/>
      </w:pPr>
    </w:p>
    <w:p w:rsidR="004D6AB2" w:rsidRPr="00C52B69" w:rsidRDefault="00D71553" w:rsidP="00230BF2">
      <w:pPr>
        <w:pStyle w:val="ListParagraph"/>
        <w:widowControl/>
        <w:numPr>
          <w:ilvl w:val="1"/>
          <w:numId w:val="4"/>
        </w:numPr>
        <w:rPr>
          <w:szCs w:val="22"/>
        </w:rPr>
      </w:pPr>
      <w:r w:rsidRPr="00C52B69">
        <w:rPr>
          <w:szCs w:val="22"/>
        </w:rPr>
        <w:t xml:space="preserve">The requested listing </w:t>
      </w:r>
      <w:r w:rsidR="001426E3" w:rsidRPr="00C52B69">
        <w:rPr>
          <w:szCs w:val="22"/>
        </w:rPr>
        <w:t>wa</w:t>
      </w:r>
      <w:r w:rsidRPr="00C52B69">
        <w:rPr>
          <w:szCs w:val="22"/>
        </w:rPr>
        <w:t xml:space="preserve">s the same as recommended by the PBAC at the July 2015 meeting. </w:t>
      </w:r>
    </w:p>
    <w:p w:rsidR="004D6AB2" w:rsidRPr="00C52B69" w:rsidRDefault="004D6AB2" w:rsidP="00230BF2">
      <w:pPr>
        <w:pStyle w:val="ListParagraph"/>
        <w:widowControl/>
        <w:rPr>
          <w:szCs w:val="22"/>
        </w:rPr>
      </w:pPr>
    </w:p>
    <w:p w:rsidR="00D71553" w:rsidRPr="00C52B69" w:rsidRDefault="00677904" w:rsidP="00230BF2">
      <w:pPr>
        <w:pStyle w:val="ListParagraph"/>
        <w:widowControl/>
        <w:numPr>
          <w:ilvl w:val="1"/>
          <w:numId w:val="4"/>
        </w:numPr>
        <w:rPr>
          <w:szCs w:val="22"/>
        </w:rPr>
      </w:pPr>
      <w:r w:rsidRPr="00C52B69">
        <w:rPr>
          <w:szCs w:val="22"/>
        </w:rPr>
        <w:t>Th</w:t>
      </w:r>
      <w:r w:rsidR="00204853" w:rsidRPr="00C52B69">
        <w:rPr>
          <w:szCs w:val="22"/>
        </w:rPr>
        <w:t>e current</w:t>
      </w:r>
      <w:r w:rsidRPr="00C52B69">
        <w:rPr>
          <w:szCs w:val="22"/>
        </w:rPr>
        <w:t xml:space="preserve"> submission </w:t>
      </w:r>
      <w:r w:rsidR="004D6AB2" w:rsidRPr="00C52B69">
        <w:rPr>
          <w:szCs w:val="22"/>
        </w:rPr>
        <w:t>requested</w:t>
      </w:r>
      <w:r w:rsidRPr="00C52B69">
        <w:rPr>
          <w:szCs w:val="22"/>
        </w:rPr>
        <w:t xml:space="preserve"> a price of $</w:t>
      </w:r>
      <w:r w:rsidR="0091638E">
        <w:rPr>
          <w:noProof/>
          <w:color w:val="000000"/>
          <w:szCs w:val="22"/>
          <w:highlight w:val="black"/>
        </w:rPr>
        <w:t>'''''''''''''''</w:t>
      </w:r>
      <w:r w:rsidR="004D6AB2" w:rsidRPr="00C52B69">
        <w:rPr>
          <w:szCs w:val="22"/>
        </w:rPr>
        <w:t xml:space="preserve"> per dose of 13vPCV</w:t>
      </w:r>
      <w:r w:rsidRPr="00C52B69">
        <w:rPr>
          <w:szCs w:val="22"/>
        </w:rPr>
        <w:t>. By comparison, the requested price</w:t>
      </w:r>
      <w:r w:rsidR="004D6AB2" w:rsidRPr="00C52B69">
        <w:rPr>
          <w:szCs w:val="22"/>
        </w:rPr>
        <w:t>s</w:t>
      </w:r>
      <w:r w:rsidRPr="00C52B69">
        <w:rPr>
          <w:szCs w:val="22"/>
        </w:rPr>
        <w:t xml:space="preserve"> in the March 2015 and July 2015 submissions were $</w:t>
      </w:r>
      <w:r w:rsidR="0091638E">
        <w:rPr>
          <w:noProof/>
          <w:color w:val="000000"/>
          <w:szCs w:val="22"/>
          <w:highlight w:val="black"/>
        </w:rPr>
        <w:t>''''''''''''''</w:t>
      </w:r>
      <w:r w:rsidRPr="00C52B69">
        <w:rPr>
          <w:szCs w:val="22"/>
        </w:rPr>
        <w:t xml:space="preserve"> and $</w:t>
      </w:r>
      <w:r w:rsidR="0091638E">
        <w:rPr>
          <w:noProof/>
          <w:color w:val="000000"/>
          <w:szCs w:val="22"/>
          <w:highlight w:val="black"/>
        </w:rPr>
        <w:t>''''''''''''</w:t>
      </w:r>
      <w:r w:rsidR="004D6AB2" w:rsidRPr="00C52B69">
        <w:rPr>
          <w:szCs w:val="22"/>
        </w:rPr>
        <w:t>, respectively</w:t>
      </w:r>
      <w:r w:rsidRPr="00C52B69">
        <w:rPr>
          <w:szCs w:val="22"/>
        </w:rPr>
        <w:t>.</w:t>
      </w:r>
    </w:p>
    <w:p w:rsidR="004A12A3" w:rsidRPr="00C52B69" w:rsidRDefault="004A12A3" w:rsidP="00230BF2">
      <w:pPr>
        <w:widowControl/>
        <w:jc w:val="left"/>
        <w:rPr>
          <w:szCs w:val="22"/>
        </w:rPr>
      </w:pPr>
    </w:p>
    <w:p w:rsidR="008206F6" w:rsidRPr="00C52B69" w:rsidRDefault="00E47EDC" w:rsidP="007B42A1">
      <w:pPr>
        <w:pStyle w:val="ListParagraph"/>
        <w:widowControl/>
        <w:numPr>
          <w:ilvl w:val="1"/>
          <w:numId w:val="4"/>
        </w:numPr>
        <w:rPr>
          <w:szCs w:val="22"/>
        </w:rPr>
      </w:pPr>
      <w:r w:rsidRPr="00C52B69">
        <w:rPr>
          <w:szCs w:val="22"/>
        </w:rPr>
        <w:t>The submission did not discuss how the pneumococcal vaccination status of adults would be determine</w:t>
      </w:r>
      <w:r w:rsidR="003712CA" w:rsidRPr="00C52B69">
        <w:rPr>
          <w:szCs w:val="22"/>
        </w:rPr>
        <w:t xml:space="preserve">d (i.e. whether naïve or not). </w:t>
      </w:r>
      <w:proofErr w:type="gramStart"/>
      <w:r w:rsidR="007B42A1">
        <w:rPr>
          <w:szCs w:val="22"/>
        </w:rPr>
        <w:t>T</w:t>
      </w:r>
      <w:r w:rsidR="008206F6" w:rsidRPr="00C52B69">
        <w:rPr>
          <w:szCs w:val="22"/>
        </w:rPr>
        <w:t>he 2015-16 Commonwealth Budget</w:t>
      </w:r>
      <w:proofErr w:type="gramEnd"/>
      <w:r w:rsidR="008206F6" w:rsidRPr="00C52B69">
        <w:rPr>
          <w:szCs w:val="22"/>
        </w:rPr>
        <w:t xml:space="preserve"> included the </w:t>
      </w:r>
      <w:r w:rsidR="007B42A1">
        <w:rPr>
          <w:szCs w:val="22"/>
        </w:rPr>
        <w:t xml:space="preserve">expansion of the existing Australian Childhood Immunisation Register to the Australian Immunisation Register from September 2016. </w:t>
      </w:r>
      <w:r w:rsidR="007B42A1" w:rsidRPr="007B42A1">
        <w:rPr>
          <w:szCs w:val="22"/>
        </w:rPr>
        <w:t xml:space="preserve">The Australian Immunisation Register will capture all vaccines administered throughout a person’s life (birth to death), given through </w:t>
      </w:r>
      <w:r w:rsidR="007C540C">
        <w:rPr>
          <w:szCs w:val="22"/>
        </w:rPr>
        <w:t>ge</w:t>
      </w:r>
      <w:r w:rsidR="007B42A1" w:rsidRPr="007B42A1">
        <w:rPr>
          <w:szCs w:val="22"/>
        </w:rPr>
        <w:t xml:space="preserve">neral </w:t>
      </w:r>
      <w:r w:rsidR="007C540C">
        <w:rPr>
          <w:szCs w:val="22"/>
        </w:rPr>
        <w:t>p</w:t>
      </w:r>
      <w:r w:rsidR="007B42A1" w:rsidRPr="007B42A1">
        <w:rPr>
          <w:szCs w:val="22"/>
        </w:rPr>
        <w:t>ractice and community clinics</w:t>
      </w:r>
      <w:r w:rsidR="008206F6" w:rsidRPr="00C52B69">
        <w:rPr>
          <w:szCs w:val="22"/>
        </w:rPr>
        <w:t>.</w:t>
      </w:r>
    </w:p>
    <w:p w:rsidR="00DF21F2" w:rsidRPr="00C52B69" w:rsidRDefault="00DF21F2" w:rsidP="00230BF2">
      <w:pPr>
        <w:widowControl/>
        <w:rPr>
          <w:szCs w:val="22"/>
        </w:rPr>
      </w:pPr>
    </w:p>
    <w:p w:rsidR="00AB6BAD" w:rsidRDefault="00AB6BAD" w:rsidP="00230BF2">
      <w:pPr>
        <w:pStyle w:val="ListParagraph"/>
        <w:widowControl/>
        <w:numPr>
          <w:ilvl w:val="1"/>
          <w:numId w:val="4"/>
        </w:numPr>
      </w:pPr>
      <w:r w:rsidRPr="00C52B69">
        <w:t>ATAGI consider</w:t>
      </w:r>
      <w:r w:rsidR="0003527C" w:rsidRPr="00C52B69">
        <w:t>ed</w:t>
      </w:r>
      <w:r w:rsidRPr="00C52B69">
        <w:t xml:space="preserve"> it clinically appropriate for all adults previously vaccinated with 23vPPV to receive a single dose of 13vPCV because of the additional clinical benefits in terms of prevention of CAP (July 2016 ATAGI pre-</w:t>
      </w:r>
      <w:r w:rsidR="00FC5B9B" w:rsidRPr="00C52B69">
        <w:t>submission advice</w:t>
      </w:r>
      <w:r w:rsidRPr="00C52B69">
        <w:t xml:space="preserve">). </w:t>
      </w:r>
      <w:r w:rsidR="00CF13ED" w:rsidRPr="00C52B69">
        <w:t>A</w:t>
      </w:r>
      <w:r w:rsidRPr="00C52B69">
        <w:t xml:space="preserve"> listing for use in </w:t>
      </w:r>
      <w:r w:rsidR="00CF13ED" w:rsidRPr="00C52B69">
        <w:t>adults</w:t>
      </w:r>
      <w:r w:rsidRPr="00C52B69">
        <w:t xml:space="preserve"> previously vaccinated with 23vPPV</w:t>
      </w:r>
      <w:r w:rsidR="00CF13ED" w:rsidRPr="00C52B69">
        <w:t xml:space="preserve"> was not requested</w:t>
      </w:r>
      <w:r w:rsidRPr="00C52B69">
        <w:t xml:space="preserve">. </w:t>
      </w:r>
    </w:p>
    <w:p w:rsidR="00F749C8" w:rsidRDefault="00F749C8" w:rsidP="00F749C8">
      <w:pPr>
        <w:pStyle w:val="ListParagraph"/>
      </w:pPr>
    </w:p>
    <w:p w:rsidR="00F749C8" w:rsidRPr="0005234D" w:rsidRDefault="00F749C8" w:rsidP="00F749C8">
      <w:pPr>
        <w:ind w:firstLine="720"/>
        <w:rPr>
          <w:bCs/>
          <w:szCs w:val="22"/>
        </w:rPr>
      </w:pPr>
      <w:r w:rsidRPr="002E3C94">
        <w:rPr>
          <w:bCs/>
          <w:i/>
          <w:szCs w:val="22"/>
        </w:rPr>
        <w:t>For more detail on PBAC’s view, see section 7 “PBAC outcome”</w:t>
      </w:r>
    </w:p>
    <w:p w:rsidR="001B6188" w:rsidRPr="00C52B69" w:rsidRDefault="001B6188" w:rsidP="00230BF2">
      <w:pPr>
        <w:widowControl/>
      </w:pPr>
    </w:p>
    <w:p w:rsidR="00700585" w:rsidRPr="00C52B69" w:rsidRDefault="00700585" w:rsidP="00230BF2">
      <w:pPr>
        <w:widowControl/>
      </w:pPr>
    </w:p>
    <w:p w:rsidR="00F338FF" w:rsidRPr="00C52B69" w:rsidRDefault="00F338FF" w:rsidP="0091638E">
      <w:pPr>
        <w:pStyle w:val="Heading1"/>
      </w:pPr>
      <w:bookmarkStart w:id="3" w:name="_Toc450632526"/>
      <w:r w:rsidRPr="00C52B69">
        <w:t>Background</w:t>
      </w:r>
      <w:bookmarkEnd w:id="3"/>
    </w:p>
    <w:p w:rsidR="00B60939" w:rsidRPr="00C52B69" w:rsidRDefault="00B60939" w:rsidP="00230BF2">
      <w:pPr>
        <w:widowControl/>
        <w:rPr>
          <w:szCs w:val="22"/>
        </w:rPr>
      </w:pPr>
    </w:p>
    <w:p w:rsidR="00BF2274" w:rsidRPr="00C52B69" w:rsidRDefault="00BD7B6C" w:rsidP="00230BF2">
      <w:pPr>
        <w:pStyle w:val="ListParagraph"/>
        <w:widowControl/>
        <w:numPr>
          <w:ilvl w:val="1"/>
          <w:numId w:val="3"/>
        </w:numPr>
      </w:pPr>
      <w:r w:rsidRPr="00CB415E">
        <w:rPr>
          <w:b/>
          <w:bCs/>
          <w:szCs w:val="22"/>
        </w:rPr>
        <w:t xml:space="preserve">TGA status at time of </w:t>
      </w:r>
      <w:r w:rsidR="00CB415E" w:rsidRPr="00CB415E">
        <w:rPr>
          <w:b/>
          <w:bCs/>
          <w:szCs w:val="22"/>
        </w:rPr>
        <w:t>PBAC consideration</w:t>
      </w:r>
      <w:r w:rsidRPr="00CB415E">
        <w:rPr>
          <w:b/>
          <w:bCs/>
          <w:szCs w:val="22"/>
        </w:rPr>
        <w:t>:</w:t>
      </w:r>
      <w:r w:rsidR="00B60939" w:rsidRPr="00CB415E">
        <w:rPr>
          <w:szCs w:val="22"/>
        </w:rPr>
        <w:t xml:space="preserve"> </w:t>
      </w:r>
      <w:r w:rsidR="00BF2274" w:rsidRPr="00CB415E">
        <w:rPr>
          <w:szCs w:val="22"/>
        </w:rPr>
        <w:t>13vPCV was registered on 28</w:t>
      </w:r>
      <w:r w:rsidR="00DA2C61">
        <w:rPr>
          <w:szCs w:val="22"/>
        </w:rPr>
        <w:t> </w:t>
      </w:r>
      <w:r w:rsidR="00BF2274" w:rsidRPr="00CB415E">
        <w:rPr>
          <w:szCs w:val="22"/>
        </w:rPr>
        <w:t>October</w:t>
      </w:r>
      <w:r w:rsidR="00DA2C61">
        <w:rPr>
          <w:szCs w:val="22"/>
        </w:rPr>
        <w:t> </w:t>
      </w:r>
      <w:r w:rsidR="00BF2274" w:rsidRPr="00C52B69">
        <w:rPr>
          <w:szCs w:val="22"/>
        </w:rPr>
        <w:t>2011 for adults aged 50 years and older.</w:t>
      </w:r>
    </w:p>
    <w:p w:rsidR="00B60939" w:rsidRPr="00C52B69" w:rsidRDefault="00B60939" w:rsidP="00230BF2">
      <w:pPr>
        <w:pStyle w:val="ListParagraph"/>
        <w:widowControl/>
      </w:pPr>
    </w:p>
    <w:p w:rsidR="004D6AB2" w:rsidRPr="00C52B69" w:rsidRDefault="004D6AB2" w:rsidP="00230BF2">
      <w:pPr>
        <w:widowControl/>
        <w:numPr>
          <w:ilvl w:val="1"/>
          <w:numId w:val="3"/>
        </w:numPr>
        <w:contextualSpacing/>
        <w:rPr>
          <w:szCs w:val="22"/>
        </w:rPr>
      </w:pPr>
      <w:r w:rsidRPr="00C52B69">
        <w:t xml:space="preserve">The PBAC </w:t>
      </w:r>
      <w:r w:rsidR="009D5D31" w:rsidRPr="00C52B69">
        <w:t xml:space="preserve">previously </w:t>
      </w:r>
      <w:r w:rsidRPr="00C52B69">
        <w:t xml:space="preserve">considered </w:t>
      </w:r>
      <w:r w:rsidR="002434E3" w:rsidRPr="00C52B69">
        <w:t xml:space="preserve">13vPCV </w:t>
      </w:r>
      <w:r w:rsidR="005E099C" w:rsidRPr="00C52B69">
        <w:t xml:space="preserve">for adults </w:t>
      </w:r>
      <w:r w:rsidR="002434E3" w:rsidRPr="00C52B69">
        <w:rPr>
          <w:szCs w:val="22"/>
        </w:rPr>
        <w:t>in March 2015 and July 2015.</w:t>
      </w:r>
      <w:r w:rsidR="00662A83" w:rsidRPr="00C52B69">
        <w:rPr>
          <w:szCs w:val="22"/>
        </w:rPr>
        <w:t xml:space="preserve"> </w:t>
      </w:r>
    </w:p>
    <w:p w:rsidR="004F0B0C" w:rsidRPr="00C52B69" w:rsidRDefault="00CF13ED" w:rsidP="00230BF2">
      <w:pPr>
        <w:widowControl/>
        <w:numPr>
          <w:ilvl w:val="1"/>
          <w:numId w:val="14"/>
        </w:numPr>
        <w:ind w:left="993" w:hanging="284"/>
        <w:contextualSpacing/>
        <w:rPr>
          <w:szCs w:val="22"/>
        </w:rPr>
      </w:pPr>
      <w:r w:rsidRPr="00C52B69">
        <w:rPr>
          <w:szCs w:val="22"/>
        </w:rPr>
        <w:t xml:space="preserve">At the March 2015 meeting, </w:t>
      </w:r>
      <w:r w:rsidR="004D6AB2" w:rsidRPr="00C52B69">
        <w:rPr>
          <w:szCs w:val="22"/>
        </w:rPr>
        <w:t xml:space="preserve">the PBAC rejected </w:t>
      </w:r>
      <w:r w:rsidRPr="00C52B69">
        <w:rPr>
          <w:szCs w:val="22"/>
        </w:rPr>
        <w:t>a</w:t>
      </w:r>
      <w:r w:rsidR="004F0B0C" w:rsidRPr="00C52B69">
        <w:rPr>
          <w:szCs w:val="22"/>
        </w:rPr>
        <w:t xml:space="preserve"> major submission on the basis of uncertain cost-effectiveness. The PBAC considered that 13vPCV was likely to be superior to 23vPPV in terms of prevention of vaccine type (VT) </w:t>
      </w:r>
      <w:r w:rsidR="00F33460" w:rsidRPr="00C52B69">
        <w:rPr>
          <w:szCs w:val="22"/>
        </w:rPr>
        <w:t>CAP</w:t>
      </w:r>
      <w:r w:rsidR="004F0B0C" w:rsidRPr="00C52B69">
        <w:rPr>
          <w:szCs w:val="22"/>
        </w:rPr>
        <w:t>, but the submission did not provide sufficient evidence to allow the PBAC to be confident that 13vPCV would be cost effective (</w:t>
      </w:r>
      <w:r w:rsidR="00214CDD" w:rsidRPr="00C52B69">
        <w:rPr>
          <w:szCs w:val="22"/>
        </w:rPr>
        <w:t>13vPCV PSD</w:t>
      </w:r>
      <w:r w:rsidR="005E099C" w:rsidRPr="00C52B69">
        <w:rPr>
          <w:szCs w:val="22"/>
        </w:rPr>
        <w:t xml:space="preserve"> March 2015</w:t>
      </w:r>
      <w:r w:rsidR="009D5D31" w:rsidRPr="00C52B69">
        <w:rPr>
          <w:szCs w:val="22"/>
        </w:rPr>
        <w:t>,</w:t>
      </w:r>
      <w:r w:rsidR="005E099C" w:rsidRPr="00C52B69">
        <w:rPr>
          <w:szCs w:val="22"/>
        </w:rPr>
        <w:t xml:space="preserve"> </w:t>
      </w:r>
      <w:r w:rsidR="00214CDD" w:rsidRPr="00C52B69">
        <w:rPr>
          <w:szCs w:val="22"/>
        </w:rPr>
        <w:t>paragraph 7.1</w:t>
      </w:r>
      <w:r w:rsidR="005E099C" w:rsidRPr="00C52B69">
        <w:rPr>
          <w:szCs w:val="22"/>
        </w:rPr>
        <w:t>).</w:t>
      </w:r>
    </w:p>
    <w:p w:rsidR="00662A83" w:rsidRDefault="009D5D31" w:rsidP="00230BF2">
      <w:pPr>
        <w:pStyle w:val="ListParagraph"/>
        <w:widowControl/>
        <w:numPr>
          <w:ilvl w:val="1"/>
          <w:numId w:val="14"/>
        </w:numPr>
        <w:ind w:left="993" w:hanging="284"/>
      </w:pPr>
      <w:r w:rsidRPr="00C52B69">
        <w:rPr>
          <w:szCs w:val="22"/>
        </w:rPr>
        <w:t>A</w:t>
      </w:r>
      <w:r w:rsidR="00662A83" w:rsidRPr="00C52B69">
        <w:rPr>
          <w:szCs w:val="22"/>
        </w:rPr>
        <w:t>t</w:t>
      </w:r>
      <w:r w:rsidR="00CF13ED" w:rsidRPr="00C52B69">
        <w:t xml:space="preserve"> the July 2015 meeting</w:t>
      </w:r>
      <w:r w:rsidRPr="00C52B69">
        <w:t>,</w:t>
      </w:r>
      <w:r w:rsidR="00662A83" w:rsidRPr="00C52B69">
        <w:t xml:space="preserve"> </w:t>
      </w:r>
      <w:r w:rsidRPr="00C52B69">
        <w:t>t</w:t>
      </w:r>
      <w:r w:rsidR="007918A8" w:rsidRPr="00C52B69">
        <w:t xml:space="preserve">he PBAC recommended </w:t>
      </w:r>
      <w:r w:rsidR="00662A83" w:rsidRPr="00C52B69">
        <w:t>13vPCV for listing on the NIP on the basis of cost</w:t>
      </w:r>
      <w:r w:rsidR="00204853" w:rsidRPr="00C52B69">
        <w:noBreakHyphen/>
      </w:r>
      <w:r w:rsidR="00662A83" w:rsidRPr="00C52B69">
        <w:t xml:space="preserve">minimisation to 23vPPV. </w:t>
      </w:r>
      <w:r w:rsidR="005E099C" w:rsidRPr="00C52B69">
        <w:t xml:space="preserve">The PBAC considered the </w:t>
      </w:r>
      <w:proofErr w:type="spellStart"/>
      <w:r w:rsidR="005E099C" w:rsidRPr="00C52B69">
        <w:t>equi</w:t>
      </w:r>
      <w:proofErr w:type="spellEnd"/>
      <w:r w:rsidR="00204853" w:rsidRPr="00C52B69">
        <w:noBreakHyphen/>
      </w:r>
      <w:r w:rsidR="005E099C" w:rsidRPr="00C52B69">
        <w:t>effective doses to be 13vPCV 0.5 mL injection and 23vPPV 0.5 mL injection</w:t>
      </w:r>
      <w:r w:rsidR="004D6AB2" w:rsidRPr="00C52B69">
        <w:t xml:space="preserve"> (13vPCV PSD July 2015, paragraph</w:t>
      </w:r>
      <w:r w:rsidR="00BE3A16" w:rsidRPr="00C52B69">
        <w:t>s</w:t>
      </w:r>
      <w:r w:rsidR="004D6AB2" w:rsidRPr="00C52B69">
        <w:t xml:space="preserve"> </w:t>
      </w:r>
      <w:r w:rsidR="00BE3A16" w:rsidRPr="00C52B69">
        <w:t>7.1 and 7.3</w:t>
      </w:r>
      <w:r w:rsidR="004D6AB2" w:rsidRPr="00C52B69">
        <w:t>).</w:t>
      </w:r>
    </w:p>
    <w:p w:rsidR="00CB415E" w:rsidRDefault="00CB415E" w:rsidP="00F749C8">
      <w:pPr>
        <w:pStyle w:val="ListParagraph"/>
        <w:rPr>
          <w:bCs/>
          <w:i/>
          <w:szCs w:val="22"/>
          <w:highlight w:val="yellow"/>
        </w:rPr>
      </w:pPr>
    </w:p>
    <w:p w:rsidR="00F749C8" w:rsidRPr="00F749C8" w:rsidRDefault="00F749C8" w:rsidP="00F749C8">
      <w:pPr>
        <w:pStyle w:val="ListParagraph"/>
        <w:rPr>
          <w:bCs/>
          <w:szCs w:val="22"/>
        </w:rPr>
      </w:pPr>
      <w:r w:rsidRPr="002E3C94">
        <w:rPr>
          <w:bCs/>
          <w:i/>
          <w:szCs w:val="22"/>
        </w:rPr>
        <w:t>For more detail on PBAC’s view, see section 7 “PBAC outcome”</w:t>
      </w:r>
    </w:p>
    <w:p w:rsidR="001B6188" w:rsidRPr="00C52B69" w:rsidRDefault="001B6188" w:rsidP="00230BF2">
      <w:pPr>
        <w:widowControl/>
      </w:pPr>
    </w:p>
    <w:p w:rsidR="007918A8" w:rsidRPr="00C52B69" w:rsidRDefault="007918A8" w:rsidP="00230BF2">
      <w:pPr>
        <w:widowControl/>
      </w:pPr>
    </w:p>
    <w:p w:rsidR="00F338FF" w:rsidRPr="00C52B69" w:rsidRDefault="00F338FF" w:rsidP="0091638E">
      <w:pPr>
        <w:pStyle w:val="Heading1"/>
      </w:pPr>
      <w:bookmarkStart w:id="4" w:name="_Toc450632527"/>
      <w:r w:rsidRPr="00C52B69">
        <w:t>Clinical place for the proposed therapy</w:t>
      </w:r>
      <w:bookmarkEnd w:id="4"/>
    </w:p>
    <w:p w:rsidR="0086677E" w:rsidRPr="00C52B69" w:rsidRDefault="0086677E" w:rsidP="00C33EAD">
      <w:pPr>
        <w:keepNext/>
        <w:widowControl/>
        <w:ind w:left="720"/>
        <w:rPr>
          <w:szCs w:val="22"/>
        </w:rPr>
      </w:pPr>
    </w:p>
    <w:p w:rsidR="0086677E" w:rsidRPr="00C52B69" w:rsidRDefault="0086677E" w:rsidP="00230BF2">
      <w:pPr>
        <w:pStyle w:val="ListParagraph"/>
        <w:widowControl/>
        <w:numPr>
          <w:ilvl w:val="1"/>
          <w:numId w:val="3"/>
        </w:numPr>
        <w:rPr>
          <w:snapToGrid/>
          <w:szCs w:val="22"/>
          <w:lang w:eastAsia="en-AU"/>
        </w:rPr>
      </w:pPr>
      <w:r w:rsidRPr="00C52B69">
        <w:rPr>
          <w:szCs w:val="22"/>
        </w:rPr>
        <w:t xml:space="preserve">Infections with Streptococcus </w:t>
      </w:r>
      <w:proofErr w:type="spellStart"/>
      <w:r w:rsidRPr="00C52B69">
        <w:rPr>
          <w:szCs w:val="22"/>
        </w:rPr>
        <w:t>pneumoniae</w:t>
      </w:r>
      <w:proofErr w:type="spellEnd"/>
      <w:r w:rsidRPr="00C52B69">
        <w:rPr>
          <w:szCs w:val="22"/>
        </w:rPr>
        <w:t xml:space="preserve"> can cause IPD such as meningitis, septicaemia and </w:t>
      </w:r>
      <w:proofErr w:type="spellStart"/>
      <w:r w:rsidRPr="00C52B69">
        <w:rPr>
          <w:szCs w:val="22"/>
        </w:rPr>
        <w:t>bacteraemic</w:t>
      </w:r>
      <w:proofErr w:type="spellEnd"/>
      <w:r w:rsidRPr="00C52B69">
        <w:rPr>
          <w:szCs w:val="22"/>
        </w:rPr>
        <w:t xml:space="preserve"> pneumonia, and oth</w:t>
      </w:r>
      <w:r w:rsidR="007918A8" w:rsidRPr="00C52B69">
        <w:rPr>
          <w:szCs w:val="22"/>
        </w:rPr>
        <w:t>er forms of disease such as non</w:t>
      </w:r>
      <w:r w:rsidR="007918A8" w:rsidRPr="00C52B69">
        <w:rPr>
          <w:szCs w:val="22"/>
        </w:rPr>
        <w:noBreakHyphen/>
      </w:r>
      <w:proofErr w:type="spellStart"/>
      <w:r w:rsidRPr="00C52B69">
        <w:rPr>
          <w:szCs w:val="22"/>
        </w:rPr>
        <w:t>bacteraemic</w:t>
      </w:r>
      <w:proofErr w:type="spellEnd"/>
      <w:r w:rsidRPr="00C52B69">
        <w:rPr>
          <w:szCs w:val="22"/>
        </w:rPr>
        <w:t xml:space="preserve"> </w:t>
      </w:r>
      <w:r w:rsidR="00E47EDC" w:rsidRPr="00C52B69">
        <w:rPr>
          <w:szCs w:val="22"/>
        </w:rPr>
        <w:t>CAP</w:t>
      </w:r>
      <w:r w:rsidRPr="00C52B69">
        <w:rPr>
          <w:szCs w:val="22"/>
        </w:rPr>
        <w:t>. The pneumococcal vaccine currently listed on the NIP for adults is a 23vPPV. 13vPCV is a 13-valent pneumococcal conjugate vaccine which covers 12 of the 23 serotypes covered by 23vPPV and one additional serotype. The claimed benefit for 13vPCV over 23</w:t>
      </w:r>
      <w:r w:rsidR="007918A8" w:rsidRPr="00C52B69">
        <w:rPr>
          <w:szCs w:val="22"/>
        </w:rPr>
        <w:t>vPPV is in the reduction of non</w:t>
      </w:r>
      <w:r w:rsidR="007918A8" w:rsidRPr="00C52B69">
        <w:rPr>
          <w:szCs w:val="22"/>
        </w:rPr>
        <w:noBreakHyphen/>
      </w:r>
      <w:proofErr w:type="spellStart"/>
      <w:r w:rsidRPr="00C52B69">
        <w:rPr>
          <w:szCs w:val="22"/>
        </w:rPr>
        <w:t>bacteraemic</w:t>
      </w:r>
      <w:proofErr w:type="spellEnd"/>
      <w:r w:rsidRPr="00C52B69">
        <w:rPr>
          <w:szCs w:val="22"/>
        </w:rPr>
        <w:t xml:space="preserve"> </w:t>
      </w:r>
      <w:r w:rsidR="00E47EDC" w:rsidRPr="00C52B69">
        <w:rPr>
          <w:szCs w:val="22"/>
        </w:rPr>
        <w:t>CAP</w:t>
      </w:r>
      <w:r w:rsidR="00CF13ED" w:rsidRPr="00C52B69">
        <w:rPr>
          <w:szCs w:val="22"/>
        </w:rPr>
        <w:t xml:space="preserve"> (referred to </w:t>
      </w:r>
      <w:r w:rsidR="000761CE" w:rsidRPr="00C52B69">
        <w:rPr>
          <w:szCs w:val="22"/>
        </w:rPr>
        <w:t xml:space="preserve">here </w:t>
      </w:r>
      <w:r w:rsidR="00CF13ED" w:rsidRPr="00C52B69">
        <w:rPr>
          <w:szCs w:val="22"/>
        </w:rPr>
        <w:t>as CAP)</w:t>
      </w:r>
      <w:r w:rsidR="00E47EDC" w:rsidRPr="00C52B69">
        <w:rPr>
          <w:szCs w:val="22"/>
        </w:rPr>
        <w:t>.</w:t>
      </w:r>
    </w:p>
    <w:p w:rsidR="00E47EDC" w:rsidRPr="00C52B69" w:rsidRDefault="00E47EDC" w:rsidP="00230BF2">
      <w:pPr>
        <w:pStyle w:val="ListParagraph"/>
        <w:widowControl/>
        <w:rPr>
          <w:snapToGrid/>
          <w:szCs w:val="22"/>
          <w:lang w:eastAsia="en-AU"/>
        </w:rPr>
      </w:pPr>
    </w:p>
    <w:p w:rsidR="0086677E" w:rsidRDefault="00E47EDC" w:rsidP="00230BF2">
      <w:pPr>
        <w:pStyle w:val="ListParagraph"/>
        <w:widowControl/>
        <w:numPr>
          <w:ilvl w:val="1"/>
          <w:numId w:val="3"/>
        </w:numPr>
        <w:rPr>
          <w:szCs w:val="22"/>
        </w:rPr>
      </w:pPr>
      <w:r w:rsidRPr="00C52B69">
        <w:rPr>
          <w:snapToGrid/>
          <w:szCs w:val="22"/>
          <w:lang w:eastAsia="en-AU"/>
        </w:rPr>
        <w:t>At the July 2015 meeting, t</w:t>
      </w:r>
      <w:r w:rsidR="0086677E" w:rsidRPr="00C52B69">
        <w:rPr>
          <w:snapToGrid/>
          <w:szCs w:val="22"/>
          <w:lang w:eastAsia="en-AU"/>
        </w:rPr>
        <w:t xml:space="preserve">he PBAC recommended that a single dose of 13vPCV be made available to pneumococcal vaccine naïve non-Indigenous adults aged 65 years and over and to pneumococcal vaccine naïve Indigenous adults aged 50 years and over. </w:t>
      </w:r>
      <w:r w:rsidR="00CF13ED" w:rsidRPr="00C52B69">
        <w:rPr>
          <w:snapToGrid/>
          <w:szCs w:val="22"/>
          <w:lang w:eastAsia="en-AU"/>
        </w:rPr>
        <w:t>T</w:t>
      </w:r>
      <w:r w:rsidR="0086677E" w:rsidRPr="00C52B69">
        <w:rPr>
          <w:snapToGrid/>
          <w:szCs w:val="22"/>
          <w:lang w:eastAsia="en-AU"/>
        </w:rPr>
        <w:t xml:space="preserve">his dose of 13vPCV </w:t>
      </w:r>
      <w:r w:rsidR="00CF13ED" w:rsidRPr="00C52B69">
        <w:rPr>
          <w:snapToGrid/>
          <w:szCs w:val="22"/>
          <w:lang w:eastAsia="en-AU"/>
        </w:rPr>
        <w:t>would</w:t>
      </w:r>
      <w:r w:rsidR="0086677E" w:rsidRPr="00C52B69">
        <w:rPr>
          <w:snapToGrid/>
          <w:szCs w:val="22"/>
          <w:lang w:eastAsia="en-AU"/>
        </w:rPr>
        <w:t xml:space="preserve"> replace the single dose (or the first dose for adults with risk factors) of 23vPPV that is currently provided to these populations (13vPCV PSD July 2015 paragraph 7.1). </w:t>
      </w:r>
      <w:r w:rsidR="00F33460" w:rsidRPr="00C52B69">
        <w:rPr>
          <w:snapToGrid/>
          <w:szCs w:val="22"/>
          <w:lang w:eastAsia="en-AU"/>
        </w:rPr>
        <w:t>I</w:t>
      </w:r>
      <w:r w:rsidR="0086677E" w:rsidRPr="00C52B69">
        <w:rPr>
          <w:snapToGrid/>
          <w:szCs w:val="22"/>
          <w:lang w:eastAsia="en-AU"/>
        </w:rPr>
        <w:t>ndividuals in specified at-risk groups would continue to receive 23vPPV five years following the primary dose of 13vPCV</w:t>
      </w:r>
      <w:r w:rsidRPr="00C52B69">
        <w:rPr>
          <w:snapToGrid/>
          <w:szCs w:val="22"/>
          <w:lang w:eastAsia="en-AU"/>
        </w:rPr>
        <w:t xml:space="preserve"> </w:t>
      </w:r>
      <w:r w:rsidR="0086677E" w:rsidRPr="00C52B69">
        <w:rPr>
          <w:snapToGrid/>
          <w:szCs w:val="22"/>
          <w:lang w:eastAsia="en-AU"/>
        </w:rPr>
        <w:t xml:space="preserve">(13vPCV PSD July 2015 paragraph 7.2). </w:t>
      </w:r>
      <w:r w:rsidR="00EF1C7E" w:rsidRPr="00C52B69">
        <w:rPr>
          <w:snapToGrid/>
          <w:szCs w:val="22"/>
          <w:lang w:eastAsia="en-AU"/>
        </w:rPr>
        <w:t>ATAGI advised that “the recommended vaccine schedule for adults with risk factors, including the optimum interval between doses of 13vPCV and 23vPPV in a sequential dosing schedule, is still under deliberation by ATAGI</w:t>
      </w:r>
      <w:r w:rsidR="00D325F1" w:rsidRPr="00C52B69">
        <w:rPr>
          <w:snapToGrid/>
          <w:szCs w:val="22"/>
          <w:lang w:eastAsia="en-AU"/>
        </w:rPr>
        <w:t xml:space="preserve"> (post-submission advice).</w:t>
      </w:r>
      <w:r w:rsidR="00DD369C" w:rsidRPr="00C52B69">
        <w:rPr>
          <w:szCs w:val="22"/>
        </w:rPr>
        <w:t xml:space="preserve"> </w:t>
      </w:r>
    </w:p>
    <w:p w:rsidR="00F749C8" w:rsidRPr="00F749C8" w:rsidRDefault="00F749C8" w:rsidP="00F749C8">
      <w:pPr>
        <w:pStyle w:val="ListParagraph"/>
        <w:rPr>
          <w:szCs w:val="22"/>
        </w:rPr>
      </w:pPr>
    </w:p>
    <w:p w:rsidR="00F749C8" w:rsidRPr="0005234D" w:rsidRDefault="00F749C8" w:rsidP="00F749C8">
      <w:pPr>
        <w:ind w:firstLine="720"/>
        <w:rPr>
          <w:bCs/>
          <w:szCs w:val="22"/>
        </w:rPr>
      </w:pPr>
      <w:r w:rsidRPr="002E3C94">
        <w:rPr>
          <w:bCs/>
          <w:i/>
          <w:szCs w:val="22"/>
        </w:rPr>
        <w:t>For more detail on PBAC’s view, see section 7 “PBAC outcome”</w:t>
      </w:r>
    </w:p>
    <w:p w:rsidR="00D21D2B" w:rsidRPr="00C52B69" w:rsidRDefault="00D21D2B" w:rsidP="00230BF2">
      <w:pPr>
        <w:pStyle w:val="ListParagraph"/>
        <w:widowControl/>
        <w:ind w:left="0"/>
        <w:rPr>
          <w:szCs w:val="22"/>
        </w:rPr>
      </w:pPr>
    </w:p>
    <w:p w:rsidR="00D21D2B" w:rsidRPr="00C52B69" w:rsidRDefault="00D21D2B" w:rsidP="00230BF2">
      <w:pPr>
        <w:pStyle w:val="ListParagraph"/>
        <w:widowControl/>
        <w:ind w:left="0"/>
        <w:rPr>
          <w:szCs w:val="22"/>
        </w:rPr>
      </w:pPr>
    </w:p>
    <w:p w:rsidR="00F338FF" w:rsidRPr="00C52B69" w:rsidRDefault="00F338FF" w:rsidP="0091638E">
      <w:pPr>
        <w:pStyle w:val="Heading1"/>
      </w:pPr>
      <w:bookmarkStart w:id="5" w:name="_Toc450632528"/>
      <w:r w:rsidRPr="00C52B69">
        <w:t>Comparator</w:t>
      </w:r>
      <w:bookmarkEnd w:id="5"/>
    </w:p>
    <w:p w:rsidR="00497F10" w:rsidRPr="00C52B69" w:rsidRDefault="00497F10" w:rsidP="00230BF2">
      <w:pPr>
        <w:widowControl/>
      </w:pPr>
    </w:p>
    <w:p w:rsidR="00B60939" w:rsidRPr="00F749C8" w:rsidRDefault="006523AA" w:rsidP="00230BF2">
      <w:pPr>
        <w:pStyle w:val="ListParagraph"/>
        <w:widowControl/>
        <w:numPr>
          <w:ilvl w:val="1"/>
          <w:numId w:val="3"/>
        </w:numPr>
        <w:rPr>
          <w:szCs w:val="22"/>
        </w:rPr>
      </w:pPr>
      <w:r w:rsidRPr="00C52B69">
        <w:t>The submission nominated 23vPPV</w:t>
      </w:r>
      <w:r w:rsidR="004D6AB2" w:rsidRPr="00C52B69">
        <w:t xml:space="preserve"> as the </w:t>
      </w:r>
      <w:r w:rsidR="00A51A1D" w:rsidRPr="00C52B69">
        <w:t xml:space="preserve">main </w:t>
      </w:r>
      <w:r w:rsidR="004D6AB2" w:rsidRPr="00C52B69">
        <w:t>comparator</w:t>
      </w:r>
      <w:r w:rsidRPr="00C52B69">
        <w:t xml:space="preserve">. </w:t>
      </w:r>
      <w:r w:rsidR="008E6B16" w:rsidRPr="00C52B69">
        <w:t>The</w:t>
      </w:r>
      <w:r w:rsidR="00B53E32" w:rsidRPr="00C52B69">
        <w:t xml:space="preserve"> ESC noted that the</w:t>
      </w:r>
      <w:r w:rsidR="008E6B16" w:rsidRPr="00C52B69">
        <w:t xml:space="preserve"> PBAC considered </w:t>
      </w:r>
      <w:r w:rsidR="00F33460" w:rsidRPr="00C52B69">
        <w:t>this</w:t>
      </w:r>
      <w:r w:rsidR="008E6B16" w:rsidRPr="00C52B69">
        <w:t xml:space="preserve"> </w:t>
      </w:r>
      <w:r w:rsidR="004D6AB2" w:rsidRPr="00C52B69">
        <w:t xml:space="preserve">was </w:t>
      </w:r>
      <w:r w:rsidR="008E6B16" w:rsidRPr="00C52B69">
        <w:t xml:space="preserve">the appropriate comparator for the </w:t>
      </w:r>
      <w:r w:rsidR="007918A8" w:rsidRPr="00C52B69">
        <w:t xml:space="preserve">March 2015 and </w:t>
      </w:r>
      <w:r w:rsidR="00E47EDC" w:rsidRPr="00C52B69">
        <w:t>July</w:t>
      </w:r>
      <w:r w:rsidR="00204853" w:rsidRPr="00C52B69">
        <w:t> </w:t>
      </w:r>
      <w:r w:rsidR="00E47EDC" w:rsidRPr="00C52B69">
        <w:t>201</w:t>
      </w:r>
      <w:r w:rsidR="007918A8" w:rsidRPr="00C52B69">
        <w:t>5</w:t>
      </w:r>
      <w:r w:rsidR="00E47EDC" w:rsidRPr="00C52B69">
        <w:t xml:space="preserve"> submission</w:t>
      </w:r>
      <w:r w:rsidR="007918A8" w:rsidRPr="00C52B69">
        <w:t>s</w:t>
      </w:r>
      <w:r w:rsidR="008E6B16" w:rsidRPr="00C52B69">
        <w:t>.</w:t>
      </w:r>
    </w:p>
    <w:p w:rsidR="00F749C8" w:rsidRPr="00F749C8" w:rsidRDefault="00F749C8" w:rsidP="00F749C8">
      <w:pPr>
        <w:pStyle w:val="ListParagraph"/>
        <w:widowControl/>
        <w:rPr>
          <w:szCs w:val="22"/>
        </w:rPr>
      </w:pPr>
    </w:p>
    <w:p w:rsidR="00F749C8" w:rsidRPr="00F749C8" w:rsidRDefault="00F749C8" w:rsidP="00F749C8">
      <w:pPr>
        <w:pStyle w:val="PBACheading1"/>
        <w:numPr>
          <w:ilvl w:val="0"/>
          <w:numId w:val="0"/>
        </w:numPr>
        <w:ind w:left="720"/>
        <w:rPr>
          <w:b w:val="0"/>
          <w:i/>
        </w:rPr>
      </w:pPr>
      <w:r w:rsidRPr="002E3C94">
        <w:rPr>
          <w:b w:val="0"/>
          <w:i/>
        </w:rPr>
        <w:lastRenderedPageBreak/>
        <w:t>For more detail on PBAC’s view, see section 7 “PBAC outcome”</w:t>
      </w:r>
    </w:p>
    <w:p w:rsidR="00E47EDC" w:rsidRPr="00C52B69" w:rsidRDefault="00E47EDC" w:rsidP="00230BF2">
      <w:pPr>
        <w:widowControl/>
      </w:pPr>
    </w:p>
    <w:p w:rsidR="00444F48" w:rsidRPr="00C52B69" w:rsidRDefault="00444F48" w:rsidP="00230BF2">
      <w:pPr>
        <w:widowControl/>
      </w:pPr>
    </w:p>
    <w:p w:rsidR="00D06FD4" w:rsidRDefault="00472359" w:rsidP="0091638E">
      <w:pPr>
        <w:pStyle w:val="Heading1"/>
      </w:pPr>
      <w:bookmarkStart w:id="6" w:name="_Toc450632529"/>
      <w:r w:rsidRPr="00C52B69">
        <w:t>C</w:t>
      </w:r>
      <w:r w:rsidR="00D06FD4" w:rsidRPr="00C52B69">
        <w:t>onsideration of the evidence</w:t>
      </w:r>
      <w:bookmarkEnd w:id="6"/>
    </w:p>
    <w:p w:rsidR="00F749C8" w:rsidRDefault="00F749C8" w:rsidP="00F749C8">
      <w:pPr>
        <w:rPr>
          <w:b/>
          <w:bCs/>
          <w:szCs w:val="22"/>
          <w:highlight w:val="yellow"/>
        </w:rPr>
      </w:pPr>
    </w:p>
    <w:p w:rsidR="00F749C8" w:rsidRPr="0091638E" w:rsidRDefault="00F749C8" w:rsidP="0091638E">
      <w:pPr>
        <w:pStyle w:val="Heading2"/>
      </w:pPr>
      <w:r w:rsidRPr="0091638E">
        <w:t>Sponsor hearing</w:t>
      </w:r>
    </w:p>
    <w:p w:rsidR="00F749C8" w:rsidRPr="006F7A7C" w:rsidRDefault="00F749C8" w:rsidP="00F749C8">
      <w:pPr>
        <w:rPr>
          <w:bCs/>
          <w:szCs w:val="22"/>
        </w:rPr>
      </w:pPr>
    </w:p>
    <w:p w:rsidR="006F7A7C" w:rsidRPr="006F7A7C" w:rsidRDefault="006F7A7C" w:rsidP="006F7A7C">
      <w:pPr>
        <w:widowControl/>
        <w:numPr>
          <w:ilvl w:val="1"/>
          <w:numId w:val="3"/>
        </w:numPr>
        <w:spacing w:after="120"/>
        <w:jc w:val="left"/>
        <w:rPr>
          <w:bCs/>
          <w:szCs w:val="22"/>
        </w:rPr>
      </w:pPr>
      <w:r w:rsidRPr="006F7A7C">
        <w:rPr>
          <w:bCs/>
          <w:szCs w:val="22"/>
        </w:rPr>
        <w:t>There was no hearing for this item.</w:t>
      </w:r>
    </w:p>
    <w:p w:rsidR="00F749C8" w:rsidRPr="006F7A7C" w:rsidRDefault="00F749C8" w:rsidP="00F749C8">
      <w:pPr>
        <w:rPr>
          <w:bCs/>
          <w:szCs w:val="22"/>
        </w:rPr>
      </w:pPr>
    </w:p>
    <w:p w:rsidR="00F749C8" w:rsidRPr="00CB0FEA" w:rsidRDefault="00F749C8" w:rsidP="0091638E">
      <w:pPr>
        <w:pStyle w:val="Heading2"/>
      </w:pPr>
      <w:r w:rsidRPr="00CB0FEA">
        <w:t>Consumer comments</w:t>
      </w:r>
    </w:p>
    <w:p w:rsidR="00F749C8" w:rsidRPr="00817EFB" w:rsidRDefault="00F749C8" w:rsidP="00F749C8">
      <w:pPr>
        <w:rPr>
          <w:b/>
          <w:bCs/>
          <w:szCs w:val="22"/>
          <w:highlight w:val="yellow"/>
        </w:rPr>
      </w:pPr>
    </w:p>
    <w:p w:rsidR="006F7A7C" w:rsidRPr="006F7A7C" w:rsidRDefault="006F7A7C" w:rsidP="006F7A7C">
      <w:pPr>
        <w:widowControl/>
        <w:numPr>
          <w:ilvl w:val="1"/>
          <w:numId w:val="3"/>
        </w:numPr>
        <w:spacing w:after="120"/>
        <w:rPr>
          <w:bCs/>
          <w:szCs w:val="22"/>
        </w:rPr>
      </w:pPr>
      <w:r w:rsidRPr="0049274D">
        <w:rPr>
          <w:bCs/>
        </w:rPr>
        <w:t>T</w:t>
      </w:r>
      <w:r w:rsidRPr="0049274D">
        <w:rPr>
          <w:bCs/>
          <w:szCs w:val="22"/>
        </w:rPr>
        <w:t xml:space="preserve">he PBAC noted and welcomed the input from individuals (3) and an organisation (1) via the Consumer Comments facility on the PBS website. The comments described the debilitating symptoms of pneumonia. </w:t>
      </w:r>
      <w:r w:rsidRPr="006F7A7C">
        <w:rPr>
          <w:bCs/>
          <w:szCs w:val="22"/>
        </w:rPr>
        <w:t xml:space="preserve">The PBAC noted the advice received from </w:t>
      </w:r>
      <w:r w:rsidR="00327EBD">
        <w:rPr>
          <w:bCs/>
          <w:szCs w:val="22"/>
        </w:rPr>
        <w:t xml:space="preserve">the </w:t>
      </w:r>
      <w:r w:rsidRPr="006F7A7C">
        <w:rPr>
          <w:bCs/>
          <w:szCs w:val="22"/>
        </w:rPr>
        <w:t xml:space="preserve">Lung Foundation Australia clarifying the health burden of pneumonia and the need for further awareness of the </w:t>
      </w:r>
      <w:r w:rsidR="000A13EA">
        <w:rPr>
          <w:bCs/>
          <w:szCs w:val="22"/>
        </w:rPr>
        <w:t>benefit</w:t>
      </w:r>
      <w:r w:rsidRPr="006F7A7C">
        <w:rPr>
          <w:bCs/>
          <w:szCs w:val="22"/>
        </w:rPr>
        <w:t xml:space="preserve"> </w:t>
      </w:r>
      <w:r w:rsidR="000A13EA">
        <w:rPr>
          <w:bCs/>
          <w:szCs w:val="22"/>
        </w:rPr>
        <w:t xml:space="preserve">of </w:t>
      </w:r>
      <w:r w:rsidRPr="006F7A7C">
        <w:rPr>
          <w:bCs/>
          <w:szCs w:val="22"/>
        </w:rPr>
        <w:t>pneumococcal vaccination in older Australians and other high risk populations.</w:t>
      </w:r>
    </w:p>
    <w:p w:rsidR="00B60939" w:rsidRPr="00C52B69" w:rsidRDefault="00B60939" w:rsidP="00230BF2">
      <w:pPr>
        <w:keepNext/>
        <w:widowControl/>
        <w:rPr>
          <w:b/>
          <w:szCs w:val="22"/>
        </w:rPr>
      </w:pPr>
    </w:p>
    <w:p w:rsidR="00B60939" w:rsidRPr="00CB0FEA" w:rsidRDefault="00B60939" w:rsidP="0091638E">
      <w:pPr>
        <w:pStyle w:val="Heading2"/>
      </w:pPr>
      <w:bookmarkStart w:id="7" w:name="_Toc450632530"/>
      <w:r w:rsidRPr="00CB0FEA">
        <w:t>Clinical trials</w:t>
      </w:r>
      <w:bookmarkEnd w:id="7"/>
    </w:p>
    <w:p w:rsidR="00B60939" w:rsidRPr="00C52B69" w:rsidRDefault="00B60939" w:rsidP="00230BF2">
      <w:pPr>
        <w:keepNext/>
        <w:widowControl/>
        <w:rPr>
          <w:szCs w:val="22"/>
        </w:rPr>
      </w:pPr>
    </w:p>
    <w:p w:rsidR="00C7779F" w:rsidRPr="00C52B69" w:rsidRDefault="0020598D" w:rsidP="00230BF2">
      <w:pPr>
        <w:pStyle w:val="ListParagraph"/>
        <w:widowControl/>
        <w:numPr>
          <w:ilvl w:val="1"/>
          <w:numId w:val="3"/>
        </w:numPr>
        <w:rPr>
          <w:szCs w:val="22"/>
        </w:rPr>
      </w:pPr>
      <w:r w:rsidRPr="00C52B69">
        <w:t>The key clinical evidence for 13vPCV and 23vPPV remain</w:t>
      </w:r>
      <w:r w:rsidR="00B0511A" w:rsidRPr="00C52B69">
        <w:t>ed</w:t>
      </w:r>
      <w:r w:rsidRPr="00C52B69">
        <w:t xml:space="preserve"> unchanged from that presented in the March 2015 and July 2015 submissions. The </w:t>
      </w:r>
      <w:r w:rsidR="00B0511A" w:rsidRPr="00C52B69">
        <w:t xml:space="preserve">current </w:t>
      </w:r>
      <w:r w:rsidRPr="00C52B69">
        <w:t xml:space="preserve">submission </w:t>
      </w:r>
      <w:r w:rsidR="00B0511A" w:rsidRPr="00C52B69">
        <w:t>wa</w:t>
      </w:r>
      <w:r w:rsidRPr="00C52B69">
        <w:t>s based on</w:t>
      </w:r>
      <w:r w:rsidR="00C7779F" w:rsidRPr="00C52B69">
        <w:t>:</w:t>
      </w:r>
    </w:p>
    <w:p w:rsidR="00C7779F" w:rsidRPr="00C52B69" w:rsidRDefault="00C7779F" w:rsidP="00230BF2">
      <w:pPr>
        <w:pStyle w:val="ListParagraph"/>
        <w:widowControl/>
        <w:numPr>
          <w:ilvl w:val="0"/>
          <w:numId w:val="13"/>
        </w:numPr>
        <w:ind w:left="993" w:hanging="284"/>
      </w:pPr>
      <w:r w:rsidRPr="00C52B69">
        <w:t>One 13vPCV placebo-controlled efficacy trial (</w:t>
      </w:r>
      <w:proofErr w:type="spellStart"/>
      <w:r w:rsidRPr="00C52B69">
        <w:t>CAPiTA</w:t>
      </w:r>
      <w:proofErr w:type="spellEnd"/>
      <w:r w:rsidRPr="00C52B69">
        <w:t>)</w:t>
      </w:r>
    </w:p>
    <w:p w:rsidR="00C7779F" w:rsidRPr="00C52B69" w:rsidRDefault="00C7779F" w:rsidP="00230BF2">
      <w:pPr>
        <w:pStyle w:val="ListParagraph"/>
        <w:widowControl/>
        <w:numPr>
          <w:ilvl w:val="0"/>
          <w:numId w:val="13"/>
        </w:numPr>
        <w:ind w:left="993" w:hanging="284"/>
      </w:pPr>
      <w:r w:rsidRPr="00C52B69">
        <w:t xml:space="preserve">A meta-analysis of 5 randomised efficacy trials of 23vPPV in adults reporting the incidence of </w:t>
      </w:r>
      <w:r w:rsidR="00CF13ED" w:rsidRPr="00C52B69">
        <w:t>CAP</w:t>
      </w:r>
    </w:p>
    <w:p w:rsidR="00C7779F" w:rsidRPr="00C52B69" w:rsidRDefault="00C7779F" w:rsidP="00230BF2">
      <w:pPr>
        <w:pStyle w:val="ListParagraph"/>
        <w:widowControl/>
        <w:numPr>
          <w:ilvl w:val="0"/>
          <w:numId w:val="13"/>
        </w:numPr>
        <w:ind w:left="993" w:hanging="284"/>
      </w:pPr>
      <w:r w:rsidRPr="00C52B69">
        <w:t>A meta-analysis of 12 non-randomised studies of 23vPPV in adults reporting the incidence of IPD</w:t>
      </w:r>
      <w:r w:rsidR="00B22BDF" w:rsidRPr="00C52B69">
        <w:t xml:space="preserve"> (including Gutiérrez Rodríguez 2014 and </w:t>
      </w:r>
      <w:proofErr w:type="spellStart"/>
      <w:r w:rsidR="00B22BDF" w:rsidRPr="00C52B69">
        <w:t>Leventer</w:t>
      </w:r>
      <w:proofErr w:type="spellEnd"/>
      <w:r w:rsidR="00B22BDF" w:rsidRPr="00C52B69">
        <w:t xml:space="preserve"> Roberts 2015 not previously presented)</w:t>
      </w:r>
    </w:p>
    <w:p w:rsidR="00C7779F" w:rsidRPr="00C52B69" w:rsidRDefault="00C7779F" w:rsidP="00230BF2">
      <w:pPr>
        <w:pStyle w:val="ListParagraph"/>
        <w:widowControl/>
        <w:numPr>
          <w:ilvl w:val="0"/>
          <w:numId w:val="13"/>
        </w:numPr>
        <w:ind w:left="993" w:hanging="284"/>
      </w:pPr>
      <w:r w:rsidRPr="00C52B69">
        <w:t>16 immunogenicity studies including 13vPCV</w:t>
      </w:r>
      <w:r w:rsidR="00B22BDF" w:rsidRPr="00C52B69">
        <w:t xml:space="preserve"> (including studies B1851138 and B1851020 not previously presented)</w:t>
      </w:r>
      <w:r w:rsidR="00646089" w:rsidRPr="00C52B69">
        <w:t>.</w:t>
      </w:r>
    </w:p>
    <w:p w:rsidR="00622941" w:rsidRPr="00C52B69" w:rsidRDefault="00622941" w:rsidP="00230BF2">
      <w:pPr>
        <w:pStyle w:val="ListParagraph"/>
        <w:widowControl/>
        <w:rPr>
          <w:szCs w:val="22"/>
        </w:rPr>
      </w:pPr>
    </w:p>
    <w:p w:rsidR="001B6188" w:rsidRPr="00C52B69" w:rsidRDefault="001B6188" w:rsidP="00230BF2">
      <w:pPr>
        <w:pStyle w:val="ListParagraph"/>
        <w:widowControl/>
        <w:numPr>
          <w:ilvl w:val="1"/>
          <w:numId w:val="3"/>
        </w:numPr>
        <w:rPr>
          <w:szCs w:val="22"/>
        </w:rPr>
      </w:pPr>
      <w:r w:rsidRPr="00C52B69">
        <w:rPr>
          <w:szCs w:val="22"/>
        </w:rPr>
        <w:t xml:space="preserve">Details of the </w:t>
      </w:r>
      <w:r w:rsidR="00A51A1D" w:rsidRPr="00C52B69">
        <w:rPr>
          <w:szCs w:val="22"/>
        </w:rPr>
        <w:t xml:space="preserve">additional </w:t>
      </w:r>
      <w:r w:rsidR="00C87E46" w:rsidRPr="00C52B69">
        <w:rPr>
          <w:szCs w:val="22"/>
        </w:rPr>
        <w:t xml:space="preserve">studies </w:t>
      </w:r>
      <w:r w:rsidR="00A51A1D" w:rsidRPr="00C52B69">
        <w:rPr>
          <w:szCs w:val="22"/>
        </w:rPr>
        <w:t xml:space="preserve">and an additional reference for </w:t>
      </w:r>
      <w:proofErr w:type="spellStart"/>
      <w:r w:rsidR="00A51A1D" w:rsidRPr="00C52B69">
        <w:rPr>
          <w:szCs w:val="22"/>
        </w:rPr>
        <w:t>CAPiTA</w:t>
      </w:r>
      <w:proofErr w:type="spellEnd"/>
      <w:r w:rsidR="00C87E46" w:rsidRPr="00C52B69">
        <w:rPr>
          <w:szCs w:val="22"/>
        </w:rPr>
        <w:t xml:space="preserve"> </w:t>
      </w:r>
      <w:r w:rsidRPr="00C52B69">
        <w:rPr>
          <w:szCs w:val="22"/>
        </w:rPr>
        <w:t xml:space="preserve">presented in the </w:t>
      </w:r>
      <w:r w:rsidR="00A51A1D" w:rsidRPr="00C52B69">
        <w:rPr>
          <w:szCs w:val="22"/>
        </w:rPr>
        <w:t xml:space="preserve">current </w:t>
      </w:r>
      <w:r w:rsidRPr="00C52B69">
        <w:rPr>
          <w:szCs w:val="22"/>
        </w:rPr>
        <w:t>submission are pro</w:t>
      </w:r>
      <w:r w:rsidR="00500BBB" w:rsidRPr="00C52B69">
        <w:rPr>
          <w:szCs w:val="22"/>
        </w:rPr>
        <w:t xml:space="preserve">vided in </w:t>
      </w:r>
      <w:r w:rsidR="00204853" w:rsidRPr="00C52B69">
        <w:rPr>
          <w:szCs w:val="22"/>
        </w:rPr>
        <w:t>Table 1</w:t>
      </w:r>
      <w:r w:rsidR="00A51A1D" w:rsidRPr="00C52B69">
        <w:rPr>
          <w:szCs w:val="22"/>
        </w:rPr>
        <w:t xml:space="preserve"> (refer to the March 2015 PSD for the remaining trials</w:t>
      </w:r>
      <w:r w:rsidR="00C87E46" w:rsidRPr="00C52B69">
        <w:rPr>
          <w:szCs w:val="22"/>
        </w:rPr>
        <w:t xml:space="preserve"> and associated reports</w:t>
      </w:r>
      <w:r w:rsidR="00A51A1D" w:rsidRPr="00C52B69">
        <w:rPr>
          <w:szCs w:val="22"/>
        </w:rPr>
        <w:t>)</w:t>
      </w:r>
      <w:r w:rsidR="00500BBB" w:rsidRPr="00C52B69">
        <w:rPr>
          <w:szCs w:val="22"/>
        </w:rPr>
        <w:t>.</w:t>
      </w:r>
    </w:p>
    <w:p w:rsidR="001B6188" w:rsidRPr="00700585" w:rsidRDefault="001B6188" w:rsidP="00230BF2">
      <w:pPr>
        <w:widowControl/>
        <w:rPr>
          <w:szCs w:val="22"/>
        </w:rPr>
      </w:pPr>
    </w:p>
    <w:p w:rsidR="00961AF9" w:rsidRPr="00700585" w:rsidRDefault="00961AF9" w:rsidP="00230BF2">
      <w:pPr>
        <w:keepNext/>
        <w:widowControl/>
        <w:ind w:firstLine="720"/>
        <w:rPr>
          <w:rStyle w:val="CommentReference"/>
        </w:rPr>
      </w:pPr>
      <w:r w:rsidRPr="00700585">
        <w:rPr>
          <w:rStyle w:val="CommentReference"/>
        </w:rPr>
        <w:t xml:space="preserve">Table </w:t>
      </w:r>
      <w:r w:rsidR="00067C4B" w:rsidRPr="00700585">
        <w:rPr>
          <w:rStyle w:val="CommentReference"/>
        </w:rPr>
        <w:t>1</w:t>
      </w:r>
      <w:r w:rsidRPr="00700585">
        <w:rPr>
          <w:rStyle w:val="CommentReference"/>
        </w:rPr>
        <w:t xml:space="preserve">: </w:t>
      </w:r>
      <w:r w:rsidR="00A51A1D" w:rsidRPr="007A0225">
        <w:rPr>
          <w:rStyle w:val="CommentReference"/>
        </w:rPr>
        <w:t>Additional</w:t>
      </w:r>
      <w:r w:rsidR="00A51A1D" w:rsidRPr="00A51A1D">
        <w:rPr>
          <w:rStyle w:val="CommentReference"/>
          <w:i/>
        </w:rPr>
        <w:t xml:space="preserve"> </w:t>
      </w:r>
      <w:r w:rsidR="00A51A1D">
        <w:rPr>
          <w:rStyle w:val="CommentReference"/>
        </w:rPr>
        <w:t>t</w:t>
      </w:r>
      <w:r w:rsidRPr="00700585">
        <w:rPr>
          <w:rStyle w:val="CommentReference"/>
        </w:rPr>
        <w: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24"/>
        <w:gridCol w:w="5316"/>
        <w:gridCol w:w="53"/>
        <w:gridCol w:w="1652"/>
      </w:tblGrid>
      <w:tr w:rsidR="00700585" w:rsidRPr="00700585" w:rsidTr="006F3296">
        <w:trPr>
          <w:cantSplit/>
          <w:tblHeader/>
        </w:trPr>
        <w:tc>
          <w:tcPr>
            <w:tcW w:w="793" w:type="pct"/>
          </w:tcPr>
          <w:p w:rsidR="008003E1" w:rsidRPr="00700585" w:rsidRDefault="008003E1" w:rsidP="00230BF2">
            <w:pPr>
              <w:keepNext/>
              <w:widowControl/>
              <w:jc w:val="left"/>
              <w:rPr>
                <w:rFonts w:ascii="Arial Narrow" w:hAnsi="Arial Narrow"/>
                <w:b/>
                <w:sz w:val="20"/>
              </w:rPr>
            </w:pPr>
            <w:r w:rsidRPr="00700585">
              <w:rPr>
                <w:rFonts w:ascii="Arial Narrow" w:hAnsi="Arial Narrow"/>
                <w:b/>
                <w:sz w:val="20"/>
              </w:rPr>
              <w:t>Trial ID</w:t>
            </w:r>
          </w:p>
        </w:tc>
        <w:tc>
          <w:tcPr>
            <w:tcW w:w="3185" w:type="pct"/>
          </w:tcPr>
          <w:p w:rsidR="008003E1" w:rsidRPr="00700585" w:rsidRDefault="008003E1" w:rsidP="00230BF2">
            <w:pPr>
              <w:keepNext/>
              <w:widowControl/>
              <w:jc w:val="center"/>
              <w:rPr>
                <w:rFonts w:ascii="Arial Narrow" w:hAnsi="Arial Narrow"/>
                <w:b/>
                <w:sz w:val="20"/>
              </w:rPr>
            </w:pPr>
            <w:r w:rsidRPr="00700585">
              <w:rPr>
                <w:rFonts w:ascii="Arial Narrow" w:hAnsi="Arial Narrow"/>
                <w:b/>
                <w:sz w:val="20"/>
              </w:rPr>
              <w:t>Protocol title/ Publication title</w:t>
            </w:r>
          </w:p>
        </w:tc>
        <w:tc>
          <w:tcPr>
            <w:tcW w:w="1022" w:type="pct"/>
            <w:gridSpan w:val="2"/>
          </w:tcPr>
          <w:p w:rsidR="008003E1" w:rsidRPr="00700585" w:rsidRDefault="008003E1" w:rsidP="00230BF2">
            <w:pPr>
              <w:keepNext/>
              <w:widowControl/>
              <w:jc w:val="center"/>
              <w:rPr>
                <w:rFonts w:ascii="Arial Narrow" w:hAnsi="Arial Narrow"/>
                <w:b/>
                <w:sz w:val="20"/>
              </w:rPr>
            </w:pPr>
            <w:r w:rsidRPr="00700585">
              <w:rPr>
                <w:rFonts w:ascii="Arial Narrow" w:hAnsi="Arial Narrow"/>
                <w:b/>
                <w:sz w:val="20"/>
              </w:rPr>
              <w:t>Publication citation</w:t>
            </w:r>
          </w:p>
        </w:tc>
      </w:tr>
      <w:tr w:rsidR="00700585" w:rsidRPr="00700585" w:rsidTr="006F3296">
        <w:trPr>
          <w:cantSplit/>
        </w:trPr>
        <w:tc>
          <w:tcPr>
            <w:tcW w:w="5000" w:type="pct"/>
            <w:gridSpan w:val="4"/>
            <w:tcBorders>
              <w:bottom w:val="single" w:sz="4" w:space="0" w:color="auto"/>
            </w:tcBorders>
          </w:tcPr>
          <w:p w:rsidR="008003E1" w:rsidRPr="00700585" w:rsidRDefault="008003E1" w:rsidP="00230BF2">
            <w:pPr>
              <w:widowControl/>
              <w:jc w:val="left"/>
              <w:rPr>
                <w:rFonts w:ascii="Arial Narrow" w:hAnsi="Arial Narrow"/>
                <w:b/>
                <w:sz w:val="20"/>
              </w:rPr>
            </w:pPr>
            <w:r w:rsidRPr="00700585">
              <w:rPr>
                <w:rFonts w:ascii="Arial Narrow" w:hAnsi="Arial Narrow"/>
                <w:b/>
                <w:sz w:val="20"/>
              </w:rPr>
              <w:t>Proposed vaccine: 13vPCV randomised trial</w:t>
            </w:r>
          </w:p>
        </w:tc>
      </w:tr>
      <w:tr w:rsidR="00700585" w:rsidRPr="00700585" w:rsidTr="006F3296">
        <w:trPr>
          <w:cantSplit/>
        </w:trPr>
        <w:tc>
          <w:tcPr>
            <w:tcW w:w="793" w:type="pct"/>
            <w:tcBorders>
              <w:bottom w:val="nil"/>
            </w:tcBorders>
          </w:tcPr>
          <w:p w:rsidR="008003E1" w:rsidRPr="00700585" w:rsidRDefault="008003E1" w:rsidP="00230BF2">
            <w:pPr>
              <w:widowControl/>
              <w:jc w:val="left"/>
              <w:rPr>
                <w:rFonts w:ascii="Arial Narrow" w:hAnsi="Arial Narrow"/>
                <w:sz w:val="20"/>
              </w:rPr>
            </w:pPr>
            <w:proofErr w:type="spellStart"/>
            <w:r w:rsidRPr="00700585">
              <w:rPr>
                <w:rFonts w:ascii="Arial Narrow" w:hAnsi="Arial Narrow"/>
                <w:sz w:val="20"/>
              </w:rPr>
              <w:t>CAPiTA</w:t>
            </w:r>
            <w:proofErr w:type="spellEnd"/>
          </w:p>
        </w:tc>
        <w:tc>
          <w:tcPr>
            <w:tcW w:w="3185" w:type="pct"/>
            <w:tcBorders>
              <w:bottom w:val="nil"/>
            </w:tcBorders>
          </w:tcPr>
          <w:p w:rsidR="008003E1" w:rsidRPr="00700585" w:rsidRDefault="008003E1" w:rsidP="00230BF2">
            <w:pPr>
              <w:pStyle w:val="Text"/>
              <w:spacing w:after="60" w:line="240" w:lineRule="auto"/>
              <w:jc w:val="left"/>
              <w:rPr>
                <w:rFonts w:ascii="Arial Narrow" w:hAnsi="Arial Narrow"/>
                <w:sz w:val="20"/>
              </w:rPr>
            </w:pPr>
            <w:r w:rsidRPr="00700585">
              <w:rPr>
                <w:rFonts w:ascii="Arial Narrow" w:hAnsi="Arial Narrow"/>
                <w:sz w:val="20"/>
              </w:rPr>
              <w:t>Final report: a phase 4, randomised, placebo</w:t>
            </w:r>
            <w:r w:rsidRPr="00700585">
              <w:rPr>
                <w:rFonts w:ascii="Arial Narrow" w:hAnsi="Arial Narrow"/>
                <w:sz w:val="20"/>
              </w:rPr>
              <w:noBreakHyphen/>
              <w:t>controlled clinical trial of 13</w:t>
            </w:r>
            <w:r w:rsidRPr="00700585">
              <w:rPr>
                <w:rFonts w:ascii="Arial Narrow" w:hAnsi="Arial Narrow"/>
                <w:sz w:val="20"/>
              </w:rPr>
              <w:noBreakHyphen/>
              <w:t>valent pneumococcal conjugate vaccine efficacy in prevention of vaccine</w:t>
            </w:r>
            <w:r w:rsidRPr="00700585">
              <w:rPr>
                <w:rFonts w:ascii="Arial Narrow" w:hAnsi="Arial Narrow"/>
                <w:sz w:val="20"/>
              </w:rPr>
              <w:noBreakHyphen/>
              <w:t>serotype pneumococcal community</w:t>
            </w:r>
            <w:r w:rsidRPr="00700585">
              <w:rPr>
                <w:rFonts w:ascii="Arial Narrow" w:hAnsi="Arial Narrow"/>
                <w:sz w:val="20"/>
              </w:rPr>
              <w:noBreakHyphen/>
              <w:t>acquired pneumonia and invasive pneumococcal disease.</w:t>
            </w:r>
          </w:p>
        </w:tc>
        <w:tc>
          <w:tcPr>
            <w:tcW w:w="1022" w:type="pct"/>
            <w:gridSpan w:val="2"/>
            <w:tcBorders>
              <w:bottom w:val="nil"/>
            </w:tcBorders>
          </w:tcPr>
          <w:p w:rsidR="008003E1" w:rsidRPr="00700585" w:rsidRDefault="008003E1" w:rsidP="00230BF2">
            <w:pPr>
              <w:widowControl/>
              <w:jc w:val="left"/>
              <w:rPr>
                <w:rFonts w:ascii="Arial Narrow" w:hAnsi="Arial Narrow"/>
                <w:sz w:val="20"/>
              </w:rPr>
            </w:pPr>
            <w:r w:rsidRPr="00700585">
              <w:rPr>
                <w:rFonts w:ascii="Arial Narrow" w:hAnsi="Arial Narrow"/>
                <w:sz w:val="20"/>
              </w:rPr>
              <w:t>22 May 2014</w:t>
            </w:r>
          </w:p>
          <w:p w:rsidR="008003E1" w:rsidRPr="00700585" w:rsidRDefault="008003E1" w:rsidP="00230BF2">
            <w:pPr>
              <w:widowControl/>
              <w:jc w:val="left"/>
              <w:rPr>
                <w:rFonts w:ascii="Arial Narrow" w:hAnsi="Arial Narrow"/>
                <w:sz w:val="20"/>
              </w:rPr>
            </w:pPr>
          </w:p>
          <w:p w:rsidR="008003E1" w:rsidRPr="00700585" w:rsidRDefault="008003E1" w:rsidP="00230BF2">
            <w:pPr>
              <w:widowControl/>
              <w:jc w:val="left"/>
              <w:rPr>
                <w:rFonts w:ascii="Arial Narrow" w:hAnsi="Arial Narrow"/>
                <w:sz w:val="20"/>
              </w:rPr>
            </w:pPr>
          </w:p>
          <w:p w:rsidR="008003E1" w:rsidRPr="00700585" w:rsidRDefault="008003E1" w:rsidP="00230BF2">
            <w:pPr>
              <w:widowControl/>
              <w:jc w:val="left"/>
              <w:rPr>
                <w:rFonts w:ascii="Arial Narrow" w:hAnsi="Arial Narrow"/>
                <w:b/>
                <w:sz w:val="20"/>
              </w:rPr>
            </w:pPr>
          </w:p>
        </w:tc>
      </w:tr>
      <w:tr w:rsidR="00700585" w:rsidRPr="00700585" w:rsidTr="006F3296">
        <w:trPr>
          <w:cantSplit/>
        </w:trPr>
        <w:tc>
          <w:tcPr>
            <w:tcW w:w="793" w:type="pct"/>
            <w:tcBorders>
              <w:top w:val="nil"/>
            </w:tcBorders>
          </w:tcPr>
          <w:p w:rsidR="008003E1" w:rsidRPr="00A51A1D" w:rsidRDefault="00067C4B" w:rsidP="00230BF2">
            <w:pPr>
              <w:widowControl/>
              <w:jc w:val="left"/>
              <w:rPr>
                <w:rFonts w:ascii="Arial Narrow" w:hAnsi="Arial Narrow"/>
                <w:sz w:val="20"/>
              </w:rPr>
            </w:pPr>
            <w:r w:rsidRPr="00A51A1D">
              <w:rPr>
                <w:rFonts w:ascii="Arial Narrow" w:hAnsi="Arial Narrow"/>
                <w:sz w:val="20"/>
              </w:rPr>
              <w:t>New reference</w:t>
            </w:r>
          </w:p>
        </w:tc>
        <w:tc>
          <w:tcPr>
            <w:tcW w:w="3185" w:type="pct"/>
            <w:tcBorders>
              <w:top w:val="nil"/>
            </w:tcBorders>
          </w:tcPr>
          <w:p w:rsidR="008003E1" w:rsidRPr="00700585" w:rsidRDefault="008003E1" w:rsidP="00230BF2">
            <w:pPr>
              <w:widowControl/>
              <w:jc w:val="left"/>
              <w:rPr>
                <w:rFonts w:ascii="Arial Narrow" w:hAnsi="Arial Narrow"/>
                <w:i/>
                <w:sz w:val="20"/>
              </w:rPr>
            </w:pPr>
            <w:proofErr w:type="spellStart"/>
            <w:r w:rsidRPr="00700585">
              <w:rPr>
                <w:rFonts w:ascii="Arial Narrow" w:hAnsi="Arial Narrow"/>
                <w:sz w:val="20"/>
              </w:rPr>
              <w:t>Bonten</w:t>
            </w:r>
            <w:proofErr w:type="spellEnd"/>
            <w:r w:rsidRPr="00700585">
              <w:rPr>
                <w:rFonts w:ascii="Arial Narrow" w:hAnsi="Arial Narrow"/>
                <w:sz w:val="20"/>
              </w:rPr>
              <w:t xml:space="preserve"> MJ, </w:t>
            </w:r>
            <w:proofErr w:type="spellStart"/>
            <w:r w:rsidRPr="00700585">
              <w:rPr>
                <w:rFonts w:ascii="Arial Narrow" w:hAnsi="Arial Narrow"/>
                <w:sz w:val="20"/>
              </w:rPr>
              <w:t>Huijts</w:t>
            </w:r>
            <w:proofErr w:type="spellEnd"/>
            <w:r w:rsidRPr="00700585">
              <w:rPr>
                <w:rFonts w:ascii="Arial Narrow" w:hAnsi="Arial Narrow"/>
                <w:sz w:val="20"/>
              </w:rPr>
              <w:t xml:space="preserve"> SM, </w:t>
            </w:r>
            <w:proofErr w:type="spellStart"/>
            <w:r w:rsidRPr="00700585">
              <w:rPr>
                <w:rFonts w:ascii="Arial Narrow" w:hAnsi="Arial Narrow"/>
                <w:sz w:val="20"/>
              </w:rPr>
              <w:t>Bolkenbaas</w:t>
            </w:r>
            <w:proofErr w:type="spellEnd"/>
            <w:r w:rsidRPr="00700585">
              <w:rPr>
                <w:rFonts w:ascii="Arial Narrow" w:hAnsi="Arial Narrow"/>
                <w:sz w:val="20"/>
              </w:rPr>
              <w:t xml:space="preserve"> M, </w:t>
            </w:r>
            <w:r w:rsidRPr="00700585">
              <w:rPr>
                <w:rFonts w:ascii="Arial Narrow" w:hAnsi="Arial Narrow"/>
                <w:i/>
                <w:sz w:val="20"/>
              </w:rPr>
              <w:t>et al</w:t>
            </w:r>
            <w:r w:rsidRPr="00700585">
              <w:rPr>
                <w:rFonts w:ascii="Arial Narrow" w:hAnsi="Arial Narrow"/>
                <w:sz w:val="20"/>
              </w:rPr>
              <w:t xml:space="preserve">. Polysaccharide conjugate vaccine pneumococcal pneumonia in adults. </w:t>
            </w:r>
          </w:p>
        </w:tc>
        <w:tc>
          <w:tcPr>
            <w:tcW w:w="1022" w:type="pct"/>
            <w:gridSpan w:val="2"/>
            <w:tcBorders>
              <w:top w:val="nil"/>
            </w:tcBorders>
          </w:tcPr>
          <w:p w:rsidR="008003E1" w:rsidRPr="00700585" w:rsidRDefault="008003E1" w:rsidP="00230BF2">
            <w:pPr>
              <w:widowControl/>
              <w:jc w:val="left"/>
              <w:rPr>
                <w:rFonts w:ascii="Arial Narrow" w:hAnsi="Arial Narrow"/>
                <w:sz w:val="20"/>
              </w:rPr>
            </w:pPr>
            <w:r w:rsidRPr="00700585">
              <w:rPr>
                <w:rFonts w:ascii="Arial Narrow" w:hAnsi="Arial Narrow"/>
                <w:sz w:val="20"/>
              </w:rPr>
              <w:t xml:space="preserve">N </w:t>
            </w:r>
            <w:proofErr w:type="spellStart"/>
            <w:r w:rsidRPr="00700585">
              <w:rPr>
                <w:rFonts w:ascii="Arial Narrow" w:hAnsi="Arial Narrow"/>
                <w:sz w:val="20"/>
              </w:rPr>
              <w:t>Engl</w:t>
            </w:r>
            <w:proofErr w:type="spellEnd"/>
            <w:r w:rsidRPr="00700585">
              <w:rPr>
                <w:rFonts w:ascii="Arial Narrow" w:hAnsi="Arial Narrow"/>
                <w:sz w:val="20"/>
              </w:rPr>
              <w:t xml:space="preserve"> J Med 2015; 372:1114</w:t>
            </w:r>
            <w:r w:rsidRPr="00700585">
              <w:rPr>
                <w:rFonts w:ascii="Arial Narrow" w:hAnsi="Arial Narrow"/>
                <w:sz w:val="20"/>
              </w:rPr>
              <w:noBreakHyphen/>
              <w:t>25.</w:t>
            </w:r>
          </w:p>
        </w:tc>
      </w:tr>
      <w:tr w:rsidR="00204853" w:rsidRPr="00700585" w:rsidTr="00204853">
        <w:trPr>
          <w:cantSplit/>
        </w:trPr>
        <w:tc>
          <w:tcPr>
            <w:tcW w:w="5000" w:type="pct"/>
            <w:gridSpan w:val="4"/>
            <w:tcBorders>
              <w:top w:val="nil"/>
            </w:tcBorders>
          </w:tcPr>
          <w:p w:rsidR="00204853" w:rsidRPr="00700585" w:rsidRDefault="00204853" w:rsidP="00230BF2">
            <w:pPr>
              <w:widowControl/>
              <w:jc w:val="left"/>
              <w:rPr>
                <w:rFonts w:ascii="Arial Narrow" w:hAnsi="Arial Narrow"/>
                <w:sz w:val="20"/>
              </w:rPr>
            </w:pPr>
            <w:r w:rsidRPr="00700585">
              <w:rPr>
                <w:rFonts w:ascii="Arial Narrow" w:hAnsi="Arial Narrow"/>
                <w:b/>
                <w:sz w:val="20"/>
              </w:rPr>
              <w:t>Comparator vaccine: 23vPPV non-randomised studies</w:t>
            </w:r>
          </w:p>
        </w:tc>
      </w:tr>
      <w:tr w:rsidR="00204853" w:rsidRPr="00700585" w:rsidTr="00204853">
        <w:trPr>
          <w:cantSplit/>
        </w:trPr>
        <w:tc>
          <w:tcPr>
            <w:tcW w:w="793" w:type="pct"/>
            <w:tcBorders>
              <w:top w:val="nil"/>
            </w:tcBorders>
            <w:vAlign w:val="center"/>
          </w:tcPr>
          <w:p w:rsidR="00204853" w:rsidRPr="00A51A1D" w:rsidRDefault="00204853" w:rsidP="00204853">
            <w:pPr>
              <w:jc w:val="left"/>
              <w:rPr>
                <w:rFonts w:ascii="Arial Narrow" w:hAnsi="Arial Narrow"/>
                <w:sz w:val="20"/>
              </w:rPr>
            </w:pPr>
            <w:r w:rsidRPr="00700585">
              <w:rPr>
                <w:rFonts w:ascii="Arial Narrow" w:hAnsi="Arial Narrow"/>
                <w:sz w:val="20"/>
              </w:rPr>
              <w:t>Gutiérrez Rodríguez 2014</w:t>
            </w:r>
          </w:p>
        </w:tc>
        <w:tc>
          <w:tcPr>
            <w:tcW w:w="3185" w:type="pct"/>
            <w:tcBorders>
              <w:top w:val="nil"/>
            </w:tcBorders>
          </w:tcPr>
          <w:p w:rsidR="00204853" w:rsidRPr="00700585" w:rsidRDefault="00204853" w:rsidP="00230BF2">
            <w:pPr>
              <w:widowControl/>
              <w:jc w:val="left"/>
              <w:rPr>
                <w:rFonts w:ascii="Arial Narrow" w:hAnsi="Arial Narrow"/>
                <w:sz w:val="20"/>
              </w:rPr>
            </w:pPr>
            <w:r w:rsidRPr="00700585">
              <w:rPr>
                <w:rFonts w:ascii="Arial Narrow" w:hAnsi="Arial Narrow"/>
                <w:sz w:val="20"/>
              </w:rPr>
              <w:t xml:space="preserve">Gutiérrez Rodríguez MA, </w:t>
            </w:r>
            <w:proofErr w:type="spellStart"/>
            <w:r w:rsidRPr="00700585">
              <w:rPr>
                <w:rFonts w:ascii="Arial Narrow" w:hAnsi="Arial Narrow"/>
                <w:sz w:val="20"/>
              </w:rPr>
              <w:t>Ordobās</w:t>
            </w:r>
            <w:proofErr w:type="spellEnd"/>
            <w:r w:rsidRPr="00700585">
              <w:rPr>
                <w:rFonts w:ascii="Arial Narrow" w:hAnsi="Arial Narrow"/>
                <w:sz w:val="20"/>
              </w:rPr>
              <w:t xml:space="preserve"> Gavin MA, </w:t>
            </w:r>
            <w:proofErr w:type="spellStart"/>
            <w:r w:rsidRPr="00700585">
              <w:rPr>
                <w:rFonts w:ascii="Arial Narrow" w:hAnsi="Arial Narrow"/>
                <w:sz w:val="20"/>
              </w:rPr>
              <w:t>García</w:t>
            </w:r>
            <w:proofErr w:type="spellEnd"/>
            <w:r w:rsidRPr="00700585">
              <w:rPr>
                <w:rFonts w:ascii="Arial Narrow" w:hAnsi="Arial Narrow"/>
                <w:sz w:val="20"/>
              </w:rPr>
              <w:noBreakHyphen/>
              <w:t xml:space="preserve">Comas L, </w:t>
            </w:r>
            <w:r w:rsidRPr="00700585">
              <w:rPr>
                <w:rFonts w:ascii="Arial Narrow" w:hAnsi="Arial Narrow"/>
                <w:i/>
                <w:sz w:val="20"/>
              </w:rPr>
              <w:t>et al</w:t>
            </w:r>
            <w:r w:rsidRPr="00700585">
              <w:rPr>
                <w:rFonts w:ascii="Arial Narrow" w:hAnsi="Arial Narrow"/>
                <w:sz w:val="20"/>
              </w:rPr>
              <w:t>. Effectiveness of 23</w:t>
            </w:r>
            <w:r w:rsidRPr="00700585">
              <w:rPr>
                <w:rFonts w:ascii="Arial Narrow" w:hAnsi="Arial Narrow"/>
                <w:sz w:val="20"/>
              </w:rPr>
              <w:noBreakHyphen/>
              <w:t>valent pneumococcal polysaccharide vaccine in adults aged 60 years and over in the Region of Madrid, Spain, 2008</w:t>
            </w:r>
            <w:r w:rsidRPr="00700585">
              <w:rPr>
                <w:rFonts w:ascii="Arial Narrow" w:hAnsi="Arial Narrow"/>
                <w:sz w:val="20"/>
              </w:rPr>
              <w:noBreakHyphen/>
              <w:t xml:space="preserve">2011. </w:t>
            </w:r>
          </w:p>
        </w:tc>
        <w:tc>
          <w:tcPr>
            <w:tcW w:w="1022" w:type="pct"/>
            <w:gridSpan w:val="2"/>
            <w:tcBorders>
              <w:top w:val="nil"/>
            </w:tcBorders>
          </w:tcPr>
          <w:p w:rsidR="00204853" w:rsidRPr="00700585" w:rsidRDefault="00204853" w:rsidP="00230BF2">
            <w:pPr>
              <w:widowControl/>
              <w:jc w:val="left"/>
              <w:rPr>
                <w:rFonts w:ascii="Arial Narrow" w:hAnsi="Arial Narrow"/>
                <w:sz w:val="20"/>
              </w:rPr>
            </w:pPr>
            <w:r w:rsidRPr="00700585">
              <w:rPr>
                <w:rFonts w:ascii="Arial Narrow" w:hAnsi="Arial Narrow"/>
                <w:sz w:val="20"/>
              </w:rPr>
              <w:t xml:space="preserve">Euro </w:t>
            </w:r>
            <w:proofErr w:type="spellStart"/>
            <w:r w:rsidRPr="00700585">
              <w:rPr>
                <w:rFonts w:ascii="Arial Narrow" w:hAnsi="Arial Narrow"/>
                <w:sz w:val="20"/>
              </w:rPr>
              <w:t>Surveill</w:t>
            </w:r>
            <w:proofErr w:type="spellEnd"/>
            <w:r w:rsidRPr="00700585">
              <w:rPr>
                <w:rFonts w:ascii="Arial Narrow" w:hAnsi="Arial Narrow"/>
                <w:sz w:val="20"/>
              </w:rPr>
              <w:t xml:space="preserve"> 2014; 19:20922.</w:t>
            </w:r>
          </w:p>
        </w:tc>
      </w:tr>
      <w:tr w:rsidR="00204853" w:rsidRPr="00700585" w:rsidTr="00204853">
        <w:trPr>
          <w:cantSplit/>
        </w:trPr>
        <w:tc>
          <w:tcPr>
            <w:tcW w:w="793" w:type="pct"/>
            <w:tcBorders>
              <w:top w:val="nil"/>
            </w:tcBorders>
            <w:vAlign w:val="center"/>
          </w:tcPr>
          <w:p w:rsidR="00204853" w:rsidRPr="00A51A1D" w:rsidRDefault="00204853" w:rsidP="00204853">
            <w:pPr>
              <w:jc w:val="left"/>
              <w:rPr>
                <w:rFonts w:ascii="Arial Narrow" w:hAnsi="Arial Narrow"/>
                <w:sz w:val="20"/>
              </w:rPr>
            </w:pPr>
            <w:proofErr w:type="spellStart"/>
            <w:r w:rsidRPr="00700585">
              <w:rPr>
                <w:rFonts w:ascii="Arial Narrow" w:hAnsi="Arial Narrow"/>
                <w:sz w:val="20"/>
              </w:rPr>
              <w:lastRenderedPageBreak/>
              <w:t>Leventer</w:t>
            </w:r>
            <w:proofErr w:type="spellEnd"/>
            <w:r w:rsidRPr="00700585">
              <w:rPr>
                <w:rFonts w:ascii="Arial Narrow" w:hAnsi="Arial Narrow"/>
                <w:sz w:val="20"/>
              </w:rPr>
              <w:noBreakHyphen/>
              <w:t>Roberts 2015</w:t>
            </w:r>
          </w:p>
        </w:tc>
        <w:tc>
          <w:tcPr>
            <w:tcW w:w="3185" w:type="pct"/>
            <w:tcBorders>
              <w:top w:val="nil"/>
            </w:tcBorders>
            <w:vAlign w:val="center"/>
          </w:tcPr>
          <w:p w:rsidR="00204853" w:rsidRPr="00700585" w:rsidRDefault="00204853" w:rsidP="00230BF2">
            <w:pPr>
              <w:widowControl/>
              <w:jc w:val="left"/>
              <w:rPr>
                <w:rFonts w:ascii="Arial Narrow" w:hAnsi="Arial Narrow"/>
                <w:sz w:val="20"/>
              </w:rPr>
            </w:pPr>
            <w:proofErr w:type="spellStart"/>
            <w:r w:rsidRPr="00700585">
              <w:rPr>
                <w:rFonts w:ascii="Arial Narrow" w:hAnsi="Arial Narrow"/>
                <w:sz w:val="20"/>
              </w:rPr>
              <w:t>Leventer</w:t>
            </w:r>
            <w:proofErr w:type="spellEnd"/>
            <w:r w:rsidRPr="00700585">
              <w:rPr>
                <w:rFonts w:ascii="Arial Narrow" w:hAnsi="Arial Narrow"/>
                <w:sz w:val="20"/>
              </w:rPr>
              <w:noBreakHyphen/>
              <w:t xml:space="preserve">Roberts M, Feldman BS, </w:t>
            </w:r>
            <w:proofErr w:type="spellStart"/>
            <w:r w:rsidRPr="00700585">
              <w:rPr>
                <w:rFonts w:ascii="Arial Narrow" w:hAnsi="Arial Narrow"/>
                <w:sz w:val="20"/>
              </w:rPr>
              <w:t>Brufman</w:t>
            </w:r>
            <w:proofErr w:type="spellEnd"/>
            <w:r w:rsidRPr="00700585">
              <w:rPr>
                <w:rFonts w:ascii="Arial Narrow" w:hAnsi="Arial Narrow"/>
                <w:sz w:val="20"/>
              </w:rPr>
              <w:t xml:space="preserve"> I, </w:t>
            </w:r>
            <w:r w:rsidRPr="00700585">
              <w:rPr>
                <w:rFonts w:ascii="Arial Narrow" w:hAnsi="Arial Narrow"/>
                <w:i/>
                <w:sz w:val="20"/>
              </w:rPr>
              <w:t>et al</w:t>
            </w:r>
            <w:r w:rsidRPr="00700585">
              <w:rPr>
                <w:rFonts w:ascii="Arial Narrow" w:hAnsi="Arial Narrow"/>
                <w:sz w:val="20"/>
              </w:rPr>
              <w:t>. Effectiveness of 23</w:t>
            </w:r>
            <w:r w:rsidRPr="00700585">
              <w:rPr>
                <w:rFonts w:ascii="Arial Narrow" w:hAnsi="Arial Narrow"/>
                <w:sz w:val="20"/>
              </w:rPr>
              <w:noBreakHyphen/>
              <w:t>valent pneumococcal polysaccharide vaccine against invasive disease and hospital</w:t>
            </w:r>
            <w:r w:rsidRPr="00700585">
              <w:rPr>
                <w:rFonts w:ascii="Arial Narrow" w:hAnsi="Arial Narrow"/>
                <w:sz w:val="20"/>
              </w:rPr>
              <w:noBreakHyphen/>
              <w:t>treated pneumonia among people aged ≥65 years: a retrospective case</w:t>
            </w:r>
            <w:r w:rsidRPr="00700585">
              <w:rPr>
                <w:rFonts w:ascii="Arial Narrow" w:hAnsi="Arial Narrow"/>
                <w:sz w:val="20"/>
              </w:rPr>
              <w:noBreakHyphen/>
              <w:t xml:space="preserve">control study. </w:t>
            </w:r>
          </w:p>
        </w:tc>
        <w:tc>
          <w:tcPr>
            <w:tcW w:w="1022" w:type="pct"/>
            <w:gridSpan w:val="2"/>
            <w:tcBorders>
              <w:top w:val="nil"/>
            </w:tcBorders>
          </w:tcPr>
          <w:p w:rsidR="00204853" w:rsidRPr="00700585" w:rsidRDefault="00204853" w:rsidP="00230BF2">
            <w:pPr>
              <w:widowControl/>
              <w:jc w:val="left"/>
              <w:rPr>
                <w:rFonts w:ascii="Arial Narrow" w:hAnsi="Arial Narrow"/>
                <w:sz w:val="20"/>
              </w:rPr>
            </w:pPr>
            <w:proofErr w:type="spellStart"/>
            <w:r w:rsidRPr="00700585">
              <w:rPr>
                <w:rFonts w:ascii="Arial Narrow" w:hAnsi="Arial Narrow"/>
                <w:sz w:val="20"/>
              </w:rPr>
              <w:t>Clin</w:t>
            </w:r>
            <w:proofErr w:type="spellEnd"/>
            <w:r w:rsidRPr="00700585">
              <w:rPr>
                <w:rFonts w:ascii="Arial Narrow" w:hAnsi="Arial Narrow"/>
                <w:sz w:val="20"/>
              </w:rPr>
              <w:t xml:space="preserve"> Infect Dis 2015; 60:1472</w:t>
            </w:r>
            <w:r w:rsidRPr="00700585">
              <w:rPr>
                <w:rFonts w:ascii="Arial Narrow" w:hAnsi="Arial Narrow"/>
                <w:sz w:val="20"/>
              </w:rPr>
              <w:noBreakHyphen/>
              <w:t>80.</w:t>
            </w:r>
          </w:p>
        </w:tc>
      </w:tr>
      <w:tr w:rsidR="00700585" w:rsidRPr="00700585" w:rsidTr="006F3296">
        <w:trPr>
          <w:cantSplit/>
        </w:trPr>
        <w:tc>
          <w:tcPr>
            <w:tcW w:w="5000" w:type="pct"/>
            <w:gridSpan w:val="4"/>
          </w:tcPr>
          <w:p w:rsidR="008003E1" w:rsidRPr="00700585" w:rsidRDefault="008003E1" w:rsidP="00230BF2">
            <w:pPr>
              <w:widowControl/>
              <w:jc w:val="left"/>
              <w:rPr>
                <w:rFonts w:ascii="Arial Narrow" w:hAnsi="Arial Narrow"/>
                <w:b/>
                <w:sz w:val="20"/>
              </w:rPr>
            </w:pPr>
            <w:r w:rsidRPr="00700585">
              <w:rPr>
                <w:rFonts w:ascii="Arial Narrow" w:hAnsi="Arial Narrow"/>
                <w:b/>
                <w:sz w:val="20"/>
              </w:rPr>
              <w:t>Immunogenicity studies</w:t>
            </w:r>
          </w:p>
        </w:tc>
      </w:tr>
      <w:tr w:rsidR="00700585" w:rsidRPr="00700585" w:rsidTr="00A51A1D">
        <w:trPr>
          <w:cantSplit/>
        </w:trPr>
        <w:tc>
          <w:tcPr>
            <w:tcW w:w="793" w:type="pct"/>
            <w:shd w:val="clear" w:color="auto" w:fill="auto"/>
            <w:vAlign w:val="center"/>
          </w:tcPr>
          <w:p w:rsidR="00B22BDF" w:rsidRPr="00700585" w:rsidRDefault="008003E1" w:rsidP="00230BF2">
            <w:pPr>
              <w:widowControl/>
              <w:jc w:val="left"/>
              <w:rPr>
                <w:rFonts w:ascii="Arial Narrow" w:hAnsi="Arial Narrow"/>
                <w:i/>
                <w:sz w:val="20"/>
              </w:rPr>
            </w:pPr>
            <w:r w:rsidRPr="00700585">
              <w:rPr>
                <w:rFonts w:ascii="Arial Narrow" w:hAnsi="Arial Narrow"/>
                <w:sz w:val="20"/>
              </w:rPr>
              <w:t>B1851138</w:t>
            </w:r>
          </w:p>
        </w:tc>
        <w:tc>
          <w:tcPr>
            <w:tcW w:w="3217" w:type="pct"/>
            <w:gridSpan w:val="2"/>
            <w:shd w:val="clear" w:color="auto" w:fill="auto"/>
            <w:vAlign w:val="center"/>
          </w:tcPr>
          <w:p w:rsidR="008003E1" w:rsidRPr="00700585" w:rsidRDefault="008003E1" w:rsidP="00230BF2">
            <w:pPr>
              <w:pStyle w:val="Text"/>
              <w:spacing w:after="60" w:line="240" w:lineRule="auto"/>
              <w:jc w:val="left"/>
              <w:rPr>
                <w:rFonts w:ascii="Arial Narrow" w:hAnsi="Arial Narrow" w:cs="Arial"/>
                <w:sz w:val="20"/>
                <w:szCs w:val="20"/>
              </w:rPr>
            </w:pPr>
            <w:r w:rsidRPr="00700585">
              <w:rPr>
                <w:rFonts w:ascii="Arial Narrow" w:hAnsi="Arial Narrow" w:cs="Arial"/>
                <w:sz w:val="20"/>
                <w:szCs w:val="20"/>
              </w:rPr>
              <w:t>A phase 4, randomised, double</w:t>
            </w:r>
            <w:r w:rsidRPr="00700585">
              <w:rPr>
                <w:rFonts w:ascii="Arial Narrow" w:hAnsi="Arial Narrow" w:cs="Arial"/>
                <w:sz w:val="20"/>
                <w:szCs w:val="20"/>
              </w:rPr>
              <w:noBreakHyphen/>
              <w:t>blind trial to evaluate the immunogenicity and safety of a 13</w:t>
            </w:r>
            <w:r w:rsidRPr="00700585">
              <w:rPr>
                <w:rFonts w:ascii="Arial Narrow" w:hAnsi="Arial Narrow" w:cs="Arial"/>
                <w:sz w:val="20"/>
                <w:szCs w:val="20"/>
              </w:rPr>
              <w:noBreakHyphen/>
              <w:t>valent pneumococcal conjugate vaccine when administered concomitantly with seasonal inactivate influenza vaccine in adults 50 years and older who received 1 or more doses of 23</w:t>
            </w:r>
            <w:r w:rsidRPr="00700585">
              <w:rPr>
                <w:rFonts w:ascii="Arial Narrow" w:hAnsi="Arial Narrow" w:cs="Arial"/>
                <w:sz w:val="20"/>
                <w:szCs w:val="20"/>
              </w:rPr>
              <w:noBreakHyphen/>
              <w:t>valent pneumococcal polysaccharide vaccine prior to study enrolment.</w:t>
            </w:r>
          </w:p>
        </w:tc>
        <w:tc>
          <w:tcPr>
            <w:tcW w:w="990" w:type="pct"/>
            <w:shd w:val="clear" w:color="auto" w:fill="auto"/>
          </w:tcPr>
          <w:p w:rsidR="008003E1" w:rsidRPr="00700585" w:rsidRDefault="008003E1" w:rsidP="00230BF2">
            <w:pPr>
              <w:widowControl/>
              <w:jc w:val="left"/>
              <w:rPr>
                <w:rFonts w:ascii="Arial Narrow" w:hAnsi="Arial Narrow"/>
                <w:sz w:val="20"/>
              </w:rPr>
            </w:pPr>
            <w:r w:rsidRPr="00700585">
              <w:rPr>
                <w:rFonts w:ascii="Arial Narrow" w:hAnsi="Arial Narrow"/>
                <w:sz w:val="20"/>
              </w:rPr>
              <w:t>December 2015</w:t>
            </w:r>
          </w:p>
        </w:tc>
      </w:tr>
      <w:tr w:rsidR="00700585" w:rsidRPr="00700585" w:rsidTr="00A51A1D">
        <w:trPr>
          <w:cantSplit/>
        </w:trPr>
        <w:tc>
          <w:tcPr>
            <w:tcW w:w="793" w:type="pct"/>
            <w:shd w:val="clear" w:color="auto" w:fill="auto"/>
            <w:vAlign w:val="center"/>
          </w:tcPr>
          <w:p w:rsidR="00B22BDF" w:rsidRPr="00700585" w:rsidRDefault="008003E1" w:rsidP="00230BF2">
            <w:pPr>
              <w:widowControl/>
              <w:jc w:val="left"/>
              <w:rPr>
                <w:rFonts w:ascii="Arial Narrow" w:hAnsi="Arial Narrow"/>
                <w:i/>
                <w:sz w:val="20"/>
              </w:rPr>
            </w:pPr>
            <w:r w:rsidRPr="00700585">
              <w:rPr>
                <w:rFonts w:ascii="Arial Narrow" w:hAnsi="Arial Narrow"/>
                <w:sz w:val="20"/>
              </w:rPr>
              <w:t>B1851020</w:t>
            </w:r>
          </w:p>
        </w:tc>
        <w:tc>
          <w:tcPr>
            <w:tcW w:w="3217" w:type="pct"/>
            <w:gridSpan w:val="2"/>
            <w:shd w:val="clear" w:color="auto" w:fill="auto"/>
            <w:vAlign w:val="center"/>
          </w:tcPr>
          <w:p w:rsidR="008003E1" w:rsidRPr="00700585" w:rsidRDefault="008003E1" w:rsidP="00230BF2">
            <w:pPr>
              <w:widowControl/>
              <w:jc w:val="left"/>
              <w:rPr>
                <w:rFonts w:ascii="Arial Narrow" w:hAnsi="Arial Narrow"/>
                <w:sz w:val="20"/>
              </w:rPr>
            </w:pPr>
            <w:r w:rsidRPr="00700585">
              <w:rPr>
                <w:rFonts w:ascii="Arial Narrow" w:hAnsi="Arial Narrow"/>
                <w:sz w:val="20"/>
              </w:rPr>
              <w:t>Clinical study report (</w:t>
            </w:r>
            <w:r w:rsidRPr="00700585">
              <w:rPr>
                <w:rFonts w:ascii="Arial Narrow" w:hAnsi="Arial Narrow"/>
                <w:sz w:val="20"/>
                <w:lang w:val="en-US"/>
              </w:rPr>
              <w:t>6115A1</w:t>
            </w:r>
            <w:r w:rsidRPr="00700585">
              <w:rPr>
                <w:rFonts w:ascii="Arial Narrow" w:hAnsi="Arial Narrow"/>
                <w:sz w:val="20"/>
                <w:lang w:val="en-US"/>
              </w:rPr>
              <w:noBreakHyphen/>
            </w:r>
            <w:r w:rsidRPr="00700585">
              <w:rPr>
                <w:rFonts w:ascii="Arial Narrow" w:hAnsi="Arial Narrow"/>
                <w:sz w:val="20"/>
              </w:rPr>
              <w:t>3001; B1851020). Years 1 through 5 report: a phase 3, randomised, double</w:t>
            </w:r>
            <w:r w:rsidRPr="00700585">
              <w:rPr>
                <w:rFonts w:ascii="Arial Narrow" w:hAnsi="Arial Narrow"/>
                <w:sz w:val="20"/>
              </w:rPr>
              <w:noBreakHyphen/>
              <w:t>blind trial to evaluate the safety, tolerability and immunogenicity of a 13</w:t>
            </w:r>
            <w:r w:rsidRPr="00700585">
              <w:rPr>
                <w:rFonts w:ascii="Arial Narrow" w:hAnsi="Arial Narrow"/>
                <w:sz w:val="20"/>
              </w:rPr>
              <w:noBreakHyphen/>
              <w:t>valent pneumococcal conjugate vaccine when administered concomitantly with trivalent inactivated influenza vaccine in healthy adults 50</w:t>
            </w:r>
            <w:r w:rsidRPr="00700585">
              <w:rPr>
                <w:rFonts w:ascii="Arial Narrow" w:hAnsi="Arial Narrow"/>
                <w:sz w:val="20"/>
              </w:rPr>
              <w:noBreakHyphen/>
              <w:t>59 years of age who are naïve to 23</w:t>
            </w:r>
            <w:r w:rsidRPr="00700585">
              <w:rPr>
                <w:rFonts w:ascii="Arial Narrow" w:hAnsi="Arial Narrow"/>
                <w:sz w:val="20"/>
              </w:rPr>
              <w:noBreakHyphen/>
              <w:t>valent pneumococcal polysaccharide vaccine and to evaluate the immune response of a second dose of 13vPCV administered 5 years after initial 13vPCV vaccination.</w:t>
            </w:r>
          </w:p>
        </w:tc>
        <w:tc>
          <w:tcPr>
            <w:tcW w:w="990" w:type="pct"/>
            <w:shd w:val="clear" w:color="auto" w:fill="auto"/>
          </w:tcPr>
          <w:p w:rsidR="008003E1" w:rsidRPr="00700585" w:rsidRDefault="008003E1" w:rsidP="00230BF2">
            <w:pPr>
              <w:widowControl/>
              <w:jc w:val="left"/>
              <w:rPr>
                <w:rFonts w:ascii="Arial Narrow" w:hAnsi="Arial Narrow"/>
                <w:sz w:val="20"/>
              </w:rPr>
            </w:pPr>
            <w:r w:rsidRPr="00700585">
              <w:rPr>
                <w:rFonts w:ascii="Arial Narrow" w:hAnsi="Arial Narrow"/>
                <w:sz w:val="20"/>
              </w:rPr>
              <w:t>December 2014</w:t>
            </w:r>
          </w:p>
        </w:tc>
      </w:tr>
    </w:tbl>
    <w:p w:rsidR="001B6188" w:rsidRPr="00700585" w:rsidRDefault="00961AF9" w:rsidP="00230BF2">
      <w:pPr>
        <w:pStyle w:val="TableFooter"/>
        <w:widowControl/>
        <w:ind w:firstLine="720"/>
      </w:pPr>
      <w:r w:rsidRPr="00700585">
        <w:t>Source:</w:t>
      </w:r>
      <w:r w:rsidR="008003E1" w:rsidRPr="00700585">
        <w:t xml:space="preserve"> Table 6, p30; Table 18, p50; Table 32, p69; Table 42, p83-85 of the submission</w:t>
      </w:r>
    </w:p>
    <w:p w:rsidR="001E222C" w:rsidRPr="00700585" w:rsidRDefault="001E222C" w:rsidP="00230BF2">
      <w:pPr>
        <w:pStyle w:val="PBACheading1"/>
        <w:numPr>
          <w:ilvl w:val="0"/>
          <w:numId w:val="0"/>
        </w:numPr>
      </w:pPr>
    </w:p>
    <w:p w:rsidR="001E222C" w:rsidRPr="00C52B69" w:rsidRDefault="001E222C" w:rsidP="00230BF2">
      <w:pPr>
        <w:pStyle w:val="ListParagraph"/>
        <w:widowControl/>
        <w:numPr>
          <w:ilvl w:val="1"/>
          <w:numId w:val="3"/>
        </w:numPr>
      </w:pPr>
      <w:r w:rsidRPr="00C52B69">
        <w:rPr>
          <w:szCs w:val="22"/>
        </w:rPr>
        <w:t xml:space="preserve">The key features of the 13vPCV and 23vPPV randomised efficacy trials, and the 23vPPV non-randomised study used in the economic evaluation, are summarised in </w:t>
      </w:r>
      <w:r w:rsidR="00204853" w:rsidRPr="00C52B69">
        <w:rPr>
          <w:szCs w:val="22"/>
        </w:rPr>
        <w:t>Table 2</w:t>
      </w:r>
      <w:r w:rsidRPr="00C52B69">
        <w:rPr>
          <w:szCs w:val="22"/>
        </w:rPr>
        <w:t>.</w:t>
      </w:r>
      <w:r w:rsidR="006F7A7C">
        <w:rPr>
          <w:szCs w:val="22"/>
        </w:rPr>
        <w:t xml:space="preserve"> </w:t>
      </w:r>
      <w:r w:rsidR="00204853" w:rsidRPr="00C52B69">
        <w:rPr>
          <w:szCs w:val="22"/>
        </w:rPr>
        <w:t>ESC noted that the primary outcome of the 23vPPV vs placebo or no vaccine studies was all-cause CAP instead of VT CAP.</w:t>
      </w:r>
    </w:p>
    <w:p w:rsidR="001E222C" w:rsidRPr="00C52B69" w:rsidRDefault="001E222C" w:rsidP="00230BF2">
      <w:pPr>
        <w:widowControl/>
        <w:jc w:val="left"/>
        <w:rPr>
          <w:rStyle w:val="CommentReference"/>
        </w:rPr>
      </w:pPr>
    </w:p>
    <w:p w:rsidR="001E222C" w:rsidRPr="00700585" w:rsidRDefault="001E222C" w:rsidP="00230BF2">
      <w:pPr>
        <w:keepNext/>
        <w:widowControl/>
        <w:ind w:firstLine="720"/>
        <w:rPr>
          <w:rStyle w:val="CommentReference"/>
        </w:rPr>
      </w:pPr>
      <w:r w:rsidRPr="00700585">
        <w:rPr>
          <w:rStyle w:val="CommentReference"/>
        </w:rPr>
        <w:lastRenderedPageBreak/>
        <w:t>Table 2: Key features of the included evidence – indirect comparison</w:t>
      </w:r>
    </w:p>
    <w:tbl>
      <w:tblPr>
        <w:tblW w:w="4669"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5"/>
        <w:gridCol w:w="568"/>
        <w:gridCol w:w="850"/>
        <w:gridCol w:w="850"/>
        <w:gridCol w:w="2411"/>
        <w:gridCol w:w="1559"/>
        <w:gridCol w:w="1109"/>
      </w:tblGrid>
      <w:tr w:rsidR="00700585" w:rsidRPr="00700585" w:rsidTr="008A56D6">
        <w:trPr>
          <w:cantSplit/>
          <w:tblHeader/>
        </w:trPr>
        <w:tc>
          <w:tcPr>
            <w:tcW w:w="669" w:type="pct"/>
            <w:shd w:val="clear" w:color="auto" w:fill="auto"/>
            <w:vAlign w:val="center"/>
          </w:tcPr>
          <w:p w:rsidR="001E222C" w:rsidRPr="00700585" w:rsidRDefault="001E222C" w:rsidP="00230BF2">
            <w:pPr>
              <w:keepNext/>
              <w:widowControl/>
              <w:jc w:val="left"/>
              <w:rPr>
                <w:rFonts w:ascii="Arial Narrow" w:hAnsi="Arial Narrow"/>
                <w:b/>
                <w:sz w:val="20"/>
                <w:szCs w:val="16"/>
                <w:lang w:val="en-US"/>
              </w:rPr>
            </w:pPr>
            <w:r w:rsidRPr="00700585">
              <w:rPr>
                <w:rFonts w:ascii="Arial Narrow" w:hAnsi="Arial Narrow"/>
                <w:b/>
                <w:sz w:val="20"/>
                <w:szCs w:val="16"/>
                <w:lang w:val="en-US"/>
              </w:rPr>
              <w:t>Trial</w:t>
            </w:r>
          </w:p>
        </w:tc>
        <w:tc>
          <w:tcPr>
            <w:tcW w:w="335" w:type="pct"/>
            <w:shd w:val="clear" w:color="auto" w:fill="auto"/>
            <w:vAlign w:val="center"/>
          </w:tcPr>
          <w:p w:rsidR="001E222C" w:rsidRPr="00700585" w:rsidRDefault="001E222C" w:rsidP="00230BF2">
            <w:pPr>
              <w:keepNext/>
              <w:widowControl/>
              <w:jc w:val="center"/>
              <w:rPr>
                <w:rFonts w:ascii="Arial Narrow" w:hAnsi="Arial Narrow"/>
                <w:b/>
                <w:sz w:val="20"/>
                <w:szCs w:val="16"/>
                <w:lang w:val="en-US"/>
              </w:rPr>
            </w:pPr>
            <w:r w:rsidRPr="00700585">
              <w:rPr>
                <w:rFonts w:ascii="Arial Narrow" w:hAnsi="Arial Narrow"/>
                <w:b/>
                <w:sz w:val="20"/>
                <w:szCs w:val="16"/>
                <w:lang w:val="en-US"/>
              </w:rPr>
              <w:t>N</w:t>
            </w:r>
          </w:p>
        </w:tc>
        <w:tc>
          <w:tcPr>
            <w:tcW w:w="501" w:type="pct"/>
            <w:shd w:val="clear" w:color="auto" w:fill="auto"/>
            <w:vAlign w:val="center"/>
          </w:tcPr>
          <w:p w:rsidR="001E222C" w:rsidRPr="00700585" w:rsidRDefault="001E222C" w:rsidP="00230BF2">
            <w:pPr>
              <w:keepNext/>
              <w:widowControl/>
              <w:jc w:val="center"/>
              <w:rPr>
                <w:rFonts w:ascii="Arial Narrow" w:hAnsi="Arial Narrow"/>
                <w:b/>
                <w:sz w:val="20"/>
                <w:szCs w:val="16"/>
                <w:lang w:val="en-US"/>
              </w:rPr>
            </w:pPr>
            <w:r w:rsidRPr="00700585">
              <w:rPr>
                <w:rFonts w:ascii="Arial Narrow" w:hAnsi="Arial Narrow"/>
                <w:b/>
                <w:sz w:val="20"/>
                <w:szCs w:val="16"/>
                <w:lang w:val="en-US"/>
              </w:rPr>
              <w:t>Design/ duration</w:t>
            </w:r>
          </w:p>
        </w:tc>
        <w:tc>
          <w:tcPr>
            <w:tcW w:w="501" w:type="pct"/>
            <w:shd w:val="clear" w:color="auto" w:fill="auto"/>
            <w:vAlign w:val="center"/>
          </w:tcPr>
          <w:p w:rsidR="001E222C" w:rsidRPr="00700585" w:rsidRDefault="001E222C" w:rsidP="00230BF2">
            <w:pPr>
              <w:keepNext/>
              <w:widowControl/>
              <w:jc w:val="center"/>
              <w:rPr>
                <w:rFonts w:ascii="Arial Narrow" w:hAnsi="Arial Narrow"/>
                <w:b/>
                <w:sz w:val="20"/>
                <w:szCs w:val="16"/>
                <w:lang w:val="en-US"/>
              </w:rPr>
            </w:pPr>
            <w:r w:rsidRPr="00700585">
              <w:rPr>
                <w:rFonts w:ascii="Arial Narrow" w:hAnsi="Arial Narrow"/>
                <w:b/>
                <w:sz w:val="20"/>
                <w:szCs w:val="16"/>
                <w:lang w:val="en-US"/>
              </w:rPr>
              <w:t>Risk of bias</w:t>
            </w:r>
          </w:p>
        </w:tc>
        <w:tc>
          <w:tcPr>
            <w:tcW w:w="1421" w:type="pct"/>
            <w:shd w:val="clear" w:color="auto" w:fill="auto"/>
            <w:vAlign w:val="center"/>
          </w:tcPr>
          <w:p w:rsidR="001E222C" w:rsidRPr="00700585" w:rsidRDefault="001E222C" w:rsidP="00230BF2">
            <w:pPr>
              <w:keepNext/>
              <w:widowControl/>
              <w:jc w:val="center"/>
              <w:rPr>
                <w:rFonts w:ascii="Arial Narrow" w:hAnsi="Arial Narrow"/>
                <w:b/>
                <w:sz w:val="20"/>
                <w:szCs w:val="16"/>
                <w:lang w:val="en-US"/>
              </w:rPr>
            </w:pPr>
            <w:r w:rsidRPr="00700585">
              <w:rPr>
                <w:rFonts w:ascii="Arial Narrow" w:hAnsi="Arial Narrow"/>
                <w:b/>
                <w:sz w:val="20"/>
                <w:szCs w:val="16"/>
                <w:lang w:val="en-US"/>
              </w:rPr>
              <w:t>Patient population</w:t>
            </w:r>
          </w:p>
        </w:tc>
        <w:tc>
          <w:tcPr>
            <w:tcW w:w="919" w:type="pct"/>
            <w:shd w:val="clear" w:color="auto" w:fill="auto"/>
            <w:vAlign w:val="center"/>
          </w:tcPr>
          <w:p w:rsidR="001E222C" w:rsidRPr="00700585" w:rsidRDefault="001E222C" w:rsidP="00230BF2">
            <w:pPr>
              <w:keepNext/>
              <w:widowControl/>
              <w:jc w:val="center"/>
              <w:rPr>
                <w:rFonts w:ascii="Arial Narrow" w:hAnsi="Arial Narrow"/>
                <w:b/>
                <w:sz w:val="20"/>
                <w:szCs w:val="16"/>
                <w:lang w:val="en-US"/>
              </w:rPr>
            </w:pPr>
            <w:r w:rsidRPr="00700585">
              <w:rPr>
                <w:rFonts w:ascii="Arial Narrow" w:hAnsi="Arial Narrow"/>
                <w:b/>
                <w:sz w:val="20"/>
                <w:szCs w:val="16"/>
                <w:lang w:val="en-US"/>
              </w:rPr>
              <w:t>Primary outcome</w:t>
            </w:r>
          </w:p>
        </w:tc>
        <w:tc>
          <w:tcPr>
            <w:tcW w:w="654" w:type="pct"/>
            <w:shd w:val="clear" w:color="auto" w:fill="auto"/>
            <w:vAlign w:val="center"/>
          </w:tcPr>
          <w:p w:rsidR="001E222C" w:rsidRPr="00700585" w:rsidRDefault="001E222C" w:rsidP="00230BF2">
            <w:pPr>
              <w:keepNext/>
              <w:widowControl/>
              <w:jc w:val="center"/>
              <w:rPr>
                <w:rFonts w:ascii="Arial Narrow" w:hAnsi="Arial Narrow"/>
                <w:b/>
                <w:sz w:val="20"/>
                <w:szCs w:val="16"/>
                <w:lang w:val="en-US"/>
              </w:rPr>
            </w:pPr>
            <w:r w:rsidRPr="00700585">
              <w:rPr>
                <w:rFonts w:ascii="Arial Narrow" w:hAnsi="Arial Narrow"/>
                <w:b/>
                <w:sz w:val="20"/>
                <w:szCs w:val="16"/>
                <w:lang w:val="en-US"/>
              </w:rPr>
              <w:t>Use in modelled evaluation</w:t>
            </w:r>
          </w:p>
        </w:tc>
      </w:tr>
      <w:tr w:rsidR="00700585" w:rsidRPr="00700585" w:rsidTr="008A56D6">
        <w:trPr>
          <w:cantSplit/>
        </w:trPr>
        <w:tc>
          <w:tcPr>
            <w:tcW w:w="5000" w:type="pct"/>
            <w:gridSpan w:val="7"/>
            <w:shd w:val="clear" w:color="auto" w:fill="auto"/>
            <w:vAlign w:val="center"/>
          </w:tcPr>
          <w:p w:rsidR="001E222C" w:rsidRPr="00700585" w:rsidRDefault="001E222C" w:rsidP="00230BF2">
            <w:pPr>
              <w:keepNext/>
              <w:widowControl/>
              <w:jc w:val="left"/>
              <w:rPr>
                <w:rFonts w:ascii="Arial Narrow" w:hAnsi="Arial Narrow"/>
                <w:b/>
                <w:sz w:val="20"/>
                <w:szCs w:val="16"/>
                <w:lang w:val="en-US"/>
              </w:rPr>
            </w:pPr>
            <w:r w:rsidRPr="00700585">
              <w:rPr>
                <w:rFonts w:ascii="Arial Narrow" w:hAnsi="Arial Narrow"/>
                <w:b/>
                <w:sz w:val="20"/>
                <w:szCs w:val="16"/>
                <w:lang w:val="en-US"/>
              </w:rPr>
              <w:t>13vPCV vs placebo</w:t>
            </w:r>
          </w:p>
        </w:tc>
      </w:tr>
      <w:tr w:rsidR="00700585" w:rsidRPr="00700585" w:rsidTr="008A56D6">
        <w:trPr>
          <w:cantSplit/>
        </w:trPr>
        <w:tc>
          <w:tcPr>
            <w:tcW w:w="669" w:type="pct"/>
            <w:shd w:val="clear" w:color="auto" w:fill="auto"/>
            <w:vAlign w:val="center"/>
          </w:tcPr>
          <w:p w:rsidR="001E222C" w:rsidRPr="00700585" w:rsidRDefault="001E222C" w:rsidP="00230BF2">
            <w:pPr>
              <w:keepNext/>
              <w:widowControl/>
              <w:jc w:val="left"/>
              <w:rPr>
                <w:rFonts w:ascii="Arial Narrow" w:hAnsi="Arial Narrow"/>
                <w:sz w:val="20"/>
                <w:szCs w:val="16"/>
                <w:lang w:val="en-US"/>
              </w:rPr>
            </w:pPr>
            <w:proofErr w:type="spellStart"/>
            <w:r w:rsidRPr="00700585">
              <w:rPr>
                <w:rFonts w:ascii="Arial Narrow" w:hAnsi="Arial Narrow"/>
                <w:sz w:val="20"/>
                <w:szCs w:val="16"/>
                <w:lang w:val="en-US"/>
              </w:rPr>
              <w:t>CAPiTA</w:t>
            </w:r>
            <w:proofErr w:type="spellEnd"/>
          </w:p>
        </w:tc>
        <w:tc>
          <w:tcPr>
            <w:tcW w:w="335"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84,496</w:t>
            </w:r>
          </w:p>
        </w:tc>
        <w:tc>
          <w:tcPr>
            <w:tcW w:w="501" w:type="pct"/>
            <w:shd w:val="clear" w:color="auto" w:fill="auto"/>
            <w:vAlign w:val="center"/>
          </w:tcPr>
          <w:p w:rsidR="001E222C" w:rsidRPr="00700585" w:rsidRDefault="00362DFD" w:rsidP="00230BF2">
            <w:pPr>
              <w:keepNext/>
              <w:widowControl/>
              <w:jc w:val="center"/>
              <w:rPr>
                <w:rFonts w:ascii="Arial Narrow" w:hAnsi="Arial Narrow"/>
                <w:sz w:val="20"/>
                <w:szCs w:val="16"/>
                <w:lang w:val="en-US"/>
              </w:rPr>
            </w:pPr>
            <w:r w:rsidRPr="00700585">
              <w:rPr>
                <w:rFonts w:ascii="Arial Narrow" w:hAnsi="Arial Narrow"/>
                <w:sz w:val="20"/>
                <w:szCs w:val="16"/>
                <w:lang w:val="en-US"/>
              </w:rPr>
              <w:t xml:space="preserve">R, </w:t>
            </w:r>
            <w:r w:rsidR="001E222C" w:rsidRPr="00700585">
              <w:rPr>
                <w:rFonts w:ascii="Arial Narrow" w:hAnsi="Arial Narrow"/>
                <w:sz w:val="20"/>
                <w:szCs w:val="16"/>
                <w:lang w:val="en-US"/>
              </w:rPr>
              <w:t>D</w:t>
            </w:r>
            <w:r w:rsidRPr="00700585">
              <w:rPr>
                <w:rFonts w:ascii="Arial Narrow" w:hAnsi="Arial Narrow"/>
                <w:sz w:val="20"/>
                <w:szCs w:val="16"/>
                <w:lang w:val="en-US"/>
              </w:rPr>
              <w:t>B</w:t>
            </w:r>
          </w:p>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4 years</w:t>
            </w:r>
          </w:p>
        </w:tc>
        <w:tc>
          <w:tcPr>
            <w:tcW w:w="501"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Low</w:t>
            </w:r>
          </w:p>
        </w:tc>
        <w:tc>
          <w:tcPr>
            <w:tcW w:w="1421"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Aged ≥65 years</w:t>
            </w:r>
          </w:p>
        </w:tc>
        <w:tc>
          <w:tcPr>
            <w:tcW w:w="919"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VT CAP</w:t>
            </w:r>
          </w:p>
        </w:tc>
        <w:tc>
          <w:tcPr>
            <w:tcW w:w="654"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 xml:space="preserve">VE for VT </w:t>
            </w:r>
            <w:r w:rsidR="00286531" w:rsidRPr="00700585">
              <w:rPr>
                <w:rFonts w:ascii="Arial Narrow" w:hAnsi="Arial Narrow"/>
                <w:sz w:val="20"/>
                <w:szCs w:val="16"/>
                <w:lang w:val="en-US"/>
              </w:rPr>
              <w:t>CAP,</w:t>
            </w:r>
            <w:r w:rsidRPr="00700585">
              <w:rPr>
                <w:rFonts w:ascii="Arial Narrow" w:hAnsi="Arial Narrow"/>
                <w:sz w:val="20"/>
                <w:szCs w:val="16"/>
                <w:lang w:val="en-US"/>
              </w:rPr>
              <w:t xml:space="preserve"> VT IPD</w:t>
            </w:r>
          </w:p>
        </w:tc>
      </w:tr>
      <w:tr w:rsidR="00700585" w:rsidRPr="00700585" w:rsidTr="008A56D6">
        <w:trPr>
          <w:cantSplit/>
        </w:trPr>
        <w:tc>
          <w:tcPr>
            <w:tcW w:w="5000" w:type="pct"/>
            <w:gridSpan w:val="7"/>
            <w:shd w:val="clear" w:color="auto" w:fill="auto"/>
            <w:vAlign w:val="center"/>
          </w:tcPr>
          <w:p w:rsidR="001E222C" w:rsidRPr="00700585" w:rsidRDefault="001E222C" w:rsidP="00230BF2">
            <w:pPr>
              <w:keepNext/>
              <w:widowControl/>
              <w:jc w:val="left"/>
              <w:rPr>
                <w:rFonts w:ascii="Arial Narrow" w:hAnsi="Arial Narrow"/>
                <w:b/>
                <w:sz w:val="20"/>
                <w:szCs w:val="16"/>
                <w:lang w:val="en-US"/>
              </w:rPr>
            </w:pPr>
            <w:r w:rsidRPr="00700585">
              <w:rPr>
                <w:rFonts w:ascii="Arial Narrow" w:hAnsi="Arial Narrow"/>
                <w:b/>
                <w:sz w:val="20"/>
                <w:szCs w:val="16"/>
                <w:lang w:val="en-US"/>
              </w:rPr>
              <w:t>23vPPV vs placebo or no vaccine</w:t>
            </w:r>
          </w:p>
        </w:tc>
      </w:tr>
      <w:tr w:rsidR="00700585" w:rsidRPr="00700585" w:rsidTr="008A56D6">
        <w:trPr>
          <w:cantSplit/>
        </w:trPr>
        <w:tc>
          <w:tcPr>
            <w:tcW w:w="669" w:type="pct"/>
            <w:shd w:val="clear" w:color="auto" w:fill="auto"/>
            <w:vAlign w:val="center"/>
          </w:tcPr>
          <w:p w:rsidR="001E222C" w:rsidRPr="00700585" w:rsidRDefault="001E222C" w:rsidP="00230BF2">
            <w:pPr>
              <w:keepNext/>
              <w:widowControl/>
              <w:jc w:val="left"/>
              <w:rPr>
                <w:rFonts w:ascii="Arial Narrow" w:hAnsi="Arial Narrow"/>
                <w:sz w:val="20"/>
                <w:szCs w:val="16"/>
                <w:lang w:val="en-US"/>
              </w:rPr>
            </w:pPr>
            <w:proofErr w:type="spellStart"/>
            <w:r w:rsidRPr="00700585">
              <w:rPr>
                <w:rFonts w:ascii="Arial Narrow" w:hAnsi="Arial Narrow"/>
                <w:sz w:val="20"/>
                <w:szCs w:val="16"/>
                <w:lang w:val="en-US"/>
              </w:rPr>
              <w:t>Alfageme</w:t>
            </w:r>
            <w:proofErr w:type="spellEnd"/>
            <w:r w:rsidRPr="00700585">
              <w:rPr>
                <w:rFonts w:ascii="Arial Narrow" w:hAnsi="Arial Narrow"/>
                <w:sz w:val="20"/>
                <w:szCs w:val="16"/>
                <w:lang w:val="en-US"/>
              </w:rPr>
              <w:t xml:space="preserve"> 2006</w:t>
            </w:r>
          </w:p>
        </w:tc>
        <w:tc>
          <w:tcPr>
            <w:tcW w:w="335"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600</w:t>
            </w:r>
          </w:p>
        </w:tc>
        <w:tc>
          <w:tcPr>
            <w:tcW w:w="501"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R, OL</w:t>
            </w:r>
          </w:p>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2.7 years</w:t>
            </w:r>
          </w:p>
        </w:tc>
        <w:tc>
          <w:tcPr>
            <w:tcW w:w="501"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Moderate</w:t>
            </w:r>
          </w:p>
        </w:tc>
        <w:tc>
          <w:tcPr>
            <w:tcW w:w="1421"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Mean age 68 years</w:t>
            </w:r>
          </w:p>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COPD</w:t>
            </w:r>
          </w:p>
        </w:tc>
        <w:tc>
          <w:tcPr>
            <w:tcW w:w="919"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 xml:space="preserve">CAP </w:t>
            </w:r>
            <w:r w:rsidRPr="00700585">
              <w:rPr>
                <w:rFonts w:ascii="Arial Narrow" w:hAnsi="Arial Narrow"/>
                <w:sz w:val="20"/>
              </w:rPr>
              <w:t>of pneumococcal or unknown aetiology</w:t>
            </w:r>
          </w:p>
        </w:tc>
        <w:tc>
          <w:tcPr>
            <w:tcW w:w="654"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 xml:space="preserve">VE for VT </w:t>
            </w:r>
            <w:r w:rsidR="00286531" w:rsidRPr="00700585">
              <w:rPr>
                <w:rFonts w:ascii="Arial Narrow" w:hAnsi="Arial Narrow"/>
                <w:sz w:val="20"/>
                <w:szCs w:val="16"/>
                <w:lang w:val="en-US"/>
              </w:rPr>
              <w:t>CAP</w:t>
            </w:r>
          </w:p>
        </w:tc>
      </w:tr>
      <w:tr w:rsidR="00700585" w:rsidRPr="00700585" w:rsidTr="008A56D6">
        <w:trPr>
          <w:cantSplit/>
        </w:trPr>
        <w:tc>
          <w:tcPr>
            <w:tcW w:w="669" w:type="pct"/>
            <w:shd w:val="clear" w:color="auto" w:fill="auto"/>
            <w:vAlign w:val="center"/>
          </w:tcPr>
          <w:p w:rsidR="001E222C" w:rsidRPr="00700585" w:rsidRDefault="001E222C" w:rsidP="00230BF2">
            <w:pPr>
              <w:keepNext/>
              <w:widowControl/>
              <w:jc w:val="left"/>
              <w:rPr>
                <w:rFonts w:ascii="Arial Narrow" w:hAnsi="Arial Narrow"/>
                <w:sz w:val="20"/>
                <w:szCs w:val="16"/>
                <w:lang w:val="en-US"/>
              </w:rPr>
            </w:pPr>
            <w:proofErr w:type="spellStart"/>
            <w:r w:rsidRPr="00700585">
              <w:rPr>
                <w:rFonts w:ascii="Arial Narrow" w:hAnsi="Arial Narrow"/>
                <w:sz w:val="20"/>
                <w:szCs w:val="16"/>
                <w:lang w:val="en-US"/>
              </w:rPr>
              <w:t>Furumoto</w:t>
            </w:r>
            <w:proofErr w:type="spellEnd"/>
            <w:r w:rsidRPr="00700585">
              <w:rPr>
                <w:rFonts w:ascii="Arial Narrow" w:hAnsi="Arial Narrow"/>
                <w:sz w:val="20"/>
                <w:szCs w:val="16"/>
                <w:lang w:val="en-US"/>
              </w:rPr>
              <w:t xml:space="preserve"> 2008</w:t>
            </w:r>
          </w:p>
        </w:tc>
        <w:tc>
          <w:tcPr>
            <w:tcW w:w="335"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191</w:t>
            </w:r>
          </w:p>
        </w:tc>
        <w:tc>
          <w:tcPr>
            <w:tcW w:w="501"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R, OL</w:t>
            </w:r>
          </w:p>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2 years</w:t>
            </w:r>
          </w:p>
        </w:tc>
        <w:tc>
          <w:tcPr>
            <w:tcW w:w="501"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Moderate</w:t>
            </w:r>
          </w:p>
        </w:tc>
        <w:tc>
          <w:tcPr>
            <w:tcW w:w="1421"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Aged 40-80 years</w:t>
            </w:r>
          </w:p>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Chronic lung disease</w:t>
            </w:r>
          </w:p>
        </w:tc>
        <w:tc>
          <w:tcPr>
            <w:tcW w:w="919" w:type="pct"/>
            <w:shd w:val="clear" w:color="auto" w:fill="auto"/>
            <w:vAlign w:val="center"/>
          </w:tcPr>
          <w:p w:rsidR="001E222C" w:rsidRPr="00700585" w:rsidRDefault="00CF13ED" w:rsidP="00230BF2">
            <w:pPr>
              <w:keepNext/>
              <w:widowControl/>
              <w:jc w:val="center"/>
              <w:rPr>
                <w:rFonts w:ascii="Arial Narrow" w:hAnsi="Arial Narrow"/>
                <w:sz w:val="20"/>
                <w:szCs w:val="16"/>
                <w:lang w:val="en-US"/>
              </w:rPr>
            </w:pPr>
            <w:r w:rsidRPr="00700585">
              <w:rPr>
                <w:rFonts w:ascii="Arial Narrow" w:hAnsi="Arial Narrow"/>
                <w:sz w:val="20"/>
                <w:szCs w:val="16"/>
                <w:lang w:val="en-US"/>
              </w:rPr>
              <w:t>CAP</w:t>
            </w:r>
            <w:r w:rsidR="001E222C" w:rsidRPr="00700585">
              <w:rPr>
                <w:rFonts w:ascii="Arial Narrow" w:hAnsi="Arial Narrow"/>
                <w:sz w:val="20"/>
                <w:szCs w:val="16"/>
                <w:lang w:val="en-US"/>
              </w:rPr>
              <w:t xml:space="preserve"> (all-cause)</w:t>
            </w:r>
          </w:p>
        </w:tc>
        <w:tc>
          <w:tcPr>
            <w:tcW w:w="654"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 xml:space="preserve">VE for VT </w:t>
            </w:r>
            <w:r w:rsidR="00286531" w:rsidRPr="00700585">
              <w:rPr>
                <w:rFonts w:ascii="Arial Narrow" w:hAnsi="Arial Narrow"/>
                <w:sz w:val="20"/>
                <w:szCs w:val="16"/>
                <w:lang w:val="en-US"/>
              </w:rPr>
              <w:t>CAP</w:t>
            </w:r>
          </w:p>
        </w:tc>
      </w:tr>
      <w:tr w:rsidR="00700585" w:rsidRPr="00700585" w:rsidTr="008A56D6">
        <w:trPr>
          <w:cantSplit/>
        </w:trPr>
        <w:tc>
          <w:tcPr>
            <w:tcW w:w="669" w:type="pct"/>
            <w:shd w:val="clear" w:color="auto" w:fill="auto"/>
            <w:vAlign w:val="center"/>
          </w:tcPr>
          <w:p w:rsidR="001E222C" w:rsidRPr="00700585" w:rsidRDefault="001E222C" w:rsidP="00230BF2">
            <w:pPr>
              <w:keepNext/>
              <w:widowControl/>
              <w:jc w:val="left"/>
              <w:rPr>
                <w:rFonts w:ascii="Arial Narrow" w:hAnsi="Arial Narrow"/>
                <w:sz w:val="20"/>
                <w:szCs w:val="16"/>
                <w:lang w:val="en-US"/>
              </w:rPr>
            </w:pPr>
            <w:r w:rsidRPr="00700585">
              <w:rPr>
                <w:rFonts w:ascii="Arial Narrow" w:hAnsi="Arial Narrow"/>
                <w:sz w:val="20"/>
                <w:szCs w:val="16"/>
                <w:lang w:val="en-US"/>
              </w:rPr>
              <w:t>Kawakami 2010</w:t>
            </w:r>
          </w:p>
        </w:tc>
        <w:tc>
          <w:tcPr>
            <w:tcW w:w="335"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786</w:t>
            </w:r>
          </w:p>
        </w:tc>
        <w:tc>
          <w:tcPr>
            <w:tcW w:w="501"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R, OL</w:t>
            </w:r>
          </w:p>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2 years</w:t>
            </w:r>
          </w:p>
        </w:tc>
        <w:tc>
          <w:tcPr>
            <w:tcW w:w="501"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Moderate</w:t>
            </w:r>
          </w:p>
        </w:tc>
        <w:tc>
          <w:tcPr>
            <w:tcW w:w="1421"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Aged ≥65 years</w:t>
            </w:r>
          </w:p>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rPr>
              <w:t>Immunised</w:t>
            </w:r>
            <w:r w:rsidRPr="00700585">
              <w:rPr>
                <w:rFonts w:ascii="Arial Narrow" w:hAnsi="Arial Narrow"/>
                <w:sz w:val="20"/>
                <w:szCs w:val="16"/>
                <w:lang w:val="en-US"/>
              </w:rPr>
              <w:t xml:space="preserve"> against influenza</w:t>
            </w:r>
          </w:p>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Treated by pulmonary physician</w:t>
            </w:r>
          </w:p>
        </w:tc>
        <w:tc>
          <w:tcPr>
            <w:tcW w:w="919" w:type="pct"/>
            <w:shd w:val="clear" w:color="auto" w:fill="auto"/>
            <w:vAlign w:val="center"/>
          </w:tcPr>
          <w:p w:rsidR="001E222C" w:rsidRPr="00700585" w:rsidRDefault="00CF13ED" w:rsidP="00230BF2">
            <w:pPr>
              <w:keepNext/>
              <w:widowControl/>
              <w:jc w:val="center"/>
              <w:rPr>
                <w:rFonts w:ascii="Arial Narrow" w:hAnsi="Arial Narrow"/>
                <w:sz w:val="20"/>
                <w:szCs w:val="16"/>
                <w:lang w:val="en-US"/>
              </w:rPr>
            </w:pPr>
            <w:r w:rsidRPr="00700585">
              <w:rPr>
                <w:rFonts w:ascii="Arial Narrow" w:hAnsi="Arial Narrow"/>
                <w:sz w:val="20"/>
                <w:szCs w:val="16"/>
                <w:lang w:val="en-US"/>
              </w:rPr>
              <w:t>CAP</w:t>
            </w:r>
            <w:r w:rsidR="001E222C" w:rsidRPr="00700585">
              <w:rPr>
                <w:rFonts w:ascii="Arial Narrow" w:hAnsi="Arial Narrow"/>
                <w:sz w:val="20"/>
                <w:szCs w:val="16"/>
                <w:lang w:val="en-US"/>
              </w:rPr>
              <w:t xml:space="preserve"> (all-cause)</w:t>
            </w:r>
          </w:p>
        </w:tc>
        <w:tc>
          <w:tcPr>
            <w:tcW w:w="654"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 xml:space="preserve">VE for VT </w:t>
            </w:r>
            <w:r w:rsidR="00286531" w:rsidRPr="00700585">
              <w:rPr>
                <w:rFonts w:ascii="Arial Narrow" w:hAnsi="Arial Narrow"/>
                <w:sz w:val="20"/>
                <w:szCs w:val="16"/>
                <w:lang w:val="en-US"/>
              </w:rPr>
              <w:t>CAP</w:t>
            </w:r>
          </w:p>
        </w:tc>
      </w:tr>
      <w:tr w:rsidR="00700585" w:rsidRPr="00700585" w:rsidTr="008A56D6">
        <w:trPr>
          <w:cantSplit/>
        </w:trPr>
        <w:tc>
          <w:tcPr>
            <w:tcW w:w="669" w:type="pct"/>
            <w:shd w:val="clear" w:color="auto" w:fill="auto"/>
            <w:vAlign w:val="center"/>
          </w:tcPr>
          <w:p w:rsidR="001E222C" w:rsidRPr="00700585" w:rsidRDefault="001E222C" w:rsidP="00230BF2">
            <w:pPr>
              <w:keepNext/>
              <w:widowControl/>
              <w:jc w:val="left"/>
              <w:rPr>
                <w:rFonts w:ascii="Arial Narrow" w:hAnsi="Arial Narrow"/>
                <w:sz w:val="20"/>
                <w:szCs w:val="16"/>
                <w:lang w:val="en-US"/>
              </w:rPr>
            </w:pPr>
            <w:r w:rsidRPr="00700585">
              <w:rPr>
                <w:rFonts w:ascii="Arial Narrow" w:hAnsi="Arial Narrow"/>
                <w:sz w:val="20"/>
                <w:szCs w:val="16"/>
                <w:lang w:val="en-US"/>
              </w:rPr>
              <w:t>Maruyama 2010</w:t>
            </w:r>
          </w:p>
        </w:tc>
        <w:tc>
          <w:tcPr>
            <w:tcW w:w="335"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1,006</w:t>
            </w:r>
          </w:p>
        </w:tc>
        <w:tc>
          <w:tcPr>
            <w:tcW w:w="501"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R, DB</w:t>
            </w:r>
          </w:p>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2.3 years</w:t>
            </w:r>
          </w:p>
        </w:tc>
        <w:tc>
          <w:tcPr>
            <w:tcW w:w="501"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Low</w:t>
            </w:r>
          </w:p>
        </w:tc>
        <w:tc>
          <w:tcPr>
            <w:tcW w:w="1421"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Mean age 85 years</w:t>
            </w:r>
          </w:p>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Nursing home residents</w:t>
            </w:r>
          </w:p>
        </w:tc>
        <w:tc>
          <w:tcPr>
            <w:tcW w:w="919"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 xml:space="preserve">Pneumococcal </w:t>
            </w:r>
            <w:r w:rsidR="00CF13ED" w:rsidRPr="00700585">
              <w:rPr>
                <w:rFonts w:ascii="Arial Narrow" w:hAnsi="Arial Narrow"/>
                <w:sz w:val="20"/>
                <w:szCs w:val="16"/>
                <w:lang w:val="en-US"/>
              </w:rPr>
              <w:t>CAP</w:t>
            </w:r>
          </w:p>
        </w:tc>
        <w:tc>
          <w:tcPr>
            <w:tcW w:w="654"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 xml:space="preserve">VE for VT </w:t>
            </w:r>
            <w:r w:rsidR="00286531" w:rsidRPr="00700585">
              <w:rPr>
                <w:rFonts w:ascii="Arial Narrow" w:hAnsi="Arial Narrow"/>
                <w:sz w:val="20"/>
                <w:szCs w:val="16"/>
                <w:lang w:val="en-US"/>
              </w:rPr>
              <w:t>CAP</w:t>
            </w:r>
          </w:p>
        </w:tc>
      </w:tr>
      <w:tr w:rsidR="00700585" w:rsidRPr="00700585" w:rsidTr="008A56D6">
        <w:trPr>
          <w:cantSplit/>
        </w:trPr>
        <w:tc>
          <w:tcPr>
            <w:tcW w:w="669" w:type="pct"/>
            <w:shd w:val="clear" w:color="auto" w:fill="auto"/>
            <w:vAlign w:val="center"/>
          </w:tcPr>
          <w:p w:rsidR="001E222C" w:rsidRPr="00700585" w:rsidRDefault="001E222C" w:rsidP="00230BF2">
            <w:pPr>
              <w:keepNext/>
              <w:widowControl/>
              <w:jc w:val="left"/>
              <w:rPr>
                <w:rFonts w:ascii="Arial Narrow" w:hAnsi="Arial Narrow"/>
                <w:sz w:val="20"/>
                <w:szCs w:val="16"/>
                <w:lang w:val="en-US"/>
              </w:rPr>
            </w:pPr>
            <w:r w:rsidRPr="00700585">
              <w:rPr>
                <w:rFonts w:ascii="Arial Narrow" w:hAnsi="Arial Narrow"/>
                <w:sz w:val="20"/>
              </w:rPr>
              <w:t>Ö</w:t>
            </w:r>
            <w:proofErr w:type="spellStart"/>
            <w:r w:rsidR="00033CC8" w:rsidRPr="00700585">
              <w:rPr>
                <w:rFonts w:ascii="Arial Narrow" w:hAnsi="Arial Narrow"/>
                <w:sz w:val="20"/>
                <w:szCs w:val="16"/>
                <w:lang w:val="en-US"/>
              </w:rPr>
              <w:t>rtqvist</w:t>
            </w:r>
            <w:proofErr w:type="spellEnd"/>
            <w:r w:rsidRPr="00700585">
              <w:rPr>
                <w:rFonts w:ascii="Arial Narrow" w:hAnsi="Arial Narrow"/>
                <w:sz w:val="20"/>
                <w:szCs w:val="16"/>
                <w:lang w:val="en-US"/>
              </w:rPr>
              <w:t xml:space="preserve"> 1998</w:t>
            </w:r>
          </w:p>
        </w:tc>
        <w:tc>
          <w:tcPr>
            <w:tcW w:w="335"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693</w:t>
            </w:r>
          </w:p>
        </w:tc>
        <w:tc>
          <w:tcPr>
            <w:tcW w:w="501"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R, DB</w:t>
            </w:r>
          </w:p>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2.5 years</w:t>
            </w:r>
          </w:p>
        </w:tc>
        <w:tc>
          <w:tcPr>
            <w:tcW w:w="501"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Low</w:t>
            </w:r>
          </w:p>
        </w:tc>
        <w:tc>
          <w:tcPr>
            <w:tcW w:w="1421"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Aged 50-85 years</w:t>
            </w:r>
          </w:p>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Previously treated as inpatient for CAP</w:t>
            </w:r>
          </w:p>
        </w:tc>
        <w:tc>
          <w:tcPr>
            <w:tcW w:w="919"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 xml:space="preserve">Pneumococcal </w:t>
            </w:r>
            <w:r w:rsidR="00CF13ED" w:rsidRPr="00700585">
              <w:rPr>
                <w:rFonts w:ascii="Arial Narrow" w:hAnsi="Arial Narrow"/>
                <w:sz w:val="20"/>
                <w:szCs w:val="16"/>
                <w:lang w:val="en-US"/>
              </w:rPr>
              <w:t>CAP</w:t>
            </w:r>
          </w:p>
        </w:tc>
        <w:tc>
          <w:tcPr>
            <w:tcW w:w="654"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 xml:space="preserve">VE for VT </w:t>
            </w:r>
            <w:r w:rsidR="00286531" w:rsidRPr="00700585">
              <w:rPr>
                <w:rFonts w:ascii="Arial Narrow" w:hAnsi="Arial Narrow"/>
                <w:sz w:val="20"/>
                <w:szCs w:val="16"/>
                <w:lang w:val="en-US"/>
              </w:rPr>
              <w:t>CAP</w:t>
            </w:r>
          </w:p>
        </w:tc>
      </w:tr>
      <w:tr w:rsidR="00700585" w:rsidRPr="00700585" w:rsidTr="008A56D6">
        <w:trPr>
          <w:cantSplit/>
        </w:trPr>
        <w:tc>
          <w:tcPr>
            <w:tcW w:w="669" w:type="pct"/>
            <w:shd w:val="clear" w:color="auto" w:fill="auto"/>
            <w:vAlign w:val="center"/>
          </w:tcPr>
          <w:p w:rsidR="001E222C" w:rsidRPr="00700585" w:rsidRDefault="001E222C" w:rsidP="00230BF2">
            <w:pPr>
              <w:keepNext/>
              <w:widowControl/>
              <w:jc w:val="left"/>
              <w:rPr>
                <w:rFonts w:ascii="Arial Narrow" w:hAnsi="Arial Narrow"/>
                <w:sz w:val="20"/>
                <w:szCs w:val="16"/>
                <w:lang w:val="en-US"/>
              </w:rPr>
            </w:pPr>
            <w:r w:rsidRPr="00700585">
              <w:rPr>
                <w:rFonts w:ascii="Arial Narrow" w:hAnsi="Arial Narrow"/>
                <w:sz w:val="20"/>
                <w:szCs w:val="16"/>
                <w:lang w:val="en-US"/>
              </w:rPr>
              <w:t>Meta-analyses</w:t>
            </w:r>
          </w:p>
        </w:tc>
        <w:tc>
          <w:tcPr>
            <w:tcW w:w="335"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2,293-3,246</w:t>
            </w:r>
          </w:p>
        </w:tc>
        <w:tc>
          <w:tcPr>
            <w:tcW w:w="3342" w:type="pct"/>
            <w:gridSpan w:val="4"/>
            <w:shd w:val="clear" w:color="auto" w:fill="auto"/>
            <w:vAlign w:val="center"/>
          </w:tcPr>
          <w:p w:rsidR="001E222C" w:rsidRPr="00700585" w:rsidRDefault="00286531" w:rsidP="00230BF2">
            <w:pPr>
              <w:keepNext/>
              <w:widowControl/>
              <w:jc w:val="center"/>
              <w:rPr>
                <w:rFonts w:ascii="Arial Narrow" w:hAnsi="Arial Narrow"/>
                <w:sz w:val="20"/>
                <w:szCs w:val="16"/>
                <w:lang w:val="en-US"/>
              </w:rPr>
            </w:pPr>
            <w:r w:rsidRPr="00700585">
              <w:rPr>
                <w:rFonts w:ascii="Arial Narrow" w:hAnsi="Arial Narrow"/>
                <w:sz w:val="20"/>
                <w:szCs w:val="16"/>
                <w:lang w:val="en-US"/>
              </w:rPr>
              <w:t>A</w:t>
            </w:r>
            <w:r w:rsidR="001E222C" w:rsidRPr="00700585">
              <w:rPr>
                <w:rFonts w:ascii="Arial Narrow" w:hAnsi="Arial Narrow"/>
                <w:sz w:val="20"/>
                <w:szCs w:val="16"/>
                <w:lang w:val="en-US"/>
              </w:rPr>
              <w:t xml:space="preserve">ssessed </w:t>
            </w:r>
            <w:r w:rsidR="00CF13ED" w:rsidRPr="00700585">
              <w:rPr>
                <w:rFonts w:ascii="Arial Narrow" w:hAnsi="Arial Narrow"/>
                <w:sz w:val="20"/>
                <w:szCs w:val="16"/>
                <w:lang w:val="en-US"/>
              </w:rPr>
              <w:t>CAP</w:t>
            </w:r>
            <w:r w:rsidR="001E222C" w:rsidRPr="00700585">
              <w:rPr>
                <w:rFonts w:ascii="Arial Narrow" w:hAnsi="Arial Narrow"/>
                <w:sz w:val="20"/>
                <w:szCs w:val="16"/>
                <w:lang w:val="en-US"/>
              </w:rPr>
              <w:t xml:space="preserve"> (all-cause), pneumococcal </w:t>
            </w:r>
            <w:r w:rsidR="00CF13ED" w:rsidRPr="00700585">
              <w:rPr>
                <w:rFonts w:ascii="Arial Narrow" w:hAnsi="Arial Narrow"/>
                <w:sz w:val="20"/>
                <w:szCs w:val="16"/>
                <w:lang w:val="en-US"/>
              </w:rPr>
              <w:t>CAP</w:t>
            </w:r>
            <w:r w:rsidR="001E222C" w:rsidRPr="00700585">
              <w:rPr>
                <w:rFonts w:ascii="Arial Narrow" w:hAnsi="Arial Narrow"/>
                <w:sz w:val="20"/>
                <w:szCs w:val="16"/>
                <w:lang w:val="en-US"/>
              </w:rPr>
              <w:t xml:space="preserve">, </w:t>
            </w:r>
            <w:proofErr w:type="spellStart"/>
            <w:r w:rsidR="001E222C" w:rsidRPr="00700585">
              <w:rPr>
                <w:rFonts w:ascii="Arial Narrow" w:hAnsi="Arial Narrow"/>
                <w:sz w:val="20"/>
                <w:szCs w:val="16"/>
                <w:lang w:val="en-US"/>
              </w:rPr>
              <w:t>bacteraemic</w:t>
            </w:r>
            <w:proofErr w:type="spellEnd"/>
            <w:r w:rsidR="001E222C" w:rsidRPr="00700585">
              <w:rPr>
                <w:rFonts w:ascii="Arial Narrow" w:hAnsi="Arial Narrow"/>
                <w:sz w:val="20"/>
                <w:szCs w:val="16"/>
                <w:lang w:val="en-US"/>
              </w:rPr>
              <w:t xml:space="preserve"> pneumococcal pneumonia</w:t>
            </w:r>
          </w:p>
        </w:tc>
        <w:tc>
          <w:tcPr>
            <w:tcW w:w="654"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 xml:space="preserve">VE for VT </w:t>
            </w:r>
            <w:r w:rsidR="00286531" w:rsidRPr="00700585">
              <w:rPr>
                <w:rFonts w:ascii="Arial Narrow" w:hAnsi="Arial Narrow"/>
                <w:sz w:val="20"/>
                <w:szCs w:val="16"/>
                <w:lang w:val="en-US"/>
              </w:rPr>
              <w:t>CAP</w:t>
            </w:r>
          </w:p>
        </w:tc>
      </w:tr>
      <w:tr w:rsidR="00700585" w:rsidRPr="00700585" w:rsidTr="008A56D6">
        <w:trPr>
          <w:cantSplit/>
        </w:trPr>
        <w:tc>
          <w:tcPr>
            <w:tcW w:w="5000" w:type="pct"/>
            <w:gridSpan w:val="7"/>
            <w:shd w:val="clear" w:color="auto" w:fill="auto"/>
            <w:vAlign w:val="center"/>
          </w:tcPr>
          <w:p w:rsidR="001E222C" w:rsidRPr="00700585" w:rsidRDefault="001E222C" w:rsidP="00230BF2">
            <w:pPr>
              <w:keepNext/>
              <w:widowControl/>
              <w:jc w:val="left"/>
              <w:rPr>
                <w:rFonts w:ascii="Arial Narrow" w:hAnsi="Arial Narrow"/>
                <w:b/>
                <w:sz w:val="20"/>
                <w:szCs w:val="16"/>
                <w:lang w:val="en-US"/>
              </w:rPr>
            </w:pPr>
            <w:r w:rsidRPr="00700585">
              <w:rPr>
                <w:rFonts w:ascii="Arial Narrow" w:hAnsi="Arial Narrow"/>
                <w:b/>
                <w:sz w:val="20"/>
                <w:szCs w:val="16"/>
                <w:lang w:val="en-US"/>
              </w:rPr>
              <w:t>23vPPV non-</w:t>
            </w:r>
            <w:proofErr w:type="spellStart"/>
            <w:r w:rsidRPr="00700585">
              <w:rPr>
                <w:rFonts w:ascii="Arial Narrow" w:hAnsi="Arial Narrow"/>
                <w:b/>
                <w:sz w:val="20"/>
                <w:szCs w:val="16"/>
                <w:lang w:val="en-US"/>
              </w:rPr>
              <w:t>randomised</w:t>
            </w:r>
            <w:proofErr w:type="spellEnd"/>
            <w:r w:rsidRPr="00700585">
              <w:rPr>
                <w:rFonts w:ascii="Arial Narrow" w:hAnsi="Arial Narrow"/>
                <w:b/>
                <w:sz w:val="20"/>
                <w:szCs w:val="16"/>
                <w:lang w:val="en-US"/>
              </w:rPr>
              <w:t xml:space="preserve"> study used in the economic evaluations</w:t>
            </w:r>
          </w:p>
        </w:tc>
      </w:tr>
      <w:tr w:rsidR="00700585" w:rsidRPr="00700585" w:rsidTr="008A56D6">
        <w:trPr>
          <w:cantSplit/>
        </w:trPr>
        <w:tc>
          <w:tcPr>
            <w:tcW w:w="669" w:type="pct"/>
            <w:shd w:val="clear" w:color="auto" w:fill="auto"/>
            <w:vAlign w:val="center"/>
          </w:tcPr>
          <w:p w:rsidR="001E222C" w:rsidRPr="00700585" w:rsidRDefault="001E222C" w:rsidP="00230BF2">
            <w:pPr>
              <w:keepNext/>
              <w:widowControl/>
              <w:jc w:val="left"/>
              <w:rPr>
                <w:rFonts w:ascii="Arial Narrow" w:hAnsi="Arial Narrow"/>
                <w:sz w:val="20"/>
                <w:szCs w:val="16"/>
                <w:lang w:val="en-US"/>
              </w:rPr>
            </w:pPr>
            <w:r w:rsidRPr="00700585">
              <w:rPr>
                <w:rFonts w:ascii="Arial Narrow" w:hAnsi="Arial Narrow"/>
                <w:sz w:val="20"/>
                <w:szCs w:val="16"/>
                <w:lang w:val="en-US"/>
              </w:rPr>
              <w:t>Menzies 2014</w:t>
            </w:r>
          </w:p>
        </w:tc>
        <w:tc>
          <w:tcPr>
            <w:tcW w:w="335"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900 IPD cases</w:t>
            </w:r>
          </w:p>
        </w:tc>
        <w:tc>
          <w:tcPr>
            <w:tcW w:w="501"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Used screening method</w:t>
            </w:r>
          </w:p>
        </w:tc>
        <w:tc>
          <w:tcPr>
            <w:tcW w:w="501"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High</w:t>
            </w:r>
          </w:p>
        </w:tc>
        <w:tc>
          <w:tcPr>
            <w:tcW w:w="1421"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IPD cases from NNDSS in adults ≥65 years</w:t>
            </w:r>
          </w:p>
        </w:tc>
        <w:tc>
          <w:tcPr>
            <w:tcW w:w="919"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VT IPD</w:t>
            </w:r>
          </w:p>
        </w:tc>
        <w:tc>
          <w:tcPr>
            <w:tcW w:w="654" w:type="pct"/>
            <w:shd w:val="clear" w:color="auto" w:fill="auto"/>
            <w:vAlign w:val="center"/>
          </w:tcPr>
          <w:p w:rsidR="001E222C" w:rsidRPr="00700585" w:rsidRDefault="001E222C" w:rsidP="00230BF2">
            <w:pPr>
              <w:keepNext/>
              <w:widowControl/>
              <w:jc w:val="center"/>
              <w:rPr>
                <w:rFonts w:ascii="Arial Narrow" w:hAnsi="Arial Narrow"/>
                <w:sz w:val="20"/>
                <w:szCs w:val="16"/>
                <w:lang w:val="en-US"/>
              </w:rPr>
            </w:pPr>
            <w:r w:rsidRPr="00700585">
              <w:rPr>
                <w:rFonts w:ascii="Arial Narrow" w:hAnsi="Arial Narrow"/>
                <w:sz w:val="20"/>
                <w:szCs w:val="16"/>
                <w:lang w:val="en-US"/>
              </w:rPr>
              <w:t>VE for VT IPD</w:t>
            </w:r>
          </w:p>
        </w:tc>
      </w:tr>
    </w:tbl>
    <w:p w:rsidR="001E222C" w:rsidRPr="00700585" w:rsidRDefault="001E222C" w:rsidP="00230BF2">
      <w:pPr>
        <w:pStyle w:val="TableFooter"/>
        <w:keepNext/>
        <w:widowControl/>
        <w:ind w:left="709" w:firstLine="11"/>
      </w:pPr>
      <w:r w:rsidRPr="00700585">
        <w:t xml:space="preserve">CAP=community acquired pneumonia; COPD=chronic obstructive pulmonary disease; DB=double blind; IPD=invasive pneumococcal disease; OL=open label; </w:t>
      </w:r>
      <w:proofErr w:type="spellStart"/>
      <w:r w:rsidRPr="00700585">
        <w:t>mITT</w:t>
      </w:r>
      <w:proofErr w:type="spellEnd"/>
      <w:r w:rsidRPr="00700585">
        <w:t>=modified intent to treat; NNDSS=National Notifiable Diseases Surveillance System; R=randomised; VE=vaccine efficacy; VT=vaccine type</w:t>
      </w:r>
    </w:p>
    <w:p w:rsidR="001E222C" w:rsidRPr="00700585" w:rsidRDefault="001E222C" w:rsidP="00230BF2">
      <w:pPr>
        <w:pStyle w:val="TableFooter"/>
        <w:widowControl/>
        <w:ind w:firstLine="720"/>
        <w:rPr>
          <w:szCs w:val="18"/>
        </w:rPr>
      </w:pPr>
      <w:r w:rsidRPr="00700585">
        <w:rPr>
          <w:szCs w:val="18"/>
        </w:rPr>
        <w:t>Source: compiled during the evaluation</w:t>
      </w:r>
      <w:r w:rsidR="00214CDD" w:rsidRPr="00700585">
        <w:rPr>
          <w:szCs w:val="18"/>
        </w:rPr>
        <w:t xml:space="preserve"> of the March 2015 submission.</w:t>
      </w:r>
    </w:p>
    <w:p w:rsidR="007F1017" w:rsidRPr="00700585" w:rsidRDefault="007F1017" w:rsidP="00230BF2">
      <w:pPr>
        <w:widowControl/>
      </w:pPr>
    </w:p>
    <w:p w:rsidR="00B60939" w:rsidRPr="00CB0FEA" w:rsidRDefault="00B60939" w:rsidP="0091638E">
      <w:pPr>
        <w:pStyle w:val="Heading2"/>
      </w:pPr>
      <w:bookmarkStart w:id="8" w:name="_Toc450632531"/>
      <w:r w:rsidRPr="00CB0FEA">
        <w:t>Comparative effectiveness</w:t>
      </w:r>
      <w:bookmarkEnd w:id="8"/>
    </w:p>
    <w:p w:rsidR="00B60939" w:rsidRPr="00700585" w:rsidRDefault="00B60939" w:rsidP="00230BF2">
      <w:pPr>
        <w:widowControl/>
        <w:rPr>
          <w:szCs w:val="22"/>
        </w:rPr>
      </w:pPr>
    </w:p>
    <w:p w:rsidR="00500BBB" w:rsidRPr="00700585" w:rsidRDefault="00500BBB" w:rsidP="00230BF2">
      <w:pPr>
        <w:pStyle w:val="ListParagraph"/>
        <w:widowControl/>
        <w:numPr>
          <w:ilvl w:val="1"/>
          <w:numId w:val="3"/>
        </w:numPr>
        <w:rPr>
          <w:szCs w:val="22"/>
        </w:rPr>
      </w:pPr>
      <w:r w:rsidRPr="00700585">
        <w:rPr>
          <w:szCs w:val="22"/>
        </w:rPr>
        <w:t xml:space="preserve">The results for the primary and key secondary outcomes for </w:t>
      </w:r>
      <w:proofErr w:type="spellStart"/>
      <w:r w:rsidRPr="00700585">
        <w:rPr>
          <w:szCs w:val="22"/>
        </w:rPr>
        <w:t>CAPiTA</w:t>
      </w:r>
      <w:proofErr w:type="spellEnd"/>
      <w:r w:rsidRPr="00700585">
        <w:rPr>
          <w:szCs w:val="22"/>
        </w:rPr>
        <w:t xml:space="preserve"> for the modified </w:t>
      </w:r>
      <w:r w:rsidR="009A68FC">
        <w:rPr>
          <w:szCs w:val="22"/>
        </w:rPr>
        <w:t>intention to treat</w:t>
      </w:r>
      <w:r w:rsidR="009A68FC" w:rsidRPr="00700585">
        <w:rPr>
          <w:szCs w:val="22"/>
        </w:rPr>
        <w:t xml:space="preserve"> </w:t>
      </w:r>
      <w:r w:rsidRPr="00700585">
        <w:rPr>
          <w:szCs w:val="22"/>
        </w:rPr>
        <w:t>(</w:t>
      </w:r>
      <w:proofErr w:type="spellStart"/>
      <w:r w:rsidRPr="00700585">
        <w:rPr>
          <w:szCs w:val="22"/>
        </w:rPr>
        <w:t>mITT</w:t>
      </w:r>
      <w:proofErr w:type="spellEnd"/>
      <w:r w:rsidRPr="00700585">
        <w:rPr>
          <w:szCs w:val="22"/>
        </w:rPr>
        <w:t xml:space="preserve">) case population are presented in </w:t>
      </w:r>
      <w:r w:rsidR="000761CE">
        <w:rPr>
          <w:szCs w:val="22"/>
        </w:rPr>
        <w:t>Table 3</w:t>
      </w:r>
      <w:r w:rsidRPr="00700585">
        <w:rPr>
          <w:szCs w:val="22"/>
        </w:rPr>
        <w:t>.</w:t>
      </w:r>
    </w:p>
    <w:p w:rsidR="00500BBB" w:rsidRPr="00700585" w:rsidRDefault="00500BBB" w:rsidP="00230BF2">
      <w:pPr>
        <w:pStyle w:val="ListParagraph"/>
        <w:widowControl/>
        <w:rPr>
          <w:szCs w:val="22"/>
        </w:rPr>
      </w:pPr>
    </w:p>
    <w:p w:rsidR="00500BBB" w:rsidRPr="00700585" w:rsidRDefault="00500BBB" w:rsidP="00230BF2">
      <w:pPr>
        <w:keepNext/>
        <w:widowControl/>
        <w:ind w:firstLine="720"/>
        <w:rPr>
          <w:rStyle w:val="CommentReference"/>
        </w:rPr>
      </w:pPr>
      <w:r w:rsidRPr="00700585">
        <w:rPr>
          <w:rStyle w:val="CommentReference"/>
        </w:rPr>
        <w:t xml:space="preserve">Table 3: Results of VT pneumonia and IPD outcome in </w:t>
      </w:r>
      <w:proofErr w:type="spellStart"/>
      <w:r w:rsidRPr="00700585">
        <w:rPr>
          <w:rStyle w:val="CommentReference"/>
        </w:rPr>
        <w:t>CAPiTA</w:t>
      </w:r>
      <w:proofErr w:type="spellEnd"/>
      <w:r w:rsidRPr="00700585">
        <w:rPr>
          <w:rStyle w:val="CommentReference"/>
        </w:rPr>
        <w:t xml:space="preserve"> (</w:t>
      </w:r>
      <w:proofErr w:type="spellStart"/>
      <w:r w:rsidRPr="00700585">
        <w:rPr>
          <w:rStyle w:val="CommentReference"/>
        </w:rPr>
        <w:t>mITT</w:t>
      </w:r>
      <w:proofErr w:type="spellEnd"/>
      <w:r w:rsidRPr="00700585">
        <w:rPr>
          <w:rStyle w:val="CommentReference"/>
        </w:rPr>
        <w:t xml:space="preserve"> population) </w:t>
      </w:r>
    </w:p>
    <w:tbl>
      <w:tblPr>
        <w:tblW w:w="468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2"/>
        <w:gridCol w:w="1557"/>
        <w:gridCol w:w="1562"/>
        <w:gridCol w:w="1556"/>
        <w:gridCol w:w="1556"/>
        <w:gridCol w:w="572"/>
      </w:tblGrid>
      <w:tr w:rsidR="00700585" w:rsidRPr="00700585" w:rsidTr="008A56D6">
        <w:tc>
          <w:tcPr>
            <w:tcW w:w="1000" w:type="pct"/>
            <w:shd w:val="clear" w:color="auto" w:fill="auto"/>
            <w:vAlign w:val="center"/>
          </w:tcPr>
          <w:p w:rsidR="00500BBB" w:rsidRPr="00700585" w:rsidRDefault="00500BBB" w:rsidP="00230BF2">
            <w:pPr>
              <w:keepNext/>
              <w:widowControl/>
              <w:jc w:val="left"/>
              <w:rPr>
                <w:rFonts w:ascii="Arial Narrow" w:hAnsi="Arial Narrow"/>
                <w:b/>
                <w:sz w:val="20"/>
                <w:lang w:val="en-US"/>
              </w:rPr>
            </w:pPr>
            <w:r w:rsidRPr="00700585">
              <w:rPr>
                <w:rFonts w:ascii="Arial Narrow" w:hAnsi="Arial Narrow"/>
                <w:b/>
                <w:sz w:val="20"/>
                <w:lang w:val="en-US"/>
              </w:rPr>
              <w:t>Outcome</w:t>
            </w:r>
          </w:p>
        </w:tc>
        <w:tc>
          <w:tcPr>
            <w:tcW w:w="915" w:type="pct"/>
            <w:shd w:val="clear" w:color="auto" w:fill="auto"/>
            <w:vAlign w:val="center"/>
          </w:tcPr>
          <w:p w:rsidR="00500BBB" w:rsidRPr="00700585" w:rsidRDefault="00500BBB" w:rsidP="00230BF2">
            <w:pPr>
              <w:keepNext/>
              <w:widowControl/>
              <w:jc w:val="center"/>
              <w:rPr>
                <w:rFonts w:ascii="Arial Narrow" w:hAnsi="Arial Narrow"/>
                <w:b/>
                <w:sz w:val="20"/>
                <w:lang w:val="en-US"/>
              </w:rPr>
            </w:pPr>
            <w:r w:rsidRPr="00700585">
              <w:rPr>
                <w:rFonts w:ascii="Arial Narrow" w:hAnsi="Arial Narrow"/>
                <w:b/>
                <w:sz w:val="20"/>
                <w:lang w:val="en-US"/>
              </w:rPr>
              <w:t>13vPCV</w:t>
            </w:r>
          </w:p>
          <w:p w:rsidR="00500BBB" w:rsidRPr="00700585" w:rsidRDefault="00500BBB" w:rsidP="00230BF2">
            <w:pPr>
              <w:keepNext/>
              <w:widowControl/>
              <w:jc w:val="center"/>
              <w:rPr>
                <w:rFonts w:ascii="Arial Narrow" w:hAnsi="Arial Narrow"/>
                <w:b/>
                <w:sz w:val="20"/>
                <w:lang w:val="en-US"/>
              </w:rPr>
            </w:pPr>
            <w:proofErr w:type="gramStart"/>
            <w:r w:rsidRPr="00700585">
              <w:rPr>
                <w:rFonts w:ascii="Arial Narrow" w:hAnsi="Arial Narrow"/>
                <w:b/>
                <w:sz w:val="20"/>
                <w:lang w:val="en-US"/>
              </w:rPr>
              <w:t>n</w:t>
            </w:r>
            <w:proofErr w:type="gramEnd"/>
            <w:r w:rsidRPr="00700585">
              <w:rPr>
                <w:rFonts w:ascii="Arial Narrow" w:hAnsi="Arial Narrow"/>
                <w:b/>
                <w:sz w:val="20"/>
                <w:lang w:val="en-US"/>
              </w:rPr>
              <w:t xml:space="preserve"> with event/N (%) </w:t>
            </w:r>
          </w:p>
        </w:tc>
        <w:tc>
          <w:tcPr>
            <w:tcW w:w="918" w:type="pct"/>
            <w:shd w:val="clear" w:color="auto" w:fill="auto"/>
            <w:vAlign w:val="center"/>
          </w:tcPr>
          <w:p w:rsidR="00500BBB" w:rsidRPr="00700585" w:rsidRDefault="00500BBB" w:rsidP="00230BF2">
            <w:pPr>
              <w:keepNext/>
              <w:widowControl/>
              <w:jc w:val="center"/>
              <w:rPr>
                <w:rFonts w:ascii="Arial Narrow" w:hAnsi="Arial Narrow"/>
                <w:b/>
                <w:sz w:val="20"/>
                <w:lang w:val="en-US"/>
              </w:rPr>
            </w:pPr>
            <w:r w:rsidRPr="00700585">
              <w:rPr>
                <w:rFonts w:ascii="Arial Narrow" w:hAnsi="Arial Narrow"/>
                <w:b/>
                <w:sz w:val="20"/>
                <w:lang w:val="en-US"/>
              </w:rPr>
              <w:t>PBO</w:t>
            </w:r>
          </w:p>
          <w:p w:rsidR="00500BBB" w:rsidRPr="00700585" w:rsidRDefault="00500BBB" w:rsidP="00230BF2">
            <w:pPr>
              <w:keepNext/>
              <w:widowControl/>
              <w:jc w:val="center"/>
              <w:rPr>
                <w:rFonts w:ascii="Arial Narrow" w:hAnsi="Arial Narrow"/>
                <w:b/>
                <w:sz w:val="20"/>
                <w:lang w:val="en-US"/>
              </w:rPr>
            </w:pPr>
            <w:proofErr w:type="gramStart"/>
            <w:r w:rsidRPr="00700585">
              <w:rPr>
                <w:rFonts w:ascii="Arial Narrow" w:hAnsi="Arial Narrow"/>
                <w:b/>
                <w:sz w:val="20"/>
                <w:lang w:val="en-US"/>
              </w:rPr>
              <w:t>n</w:t>
            </w:r>
            <w:proofErr w:type="gramEnd"/>
            <w:r w:rsidRPr="00700585">
              <w:rPr>
                <w:rFonts w:ascii="Arial Narrow" w:hAnsi="Arial Narrow"/>
                <w:b/>
                <w:sz w:val="20"/>
                <w:lang w:val="en-US"/>
              </w:rPr>
              <w:t xml:space="preserve"> with event/N (%)</w:t>
            </w:r>
          </w:p>
        </w:tc>
        <w:tc>
          <w:tcPr>
            <w:tcW w:w="915" w:type="pct"/>
            <w:shd w:val="clear" w:color="auto" w:fill="auto"/>
            <w:vAlign w:val="center"/>
          </w:tcPr>
          <w:p w:rsidR="00500BBB" w:rsidRPr="00700585" w:rsidRDefault="00500BBB" w:rsidP="00230BF2">
            <w:pPr>
              <w:keepNext/>
              <w:widowControl/>
              <w:jc w:val="center"/>
              <w:rPr>
                <w:rFonts w:ascii="Arial Narrow" w:hAnsi="Arial Narrow"/>
                <w:b/>
                <w:sz w:val="20"/>
                <w:lang w:val="en-US"/>
              </w:rPr>
            </w:pPr>
            <w:r w:rsidRPr="00700585">
              <w:rPr>
                <w:rFonts w:ascii="Arial Narrow" w:hAnsi="Arial Narrow"/>
                <w:b/>
                <w:sz w:val="20"/>
                <w:lang w:val="en-US"/>
              </w:rPr>
              <w:t>RD (%) (95% CI)</w:t>
            </w:r>
          </w:p>
        </w:tc>
        <w:tc>
          <w:tcPr>
            <w:tcW w:w="915" w:type="pct"/>
            <w:shd w:val="clear" w:color="auto" w:fill="auto"/>
            <w:vAlign w:val="center"/>
          </w:tcPr>
          <w:p w:rsidR="00500BBB" w:rsidRPr="00700585" w:rsidRDefault="00500BBB" w:rsidP="00230BF2">
            <w:pPr>
              <w:keepNext/>
              <w:widowControl/>
              <w:jc w:val="center"/>
              <w:rPr>
                <w:rFonts w:ascii="Arial Narrow" w:hAnsi="Arial Narrow"/>
                <w:b/>
                <w:sz w:val="20"/>
                <w:lang w:val="en-US"/>
              </w:rPr>
            </w:pPr>
            <w:proofErr w:type="spellStart"/>
            <w:r w:rsidRPr="00700585">
              <w:rPr>
                <w:rFonts w:ascii="Arial Narrow" w:hAnsi="Arial Narrow"/>
                <w:b/>
                <w:sz w:val="20"/>
                <w:lang w:val="en-US"/>
              </w:rPr>
              <w:t>VE</w:t>
            </w:r>
            <w:r w:rsidRPr="00700585">
              <w:rPr>
                <w:rFonts w:ascii="Arial Narrow" w:hAnsi="Arial Narrow"/>
                <w:b/>
                <w:sz w:val="20"/>
                <w:vertAlign w:val="superscript"/>
                <w:lang w:val="en-US"/>
              </w:rPr>
              <w:t>a</w:t>
            </w:r>
            <w:proofErr w:type="spellEnd"/>
            <w:r w:rsidRPr="00700585">
              <w:rPr>
                <w:rFonts w:ascii="Arial Narrow" w:hAnsi="Arial Narrow"/>
                <w:b/>
                <w:sz w:val="20"/>
                <w:lang w:val="en-US"/>
              </w:rPr>
              <w:t xml:space="preserve"> (%) (95.2% </w:t>
            </w:r>
            <w:proofErr w:type="spellStart"/>
            <w:r w:rsidRPr="00700585">
              <w:rPr>
                <w:rFonts w:ascii="Arial Narrow" w:hAnsi="Arial Narrow"/>
                <w:b/>
                <w:sz w:val="20"/>
                <w:lang w:val="en-US"/>
              </w:rPr>
              <w:t>CI</w:t>
            </w:r>
            <w:r w:rsidRPr="00700585">
              <w:rPr>
                <w:rFonts w:ascii="Arial Narrow" w:hAnsi="Arial Narrow"/>
                <w:b/>
                <w:sz w:val="20"/>
                <w:vertAlign w:val="superscript"/>
                <w:lang w:val="en-US"/>
              </w:rPr>
              <w:t>b</w:t>
            </w:r>
            <w:proofErr w:type="spellEnd"/>
            <w:r w:rsidRPr="00700585">
              <w:rPr>
                <w:rFonts w:ascii="Arial Narrow" w:hAnsi="Arial Narrow"/>
                <w:b/>
                <w:sz w:val="20"/>
                <w:lang w:val="en-US"/>
              </w:rPr>
              <w:t>)</w:t>
            </w:r>
          </w:p>
        </w:tc>
        <w:tc>
          <w:tcPr>
            <w:tcW w:w="336" w:type="pct"/>
            <w:shd w:val="clear" w:color="auto" w:fill="auto"/>
            <w:vAlign w:val="center"/>
          </w:tcPr>
          <w:p w:rsidR="00500BBB" w:rsidRPr="00700585" w:rsidRDefault="00500BBB" w:rsidP="00230BF2">
            <w:pPr>
              <w:keepNext/>
              <w:widowControl/>
              <w:jc w:val="center"/>
              <w:rPr>
                <w:rFonts w:ascii="Arial Narrow" w:hAnsi="Arial Narrow"/>
                <w:b/>
                <w:sz w:val="20"/>
                <w:lang w:val="en-US"/>
              </w:rPr>
            </w:pPr>
            <w:proofErr w:type="spellStart"/>
            <w:r w:rsidRPr="00700585">
              <w:rPr>
                <w:rFonts w:ascii="Arial Narrow" w:hAnsi="Arial Narrow"/>
                <w:b/>
                <w:sz w:val="20"/>
                <w:lang w:val="en-US"/>
              </w:rPr>
              <w:t>NNV</w:t>
            </w:r>
            <w:r w:rsidRPr="00700585">
              <w:rPr>
                <w:rFonts w:ascii="Arial Narrow" w:hAnsi="Arial Narrow"/>
                <w:b/>
                <w:sz w:val="20"/>
                <w:vertAlign w:val="superscript"/>
                <w:lang w:val="en-US"/>
              </w:rPr>
              <w:t>c</w:t>
            </w:r>
            <w:proofErr w:type="spellEnd"/>
          </w:p>
        </w:tc>
      </w:tr>
      <w:tr w:rsidR="00700585" w:rsidRPr="00700585" w:rsidTr="008A56D6">
        <w:tc>
          <w:tcPr>
            <w:tcW w:w="1000" w:type="pct"/>
            <w:shd w:val="clear" w:color="auto" w:fill="auto"/>
            <w:vAlign w:val="center"/>
          </w:tcPr>
          <w:p w:rsidR="00500BBB" w:rsidRPr="00700585" w:rsidRDefault="00500BBB" w:rsidP="00230BF2">
            <w:pPr>
              <w:keepNext/>
              <w:widowControl/>
              <w:jc w:val="left"/>
              <w:rPr>
                <w:rFonts w:ascii="Arial Narrow" w:hAnsi="Arial Narrow"/>
                <w:sz w:val="20"/>
                <w:lang w:val="en-US"/>
              </w:rPr>
            </w:pPr>
            <w:r w:rsidRPr="00700585">
              <w:rPr>
                <w:rFonts w:ascii="Arial Narrow" w:hAnsi="Arial Narrow"/>
                <w:sz w:val="20"/>
              </w:rPr>
              <w:t>VT pneumonia</w:t>
            </w:r>
          </w:p>
        </w:tc>
        <w:tc>
          <w:tcPr>
            <w:tcW w:w="915" w:type="pct"/>
            <w:shd w:val="clear" w:color="auto" w:fill="auto"/>
            <w:vAlign w:val="center"/>
          </w:tcPr>
          <w:p w:rsidR="00500BBB" w:rsidRPr="00700585" w:rsidRDefault="00500BBB" w:rsidP="00230BF2">
            <w:pPr>
              <w:keepNext/>
              <w:widowControl/>
              <w:jc w:val="center"/>
              <w:rPr>
                <w:rFonts w:ascii="Arial Narrow" w:hAnsi="Arial Narrow"/>
                <w:sz w:val="20"/>
              </w:rPr>
            </w:pPr>
            <w:r w:rsidRPr="00700585">
              <w:rPr>
                <w:rFonts w:ascii="Arial Narrow" w:hAnsi="Arial Narrow"/>
                <w:sz w:val="20"/>
              </w:rPr>
              <w:t>66/42,240 (0.156)</w:t>
            </w:r>
          </w:p>
        </w:tc>
        <w:tc>
          <w:tcPr>
            <w:tcW w:w="918" w:type="pct"/>
            <w:shd w:val="clear" w:color="auto" w:fill="auto"/>
            <w:vAlign w:val="center"/>
          </w:tcPr>
          <w:p w:rsidR="00500BBB" w:rsidRPr="00700585" w:rsidRDefault="00500BBB" w:rsidP="00230BF2">
            <w:pPr>
              <w:keepNext/>
              <w:widowControl/>
              <w:jc w:val="center"/>
              <w:rPr>
                <w:rFonts w:ascii="Arial Narrow" w:hAnsi="Arial Narrow"/>
                <w:sz w:val="20"/>
              </w:rPr>
            </w:pPr>
            <w:r w:rsidRPr="00700585">
              <w:rPr>
                <w:rFonts w:ascii="Arial Narrow" w:hAnsi="Arial Narrow"/>
                <w:sz w:val="20"/>
              </w:rPr>
              <w:t>106/42,256 (0.251)</w:t>
            </w:r>
          </w:p>
        </w:tc>
        <w:tc>
          <w:tcPr>
            <w:tcW w:w="915" w:type="pct"/>
            <w:shd w:val="clear" w:color="auto" w:fill="auto"/>
            <w:vAlign w:val="center"/>
          </w:tcPr>
          <w:p w:rsidR="00500BBB" w:rsidRPr="00700585" w:rsidRDefault="00500BBB" w:rsidP="00230BF2">
            <w:pPr>
              <w:keepNext/>
              <w:widowControl/>
              <w:jc w:val="center"/>
              <w:rPr>
                <w:rFonts w:ascii="Arial Narrow" w:hAnsi="Arial Narrow"/>
                <w:sz w:val="20"/>
                <w:lang w:val="en-US"/>
              </w:rPr>
            </w:pPr>
            <w:r w:rsidRPr="00700585">
              <w:rPr>
                <w:rFonts w:ascii="Arial Narrow" w:hAnsi="Arial Narrow"/>
                <w:sz w:val="20"/>
              </w:rPr>
              <w:t>-0.09 (-0.16, -0.03)</w:t>
            </w:r>
          </w:p>
        </w:tc>
        <w:tc>
          <w:tcPr>
            <w:tcW w:w="915" w:type="pct"/>
            <w:shd w:val="clear" w:color="auto" w:fill="auto"/>
            <w:vAlign w:val="center"/>
          </w:tcPr>
          <w:p w:rsidR="00500BBB" w:rsidRPr="00700585" w:rsidRDefault="00500BBB" w:rsidP="00230BF2">
            <w:pPr>
              <w:keepNext/>
              <w:widowControl/>
              <w:jc w:val="center"/>
              <w:rPr>
                <w:rFonts w:ascii="Arial Narrow" w:hAnsi="Arial Narrow"/>
                <w:sz w:val="20"/>
                <w:lang w:val="en-US"/>
              </w:rPr>
            </w:pPr>
            <w:r w:rsidRPr="00700585">
              <w:rPr>
                <w:rFonts w:ascii="Arial Narrow" w:hAnsi="Arial Narrow"/>
                <w:sz w:val="20"/>
              </w:rPr>
              <w:t>37.7 (14.3, 55.1)</w:t>
            </w:r>
          </w:p>
        </w:tc>
        <w:tc>
          <w:tcPr>
            <w:tcW w:w="336" w:type="pct"/>
            <w:shd w:val="clear" w:color="auto" w:fill="auto"/>
            <w:vAlign w:val="center"/>
          </w:tcPr>
          <w:p w:rsidR="00500BBB" w:rsidRPr="00700585" w:rsidRDefault="00500BBB" w:rsidP="00230BF2">
            <w:pPr>
              <w:keepNext/>
              <w:widowControl/>
              <w:jc w:val="center"/>
              <w:rPr>
                <w:rFonts w:ascii="Arial Narrow" w:hAnsi="Arial Narrow"/>
                <w:sz w:val="20"/>
                <w:lang w:val="en-US"/>
              </w:rPr>
            </w:pPr>
            <w:r w:rsidRPr="00700585">
              <w:rPr>
                <w:rFonts w:ascii="Arial Narrow" w:hAnsi="Arial Narrow"/>
                <w:sz w:val="20"/>
              </w:rPr>
              <w:t>1,057</w:t>
            </w:r>
          </w:p>
        </w:tc>
      </w:tr>
      <w:tr w:rsidR="00700585" w:rsidRPr="00700585" w:rsidTr="008A56D6">
        <w:tc>
          <w:tcPr>
            <w:tcW w:w="1000" w:type="pct"/>
            <w:shd w:val="clear" w:color="auto" w:fill="auto"/>
            <w:vAlign w:val="center"/>
          </w:tcPr>
          <w:p w:rsidR="00500BBB" w:rsidRPr="00700585" w:rsidRDefault="00500BBB" w:rsidP="00230BF2">
            <w:pPr>
              <w:keepNext/>
              <w:widowControl/>
              <w:jc w:val="left"/>
              <w:rPr>
                <w:rFonts w:ascii="Arial Narrow" w:hAnsi="Arial Narrow"/>
                <w:sz w:val="20"/>
                <w:lang w:val="en-US"/>
              </w:rPr>
            </w:pPr>
            <w:r w:rsidRPr="00700585">
              <w:rPr>
                <w:rFonts w:ascii="Arial Narrow" w:hAnsi="Arial Narrow"/>
                <w:sz w:val="20"/>
              </w:rPr>
              <w:t>NB/NI VT pneumonia</w:t>
            </w:r>
          </w:p>
        </w:tc>
        <w:tc>
          <w:tcPr>
            <w:tcW w:w="915" w:type="pct"/>
            <w:shd w:val="clear" w:color="auto" w:fill="auto"/>
            <w:vAlign w:val="center"/>
          </w:tcPr>
          <w:p w:rsidR="00500BBB" w:rsidRPr="00700585" w:rsidRDefault="00500BBB" w:rsidP="00230BF2">
            <w:pPr>
              <w:keepNext/>
              <w:widowControl/>
              <w:jc w:val="center"/>
              <w:rPr>
                <w:rFonts w:ascii="Arial Narrow" w:hAnsi="Arial Narrow"/>
                <w:sz w:val="20"/>
              </w:rPr>
            </w:pPr>
            <w:r w:rsidRPr="00700585">
              <w:rPr>
                <w:rFonts w:ascii="Arial Narrow" w:hAnsi="Arial Narrow"/>
                <w:sz w:val="20"/>
              </w:rPr>
              <w:t>43/42,240 (0.102)</w:t>
            </w:r>
          </w:p>
        </w:tc>
        <w:tc>
          <w:tcPr>
            <w:tcW w:w="918" w:type="pct"/>
            <w:shd w:val="clear" w:color="auto" w:fill="auto"/>
            <w:vAlign w:val="center"/>
          </w:tcPr>
          <w:p w:rsidR="00500BBB" w:rsidRPr="00700585" w:rsidRDefault="00500BBB" w:rsidP="00230BF2">
            <w:pPr>
              <w:keepNext/>
              <w:widowControl/>
              <w:jc w:val="center"/>
              <w:rPr>
                <w:rFonts w:ascii="Arial Narrow" w:hAnsi="Arial Narrow"/>
                <w:sz w:val="20"/>
              </w:rPr>
            </w:pPr>
            <w:r w:rsidRPr="00700585">
              <w:rPr>
                <w:rFonts w:ascii="Arial Narrow" w:hAnsi="Arial Narrow"/>
                <w:sz w:val="20"/>
              </w:rPr>
              <w:t>73/42,256 (0.173)</w:t>
            </w:r>
          </w:p>
        </w:tc>
        <w:tc>
          <w:tcPr>
            <w:tcW w:w="915" w:type="pct"/>
            <w:shd w:val="clear" w:color="auto" w:fill="auto"/>
            <w:vAlign w:val="center"/>
          </w:tcPr>
          <w:p w:rsidR="00500BBB" w:rsidRPr="00700585" w:rsidRDefault="00500BBB" w:rsidP="00230BF2">
            <w:pPr>
              <w:keepNext/>
              <w:widowControl/>
              <w:jc w:val="center"/>
              <w:rPr>
                <w:rFonts w:ascii="Arial Narrow" w:hAnsi="Arial Narrow"/>
                <w:sz w:val="20"/>
                <w:lang w:val="en-US"/>
              </w:rPr>
            </w:pPr>
            <w:r w:rsidRPr="00700585">
              <w:rPr>
                <w:rFonts w:ascii="Arial Narrow" w:hAnsi="Arial Narrow"/>
                <w:sz w:val="20"/>
              </w:rPr>
              <w:t>-0.07 (-0.12, -0.02)</w:t>
            </w:r>
          </w:p>
        </w:tc>
        <w:tc>
          <w:tcPr>
            <w:tcW w:w="915" w:type="pct"/>
            <w:shd w:val="clear" w:color="auto" w:fill="auto"/>
            <w:vAlign w:val="center"/>
          </w:tcPr>
          <w:p w:rsidR="00500BBB" w:rsidRPr="00700585" w:rsidRDefault="00500BBB" w:rsidP="00230BF2">
            <w:pPr>
              <w:keepNext/>
              <w:widowControl/>
              <w:jc w:val="center"/>
              <w:rPr>
                <w:rFonts w:ascii="Arial Narrow" w:hAnsi="Arial Narrow"/>
                <w:sz w:val="20"/>
                <w:lang w:val="en-US"/>
              </w:rPr>
            </w:pPr>
            <w:r w:rsidRPr="00700585">
              <w:rPr>
                <w:rFonts w:ascii="Arial Narrow" w:hAnsi="Arial Narrow"/>
                <w:sz w:val="20"/>
              </w:rPr>
              <w:t>41.1 (12.7, 60.7)</w:t>
            </w:r>
          </w:p>
        </w:tc>
        <w:tc>
          <w:tcPr>
            <w:tcW w:w="336" w:type="pct"/>
            <w:shd w:val="clear" w:color="auto" w:fill="auto"/>
            <w:vAlign w:val="center"/>
          </w:tcPr>
          <w:p w:rsidR="00500BBB" w:rsidRPr="00700585" w:rsidRDefault="00500BBB" w:rsidP="00230BF2">
            <w:pPr>
              <w:keepNext/>
              <w:widowControl/>
              <w:jc w:val="center"/>
              <w:rPr>
                <w:rFonts w:ascii="Arial Narrow" w:hAnsi="Arial Narrow"/>
                <w:sz w:val="20"/>
                <w:lang w:val="en-US"/>
              </w:rPr>
            </w:pPr>
            <w:r w:rsidRPr="00700585">
              <w:rPr>
                <w:rFonts w:ascii="Arial Narrow" w:hAnsi="Arial Narrow"/>
                <w:sz w:val="20"/>
              </w:rPr>
              <w:t>1,409</w:t>
            </w:r>
          </w:p>
        </w:tc>
      </w:tr>
      <w:tr w:rsidR="00700585" w:rsidRPr="00700585" w:rsidTr="008A56D6">
        <w:tc>
          <w:tcPr>
            <w:tcW w:w="1000" w:type="pct"/>
            <w:shd w:val="clear" w:color="auto" w:fill="auto"/>
            <w:vAlign w:val="center"/>
          </w:tcPr>
          <w:p w:rsidR="00500BBB" w:rsidRPr="00700585" w:rsidRDefault="00500BBB" w:rsidP="00230BF2">
            <w:pPr>
              <w:keepNext/>
              <w:widowControl/>
              <w:jc w:val="left"/>
              <w:rPr>
                <w:rFonts w:ascii="Arial Narrow" w:hAnsi="Arial Narrow"/>
                <w:sz w:val="20"/>
                <w:lang w:val="en-US"/>
              </w:rPr>
            </w:pPr>
            <w:r w:rsidRPr="00700585">
              <w:rPr>
                <w:rFonts w:ascii="Arial Narrow" w:hAnsi="Arial Narrow"/>
                <w:sz w:val="20"/>
                <w:lang w:val="en-US"/>
              </w:rPr>
              <w:t>VT IPD</w:t>
            </w:r>
          </w:p>
        </w:tc>
        <w:tc>
          <w:tcPr>
            <w:tcW w:w="915" w:type="pct"/>
            <w:shd w:val="clear" w:color="auto" w:fill="auto"/>
            <w:vAlign w:val="center"/>
          </w:tcPr>
          <w:p w:rsidR="00500BBB" w:rsidRPr="00700585" w:rsidRDefault="00500BBB" w:rsidP="00230BF2">
            <w:pPr>
              <w:keepNext/>
              <w:widowControl/>
              <w:jc w:val="center"/>
              <w:rPr>
                <w:rFonts w:ascii="Arial Narrow" w:hAnsi="Arial Narrow"/>
                <w:sz w:val="20"/>
              </w:rPr>
            </w:pPr>
            <w:r w:rsidRPr="00700585">
              <w:rPr>
                <w:rFonts w:ascii="Arial Narrow" w:hAnsi="Arial Narrow"/>
                <w:sz w:val="20"/>
              </w:rPr>
              <w:t>8/42,240 (0.019)</w:t>
            </w:r>
          </w:p>
        </w:tc>
        <w:tc>
          <w:tcPr>
            <w:tcW w:w="918" w:type="pct"/>
            <w:shd w:val="clear" w:color="auto" w:fill="auto"/>
            <w:vAlign w:val="center"/>
          </w:tcPr>
          <w:p w:rsidR="00500BBB" w:rsidRPr="00700585" w:rsidRDefault="00500BBB" w:rsidP="00230BF2">
            <w:pPr>
              <w:keepNext/>
              <w:widowControl/>
              <w:jc w:val="center"/>
              <w:rPr>
                <w:rFonts w:ascii="Arial Narrow" w:hAnsi="Arial Narrow"/>
                <w:sz w:val="20"/>
              </w:rPr>
            </w:pPr>
            <w:r w:rsidRPr="00700585">
              <w:rPr>
                <w:rFonts w:ascii="Arial Narrow" w:hAnsi="Arial Narrow"/>
                <w:sz w:val="20"/>
              </w:rPr>
              <w:t>33/42,256 (0.078)</w:t>
            </w:r>
          </w:p>
        </w:tc>
        <w:tc>
          <w:tcPr>
            <w:tcW w:w="915" w:type="pct"/>
            <w:shd w:val="clear" w:color="auto" w:fill="auto"/>
            <w:vAlign w:val="center"/>
          </w:tcPr>
          <w:p w:rsidR="00500BBB" w:rsidRPr="00700585" w:rsidRDefault="00500BBB" w:rsidP="00230BF2">
            <w:pPr>
              <w:keepNext/>
              <w:widowControl/>
              <w:jc w:val="center"/>
              <w:rPr>
                <w:rFonts w:ascii="Arial Narrow" w:hAnsi="Arial Narrow"/>
                <w:sz w:val="20"/>
                <w:lang w:val="en-US"/>
              </w:rPr>
            </w:pPr>
            <w:r w:rsidRPr="00700585">
              <w:rPr>
                <w:rFonts w:ascii="Arial Narrow" w:hAnsi="Arial Narrow"/>
                <w:sz w:val="20"/>
              </w:rPr>
              <w:t>-0.06 (-0.09, -0.03)</w:t>
            </w:r>
          </w:p>
        </w:tc>
        <w:tc>
          <w:tcPr>
            <w:tcW w:w="915" w:type="pct"/>
            <w:shd w:val="clear" w:color="auto" w:fill="auto"/>
            <w:vAlign w:val="center"/>
          </w:tcPr>
          <w:p w:rsidR="00500BBB" w:rsidRPr="00700585" w:rsidRDefault="00500BBB" w:rsidP="00230BF2">
            <w:pPr>
              <w:keepNext/>
              <w:widowControl/>
              <w:jc w:val="center"/>
              <w:rPr>
                <w:rFonts w:ascii="Arial Narrow" w:hAnsi="Arial Narrow"/>
                <w:sz w:val="20"/>
                <w:lang w:val="en-US"/>
              </w:rPr>
            </w:pPr>
            <w:r w:rsidRPr="00700585">
              <w:rPr>
                <w:rFonts w:ascii="Arial Narrow" w:hAnsi="Arial Narrow"/>
                <w:sz w:val="20"/>
              </w:rPr>
              <w:t>75.8 (46.5, 90.3)</w:t>
            </w:r>
          </w:p>
        </w:tc>
        <w:tc>
          <w:tcPr>
            <w:tcW w:w="336" w:type="pct"/>
            <w:shd w:val="clear" w:color="auto" w:fill="auto"/>
            <w:vAlign w:val="center"/>
          </w:tcPr>
          <w:p w:rsidR="00500BBB" w:rsidRPr="00700585" w:rsidRDefault="00500BBB" w:rsidP="00230BF2">
            <w:pPr>
              <w:keepNext/>
              <w:widowControl/>
              <w:jc w:val="center"/>
              <w:rPr>
                <w:rFonts w:ascii="Arial Narrow" w:hAnsi="Arial Narrow"/>
                <w:sz w:val="20"/>
                <w:lang w:val="en-US"/>
              </w:rPr>
            </w:pPr>
            <w:r w:rsidRPr="00700585">
              <w:rPr>
                <w:rFonts w:ascii="Arial Narrow" w:hAnsi="Arial Narrow"/>
                <w:sz w:val="20"/>
              </w:rPr>
              <w:t>1,690</w:t>
            </w:r>
          </w:p>
        </w:tc>
      </w:tr>
    </w:tbl>
    <w:p w:rsidR="00500BBB" w:rsidRPr="00700585" w:rsidRDefault="00500BBB" w:rsidP="00230BF2">
      <w:pPr>
        <w:pStyle w:val="TableFooter"/>
        <w:keepNext/>
        <w:widowControl/>
        <w:ind w:left="709" w:firstLine="11"/>
        <w:rPr>
          <w:i/>
        </w:rPr>
      </w:pPr>
      <w:r w:rsidRPr="00700585">
        <w:t xml:space="preserve">Source: </w:t>
      </w:r>
      <w:r w:rsidR="001577BC" w:rsidRPr="00700585">
        <w:t>Table</w:t>
      </w:r>
      <w:r w:rsidR="006C0DA1">
        <w:t>s</w:t>
      </w:r>
      <w:r w:rsidR="001577BC" w:rsidRPr="00700585">
        <w:t xml:space="preserve"> </w:t>
      </w:r>
      <w:r w:rsidR="006C0DA1">
        <w:t xml:space="preserve">11 and </w:t>
      </w:r>
      <w:r w:rsidR="001577BC" w:rsidRPr="00700585">
        <w:t>12 p</w:t>
      </w:r>
      <w:r w:rsidR="006C0DA1">
        <w:t>40-</w:t>
      </w:r>
      <w:r w:rsidR="001577BC" w:rsidRPr="00700585">
        <w:t>41</w:t>
      </w:r>
      <w:r w:rsidR="00B22BDF" w:rsidRPr="00700585">
        <w:t xml:space="preserve"> of the submission</w:t>
      </w:r>
      <w:r w:rsidR="001577BC" w:rsidRPr="00700585">
        <w:t>;</w:t>
      </w:r>
      <w:r w:rsidR="006C0DA1">
        <w:t xml:space="preserve"> and calculated during the evaluation of the March 2015 submission.</w:t>
      </w:r>
    </w:p>
    <w:p w:rsidR="00500BBB" w:rsidRPr="00700585" w:rsidRDefault="00500BBB" w:rsidP="00230BF2">
      <w:pPr>
        <w:pStyle w:val="TableFooter"/>
        <w:keepNext/>
        <w:widowControl/>
        <w:ind w:left="709" w:firstLine="11"/>
      </w:pPr>
      <w:r w:rsidRPr="00700585">
        <w:t>PBO=placebo; IPD=invasive pneumococcal disease; NB/NI=non-</w:t>
      </w:r>
      <w:proofErr w:type="spellStart"/>
      <w:r w:rsidRPr="00700585">
        <w:t>bacteraemic</w:t>
      </w:r>
      <w:proofErr w:type="spellEnd"/>
      <w:r w:rsidRPr="00700585">
        <w:t>/non-invasive; NNV=number needed to vaccinate; RD=risk difference; VE=vaccine efficacy; VT=vaccine type</w:t>
      </w:r>
    </w:p>
    <w:p w:rsidR="00500BBB" w:rsidRPr="00700585" w:rsidRDefault="00500BBB" w:rsidP="00230BF2">
      <w:pPr>
        <w:pStyle w:val="TableFooter"/>
        <w:keepNext/>
        <w:widowControl/>
        <w:ind w:firstLine="720"/>
      </w:pPr>
      <w:proofErr w:type="gramStart"/>
      <w:r w:rsidRPr="00A851E9">
        <w:rPr>
          <w:vertAlign w:val="superscript"/>
        </w:rPr>
        <w:t>a</w:t>
      </w:r>
      <w:proofErr w:type="gramEnd"/>
      <w:r w:rsidRPr="00700585">
        <w:t xml:space="preserve"> VE = (1-RR) x 100</w:t>
      </w:r>
    </w:p>
    <w:p w:rsidR="00500BBB" w:rsidRPr="00700585" w:rsidRDefault="00500BBB" w:rsidP="00230BF2">
      <w:pPr>
        <w:pStyle w:val="TableFooter"/>
        <w:keepNext/>
        <w:widowControl/>
        <w:ind w:firstLine="720"/>
      </w:pPr>
      <w:proofErr w:type="gramStart"/>
      <w:r w:rsidRPr="00A851E9">
        <w:rPr>
          <w:vertAlign w:val="superscript"/>
        </w:rPr>
        <w:t>b</w:t>
      </w:r>
      <w:proofErr w:type="gramEnd"/>
      <w:r w:rsidRPr="00700585">
        <w:t xml:space="preserve"> O’Brien-Fleming adjustment for 1 interim analysis</w:t>
      </w:r>
    </w:p>
    <w:p w:rsidR="00500BBB" w:rsidRPr="00700585" w:rsidRDefault="00500BBB" w:rsidP="00230BF2">
      <w:pPr>
        <w:pStyle w:val="TableFooter"/>
        <w:widowControl/>
        <w:ind w:firstLine="720"/>
      </w:pPr>
      <w:proofErr w:type="gramStart"/>
      <w:r w:rsidRPr="00A851E9">
        <w:rPr>
          <w:vertAlign w:val="superscript"/>
        </w:rPr>
        <w:t>c</w:t>
      </w:r>
      <w:proofErr w:type="gramEnd"/>
      <w:r w:rsidRPr="00700585">
        <w:t xml:space="preserve"> number needed to vaccinate = 1/RD</w:t>
      </w:r>
    </w:p>
    <w:p w:rsidR="00067C4B" w:rsidRPr="00700585" w:rsidRDefault="00067C4B" w:rsidP="00230BF2">
      <w:pPr>
        <w:pStyle w:val="ListParagraph"/>
        <w:widowControl/>
        <w:rPr>
          <w:szCs w:val="22"/>
        </w:rPr>
      </w:pPr>
    </w:p>
    <w:p w:rsidR="00370BE0" w:rsidRPr="00C52B69" w:rsidRDefault="00500BBB" w:rsidP="00BF3091">
      <w:pPr>
        <w:pStyle w:val="ListParagraph"/>
        <w:keepNext/>
        <w:keepLines/>
        <w:widowControl/>
        <w:numPr>
          <w:ilvl w:val="1"/>
          <w:numId w:val="3"/>
        </w:numPr>
        <w:rPr>
          <w:szCs w:val="22"/>
        </w:rPr>
      </w:pPr>
      <w:r w:rsidRPr="00C52B69">
        <w:rPr>
          <w:szCs w:val="22"/>
        </w:rPr>
        <w:lastRenderedPageBreak/>
        <w:t xml:space="preserve">The pooled results for the 23vPPV randomised efficacy trials, and the matching exploratory outcomes from </w:t>
      </w:r>
      <w:proofErr w:type="spellStart"/>
      <w:r w:rsidRPr="00C52B69">
        <w:rPr>
          <w:szCs w:val="22"/>
        </w:rPr>
        <w:t>CAPiTA</w:t>
      </w:r>
      <w:proofErr w:type="spellEnd"/>
      <w:r w:rsidRPr="00C52B69">
        <w:rPr>
          <w:szCs w:val="22"/>
        </w:rPr>
        <w:t>, are presented in Table 4.</w:t>
      </w:r>
      <w:r w:rsidR="00DA4B84" w:rsidRPr="00C52B69">
        <w:rPr>
          <w:szCs w:val="22"/>
        </w:rPr>
        <w:t xml:space="preserve"> </w:t>
      </w:r>
      <w:r w:rsidR="00DA4B84" w:rsidRPr="00C52B69">
        <w:t>On the basis of a statistically significant reduction in CAP outcomes not being observed in the meta</w:t>
      </w:r>
      <w:r w:rsidR="00DA4B84" w:rsidRPr="00C52B69">
        <w:noBreakHyphen/>
        <w:t xml:space="preserve">analysis of 23vPPV randomised trials, </w:t>
      </w:r>
      <w:r w:rsidR="00024ECF" w:rsidRPr="00C52B69">
        <w:t>the submission</w:t>
      </w:r>
      <w:r w:rsidR="00DA4B84" w:rsidRPr="00C52B69">
        <w:t xml:space="preserve"> assumed that 23vPPV is ineffective against VT CAP. </w:t>
      </w:r>
      <w:r w:rsidR="00204853" w:rsidRPr="00C52B69">
        <w:t xml:space="preserve">The ESC considered that a lack of statistical significance does not necessarily imply a zero treatment effect. </w:t>
      </w:r>
      <w:r w:rsidR="00DA4B84" w:rsidRPr="00C52B69">
        <w:t xml:space="preserve">The </w:t>
      </w:r>
      <w:r w:rsidR="00024ECF" w:rsidRPr="00C52B69">
        <w:t>ESC</w:t>
      </w:r>
      <w:r w:rsidR="00204853" w:rsidRPr="00C52B69">
        <w:t xml:space="preserve"> further</w:t>
      </w:r>
      <w:r w:rsidR="00024ECF" w:rsidRPr="00C52B69">
        <w:t xml:space="preserve"> noted that the </w:t>
      </w:r>
      <w:r w:rsidR="00DA4B84" w:rsidRPr="00C52B69">
        <w:t xml:space="preserve">meta-analysis was underpowered for these outcomes. </w:t>
      </w:r>
      <w:r w:rsidR="00935C84" w:rsidRPr="00C52B69">
        <w:t xml:space="preserve">The PSCR argued the assumption that 23vPPV is not effective against VT-CAP was based on ATAGI advice. </w:t>
      </w:r>
      <w:r w:rsidR="00DA4B84" w:rsidRPr="00C52B69">
        <w:t>Assuming a zero protective benefit with 23vPPV resulted in the incremental benefit with 13vPCV being maximised.</w:t>
      </w:r>
      <w:r w:rsidR="00204853" w:rsidRPr="00C52B69">
        <w:t xml:space="preserve"> T</w:t>
      </w:r>
      <w:r w:rsidR="00935C84" w:rsidRPr="00C52B69">
        <w:t xml:space="preserve">he ESC noted </w:t>
      </w:r>
      <w:r w:rsidR="00024ECF" w:rsidRPr="00C52B69">
        <w:t xml:space="preserve">that </w:t>
      </w:r>
      <w:r w:rsidR="00935C84" w:rsidRPr="00C52B69">
        <w:t xml:space="preserve">the vaccine effectiveness of 13vPCV against VT CAP could be as low as 14.3% (lower limit of the 95% confidence interval), </w:t>
      </w:r>
      <w:r w:rsidR="00024ECF" w:rsidRPr="00C52B69">
        <w:t xml:space="preserve">which was </w:t>
      </w:r>
      <w:r w:rsidR="00935C84" w:rsidRPr="00C52B69">
        <w:t xml:space="preserve">roughly the same as the ATAGI recommended upper limit of 23vPPV vaccine effectiveness against </w:t>
      </w:r>
      <w:r w:rsidR="00551B01">
        <w:t xml:space="preserve">pneumococcal </w:t>
      </w:r>
      <w:r w:rsidR="00935C84" w:rsidRPr="00C52B69">
        <w:t>CAP</w:t>
      </w:r>
      <w:r w:rsidR="00024ECF" w:rsidRPr="00C52B69">
        <w:t xml:space="preserve"> (of 14%)</w:t>
      </w:r>
      <w:r w:rsidR="00935C84" w:rsidRPr="00C52B69">
        <w:t>.</w:t>
      </w:r>
    </w:p>
    <w:p w:rsidR="00370BE0" w:rsidRPr="00C52B69" w:rsidRDefault="00370BE0" w:rsidP="00230BF2">
      <w:pPr>
        <w:pStyle w:val="ListParagraph"/>
        <w:widowControl/>
        <w:rPr>
          <w:szCs w:val="22"/>
        </w:rPr>
      </w:pPr>
    </w:p>
    <w:p w:rsidR="00D06FD4" w:rsidRPr="00C52B69" w:rsidRDefault="003166B7" w:rsidP="00230BF2">
      <w:pPr>
        <w:pStyle w:val="ListParagraph"/>
        <w:widowControl/>
        <w:numPr>
          <w:ilvl w:val="1"/>
          <w:numId w:val="3"/>
        </w:numPr>
        <w:rPr>
          <w:szCs w:val="22"/>
        </w:rPr>
      </w:pPr>
      <w:r w:rsidRPr="00C52B69">
        <w:rPr>
          <w:szCs w:val="22"/>
        </w:rPr>
        <w:t xml:space="preserve">Twelve </w:t>
      </w:r>
      <w:r w:rsidR="00500BBB" w:rsidRPr="00C52B69">
        <w:rPr>
          <w:szCs w:val="22"/>
        </w:rPr>
        <w:t>non-randomised studies</w:t>
      </w:r>
      <w:r w:rsidR="00286531" w:rsidRPr="00C52B69">
        <w:rPr>
          <w:szCs w:val="22"/>
        </w:rPr>
        <w:t xml:space="preserve"> assessing the efficacy of 23vPPV against IPD</w:t>
      </w:r>
      <w:r w:rsidRPr="00C52B69">
        <w:rPr>
          <w:szCs w:val="22"/>
        </w:rPr>
        <w:t xml:space="preserve"> </w:t>
      </w:r>
      <w:r w:rsidR="00286531" w:rsidRPr="00C52B69">
        <w:rPr>
          <w:szCs w:val="22"/>
        </w:rPr>
        <w:t>were</w:t>
      </w:r>
      <w:r w:rsidR="00500BBB" w:rsidRPr="00C52B69">
        <w:rPr>
          <w:szCs w:val="22"/>
        </w:rPr>
        <w:t xml:space="preserve"> included in the submission</w:t>
      </w:r>
      <w:r w:rsidRPr="00C52B69">
        <w:rPr>
          <w:szCs w:val="22"/>
        </w:rPr>
        <w:t>.</w:t>
      </w:r>
      <w:r w:rsidR="00500BBB" w:rsidRPr="00C52B69">
        <w:rPr>
          <w:szCs w:val="22"/>
        </w:rPr>
        <w:t xml:space="preserve"> </w:t>
      </w:r>
      <w:r w:rsidR="00286531" w:rsidRPr="00C52B69">
        <w:rPr>
          <w:szCs w:val="22"/>
        </w:rPr>
        <w:t>Consistent with the March 2015 and July 2015 submissions, t</w:t>
      </w:r>
      <w:r w:rsidR="00500BBB" w:rsidRPr="00C52B69">
        <w:rPr>
          <w:szCs w:val="22"/>
        </w:rPr>
        <w:t xml:space="preserve">he economic evaluation </w:t>
      </w:r>
      <w:r w:rsidR="00204853" w:rsidRPr="00C52B69">
        <w:rPr>
          <w:szCs w:val="22"/>
        </w:rPr>
        <w:t xml:space="preserve">only </w:t>
      </w:r>
      <w:r w:rsidR="00500BBB" w:rsidRPr="00C52B69">
        <w:rPr>
          <w:szCs w:val="22"/>
        </w:rPr>
        <w:t>used the results of Menzies 2014</w:t>
      </w:r>
      <w:r w:rsidR="006F7A7C">
        <w:rPr>
          <w:szCs w:val="22"/>
        </w:rPr>
        <w:t xml:space="preserve"> </w:t>
      </w:r>
      <w:r w:rsidR="00B22BDF" w:rsidRPr="00C52B69">
        <w:rPr>
          <w:szCs w:val="22"/>
        </w:rPr>
        <w:t>(VE=61%, 95</w:t>
      </w:r>
      <w:r w:rsidR="00CF13ED" w:rsidRPr="00C52B69">
        <w:rPr>
          <w:szCs w:val="22"/>
        </w:rPr>
        <w:t>%</w:t>
      </w:r>
      <w:r w:rsidR="00B22BDF" w:rsidRPr="00C52B69">
        <w:rPr>
          <w:szCs w:val="22"/>
        </w:rPr>
        <w:t>CI 55%, 67%)</w:t>
      </w:r>
      <w:r w:rsidR="00500BBB" w:rsidRPr="00C52B69">
        <w:rPr>
          <w:szCs w:val="22"/>
        </w:rPr>
        <w:t xml:space="preserve">. </w:t>
      </w:r>
      <w:r w:rsidR="00CF13ED" w:rsidRPr="00C52B69">
        <w:rPr>
          <w:szCs w:val="22"/>
        </w:rPr>
        <w:t>This compare</w:t>
      </w:r>
      <w:r w:rsidR="009A68FC" w:rsidRPr="00C52B69">
        <w:rPr>
          <w:szCs w:val="22"/>
        </w:rPr>
        <w:t>d</w:t>
      </w:r>
      <w:r w:rsidR="00CF13ED" w:rsidRPr="00C52B69">
        <w:rPr>
          <w:szCs w:val="22"/>
        </w:rPr>
        <w:t xml:space="preserve"> with </w:t>
      </w:r>
      <w:r w:rsidR="00D8346D">
        <w:rPr>
          <w:szCs w:val="22"/>
        </w:rPr>
        <w:t xml:space="preserve">VE of </w:t>
      </w:r>
      <w:r w:rsidR="00CF13ED" w:rsidRPr="00C52B69">
        <w:rPr>
          <w:szCs w:val="22"/>
        </w:rPr>
        <w:t>75.8% for 13vPCV (Table</w:t>
      </w:r>
      <w:r w:rsidR="00D8346D">
        <w:rPr>
          <w:szCs w:val="22"/>
        </w:rPr>
        <w:t> </w:t>
      </w:r>
      <w:r w:rsidR="00CF13ED" w:rsidRPr="00C52B69">
        <w:rPr>
          <w:szCs w:val="22"/>
        </w:rPr>
        <w:t>3).</w:t>
      </w:r>
    </w:p>
    <w:p w:rsidR="00D06FD4" w:rsidRPr="00C52B69" w:rsidRDefault="00D06FD4" w:rsidP="00230BF2">
      <w:pPr>
        <w:widowControl/>
        <w:rPr>
          <w:szCs w:val="22"/>
        </w:rPr>
      </w:pPr>
    </w:p>
    <w:p w:rsidR="00AB6003" w:rsidRPr="00CB0FEA" w:rsidRDefault="00AB6003" w:rsidP="0091638E">
      <w:pPr>
        <w:pStyle w:val="Heading2"/>
      </w:pPr>
      <w:bookmarkStart w:id="9" w:name="_Toc409513707"/>
      <w:bookmarkStart w:id="10" w:name="_Toc450632532"/>
      <w:r w:rsidRPr="00CB0FEA">
        <w:t>Comparative harms</w:t>
      </w:r>
      <w:bookmarkEnd w:id="9"/>
      <w:bookmarkEnd w:id="10"/>
    </w:p>
    <w:p w:rsidR="00AB6003" w:rsidRPr="00C52B69" w:rsidRDefault="00AB6003" w:rsidP="00230BF2">
      <w:pPr>
        <w:widowControl/>
        <w:ind w:left="720" w:hanging="720"/>
        <w:rPr>
          <w:szCs w:val="22"/>
        </w:rPr>
      </w:pPr>
    </w:p>
    <w:p w:rsidR="002B36DE" w:rsidRPr="00C52B69" w:rsidRDefault="00F91DD9" w:rsidP="00230BF2">
      <w:pPr>
        <w:pStyle w:val="ListParagraph"/>
        <w:widowControl/>
        <w:numPr>
          <w:ilvl w:val="1"/>
          <w:numId w:val="3"/>
        </w:numPr>
        <w:rPr>
          <w:szCs w:val="22"/>
        </w:rPr>
      </w:pPr>
      <w:r w:rsidRPr="00C52B69">
        <w:rPr>
          <w:szCs w:val="22"/>
        </w:rPr>
        <w:t xml:space="preserve">The harms data </w:t>
      </w:r>
      <w:r w:rsidR="00B0511A" w:rsidRPr="00C52B69">
        <w:rPr>
          <w:szCs w:val="22"/>
        </w:rPr>
        <w:t>were</w:t>
      </w:r>
      <w:r w:rsidRPr="00C52B69">
        <w:rPr>
          <w:szCs w:val="22"/>
        </w:rPr>
        <w:t xml:space="preserve"> the same as presented in </w:t>
      </w:r>
      <w:r w:rsidR="00CF13ED" w:rsidRPr="00C52B69">
        <w:rPr>
          <w:szCs w:val="22"/>
        </w:rPr>
        <w:t xml:space="preserve">the </w:t>
      </w:r>
      <w:r w:rsidRPr="00C52B69">
        <w:rPr>
          <w:szCs w:val="22"/>
        </w:rPr>
        <w:t>July 2015 and March 2015 submissions. No safety concerns were previously raised by the PBAC.</w:t>
      </w:r>
    </w:p>
    <w:p w:rsidR="002B36DE" w:rsidRPr="00C52B69" w:rsidRDefault="002B36DE" w:rsidP="00230BF2">
      <w:pPr>
        <w:pStyle w:val="ListParagraph"/>
        <w:widowControl/>
        <w:rPr>
          <w:szCs w:val="22"/>
          <w:highlight w:val="green"/>
        </w:rPr>
      </w:pPr>
    </w:p>
    <w:p w:rsidR="00AB6003" w:rsidRPr="00CB0FEA" w:rsidRDefault="00AB6003" w:rsidP="0091638E">
      <w:pPr>
        <w:pStyle w:val="Heading2"/>
      </w:pPr>
      <w:bookmarkStart w:id="11" w:name="_Toc409513708"/>
      <w:bookmarkStart w:id="12" w:name="_Toc450632533"/>
      <w:r w:rsidRPr="00CB0FEA">
        <w:t>Benefits/harms</w:t>
      </w:r>
      <w:bookmarkEnd w:id="11"/>
      <w:bookmarkEnd w:id="12"/>
    </w:p>
    <w:p w:rsidR="00AB6003" w:rsidRPr="00C52B69" w:rsidRDefault="00AB6003" w:rsidP="00230BF2">
      <w:pPr>
        <w:pStyle w:val="ListParagraph"/>
        <w:widowControl/>
        <w:ind w:left="0"/>
        <w:rPr>
          <w:szCs w:val="22"/>
        </w:rPr>
      </w:pPr>
    </w:p>
    <w:p w:rsidR="00AB6003" w:rsidRPr="00C52B69" w:rsidRDefault="00AB6003" w:rsidP="00230BF2">
      <w:pPr>
        <w:pStyle w:val="ListParagraph"/>
        <w:widowControl/>
        <w:numPr>
          <w:ilvl w:val="1"/>
          <w:numId w:val="3"/>
        </w:numPr>
        <w:rPr>
          <w:szCs w:val="22"/>
        </w:rPr>
      </w:pPr>
      <w:r w:rsidRPr="00C52B69">
        <w:rPr>
          <w:szCs w:val="22"/>
        </w:rPr>
        <w:t xml:space="preserve">A summary of the comparative benefits and harms for 13vPCV versus 23vPPV is presented in </w:t>
      </w:r>
      <w:r w:rsidR="000761CE" w:rsidRPr="00C52B69">
        <w:rPr>
          <w:szCs w:val="22"/>
        </w:rPr>
        <w:t>Table 4</w:t>
      </w:r>
      <w:r w:rsidRPr="00C52B69">
        <w:rPr>
          <w:szCs w:val="22"/>
        </w:rPr>
        <w:t xml:space="preserve">. </w:t>
      </w:r>
    </w:p>
    <w:p w:rsidR="00AB6003" w:rsidRPr="00C52B69" w:rsidRDefault="00AB6003" w:rsidP="00230BF2">
      <w:pPr>
        <w:widowControl/>
      </w:pPr>
    </w:p>
    <w:p w:rsidR="00AB6003" w:rsidRPr="00700585" w:rsidRDefault="00AB6003" w:rsidP="00230BF2">
      <w:pPr>
        <w:keepNext/>
        <w:widowControl/>
        <w:ind w:firstLine="720"/>
        <w:jc w:val="left"/>
        <w:rPr>
          <w:rStyle w:val="CommentReference"/>
        </w:rPr>
      </w:pPr>
      <w:r w:rsidRPr="00700585">
        <w:rPr>
          <w:rStyle w:val="CommentReference"/>
        </w:rPr>
        <w:lastRenderedPageBreak/>
        <w:t xml:space="preserve">Table 4: Summary of comparative benefits and harms for 13vPCV and 23vPPV </w:t>
      </w:r>
    </w:p>
    <w:tbl>
      <w:tblPr>
        <w:tblStyle w:val="TableGrid"/>
        <w:tblW w:w="4700" w:type="pct"/>
        <w:tblInd w:w="705" w:type="dxa"/>
        <w:tblLayout w:type="fixed"/>
        <w:tblCellMar>
          <w:left w:w="28" w:type="dxa"/>
          <w:right w:w="28" w:type="dxa"/>
        </w:tblCellMar>
        <w:tblLook w:val="04A0" w:firstRow="1" w:lastRow="0" w:firstColumn="1" w:lastColumn="0" w:noHBand="0" w:noVBand="1"/>
        <w:tblCaption w:val="Table 4: Summary of comparative benefits and harms for 13vPCV and 23vPPV "/>
      </w:tblPr>
      <w:tblGrid>
        <w:gridCol w:w="1157"/>
        <w:gridCol w:w="709"/>
        <w:gridCol w:w="709"/>
        <w:gridCol w:w="714"/>
        <w:gridCol w:w="1279"/>
        <w:gridCol w:w="714"/>
        <w:gridCol w:w="709"/>
        <w:gridCol w:w="821"/>
        <w:gridCol w:w="14"/>
        <w:gridCol w:w="15"/>
        <w:gridCol w:w="1697"/>
      </w:tblGrid>
      <w:tr w:rsidR="00700585" w:rsidRPr="00700585" w:rsidTr="008A56D6">
        <w:trPr>
          <w:trHeight w:val="150"/>
        </w:trPr>
        <w:tc>
          <w:tcPr>
            <w:tcW w:w="678" w:type="pct"/>
            <w:vMerge w:val="restart"/>
            <w:shd w:val="clear" w:color="auto" w:fill="auto"/>
            <w:vAlign w:val="center"/>
          </w:tcPr>
          <w:p w:rsidR="00AB6003" w:rsidRPr="00700585" w:rsidRDefault="00AB6003" w:rsidP="00230BF2">
            <w:pPr>
              <w:keepNext/>
              <w:widowControl/>
              <w:rPr>
                <w:rFonts w:ascii="Arial Narrow" w:hAnsi="Arial Narrow"/>
                <w:b/>
                <w:sz w:val="20"/>
                <w:szCs w:val="18"/>
              </w:rPr>
            </w:pPr>
            <w:r w:rsidRPr="00700585">
              <w:rPr>
                <w:rFonts w:ascii="Arial Narrow" w:hAnsi="Arial Narrow"/>
                <w:b/>
                <w:sz w:val="20"/>
                <w:szCs w:val="18"/>
              </w:rPr>
              <w:t>Trial</w:t>
            </w:r>
          </w:p>
        </w:tc>
        <w:tc>
          <w:tcPr>
            <w:tcW w:w="415" w:type="pct"/>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13vPCV</w:t>
            </w:r>
          </w:p>
        </w:tc>
        <w:tc>
          <w:tcPr>
            <w:tcW w:w="833" w:type="pct"/>
            <w:gridSpan w:val="2"/>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23vPPV/PBO</w:t>
            </w:r>
          </w:p>
        </w:tc>
        <w:tc>
          <w:tcPr>
            <w:tcW w:w="749" w:type="pct"/>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RR</w:t>
            </w:r>
          </w:p>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(95% CI)</w:t>
            </w:r>
          </w:p>
        </w:tc>
        <w:tc>
          <w:tcPr>
            <w:tcW w:w="1331" w:type="pct"/>
            <w:gridSpan w:val="5"/>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 xml:space="preserve">Event rate/100 patients* </w:t>
            </w:r>
          </w:p>
        </w:tc>
        <w:tc>
          <w:tcPr>
            <w:tcW w:w="994" w:type="pct"/>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RD</w:t>
            </w:r>
          </w:p>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(95% CI)</w:t>
            </w:r>
          </w:p>
        </w:tc>
      </w:tr>
      <w:tr w:rsidR="00700585" w:rsidRPr="00700585" w:rsidTr="008A56D6">
        <w:trPr>
          <w:trHeight w:val="146"/>
        </w:trPr>
        <w:tc>
          <w:tcPr>
            <w:tcW w:w="678" w:type="pct"/>
            <w:vMerge/>
            <w:shd w:val="clear" w:color="auto" w:fill="auto"/>
            <w:vAlign w:val="center"/>
          </w:tcPr>
          <w:p w:rsidR="00AB6003" w:rsidRPr="00700585" w:rsidRDefault="00AB6003" w:rsidP="00230BF2">
            <w:pPr>
              <w:keepNext/>
              <w:widowControl/>
              <w:rPr>
                <w:rFonts w:ascii="Arial Narrow" w:hAnsi="Arial Narrow"/>
                <w:b/>
                <w:sz w:val="20"/>
                <w:szCs w:val="18"/>
              </w:rPr>
            </w:pPr>
          </w:p>
        </w:tc>
        <w:tc>
          <w:tcPr>
            <w:tcW w:w="415" w:type="pct"/>
            <w:vMerge/>
            <w:vAlign w:val="center"/>
          </w:tcPr>
          <w:p w:rsidR="00AB6003" w:rsidRPr="00700585" w:rsidRDefault="00AB6003" w:rsidP="00230BF2">
            <w:pPr>
              <w:keepNext/>
              <w:widowControl/>
              <w:jc w:val="center"/>
              <w:rPr>
                <w:rFonts w:ascii="Arial Narrow" w:hAnsi="Arial Narrow"/>
                <w:b/>
                <w:sz w:val="20"/>
                <w:szCs w:val="18"/>
              </w:rPr>
            </w:pPr>
          </w:p>
        </w:tc>
        <w:tc>
          <w:tcPr>
            <w:tcW w:w="833" w:type="pct"/>
            <w:gridSpan w:val="2"/>
            <w:vMerge/>
            <w:vAlign w:val="center"/>
          </w:tcPr>
          <w:p w:rsidR="00AB6003" w:rsidRPr="00700585" w:rsidRDefault="00AB6003" w:rsidP="00230BF2">
            <w:pPr>
              <w:keepNext/>
              <w:widowControl/>
              <w:jc w:val="center"/>
              <w:rPr>
                <w:rFonts w:ascii="Arial Narrow" w:hAnsi="Arial Narrow"/>
                <w:b/>
                <w:sz w:val="20"/>
                <w:szCs w:val="18"/>
              </w:rPr>
            </w:pPr>
          </w:p>
        </w:tc>
        <w:tc>
          <w:tcPr>
            <w:tcW w:w="749" w:type="pct"/>
            <w:vMerge/>
            <w:vAlign w:val="center"/>
          </w:tcPr>
          <w:p w:rsidR="00AB6003" w:rsidRPr="00700585" w:rsidRDefault="00AB6003" w:rsidP="00230BF2">
            <w:pPr>
              <w:keepNext/>
              <w:widowControl/>
              <w:jc w:val="center"/>
              <w:rPr>
                <w:rFonts w:ascii="Arial Narrow" w:hAnsi="Arial Narrow"/>
                <w:b/>
                <w:sz w:val="20"/>
                <w:szCs w:val="18"/>
              </w:rPr>
            </w:pPr>
          </w:p>
        </w:tc>
        <w:tc>
          <w:tcPr>
            <w:tcW w:w="418" w:type="pc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13vPCV</w:t>
            </w:r>
          </w:p>
        </w:tc>
        <w:tc>
          <w:tcPr>
            <w:tcW w:w="913" w:type="pct"/>
            <w:gridSpan w:val="4"/>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23vPPV/PBO</w:t>
            </w:r>
          </w:p>
        </w:tc>
        <w:tc>
          <w:tcPr>
            <w:tcW w:w="994" w:type="pct"/>
            <w:vMerge/>
            <w:vAlign w:val="center"/>
          </w:tcPr>
          <w:p w:rsidR="00AB6003" w:rsidRPr="00700585" w:rsidRDefault="00AB6003" w:rsidP="00230BF2">
            <w:pPr>
              <w:keepNext/>
              <w:widowControl/>
              <w:jc w:val="center"/>
              <w:rPr>
                <w:rFonts w:ascii="Arial Narrow" w:hAnsi="Arial Narrow"/>
                <w:b/>
                <w:sz w:val="20"/>
                <w:szCs w:val="18"/>
              </w:rPr>
            </w:pPr>
          </w:p>
        </w:tc>
      </w:tr>
      <w:tr w:rsidR="00700585" w:rsidRPr="00700585" w:rsidTr="008A56D6">
        <w:tc>
          <w:tcPr>
            <w:tcW w:w="5000" w:type="pct"/>
            <w:gridSpan w:val="11"/>
            <w:shd w:val="clear" w:color="auto" w:fill="auto"/>
            <w:vAlign w:val="center"/>
          </w:tcPr>
          <w:p w:rsidR="00AB6003" w:rsidRPr="00700585" w:rsidRDefault="00AB6003" w:rsidP="00230BF2">
            <w:pPr>
              <w:keepNext/>
              <w:widowControl/>
              <w:rPr>
                <w:rFonts w:ascii="Arial Narrow" w:hAnsi="Arial Narrow"/>
                <w:b/>
                <w:sz w:val="20"/>
                <w:szCs w:val="18"/>
              </w:rPr>
            </w:pPr>
            <w:r w:rsidRPr="00700585">
              <w:rPr>
                <w:rFonts w:ascii="Arial Narrow" w:hAnsi="Arial Narrow"/>
                <w:b/>
                <w:sz w:val="20"/>
                <w:szCs w:val="18"/>
              </w:rPr>
              <w:t>Benefits</w:t>
            </w:r>
          </w:p>
        </w:tc>
      </w:tr>
      <w:tr w:rsidR="00700585" w:rsidRPr="00700585" w:rsidTr="008A56D6">
        <w:tc>
          <w:tcPr>
            <w:tcW w:w="5000" w:type="pct"/>
            <w:gridSpan w:val="11"/>
            <w:tcBorders>
              <w:top w:val="double" w:sz="4" w:space="0" w:color="auto"/>
            </w:tcBorders>
            <w:shd w:val="clear" w:color="auto" w:fill="auto"/>
            <w:vAlign w:val="center"/>
          </w:tcPr>
          <w:p w:rsidR="00AB6003" w:rsidRPr="00700585" w:rsidRDefault="00AB6003" w:rsidP="00230BF2">
            <w:pPr>
              <w:keepNext/>
              <w:widowControl/>
              <w:rPr>
                <w:rFonts w:ascii="Arial Narrow" w:hAnsi="Arial Narrow"/>
                <w:b/>
                <w:sz w:val="20"/>
                <w:szCs w:val="18"/>
              </w:rPr>
            </w:pPr>
            <w:r w:rsidRPr="00700585">
              <w:rPr>
                <w:rFonts w:ascii="Arial Narrow" w:hAnsi="Arial Narrow"/>
                <w:b/>
                <w:sz w:val="20"/>
                <w:szCs w:val="18"/>
              </w:rPr>
              <w:t xml:space="preserve">VT pneumococcal </w:t>
            </w:r>
            <w:r w:rsidR="00F91DD9" w:rsidRPr="00700585">
              <w:rPr>
                <w:rFonts w:ascii="Arial Narrow" w:hAnsi="Arial Narrow"/>
                <w:b/>
                <w:sz w:val="20"/>
                <w:szCs w:val="18"/>
              </w:rPr>
              <w:t>CAP</w:t>
            </w:r>
          </w:p>
        </w:tc>
      </w:tr>
      <w:tr w:rsidR="00700585" w:rsidRPr="00700585" w:rsidTr="008A56D6">
        <w:trPr>
          <w:trHeight w:val="105"/>
        </w:trPr>
        <w:tc>
          <w:tcPr>
            <w:tcW w:w="678" w:type="pct"/>
            <w:vMerge w:val="restart"/>
            <w:shd w:val="clear" w:color="auto" w:fill="auto"/>
            <w:vAlign w:val="center"/>
          </w:tcPr>
          <w:p w:rsidR="00AB6003" w:rsidRPr="00700585" w:rsidRDefault="00AB6003" w:rsidP="00230BF2">
            <w:pPr>
              <w:keepNext/>
              <w:widowControl/>
              <w:rPr>
                <w:rFonts w:ascii="Arial Narrow" w:hAnsi="Arial Narrow"/>
                <w:sz w:val="20"/>
                <w:szCs w:val="18"/>
              </w:rPr>
            </w:pPr>
          </w:p>
        </w:tc>
        <w:tc>
          <w:tcPr>
            <w:tcW w:w="415" w:type="pct"/>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13vPCV</w:t>
            </w:r>
          </w:p>
        </w:tc>
        <w:tc>
          <w:tcPr>
            <w:tcW w:w="415" w:type="pct"/>
            <w:vMerge w:val="restart"/>
            <w:vAlign w:val="center"/>
          </w:tcPr>
          <w:p w:rsidR="00AB6003" w:rsidRPr="00700585" w:rsidRDefault="00AB6003" w:rsidP="00230BF2">
            <w:pPr>
              <w:keepNext/>
              <w:widowControl/>
              <w:jc w:val="center"/>
              <w:rPr>
                <w:rFonts w:ascii="Arial Narrow" w:hAnsi="Arial Narrow"/>
                <w:b/>
                <w:sz w:val="20"/>
                <w:szCs w:val="18"/>
              </w:rPr>
            </w:pPr>
            <w:proofErr w:type="spellStart"/>
            <w:r w:rsidRPr="00700585">
              <w:rPr>
                <w:rFonts w:ascii="Arial Narrow" w:hAnsi="Arial Narrow"/>
                <w:b/>
                <w:sz w:val="20"/>
                <w:szCs w:val="18"/>
              </w:rPr>
              <w:t>PBO</w:t>
            </w:r>
            <w:r w:rsidRPr="00700585">
              <w:rPr>
                <w:rFonts w:ascii="Arial Narrow" w:hAnsi="Arial Narrow"/>
                <w:b/>
                <w:sz w:val="20"/>
                <w:szCs w:val="18"/>
                <w:vertAlign w:val="superscript"/>
              </w:rPr>
              <w:t>a</w:t>
            </w:r>
            <w:proofErr w:type="spellEnd"/>
          </w:p>
        </w:tc>
        <w:tc>
          <w:tcPr>
            <w:tcW w:w="418" w:type="pct"/>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23vPPV</w:t>
            </w:r>
          </w:p>
        </w:tc>
        <w:tc>
          <w:tcPr>
            <w:tcW w:w="749" w:type="pct"/>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RR</w:t>
            </w:r>
          </w:p>
          <w:p w:rsidR="00AB6003" w:rsidRPr="00700585" w:rsidRDefault="00AB6003" w:rsidP="00230BF2">
            <w:pPr>
              <w:keepNext/>
              <w:widowControl/>
              <w:jc w:val="center"/>
              <w:rPr>
                <w:rFonts w:ascii="Arial Narrow" w:hAnsi="Arial Narrow"/>
                <w:sz w:val="20"/>
                <w:szCs w:val="18"/>
              </w:rPr>
            </w:pPr>
            <w:r w:rsidRPr="00700585">
              <w:rPr>
                <w:rFonts w:ascii="Arial Narrow" w:hAnsi="Arial Narrow"/>
                <w:b/>
                <w:sz w:val="20"/>
                <w:szCs w:val="18"/>
              </w:rPr>
              <w:t>(95% CI)</w:t>
            </w:r>
          </w:p>
        </w:tc>
        <w:tc>
          <w:tcPr>
            <w:tcW w:w="1331" w:type="pct"/>
            <w:gridSpan w:val="5"/>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 xml:space="preserve">Event rate/100 patients* </w:t>
            </w:r>
          </w:p>
        </w:tc>
        <w:tc>
          <w:tcPr>
            <w:tcW w:w="994" w:type="pct"/>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RD</w:t>
            </w:r>
          </w:p>
          <w:p w:rsidR="00AB6003" w:rsidRPr="00700585" w:rsidRDefault="00AB6003" w:rsidP="00230BF2">
            <w:pPr>
              <w:keepNext/>
              <w:widowControl/>
              <w:jc w:val="center"/>
              <w:rPr>
                <w:rFonts w:ascii="Arial Narrow" w:hAnsi="Arial Narrow"/>
                <w:sz w:val="20"/>
                <w:szCs w:val="18"/>
              </w:rPr>
            </w:pPr>
            <w:r w:rsidRPr="00700585">
              <w:rPr>
                <w:rFonts w:ascii="Arial Narrow" w:hAnsi="Arial Narrow"/>
                <w:b/>
                <w:sz w:val="20"/>
                <w:szCs w:val="18"/>
              </w:rPr>
              <w:t>(95% CI)</w:t>
            </w:r>
          </w:p>
        </w:tc>
      </w:tr>
      <w:tr w:rsidR="00700585" w:rsidRPr="00700585" w:rsidTr="008A56D6">
        <w:trPr>
          <w:trHeight w:val="70"/>
        </w:trPr>
        <w:tc>
          <w:tcPr>
            <w:tcW w:w="678" w:type="pct"/>
            <w:vMerge/>
            <w:shd w:val="clear" w:color="auto" w:fill="auto"/>
            <w:vAlign w:val="center"/>
          </w:tcPr>
          <w:p w:rsidR="00AB6003" w:rsidRPr="00700585" w:rsidRDefault="00AB6003" w:rsidP="00230BF2">
            <w:pPr>
              <w:keepNext/>
              <w:widowControl/>
              <w:rPr>
                <w:rFonts w:ascii="Arial Narrow" w:hAnsi="Arial Narrow"/>
                <w:sz w:val="20"/>
                <w:szCs w:val="18"/>
              </w:rPr>
            </w:pPr>
          </w:p>
        </w:tc>
        <w:tc>
          <w:tcPr>
            <w:tcW w:w="415" w:type="pct"/>
            <w:vMerge/>
            <w:vAlign w:val="center"/>
          </w:tcPr>
          <w:p w:rsidR="00AB6003" w:rsidRPr="00700585" w:rsidRDefault="00AB6003" w:rsidP="00230BF2">
            <w:pPr>
              <w:keepNext/>
              <w:widowControl/>
              <w:jc w:val="center"/>
              <w:rPr>
                <w:rFonts w:ascii="Arial Narrow" w:hAnsi="Arial Narrow"/>
                <w:b/>
                <w:sz w:val="20"/>
                <w:szCs w:val="18"/>
              </w:rPr>
            </w:pPr>
          </w:p>
        </w:tc>
        <w:tc>
          <w:tcPr>
            <w:tcW w:w="415" w:type="pct"/>
            <w:vMerge/>
            <w:vAlign w:val="center"/>
          </w:tcPr>
          <w:p w:rsidR="00AB6003" w:rsidRPr="00700585" w:rsidRDefault="00AB6003" w:rsidP="00230BF2">
            <w:pPr>
              <w:keepNext/>
              <w:widowControl/>
              <w:jc w:val="center"/>
              <w:rPr>
                <w:rFonts w:ascii="Arial Narrow" w:hAnsi="Arial Narrow"/>
                <w:b/>
                <w:sz w:val="20"/>
                <w:szCs w:val="18"/>
              </w:rPr>
            </w:pPr>
          </w:p>
        </w:tc>
        <w:tc>
          <w:tcPr>
            <w:tcW w:w="418" w:type="pct"/>
            <w:vMerge/>
            <w:vAlign w:val="center"/>
          </w:tcPr>
          <w:p w:rsidR="00AB6003" w:rsidRPr="00700585" w:rsidRDefault="00AB6003" w:rsidP="00230BF2">
            <w:pPr>
              <w:keepNext/>
              <w:widowControl/>
              <w:jc w:val="center"/>
              <w:rPr>
                <w:rFonts w:ascii="Arial Narrow" w:hAnsi="Arial Narrow"/>
                <w:b/>
                <w:sz w:val="20"/>
                <w:szCs w:val="18"/>
              </w:rPr>
            </w:pPr>
          </w:p>
        </w:tc>
        <w:tc>
          <w:tcPr>
            <w:tcW w:w="749" w:type="pct"/>
            <w:vMerge/>
            <w:vAlign w:val="center"/>
          </w:tcPr>
          <w:p w:rsidR="00AB6003" w:rsidRPr="00700585" w:rsidRDefault="00AB6003" w:rsidP="00230BF2">
            <w:pPr>
              <w:keepNext/>
              <w:widowControl/>
              <w:jc w:val="center"/>
              <w:rPr>
                <w:rFonts w:ascii="Arial Narrow" w:hAnsi="Arial Narrow"/>
                <w:b/>
                <w:sz w:val="20"/>
                <w:szCs w:val="18"/>
              </w:rPr>
            </w:pPr>
          </w:p>
        </w:tc>
        <w:tc>
          <w:tcPr>
            <w:tcW w:w="418" w:type="pc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13vPCV</w:t>
            </w:r>
          </w:p>
        </w:tc>
        <w:tc>
          <w:tcPr>
            <w:tcW w:w="415" w:type="pct"/>
            <w:vAlign w:val="center"/>
          </w:tcPr>
          <w:p w:rsidR="00AB6003" w:rsidRPr="00700585" w:rsidRDefault="00AB6003" w:rsidP="00230BF2">
            <w:pPr>
              <w:keepNext/>
              <w:widowControl/>
              <w:jc w:val="center"/>
              <w:rPr>
                <w:rFonts w:ascii="Arial Narrow" w:hAnsi="Arial Narrow"/>
                <w:b/>
                <w:sz w:val="20"/>
                <w:szCs w:val="18"/>
              </w:rPr>
            </w:pPr>
            <w:proofErr w:type="spellStart"/>
            <w:r w:rsidRPr="00700585">
              <w:rPr>
                <w:rFonts w:ascii="Arial Narrow" w:hAnsi="Arial Narrow"/>
                <w:b/>
                <w:sz w:val="20"/>
                <w:szCs w:val="18"/>
              </w:rPr>
              <w:t>PBO</w:t>
            </w:r>
            <w:r w:rsidRPr="00700585">
              <w:rPr>
                <w:rFonts w:ascii="Arial Narrow" w:hAnsi="Arial Narrow"/>
                <w:b/>
                <w:sz w:val="20"/>
                <w:szCs w:val="18"/>
                <w:vertAlign w:val="superscript"/>
              </w:rPr>
              <w:t>a</w:t>
            </w:r>
            <w:proofErr w:type="spellEnd"/>
          </w:p>
        </w:tc>
        <w:tc>
          <w:tcPr>
            <w:tcW w:w="498" w:type="pct"/>
            <w:gridSpan w:val="3"/>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23vPPV</w:t>
            </w:r>
          </w:p>
        </w:tc>
        <w:tc>
          <w:tcPr>
            <w:tcW w:w="994" w:type="pct"/>
            <w:vMerge/>
            <w:vAlign w:val="center"/>
          </w:tcPr>
          <w:p w:rsidR="00AB6003" w:rsidRPr="00700585" w:rsidRDefault="00AB6003" w:rsidP="00230BF2">
            <w:pPr>
              <w:keepNext/>
              <w:widowControl/>
              <w:jc w:val="center"/>
              <w:rPr>
                <w:rFonts w:ascii="Arial Narrow" w:hAnsi="Arial Narrow"/>
                <w:b/>
                <w:sz w:val="20"/>
                <w:szCs w:val="18"/>
              </w:rPr>
            </w:pPr>
          </w:p>
        </w:tc>
      </w:tr>
      <w:tr w:rsidR="00700585" w:rsidRPr="00700585" w:rsidTr="008A56D6">
        <w:tc>
          <w:tcPr>
            <w:tcW w:w="678" w:type="pct"/>
            <w:shd w:val="clear" w:color="auto" w:fill="auto"/>
            <w:vAlign w:val="center"/>
          </w:tcPr>
          <w:p w:rsidR="00AB6003" w:rsidRPr="00700585" w:rsidRDefault="00AB6003" w:rsidP="00230BF2">
            <w:pPr>
              <w:keepNext/>
              <w:widowControl/>
              <w:rPr>
                <w:rFonts w:ascii="Arial Narrow" w:hAnsi="Arial Narrow"/>
                <w:sz w:val="20"/>
                <w:szCs w:val="18"/>
              </w:rPr>
            </w:pPr>
            <w:proofErr w:type="spellStart"/>
            <w:r w:rsidRPr="00700585">
              <w:rPr>
                <w:rFonts w:ascii="Arial Narrow" w:hAnsi="Arial Narrow"/>
                <w:sz w:val="20"/>
                <w:szCs w:val="18"/>
              </w:rPr>
              <w:t>CAPiTA</w:t>
            </w:r>
            <w:proofErr w:type="spellEnd"/>
          </w:p>
        </w:tc>
        <w:tc>
          <w:tcPr>
            <w:tcW w:w="415" w:type="pct"/>
            <w:vAlign w:val="center"/>
          </w:tcPr>
          <w:p w:rsidR="00AB6003" w:rsidRPr="00700585" w:rsidRDefault="00AB6003" w:rsidP="00230BF2">
            <w:pPr>
              <w:keepNext/>
              <w:widowControl/>
              <w:jc w:val="center"/>
              <w:rPr>
                <w:rFonts w:ascii="Arial Narrow" w:hAnsi="Arial Narrow"/>
                <w:sz w:val="20"/>
              </w:rPr>
            </w:pPr>
            <w:r w:rsidRPr="00700585">
              <w:rPr>
                <w:rFonts w:ascii="Arial Narrow" w:hAnsi="Arial Narrow"/>
                <w:sz w:val="20"/>
              </w:rPr>
              <w:t>66/ 42,240</w:t>
            </w:r>
          </w:p>
        </w:tc>
        <w:tc>
          <w:tcPr>
            <w:tcW w:w="415" w:type="pct"/>
            <w:vAlign w:val="center"/>
          </w:tcPr>
          <w:p w:rsidR="00AB6003" w:rsidRPr="00700585" w:rsidRDefault="00AB6003" w:rsidP="00230BF2">
            <w:pPr>
              <w:keepNext/>
              <w:widowControl/>
              <w:jc w:val="center"/>
              <w:rPr>
                <w:rFonts w:ascii="Arial Narrow" w:hAnsi="Arial Narrow"/>
                <w:sz w:val="20"/>
              </w:rPr>
            </w:pPr>
            <w:r w:rsidRPr="00700585">
              <w:rPr>
                <w:rFonts w:ascii="Arial Narrow" w:hAnsi="Arial Narrow"/>
                <w:sz w:val="20"/>
              </w:rPr>
              <w:t>106/ 42,256</w:t>
            </w:r>
          </w:p>
        </w:tc>
        <w:tc>
          <w:tcPr>
            <w:tcW w:w="418"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w:t>
            </w:r>
          </w:p>
        </w:tc>
        <w:tc>
          <w:tcPr>
            <w:tcW w:w="749" w:type="pct"/>
            <w:vAlign w:val="center"/>
          </w:tcPr>
          <w:p w:rsidR="00AB6003" w:rsidRPr="00700585" w:rsidRDefault="00AB6003" w:rsidP="00230BF2">
            <w:pPr>
              <w:keepNext/>
              <w:widowControl/>
              <w:jc w:val="center"/>
              <w:rPr>
                <w:rFonts w:ascii="Arial Narrow" w:hAnsi="Arial Narrow"/>
                <w:sz w:val="20"/>
              </w:rPr>
            </w:pPr>
            <w:r w:rsidRPr="00700585">
              <w:rPr>
                <w:rFonts w:ascii="Arial Narrow" w:hAnsi="Arial Narrow"/>
                <w:sz w:val="20"/>
              </w:rPr>
              <w:t>0.62</w:t>
            </w:r>
          </w:p>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rPr>
              <w:t>(0.45, 0.86)</w:t>
            </w:r>
          </w:p>
        </w:tc>
        <w:tc>
          <w:tcPr>
            <w:tcW w:w="418"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0.16</w:t>
            </w:r>
          </w:p>
        </w:tc>
        <w:tc>
          <w:tcPr>
            <w:tcW w:w="415"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0.25</w:t>
            </w:r>
          </w:p>
        </w:tc>
        <w:tc>
          <w:tcPr>
            <w:tcW w:w="498" w:type="pct"/>
            <w:gridSpan w:val="3"/>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w:t>
            </w:r>
          </w:p>
        </w:tc>
        <w:tc>
          <w:tcPr>
            <w:tcW w:w="994" w:type="pct"/>
            <w:vAlign w:val="center"/>
          </w:tcPr>
          <w:p w:rsidR="00AB6003" w:rsidRPr="00700585" w:rsidRDefault="00AB6003" w:rsidP="00230BF2">
            <w:pPr>
              <w:keepNext/>
              <w:widowControl/>
              <w:jc w:val="center"/>
              <w:rPr>
                <w:rFonts w:ascii="Arial Narrow" w:hAnsi="Arial Narrow"/>
                <w:sz w:val="20"/>
              </w:rPr>
            </w:pPr>
            <w:r w:rsidRPr="00700585">
              <w:rPr>
                <w:rFonts w:ascii="Arial Narrow" w:hAnsi="Arial Narrow"/>
                <w:sz w:val="20"/>
              </w:rPr>
              <w:t xml:space="preserve">-0.0009 </w:t>
            </w:r>
          </w:p>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rPr>
              <w:t>(-0.00</w:t>
            </w:r>
            <w:r w:rsidR="00037C04" w:rsidRPr="00700585">
              <w:rPr>
                <w:rFonts w:ascii="Arial Narrow" w:hAnsi="Arial Narrow"/>
                <w:sz w:val="20"/>
              </w:rPr>
              <w:t>16</w:t>
            </w:r>
            <w:r w:rsidRPr="00700585">
              <w:rPr>
                <w:rFonts w:ascii="Arial Narrow" w:hAnsi="Arial Narrow"/>
                <w:sz w:val="20"/>
              </w:rPr>
              <w:t>, -0.00</w:t>
            </w:r>
            <w:r w:rsidR="00037C04" w:rsidRPr="00700585">
              <w:rPr>
                <w:rFonts w:ascii="Arial Narrow" w:hAnsi="Arial Narrow"/>
                <w:sz w:val="20"/>
              </w:rPr>
              <w:t>03</w:t>
            </w:r>
            <w:r w:rsidRPr="00700585">
              <w:rPr>
                <w:rFonts w:ascii="Arial Narrow" w:hAnsi="Arial Narrow"/>
                <w:sz w:val="20"/>
              </w:rPr>
              <w:t>)</w:t>
            </w:r>
          </w:p>
        </w:tc>
      </w:tr>
      <w:tr w:rsidR="00700585" w:rsidRPr="00700585" w:rsidTr="008A56D6">
        <w:tc>
          <w:tcPr>
            <w:tcW w:w="678" w:type="pct"/>
            <w:shd w:val="clear" w:color="auto" w:fill="auto"/>
            <w:vAlign w:val="center"/>
          </w:tcPr>
          <w:p w:rsidR="00AB6003" w:rsidRPr="00700585" w:rsidRDefault="00AB6003" w:rsidP="00230BF2">
            <w:pPr>
              <w:pStyle w:val="TableText0"/>
              <w:spacing w:before="0" w:after="0"/>
              <w:rPr>
                <w:rFonts w:cs="Arial"/>
              </w:rPr>
            </w:pPr>
            <w:r w:rsidRPr="00700585">
              <w:rPr>
                <w:szCs w:val="18"/>
              </w:rPr>
              <w:t xml:space="preserve">23vPPV </w:t>
            </w:r>
          </w:p>
        </w:tc>
        <w:tc>
          <w:tcPr>
            <w:tcW w:w="4322" w:type="pct"/>
            <w:gridSpan w:val="10"/>
            <w:vAlign w:val="center"/>
          </w:tcPr>
          <w:p w:rsidR="00AB6003" w:rsidRPr="00700585" w:rsidRDefault="00AB6003" w:rsidP="00230BF2">
            <w:pPr>
              <w:pStyle w:val="TableText0"/>
              <w:spacing w:before="0" w:after="0"/>
              <w:jc w:val="center"/>
              <w:rPr>
                <w:szCs w:val="18"/>
              </w:rPr>
            </w:pPr>
            <w:r w:rsidRPr="00700585">
              <w:rPr>
                <w:szCs w:val="18"/>
              </w:rPr>
              <w:t xml:space="preserve">No 23vPPV studies available assessing VT </w:t>
            </w:r>
            <w:r w:rsidR="006E2D42" w:rsidRPr="00700585">
              <w:rPr>
                <w:szCs w:val="18"/>
              </w:rPr>
              <w:t>CAP</w:t>
            </w:r>
          </w:p>
        </w:tc>
      </w:tr>
      <w:tr w:rsidR="00700585" w:rsidRPr="00700585" w:rsidTr="008A56D6">
        <w:tc>
          <w:tcPr>
            <w:tcW w:w="5000" w:type="pct"/>
            <w:gridSpan w:val="11"/>
            <w:tcBorders>
              <w:top w:val="double" w:sz="4" w:space="0" w:color="auto"/>
            </w:tcBorders>
            <w:shd w:val="clear" w:color="auto" w:fill="auto"/>
            <w:vAlign w:val="center"/>
          </w:tcPr>
          <w:p w:rsidR="00AB6003" w:rsidRPr="00700585" w:rsidRDefault="00AB6003" w:rsidP="00230BF2">
            <w:pPr>
              <w:keepNext/>
              <w:widowControl/>
              <w:rPr>
                <w:rFonts w:ascii="Arial Narrow" w:hAnsi="Arial Narrow"/>
                <w:b/>
                <w:sz w:val="20"/>
                <w:szCs w:val="18"/>
              </w:rPr>
            </w:pPr>
            <w:r w:rsidRPr="00700585">
              <w:rPr>
                <w:rFonts w:ascii="Arial Narrow" w:hAnsi="Arial Narrow"/>
                <w:b/>
                <w:sz w:val="20"/>
                <w:szCs w:val="18"/>
              </w:rPr>
              <w:t xml:space="preserve">Pneumococcal </w:t>
            </w:r>
            <w:r w:rsidR="00F91DD9" w:rsidRPr="00700585">
              <w:rPr>
                <w:rFonts w:ascii="Arial Narrow" w:hAnsi="Arial Narrow"/>
                <w:b/>
                <w:sz w:val="20"/>
                <w:szCs w:val="18"/>
              </w:rPr>
              <w:t>CAP</w:t>
            </w:r>
          </w:p>
        </w:tc>
      </w:tr>
      <w:tr w:rsidR="00700585" w:rsidRPr="00700585" w:rsidTr="008A56D6">
        <w:trPr>
          <w:trHeight w:val="105"/>
        </w:trPr>
        <w:tc>
          <w:tcPr>
            <w:tcW w:w="678" w:type="pct"/>
            <w:vMerge w:val="restart"/>
            <w:shd w:val="clear" w:color="auto" w:fill="auto"/>
            <w:vAlign w:val="center"/>
          </w:tcPr>
          <w:p w:rsidR="00AB6003" w:rsidRPr="00700585" w:rsidRDefault="00AB6003" w:rsidP="00230BF2">
            <w:pPr>
              <w:keepNext/>
              <w:widowControl/>
              <w:rPr>
                <w:rFonts w:ascii="Arial Narrow" w:hAnsi="Arial Narrow"/>
                <w:sz w:val="20"/>
                <w:szCs w:val="18"/>
              </w:rPr>
            </w:pPr>
          </w:p>
        </w:tc>
        <w:tc>
          <w:tcPr>
            <w:tcW w:w="415" w:type="pct"/>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13vPCV</w:t>
            </w:r>
          </w:p>
        </w:tc>
        <w:tc>
          <w:tcPr>
            <w:tcW w:w="415" w:type="pct"/>
            <w:vMerge w:val="restart"/>
            <w:vAlign w:val="center"/>
          </w:tcPr>
          <w:p w:rsidR="00AB6003" w:rsidRPr="00700585" w:rsidRDefault="00AB6003" w:rsidP="00230BF2">
            <w:pPr>
              <w:keepNext/>
              <w:widowControl/>
              <w:jc w:val="center"/>
              <w:rPr>
                <w:rFonts w:ascii="Arial Narrow" w:hAnsi="Arial Narrow"/>
                <w:b/>
                <w:sz w:val="20"/>
                <w:szCs w:val="18"/>
              </w:rPr>
            </w:pPr>
            <w:proofErr w:type="spellStart"/>
            <w:r w:rsidRPr="00700585">
              <w:rPr>
                <w:rFonts w:ascii="Arial Narrow" w:hAnsi="Arial Narrow"/>
                <w:b/>
                <w:sz w:val="20"/>
                <w:szCs w:val="18"/>
              </w:rPr>
              <w:t>PBO</w:t>
            </w:r>
            <w:r w:rsidRPr="00700585">
              <w:rPr>
                <w:rFonts w:ascii="Arial Narrow" w:hAnsi="Arial Narrow"/>
                <w:b/>
                <w:sz w:val="20"/>
                <w:szCs w:val="18"/>
                <w:vertAlign w:val="superscript"/>
              </w:rPr>
              <w:t>a</w:t>
            </w:r>
            <w:proofErr w:type="spellEnd"/>
          </w:p>
        </w:tc>
        <w:tc>
          <w:tcPr>
            <w:tcW w:w="418" w:type="pct"/>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23vPPV</w:t>
            </w:r>
          </w:p>
        </w:tc>
        <w:tc>
          <w:tcPr>
            <w:tcW w:w="749" w:type="pct"/>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RR</w:t>
            </w:r>
          </w:p>
          <w:p w:rsidR="00AB6003" w:rsidRPr="00700585" w:rsidRDefault="00AB6003" w:rsidP="00230BF2">
            <w:pPr>
              <w:keepNext/>
              <w:widowControl/>
              <w:jc w:val="center"/>
              <w:rPr>
                <w:rFonts w:ascii="Arial Narrow" w:hAnsi="Arial Narrow"/>
                <w:sz w:val="20"/>
                <w:szCs w:val="18"/>
              </w:rPr>
            </w:pPr>
            <w:r w:rsidRPr="00700585">
              <w:rPr>
                <w:rFonts w:ascii="Arial Narrow" w:hAnsi="Arial Narrow"/>
                <w:b/>
                <w:sz w:val="20"/>
                <w:szCs w:val="18"/>
              </w:rPr>
              <w:t>(95% CI)</w:t>
            </w:r>
          </w:p>
        </w:tc>
        <w:tc>
          <w:tcPr>
            <w:tcW w:w="1331" w:type="pct"/>
            <w:gridSpan w:val="5"/>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 xml:space="preserve">Event rate/100 patients* </w:t>
            </w:r>
          </w:p>
        </w:tc>
        <w:tc>
          <w:tcPr>
            <w:tcW w:w="994" w:type="pct"/>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RD</w:t>
            </w:r>
          </w:p>
          <w:p w:rsidR="00AB6003" w:rsidRPr="00700585" w:rsidRDefault="00AB6003" w:rsidP="00230BF2">
            <w:pPr>
              <w:keepNext/>
              <w:widowControl/>
              <w:jc w:val="center"/>
              <w:rPr>
                <w:rFonts w:ascii="Arial Narrow" w:hAnsi="Arial Narrow"/>
                <w:sz w:val="20"/>
                <w:szCs w:val="18"/>
              </w:rPr>
            </w:pPr>
            <w:r w:rsidRPr="00700585">
              <w:rPr>
                <w:rFonts w:ascii="Arial Narrow" w:hAnsi="Arial Narrow"/>
                <w:b/>
                <w:sz w:val="20"/>
                <w:szCs w:val="18"/>
              </w:rPr>
              <w:t>(95% CI)</w:t>
            </w:r>
          </w:p>
        </w:tc>
      </w:tr>
      <w:tr w:rsidR="00700585" w:rsidRPr="00700585" w:rsidTr="008A56D6">
        <w:trPr>
          <w:trHeight w:val="70"/>
        </w:trPr>
        <w:tc>
          <w:tcPr>
            <w:tcW w:w="678" w:type="pct"/>
            <w:vMerge/>
            <w:shd w:val="clear" w:color="auto" w:fill="auto"/>
            <w:vAlign w:val="center"/>
          </w:tcPr>
          <w:p w:rsidR="00AB6003" w:rsidRPr="00700585" w:rsidRDefault="00AB6003" w:rsidP="00230BF2">
            <w:pPr>
              <w:keepNext/>
              <w:widowControl/>
              <w:rPr>
                <w:rFonts w:ascii="Arial Narrow" w:hAnsi="Arial Narrow"/>
                <w:sz w:val="20"/>
                <w:szCs w:val="18"/>
              </w:rPr>
            </w:pPr>
          </w:p>
        </w:tc>
        <w:tc>
          <w:tcPr>
            <w:tcW w:w="415" w:type="pct"/>
            <w:vMerge/>
            <w:vAlign w:val="center"/>
          </w:tcPr>
          <w:p w:rsidR="00AB6003" w:rsidRPr="00700585" w:rsidRDefault="00AB6003" w:rsidP="00230BF2">
            <w:pPr>
              <w:keepNext/>
              <w:widowControl/>
              <w:jc w:val="center"/>
              <w:rPr>
                <w:rFonts w:ascii="Arial Narrow" w:hAnsi="Arial Narrow"/>
                <w:b/>
                <w:sz w:val="20"/>
                <w:szCs w:val="18"/>
              </w:rPr>
            </w:pPr>
          </w:p>
        </w:tc>
        <w:tc>
          <w:tcPr>
            <w:tcW w:w="415" w:type="pct"/>
            <w:vMerge/>
            <w:vAlign w:val="center"/>
          </w:tcPr>
          <w:p w:rsidR="00AB6003" w:rsidRPr="00700585" w:rsidRDefault="00AB6003" w:rsidP="00230BF2">
            <w:pPr>
              <w:keepNext/>
              <w:widowControl/>
              <w:jc w:val="center"/>
              <w:rPr>
                <w:rFonts w:ascii="Arial Narrow" w:hAnsi="Arial Narrow"/>
                <w:b/>
                <w:sz w:val="20"/>
                <w:szCs w:val="18"/>
              </w:rPr>
            </w:pPr>
          </w:p>
        </w:tc>
        <w:tc>
          <w:tcPr>
            <w:tcW w:w="418" w:type="pct"/>
            <w:vMerge/>
            <w:vAlign w:val="center"/>
          </w:tcPr>
          <w:p w:rsidR="00AB6003" w:rsidRPr="00700585" w:rsidRDefault="00AB6003" w:rsidP="00230BF2">
            <w:pPr>
              <w:keepNext/>
              <w:widowControl/>
              <w:jc w:val="center"/>
              <w:rPr>
                <w:rFonts w:ascii="Arial Narrow" w:hAnsi="Arial Narrow"/>
                <w:b/>
                <w:sz w:val="20"/>
                <w:szCs w:val="18"/>
              </w:rPr>
            </w:pPr>
          </w:p>
        </w:tc>
        <w:tc>
          <w:tcPr>
            <w:tcW w:w="749" w:type="pct"/>
            <w:vMerge/>
            <w:vAlign w:val="center"/>
          </w:tcPr>
          <w:p w:rsidR="00AB6003" w:rsidRPr="00700585" w:rsidRDefault="00AB6003" w:rsidP="00230BF2">
            <w:pPr>
              <w:keepNext/>
              <w:widowControl/>
              <w:jc w:val="center"/>
              <w:rPr>
                <w:rFonts w:ascii="Arial Narrow" w:hAnsi="Arial Narrow"/>
                <w:b/>
                <w:sz w:val="20"/>
                <w:szCs w:val="18"/>
              </w:rPr>
            </w:pPr>
          </w:p>
        </w:tc>
        <w:tc>
          <w:tcPr>
            <w:tcW w:w="418" w:type="pc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13vPCV</w:t>
            </w:r>
          </w:p>
        </w:tc>
        <w:tc>
          <w:tcPr>
            <w:tcW w:w="415" w:type="pct"/>
            <w:vAlign w:val="center"/>
          </w:tcPr>
          <w:p w:rsidR="00AB6003" w:rsidRPr="00700585" w:rsidRDefault="00AB6003" w:rsidP="00230BF2">
            <w:pPr>
              <w:keepNext/>
              <w:widowControl/>
              <w:jc w:val="center"/>
              <w:rPr>
                <w:rFonts w:ascii="Arial Narrow" w:hAnsi="Arial Narrow"/>
                <w:b/>
                <w:sz w:val="20"/>
                <w:szCs w:val="18"/>
              </w:rPr>
            </w:pPr>
            <w:proofErr w:type="spellStart"/>
            <w:r w:rsidRPr="00700585">
              <w:rPr>
                <w:rFonts w:ascii="Arial Narrow" w:hAnsi="Arial Narrow"/>
                <w:b/>
                <w:sz w:val="20"/>
                <w:szCs w:val="18"/>
              </w:rPr>
              <w:t>PBO</w:t>
            </w:r>
            <w:r w:rsidRPr="00700585">
              <w:rPr>
                <w:rFonts w:ascii="Arial Narrow" w:hAnsi="Arial Narrow"/>
                <w:b/>
                <w:sz w:val="20"/>
                <w:szCs w:val="18"/>
                <w:vertAlign w:val="superscript"/>
              </w:rPr>
              <w:t>a</w:t>
            </w:r>
            <w:proofErr w:type="spellEnd"/>
          </w:p>
        </w:tc>
        <w:tc>
          <w:tcPr>
            <w:tcW w:w="498" w:type="pct"/>
            <w:gridSpan w:val="3"/>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23vPPV</w:t>
            </w:r>
          </w:p>
        </w:tc>
        <w:tc>
          <w:tcPr>
            <w:tcW w:w="994" w:type="pct"/>
            <w:vMerge/>
            <w:vAlign w:val="center"/>
          </w:tcPr>
          <w:p w:rsidR="00AB6003" w:rsidRPr="00700585" w:rsidRDefault="00AB6003" w:rsidP="00230BF2">
            <w:pPr>
              <w:keepNext/>
              <w:widowControl/>
              <w:jc w:val="center"/>
              <w:rPr>
                <w:rFonts w:ascii="Arial Narrow" w:hAnsi="Arial Narrow"/>
                <w:b/>
                <w:sz w:val="20"/>
                <w:szCs w:val="18"/>
              </w:rPr>
            </w:pPr>
          </w:p>
        </w:tc>
      </w:tr>
      <w:tr w:rsidR="00700585" w:rsidRPr="00700585" w:rsidTr="008A56D6">
        <w:tc>
          <w:tcPr>
            <w:tcW w:w="678" w:type="pct"/>
            <w:shd w:val="clear" w:color="auto" w:fill="auto"/>
            <w:vAlign w:val="center"/>
          </w:tcPr>
          <w:p w:rsidR="00AB6003" w:rsidRPr="00700585" w:rsidRDefault="00AB6003" w:rsidP="00230BF2">
            <w:pPr>
              <w:keepNext/>
              <w:widowControl/>
              <w:rPr>
                <w:rFonts w:ascii="Arial Narrow" w:hAnsi="Arial Narrow"/>
                <w:sz w:val="20"/>
                <w:szCs w:val="18"/>
              </w:rPr>
            </w:pPr>
            <w:proofErr w:type="spellStart"/>
            <w:r w:rsidRPr="00700585">
              <w:rPr>
                <w:rFonts w:ascii="Arial Narrow" w:hAnsi="Arial Narrow"/>
                <w:sz w:val="20"/>
                <w:szCs w:val="18"/>
              </w:rPr>
              <w:t>CAPiTA</w:t>
            </w:r>
            <w:proofErr w:type="spellEnd"/>
          </w:p>
        </w:tc>
        <w:tc>
          <w:tcPr>
            <w:tcW w:w="415" w:type="pct"/>
            <w:vAlign w:val="center"/>
          </w:tcPr>
          <w:p w:rsidR="00AB6003" w:rsidRPr="00700585" w:rsidRDefault="00AB6003" w:rsidP="00230BF2">
            <w:pPr>
              <w:pStyle w:val="TableText0"/>
              <w:spacing w:before="0" w:after="0"/>
              <w:jc w:val="center"/>
              <w:rPr>
                <w:rFonts w:cs="Arial"/>
              </w:rPr>
            </w:pPr>
            <w:r w:rsidRPr="00700585">
              <w:rPr>
                <w:rFonts w:cs="Arial"/>
              </w:rPr>
              <w:t>135/</w:t>
            </w:r>
          </w:p>
          <w:p w:rsidR="00AB6003" w:rsidRPr="00700585" w:rsidRDefault="00AB6003" w:rsidP="00230BF2">
            <w:pPr>
              <w:pStyle w:val="TableText0"/>
              <w:spacing w:before="0" w:after="0"/>
              <w:jc w:val="center"/>
              <w:rPr>
                <w:rFonts w:cs="Arial"/>
              </w:rPr>
            </w:pPr>
            <w:r w:rsidRPr="00700585">
              <w:rPr>
                <w:rFonts w:cs="Arial"/>
              </w:rPr>
              <w:t>42,240</w:t>
            </w:r>
          </w:p>
        </w:tc>
        <w:tc>
          <w:tcPr>
            <w:tcW w:w="415" w:type="pct"/>
            <w:vAlign w:val="center"/>
          </w:tcPr>
          <w:p w:rsidR="00AB6003" w:rsidRPr="00700585" w:rsidRDefault="00AB6003" w:rsidP="00230BF2">
            <w:pPr>
              <w:pStyle w:val="TableText0"/>
              <w:spacing w:before="0" w:after="0"/>
              <w:jc w:val="center"/>
              <w:rPr>
                <w:rFonts w:cs="Arial"/>
              </w:rPr>
            </w:pPr>
            <w:r w:rsidRPr="00700585">
              <w:rPr>
                <w:rFonts w:cs="Arial"/>
              </w:rPr>
              <w:t>174/</w:t>
            </w:r>
          </w:p>
          <w:p w:rsidR="00AB6003" w:rsidRPr="00700585" w:rsidRDefault="00AB6003" w:rsidP="00230BF2">
            <w:pPr>
              <w:pStyle w:val="TableText0"/>
              <w:spacing w:before="0" w:after="0"/>
              <w:jc w:val="center"/>
              <w:rPr>
                <w:rFonts w:cs="Arial"/>
              </w:rPr>
            </w:pPr>
            <w:r w:rsidRPr="00700585">
              <w:rPr>
                <w:rFonts w:cs="Arial"/>
              </w:rPr>
              <w:t>42,256</w:t>
            </w:r>
          </w:p>
        </w:tc>
        <w:tc>
          <w:tcPr>
            <w:tcW w:w="418"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w:t>
            </w:r>
          </w:p>
        </w:tc>
        <w:tc>
          <w:tcPr>
            <w:tcW w:w="749" w:type="pct"/>
            <w:vAlign w:val="center"/>
          </w:tcPr>
          <w:p w:rsidR="00AB6003" w:rsidRPr="00700585" w:rsidRDefault="00AB6003" w:rsidP="00230BF2">
            <w:pPr>
              <w:pStyle w:val="TableText0"/>
              <w:spacing w:before="0" w:after="0"/>
              <w:jc w:val="center"/>
              <w:rPr>
                <w:rFonts w:cs="Arial"/>
              </w:rPr>
            </w:pPr>
            <w:r w:rsidRPr="00700585">
              <w:rPr>
                <w:rFonts w:cs="Arial"/>
              </w:rPr>
              <w:t>0.78</w:t>
            </w:r>
          </w:p>
          <w:p w:rsidR="00AB6003" w:rsidRPr="00700585" w:rsidRDefault="00AB6003" w:rsidP="00230BF2">
            <w:pPr>
              <w:pStyle w:val="TableText0"/>
              <w:spacing w:before="0" w:after="0"/>
              <w:jc w:val="center"/>
              <w:rPr>
                <w:szCs w:val="18"/>
              </w:rPr>
            </w:pPr>
            <w:r w:rsidRPr="00700585">
              <w:rPr>
                <w:rFonts w:cs="Arial"/>
              </w:rPr>
              <w:t>(0.62, 0.98)</w:t>
            </w:r>
          </w:p>
        </w:tc>
        <w:tc>
          <w:tcPr>
            <w:tcW w:w="418"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0.3</w:t>
            </w:r>
          </w:p>
        </w:tc>
        <w:tc>
          <w:tcPr>
            <w:tcW w:w="415"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0.4</w:t>
            </w:r>
          </w:p>
        </w:tc>
        <w:tc>
          <w:tcPr>
            <w:tcW w:w="498" w:type="pct"/>
            <w:gridSpan w:val="3"/>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w:t>
            </w:r>
          </w:p>
        </w:tc>
        <w:tc>
          <w:tcPr>
            <w:tcW w:w="994"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-0.0009</w:t>
            </w:r>
          </w:p>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(-0.00</w:t>
            </w:r>
            <w:r w:rsidR="00037C04" w:rsidRPr="00700585">
              <w:rPr>
                <w:rFonts w:ascii="Arial Narrow" w:hAnsi="Arial Narrow"/>
                <w:sz w:val="20"/>
                <w:szCs w:val="18"/>
              </w:rPr>
              <w:t>17</w:t>
            </w:r>
            <w:r w:rsidRPr="00700585">
              <w:rPr>
                <w:rFonts w:ascii="Arial Narrow" w:hAnsi="Arial Narrow"/>
                <w:sz w:val="20"/>
                <w:szCs w:val="18"/>
              </w:rPr>
              <w:t>, -0.00</w:t>
            </w:r>
            <w:r w:rsidR="00037C04" w:rsidRPr="00700585">
              <w:rPr>
                <w:rFonts w:ascii="Arial Narrow" w:hAnsi="Arial Narrow"/>
                <w:sz w:val="20"/>
                <w:szCs w:val="18"/>
              </w:rPr>
              <w:t>01</w:t>
            </w:r>
            <w:r w:rsidRPr="00700585">
              <w:rPr>
                <w:rFonts w:ascii="Arial Narrow" w:hAnsi="Arial Narrow"/>
                <w:sz w:val="20"/>
                <w:szCs w:val="18"/>
              </w:rPr>
              <w:t>)</w:t>
            </w:r>
          </w:p>
        </w:tc>
      </w:tr>
      <w:tr w:rsidR="00700585" w:rsidRPr="00700585" w:rsidTr="008A56D6">
        <w:tc>
          <w:tcPr>
            <w:tcW w:w="678" w:type="pct"/>
            <w:shd w:val="clear" w:color="auto" w:fill="auto"/>
            <w:vAlign w:val="center"/>
          </w:tcPr>
          <w:p w:rsidR="00AB6003" w:rsidRPr="00700585" w:rsidRDefault="00AB6003" w:rsidP="00230BF2">
            <w:pPr>
              <w:pStyle w:val="TableText0"/>
              <w:spacing w:before="0" w:after="0"/>
              <w:rPr>
                <w:rFonts w:cs="Arial"/>
              </w:rPr>
            </w:pPr>
            <w:r w:rsidRPr="00700585">
              <w:rPr>
                <w:szCs w:val="18"/>
              </w:rPr>
              <w:t>23vPPV RCTs pooled, 3 trials</w:t>
            </w:r>
          </w:p>
        </w:tc>
        <w:tc>
          <w:tcPr>
            <w:tcW w:w="415"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w:t>
            </w:r>
          </w:p>
        </w:tc>
        <w:tc>
          <w:tcPr>
            <w:tcW w:w="415" w:type="pct"/>
            <w:vAlign w:val="center"/>
          </w:tcPr>
          <w:p w:rsidR="00AB6003" w:rsidRPr="00700585" w:rsidRDefault="00AB6003" w:rsidP="00230BF2">
            <w:pPr>
              <w:pStyle w:val="TableText0"/>
              <w:spacing w:before="0" w:after="0"/>
              <w:jc w:val="center"/>
              <w:rPr>
                <w:rFonts w:cs="Arial"/>
              </w:rPr>
            </w:pPr>
            <w:r w:rsidRPr="00700585">
              <w:rPr>
                <w:rFonts w:cs="Arial"/>
              </w:rPr>
              <w:t>58/</w:t>
            </w:r>
          </w:p>
          <w:p w:rsidR="00AB6003" w:rsidRPr="00700585" w:rsidRDefault="00AB6003" w:rsidP="00230BF2">
            <w:pPr>
              <w:pStyle w:val="TableText0"/>
              <w:spacing w:before="0" w:after="0"/>
              <w:jc w:val="center"/>
              <w:rPr>
                <w:rFonts w:cs="Arial"/>
              </w:rPr>
            </w:pPr>
            <w:r w:rsidRPr="00700585">
              <w:rPr>
                <w:rFonts w:cs="Arial"/>
              </w:rPr>
              <w:t>1,154</w:t>
            </w:r>
          </w:p>
        </w:tc>
        <w:tc>
          <w:tcPr>
            <w:tcW w:w="418" w:type="pct"/>
            <w:vAlign w:val="center"/>
          </w:tcPr>
          <w:p w:rsidR="00AB6003" w:rsidRPr="00700585" w:rsidRDefault="00AB6003" w:rsidP="00230BF2">
            <w:pPr>
              <w:pStyle w:val="TableText0"/>
              <w:spacing w:before="0" w:after="0"/>
              <w:jc w:val="center"/>
              <w:rPr>
                <w:rFonts w:cs="Arial"/>
              </w:rPr>
            </w:pPr>
            <w:r w:rsidRPr="00700585">
              <w:rPr>
                <w:rFonts w:cs="Arial"/>
              </w:rPr>
              <w:t>33/</w:t>
            </w:r>
          </w:p>
          <w:p w:rsidR="00AB6003" w:rsidRPr="00700585" w:rsidRDefault="00AB6003" w:rsidP="00230BF2">
            <w:pPr>
              <w:pStyle w:val="TableText0"/>
              <w:spacing w:before="0" w:after="0"/>
              <w:jc w:val="center"/>
              <w:rPr>
                <w:rFonts w:cs="Arial"/>
              </w:rPr>
            </w:pPr>
            <w:r w:rsidRPr="00700585">
              <w:rPr>
                <w:rFonts w:cs="Arial"/>
              </w:rPr>
              <w:t>1,139</w:t>
            </w:r>
          </w:p>
        </w:tc>
        <w:tc>
          <w:tcPr>
            <w:tcW w:w="749" w:type="pct"/>
          </w:tcPr>
          <w:p w:rsidR="00AB6003" w:rsidRPr="00700585" w:rsidRDefault="00AB6003" w:rsidP="00230BF2">
            <w:pPr>
              <w:pStyle w:val="TableText0"/>
              <w:spacing w:before="0" w:after="0"/>
              <w:jc w:val="center"/>
            </w:pPr>
            <w:r w:rsidRPr="00700585">
              <w:t>0.54 (0.18, 1.65)</w:t>
            </w:r>
          </w:p>
          <w:p w:rsidR="00AB6003" w:rsidRPr="00700585" w:rsidRDefault="00AB6003" w:rsidP="00230BF2">
            <w:pPr>
              <w:pStyle w:val="TableText0"/>
              <w:spacing w:before="0" w:after="0"/>
              <w:jc w:val="center"/>
              <w:rPr>
                <w:rFonts w:cs="Arial"/>
              </w:rPr>
            </w:pPr>
            <w:r w:rsidRPr="00700585">
              <w:rPr>
                <w:rFonts w:cs="Arial"/>
              </w:rPr>
              <w:t>Heterogeneity p-value=0.01</w:t>
            </w:r>
          </w:p>
        </w:tc>
        <w:tc>
          <w:tcPr>
            <w:tcW w:w="418"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w:t>
            </w:r>
          </w:p>
        </w:tc>
        <w:tc>
          <w:tcPr>
            <w:tcW w:w="415"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5.0</w:t>
            </w:r>
          </w:p>
        </w:tc>
        <w:tc>
          <w:tcPr>
            <w:tcW w:w="498" w:type="pct"/>
            <w:gridSpan w:val="3"/>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2.9</w:t>
            </w:r>
          </w:p>
        </w:tc>
        <w:tc>
          <w:tcPr>
            <w:tcW w:w="994"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-0.02 (-0.05, 0.01)</w:t>
            </w:r>
          </w:p>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Heterogeneity p-value=0.03</w:t>
            </w:r>
          </w:p>
        </w:tc>
      </w:tr>
      <w:tr w:rsidR="00700585" w:rsidRPr="00700585" w:rsidTr="008A56D6">
        <w:tc>
          <w:tcPr>
            <w:tcW w:w="5000" w:type="pct"/>
            <w:gridSpan w:val="11"/>
            <w:tcBorders>
              <w:top w:val="double" w:sz="4" w:space="0" w:color="auto"/>
            </w:tcBorders>
            <w:shd w:val="clear" w:color="auto" w:fill="auto"/>
            <w:vAlign w:val="center"/>
          </w:tcPr>
          <w:p w:rsidR="00AB6003" w:rsidRPr="00700585" w:rsidRDefault="00F91DD9" w:rsidP="00230BF2">
            <w:pPr>
              <w:keepNext/>
              <w:widowControl/>
              <w:rPr>
                <w:rFonts w:ascii="Arial Narrow" w:hAnsi="Arial Narrow"/>
                <w:b/>
                <w:sz w:val="20"/>
                <w:szCs w:val="18"/>
              </w:rPr>
            </w:pPr>
            <w:r w:rsidRPr="00700585">
              <w:rPr>
                <w:rFonts w:ascii="Arial Narrow" w:hAnsi="Arial Narrow"/>
                <w:b/>
                <w:sz w:val="20"/>
                <w:szCs w:val="18"/>
              </w:rPr>
              <w:t>CAP</w:t>
            </w:r>
            <w:r w:rsidR="00AB6003" w:rsidRPr="00700585">
              <w:rPr>
                <w:rFonts w:ascii="Arial Narrow" w:hAnsi="Arial Narrow"/>
                <w:b/>
                <w:sz w:val="20"/>
                <w:szCs w:val="18"/>
              </w:rPr>
              <w:t xml:space="preserve"> (all-cause)</w:t>
            </w:r>
          </w:p>
        </w:tc>
      </w:tr>
      <w:tr w:rsidR="00700585" w:rsidRPr="00700585" w:rsidTr="008A56D6">
        <w:trPr>
          <w:trHeight w:val="105"/>
        </w:trPr>
        <w:tc>
          <w:tcPr>
            <w:tcW w:w="678" w:type="pct"/>
            <w:vMerge w:val="restart"/>
            <w:shd w:val="clear" w:color="auto" w:fill="auto"/>
            <w:vAlign w:val="center"/>
          </w:tcPr>
          <w:p w:rsidR="00AB6003" w:rsidRPr="00700585" w:rsidRDefault="00AB6003" w:rsidP="00230BF2">
            <w:pPr>
              <w:keepNext/>
              <w:widowControl/>
              <w:rPr>
                <w:rFonts w:ascii="Arial Narrow" w:hAnsi="Arial Narrow"/>
                <w:sz w:val="20"/>
                <w:szCs w:val="18"/>
              </w:rPr>
            </w:pPr>
          </w:p>
        </w:tc>
        <w:tc>
          <w:tcPr>
            <w:tcW w:w="415" w:type="pct"/>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13vPCV</w:t>
            </w:r>
          </w:p>
        </w:tc>
        <w:tc>
          <w:tcPr>
            <w:tcW w:w="415" w:type="pct"/>
            <w:vMerge w:val="restart"/>
            <w:vAlign w:val="center"/>
          </w:tcPr>
          <w:p w:rsidR="00AB6003" w:rsidRPr="00700585" w:rsidRDefault="00AB6003" w:rsidP="00230BF2">
            <w:pPr>
              <w:keepNext/>
              <w:widowControl/>
              <w:jc w:val="center"/>
              <w:rPr>
                <w:rFonts w:ascii="Arial Narrow" w:hAnsi="Arial Narrow"/>
                <w:b/>
                <w:sz w:val="20"/>
                <w:szCs w:val="18"/>
              </w:rPr>
            </w:pPr>
            <w:proofErr w:type="spellStart"/>
            <w:r w:rsidRPr="00700585">
              <w:rPr>
                <w:rFonts w:ascii="Arial Narrow" w:hAnsi="Arial Narrow"/>
                <w:b/>
                <w:sz w:val="20"/>
                <w:szCs w:val="18"/>
              </w:rPr>
              <w:t>PBO</w:t>
            </w:r>
            <w:r w:rsidRPr="00700585">
              <w:rPr>
                <w:rFonts w:ascii="Arial Narrow" w:hAnsi="Arial Narrow"/>
                <w:b/>
                <w:sz w:val="20"/>
                <w:szCs w:val="18"/>
                <w:vertAlign w:val="superscript"/>
              </w:rPr>
              <w:t>a</w:t>
            </w:r>
            <w:proofErr w:type="spellEnd"/>
          </w:p>
        </w:tc>
        <w:tc>
          <w:tcPr>
            <w:tcW w:w="418" w:type="pct"/>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23vPPV</w:t>
            </w:r>
          </w:p>
        </w:tc>
        <w:tc>
          <w:tcPr>
            <w:tcW w:w="749" w:type="pct"/>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RR</w:t>
            </w:r>
          </w:p>
          <w:p w:rsidR="00AB6003" w:rsidRPr="00700585" w:rsidRDefault="00AB6003" w:rsidP="00230BF2">
            <w:pPr>
              <w:keepNext/>
              <w:widowControl/>
              <w:jc w:val="center"/>
              <w:rPr>
                <w:rFonts w:ascii="Arial Narrow" w:hAnsi="Arial Narrow"/>
                <w:sz w:val="20"/>
                <w:szCs w:val="18"/>
              </w:rPr>
            </w:pPr>
            <w:r w:rsidRPr="00700585">
              <w:rPr>
                <w:rFonts w:ascii="Arial Narrow" w:hAnsi="Arial Narrow"/>
                <w:b/>
                <w:sz w:val="20"/>
                <w:szCs w:val="18"/>
              </w:rPr>
              <w:t>(95% CI)</w:t>
            </w:r>
          </w:p>
        </w:tc>
        <w:tc>
          <w:tcPr>
            <w:tcW w:w="1331" w:type="pct"/>
            <w:gridSpan w:val="5"/>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 xml:space="preserve">Event rate/100 patients* </w:t>
            </w:r>
          </w:p>
        </w:tc>
        <w:tc>
          <w:tcPr>
            <w:tcW w:w="994" w:type="pct"/>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RD</w:t>
            </w:r>
          </w:p>
          <w:p w:rsidR="00AB6003" w:rsidRPr="00700585" w:rsidRDefault="00AB6003" w:rsidP="00230BF2">
            <w:pPr>
              <w:keepNext/>
              <w:widowControl/>
              <w:jc w:val="center"/>
              <w:rPr>
                <w:rFonts w:ascii="Arial Narrow" w:hAnsi="Arial Narrow"/>
                <w:sz w:val="20"/>
                <w:szCs w:val="18"/>
              </w:rPr>
            </w:pPr>
            <w:r w:rsidRPr="00700585">
              <w:rPr>
                <w:rFonts w:ascii="Arial Narrow" w:hAnsi="Arial Narrow"/>
                <w:b/>
                <w:sz w:val="20"/>
                <w:szCs w:val="18"/>
              </w:rPr>
              <w:t>(95% CI)</w:t>
            </w:r>
          </w:p>
        </w:tc>
      </w:tr>
      <w:tr w:rsidR="00700585" w:rsidRPr="00700585" w:rsidTr="008A56D6">
        <w:trPr>
          <w:trHeight w:val="70"/>
        </w:trPr>
        <w:tc>
          <w:tcPr>
            <w:tcW w:w="678" w:type="pct"/>
            <w:vMerge/>
            <w:shd w:val="clear" w:color="auto" w:fill="auto"/>
            <w:vAlign w:val="center"/>
          </w:tcPr>
          <w:p w:rsidR="00AB6003" w:rsidRPr="00700585" w:rsidRDefault="00AB6003" w:rsidP="00230BF2">
            <w:pPr>
              <w:keepNext/>
              <w:widowControl/>
              <w:rPr>
                <w:rFonts w:ascii="Arial Narrow" w:hAnsi="Arial Narrow"/>
                <w:sz w:val="20"/>
                <w:szCs w:val="18"/>
              </w:rPr>
            </w:pPr>
          </w:p>
        </w:tc>
        <w:tc>
          <w:tcPr>
            <w:tcW w:w="415" w:type="pct"/>
            <w:vMerge/>
            <w:vAlign w:val="center"/>
          </w:tcPr>
          <w:p w:rsidR="00AB6003" w:rsidRPr="00700585" w:rsidRDefault="00AB6003" w:rsidP="00230BF2">
            <w:pPr>
              <w:keepNext/>
              <w:widowControl/>
              <w:jc w:val="center"/>
              <w:rPr>
                <w:rFonts w:ascii="Arial Narrow" w:hAnsi="Arial Narrow"/>
                <w:b/>
                <w:sz w:val="20"/>
                <w:szCs w:val="18"/>
              </w:rPr>
            </w:pPr>
          </w:p>
        </w:tc>
        <w:tc>
          <w:tcPr>
            <w:tcW w:w="415" w:type="pct"/>
            <w:vMerge/>
            <w:vAlign w:val="center"/>
          </w:tcPr>
          <w:p w:rsidR="00AB6003" w:rsidRPr="00700585" w:rsidRDefault="00AB6003" w:rsidP="00230BF2">
            <w:pPr>
              <w:keepNext/>
              <w:widowControl/>
              <w:jc w:val="center"/>
              <w:rPr>
                <w:rFonts w:ascii="Arial Narrow" w:hAnsi="Arial Narrow"/>
                <w:b/>
                <w:sz w:val="20"/>
                <w:szCs w:val="18"/>
              </w:rPr>
            </w:pPr>
          </w:p>
        </w:tc>
        <w:tc>
          <w:tcPr>
            <w:tcW w:w="418" w:type="pct"/>
            <w:vMerge/>
            <w:vAlign w:val="center"/>
          </w:tcPr>
          <w:p w:rsidR="00AB6003" w:rsidRPr="00700585" w:rsidRDefault="00AB6003" w:rsidP="00230BF2">
            <w:pPr>
              <w:keepNext/>
              <w:widowControl/>
              <w:jc w:val="center"/>
              <w:rPr>
                <w:rFonts w:ascii="Arial Narrow" w:hAnsi="Arial Narrow"/>
                <w:b/>
                <w:sz w:val="20"/>
                <w:szCs w:val="18"/>
              </w:rPr>
            </w:pPr>
          </w:p>
        </w:tc>
        <w:tc>
          <w:tcPr>
            <w:tcW w:w="749" w:type="pct"/>
            <w:vMerge/>
            <w:vAlign w:val="center"/>
          </w:tcPr>
          <w:p w:rsidR="00AB6003" w:rsidRPr="00700585" w:rsidRDefault="00AB6003" w:rsidP="00230BF2">
            <w:pPr>
              <w:keepNext/>
              <w:widowControl/>
              <w:jc w:val="center"/>
              <w:rPr>
                <w:rFonts w:ascii="Arial Narrow" w:hAnsi="Arial Narrow"/>
                <w:b/>
                <w:sz w:val="20"/>
                <w:szCs w:val="18"/>
              </w:rPr>
            </w:pPr>
          </w:p>
        </w:tc>
        <w:tc>
          <w:tcPr>
            <w:tcW w:w="418" w:type="pc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13vPCV</w:t>
            </w:r>
          </w:p>
        </w:tc>
        <w:tc>
          <w:tcPr>
            <w:tcW w:w="415" w:type="pct"/>
            <w:vAlign w:val="center"/>
          </w:tcPr>
          <w:p w:rsidR="00AB6003" w:rsidRPr="00700585" w:rsidRDefault="00AB6003" w:rsidP="00230BF2">
            <w:pPr>
              <w:keepNext/>
              <w:widowControl/>
              <w:jc w:val="center"/>
              <w:rPr>
                <w:rFonts w:ascii="Arial Narrow" w:hAnsi="Arial Narrow"/>
                <w:b/>
                <w:sz w:val="20"/>
                <w:szCs w:val="18"/>
              </w:rPr>
            </w:pPr>
            <w:proofErr w:type="spellStart"/>
            <w:r w:rsidRPr="00700585">
              <w:rPr>
                <w:rFonts w:ascii="Arial Narrow" w:hAnsi="Arial Narrow"/>
                <w:b/>
                <w:sz w:val="20"/>
                <w:szCs w:val="18"/>
              </w:rPr>
              <w:t>PBO</w:t>
            </w:r>
            <w:r w:rsidRPr="00700585">
              <w:rPr>
                <w:rFonts w:ascii="Arial Narrow" w:hAnsi="Arial Narrow"/>
                <w:b/>
                <w:sz w:val="20"/>
                <w:szCs w:val="18"/>
                <w:vertAlign w:val="superscript"/>
              </w:rPr>
              <w:t>a</w:t>
            </w:r>
            <w:proofErr w:type="spellEnd"/>
          </w:p>
        </w:tc>
        <w:tc>
          <w:tcPr>
            <w:tcW w:w="498" w:type="pct"/>
            <w:gridSpan w:val="3"/>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23vPPV</w:t>
            </w:r>
          </w:p>
        </w:tc>
        <w:tc>
          <w:tcPr>
            <w:tcW w:w="994" w:type="pct"/>
            <w:vMerge/>
            <w:vAlign w:val="center"/>
          </w:tcPr>
          <w:p w:rsidR="00AB6003" w:rsidRPr="00700585" w:rsidRDefault="00AB6003" w:rsidP="00230BF2">
            <w:pPr>
              <w:keepNext/>
              <w:widowControl/>
              <w:jc w:val="center"/>
              <w:rPr>
                <w:rFonts w:ascii="Arial Narrow" w:hAnsi="Arial Narrow"/>
                <w:b/>
                <w:sz w:val="20"/>
                <w:szCs w:val="18"/>
              </w:rPr>
            </w:pPr>
          </w:p>
        </w:tc>
      </w:tr>
      <w:tr w:rsidR="00700585" w:rsidRPr="00700585" w:rsidTr="008A56D6">
        <w:tc>
          <w:tcPr>
            <w:tcW w:w="678" w:type="pct"/>
            <w:shd w:val="clear" w:color="auto" w:fill="auto"/>
            <w:vAlign w:val="center"/>
          </w:tcPr>
          <w:p w:rsidR="00AB6003" w:rsidRPr="00700585" w:rsidRDefault="00AB6003" w:rsidP="00230BF2">
            <w:pPr>
              <w:keepNext/>
              <w:widowControl/>
              <w:rPr>
                <w:rFonts w:ascii="Arial Narrow" w:hAnsi="Arial Narrow"/>
                <w:sz w:val="20"/>
                <w:szCs w:val="18"/>
              </w:rPr>
            </w:pPr>
            <w:proofErr w:type="spellStart"/>
            <w:r w:rsidRPr="00700585">
              <w:rPr>
                <w:rFonts w:ascii="Arial Narrow" w:hAnsi="Arial Narrow"/>
                <w:sz w:val="20"/>
                <w:szCs w:val="18"/>
              </w:rPr>
              <w:t>CAPiTA</w:t>
            </w:r>
            <w:proofErr w:type="spellEnd"/>
          </w:p>
        </w:tc>
        <w:tc>
          <w:tcPr>
            <w:tcW w:w="415" w:type="pct"/>
            <w:vAlign w:val="center"/>
          </w:tcPr>
          <w:p w:rsidR="00AB6003" w:rsidRPr="00700585" w:rsidRDefault="00AB6003" w:rsidP="00230BF2">
            <w:pPr>
              <w:pStyle w:val="TableText0"/>
              <w:spacing w:before="0" w:after="0"/>
              <w:jc w:val="center"/>
              <w:rPr>
                <w:rFonts w:cs="Arial"/>
              </w:rPr>
            </w:pPr>
            <w:r w:rsidRPr="00700585">
              <w:rPr>
                <w:rFonts w:cs="Arial"/>
              </w:rPr>
              <w:t>747/ 42,240</w:t>
            </w:r>
          </w:p>
        </w:tc>
        <w:tc>
          <w:tcPr>
            <w:tcW w:w="415" w:type="pct"/>
            <w:vAlign w:val="center"/>
          </w:tcPr>
          <w:p w:rsidR="00AB6003" w:rsidRPr="00700585" w:rsidRDefault="00AB6003" w:rsidP="00230BF2">
            <w:pPr>
              <w:pStyle w:val="TableText0"/>
              <w:spacing w:before="0" w:after="0"/>
              <w:jc w:val="center"/>
              <w:rPr>
                <w:rFonts w:cs="Arial"/>
              </w:rPr>
            </w:pPr>
            <w:r w:rsidRPr="00700585">
              <w:rPr>
                <w:rFonts w:cs="Arial"/>
              </w:rPr>
              <w:t>787/ 42,256</w:t>
            </w:r>
          </w:p>
        </w:tc>
        <w:tc>
          <w:tcPr>
            <w:tcW w:w="418"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w:t>
            </w:r>
          </w:p>
        </w:tc>
        <w:tc>
          <w:tcPr>
            <w:tcW w:w="749"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0.95</w:t>
            </w:r>
          </w:p>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(0.86, 1.05)</w:t>
            </w:r>
          </w:p>
        </w:tc>
        <w:tc>
          <w:tcPr>
            <w:tcW w:w="418"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1.8</w:t>
            </w:r>
          </w:p>
        </w:tc>
        <w:tc>
          <w:tcPr>
            <w:tcW w:w="415"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1.9</w:t>
            </w:r>
          </w:p>
        </w:tc>
        <w:tc>
          <w:tcPr>
            <w:tcW w:w="498" w:type="pct"/>
            <w:gridSpan w:val="3"/>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w:t>
            </w:r>
          </w:p>
        </w:tc>
        <w:tc>
          <w:tcPr>
            <w:tcW w:w="994"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-0.0009</w:t>
            </w:r>
          </w:p>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(-0.00</w:t>
            </w:r>
            <w:r w:rsidR="00037C04" w:rsidRPr="00700585">
              <w:rPr>
                <w:rFonts w:ascii="Arial Narrow" w:hAnsi="Arial Narrow"/>
                <w:sz w:val="20"/>
                <w:szCs w:val="18"/>
              </w:rPr>
              <w:t>27</w:t>
            </w:r>
            <w:r w:rsidRPr="00700585">
              <w:rPr>
                <w:rFonts w:ascii="Arial Narrow" w:hAnsi="Arial Narrow"/>
                <w:sz w:val="20"/>
                <w:szCs w:val="18"/>
              </w:rPr>
              <w:t>, 0.00</w:t>
            </w:r>
            <w:r w:rsidR="00037C04" w:rsidRPr="00700585">
              <w:rPr>
                <w:rFonts w:ascii="Arial Narrow" w:hAnsi="Arial Narrow"/>
                <w:sz w:val="20"/>
                <w:szCs w:val="18"/>
              </w:rPr>
              <w:t>09</w:t>
            </w:r>
            <w:r w:rsidRPr="00700585">
              <w:rPr>
                <w:rFonts w:ascii="Arial Narrow" w:hAnsi="Arial Narrow"/>
                <w:sz w:val="20"/>
                <w:szCs w:val="18"/>
              </w:rPr>
              <w:t>)</w:t>
            </w:r>
          </w:p>
        </w:tc>
      </w:tr>
      <w:tr w:rsidR="00700585" w:rsidRPr="00700585" w:rsidTr="008A56D6">
        <w:tc>
          <w:tcPr>
            <w:tcW w:w="678" w:type="pct"/>
            <w:shd w:val="clear" w:color="auto" w:fill="auto"/>
            <w:vAlign w:val="center"/>
          </w:tcPr>
          <w:p w:rsidR="00AB6003" w:rsidRPr="00700585" w:rsidRDefault="00AB6003" w:rsidP="00230BF2">
            <w:pPr>
              <w:pStyle w:val="TableText0"/>
              <w:spacing w:before="0" w:after="0"/>
              <w:rPr>
                <w:rFonts w:cs="Arial"/>
              </w:rPr>
            </w:pPr>
            <w:r w:rsidRPr="00700585">
              <w:rPr>
                <w:szCs w:val="18"/>
              </w:rPr>
              <w:t>23vPPV RCTs pooled, 5 trials</w:t>
            </w:r>
          </w:p>
        </w:tc>
        <w:tc>
          <w:tcPr>
            <w:tcW w:w="415"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w:t>
            </w:r>
          </w:p>
        </w:tc>
        <w:tc>
          <w:tcPr>
            <w:tcW w:w="415" w:type="pct"/>
            <w:vAlign w:val="center"/>
          </w:tcPr>
          <w:p w:rsidR="00AB6003" w:rsidRPr="00700585" w:rsidRDefault="00AB6003" w:rsidP="00230BF2">
            <w:pPr>
              <w:pStyle w:val="TableText0"/>
              <w:spacing w:before="0" w:after="0"/>
              <w:jc w:val="center"/>
              <w:rPr>
                <w:rFonts w:cs="Arial"/>
              </w:rPr>
            </w:pPr>
            <w:r w:rsidRPr="00700585">
              <w:rPr>
                <w:rFonts w:cs="Arial"/>
              </w:rPr>
              <w:t>260/ 1,626</w:t>
            </w:r>
          </w:p>
        </w:tc>
        <w:tc>
          <w:tcPr>
            <w:tcW w:w="418" w:type="pct"/>
            <w:vAlign w:val="center"/>
          </w:tcPr>
          <w:p w:rsidR="00AB6003" w:rsidRPr="00700585" w:rsidRDefault="00AB6003" w:rsidP="00230BF2">
            <w:pPr>
              <w:pStyle w:val="TableText0"/>
              <w:spacing w:before="0" w:after="0"/>
              <w:jc w:val="center"/>
              <w:rPr>
                <w:rFonts w:cs="Arial"/>
              </w:rPr>
            </w:pPr>
            <w:r w:rsidRPr="00700585">
              <w:rPr>
                <w:rFonts w:cs="Arial"/>
              </w:rPr>
              <w:t>226/ 1,620</w:t>
            </w:r>
          </w:p>
        </w:tc>
        <w:tc>
          <w:tcPr>
            <w:tcW w:w="749" w:type="pct"/>
            <w:vAlign w:val="center"/>
          </w:tcPr>
          <w:p w:rsidR="00AB6003" w:rsidRPr="00700585" w:rsidRDefault="00AB6003" w:rsidP="00230BF2">
            <w:pPr>
              <w:pStyle w:val="TableText0"/>
              <w:spacing w:before="0" w:after="0"/>
              <w:jc w:val="center"/>
              <w:rPr>
                <w:rFonts w:cs="Arial"/>
              </w:rPr>
            </w:pPr>
            <w:r w:rsidRPr="00700585">
              <w:rPr>
                <w:rFonts w:cs="Arial"/>
              </w:rPr>
              <w:t>0.91 (0.69, 1.20)</w:t>
            </w:r>
          </w:p>
          <w:p w:rsidR="00AB6003" w:rsidRPr="00700585" w:rsidRDefault="00AB6003" w:rsidP="00230BF2">
            <w:pPr>
              <w:pStyle w:val="TableText0"/>
              <w:spacing w:before="0" w:after="0"/>
              <w:jc w:val="center"/>
              <w:rPr>
                <w:rFonts w:cs="Arial"/>
              </w:rPr>
            </w:pPr>
            <w:r w:rsidRPr="00700585">
              <w:rPr>
                <w:rFonts w:cs="Arial"/>
              </w:rPr>
              <w:t>Heterogeneity p-value=0.04</w:t>
            </w:r>
          </w:p>
        </w:tc>
        <w:tc>
          <w:tcPr>
            <w:tcW w:w="418"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w:t>
            </w:r>
          </w:p>
        </w:tc>
        <w:tc>
          <w:tcPr>
            <w:tcW w:w="415"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16.0</w:t>
            </w:r>
          </w:p>
        </w:tc>
        <w:tc>
          <w:tcPr>
            <w:tcW w:w="498" w:type="pct"/>
            <w:gridSpan w:val="3"/>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14.0</w:t>
            </w:r>
          </w:p>
        </w:tc>
        <w:tc>
          <w:tcPr>
            <w:tcW w:w="994"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-0.01 (-0.06, 0.03)</w:t>
            </w:r>
          </w:p>
          <w:p w:rsidR="00AB6003" w:rsidRPr="00700585" w:rsidRDefault="00AB6003" w:rsidP="00230BF2">
            <w:pPr>
              <w:pStyle w:val="TableText0"/>
              <w:spacing w:before="0" w:after="0"/>
              <w:jc w:val="center"/>
              <w:rPr>
                <w:szCs w:val="18"/>
              </w:rPr>
            </w:pPr>
            <w:r w:rsidRPr="00700585">
              <w:rPr>
                <w:rFonts w:cs="Arial"/>
              </w:rPr>
              <w:t>Heterogeneity p-value=0.03</w:t>
            </w:r>
          </w:p>
        </w:tc>
      </w:tr>
      <w:tr w:rsidR="00700585" w:rsidRPr="00700585" w:rsidTr="008A56D6">
        <w:tc>
          <w:tcPr>
            <w:tcW w:w="5000" w:type="pct"/>
            <w:gridSpan w:val="11"/>
            <w:tcBorders>
              <w:top w:val="double" w:sz="4" w:space="0" w:color="auto"/>
            </w:tcBorders>
            <w:shd w:val="clear" w:color="auto" w:fill="auto"/>
            <w:vAlign w:val="center"/>
          </w:tcPr>
          <w:p w:rsidR="00AB6003" w:rsidRPr="00700585" w:rsidRDefault="00AB6003" w:rsidP="00230BF2">
            <w:pPr>
              <w:keepNext/>
              <w:widowControl/>
              <w:rPr>
                <w:rFonts w:ascii="Arial Narrow" w:hAnsi="Arial Narrow"/>
                <w:b/>
                <w:sz w:val="20"/>
                <w:szCs w:val="18"/>
              </w:rPr>
            </w:pPr>
            <w:r w:rsidRPr="00700585">
              <w:rPr>
                <w:rFonts w:ascii="Arial Narrow" w:hAnsi="Arial Narrow"/>
                <w:b/>
                <w:sz w:val="20"/>
                <w:szCs w:val="18"/>
              </w:rPr>
              <w:t>VT IPD</w:t>
            </w:r>
          </w:p>
        </w:tc>
      </w:tr>
      <w:tr w:rsidR="00700585" w:rsidRPr="00700585" w:rsidTr="008A56D6">
        <w:trPr>
          <w:trHeight w:val="105"/>
        </w:trPr>
        <w:tc>
          <w:tcPr>
            <w:tcW w:w="678" w:type="pct"/>
            <w:vMerge w:val="restart"/>
            <w:shd w:val="clear" w:color="auto" w:fill="auto"/>
            <w:vAlign w:val="center"/>
          </w:tcPr>
          <w:p w:rsidR="00AB6003" w:rsidRPr="00700585" w:rsidRDefault="00AB6003" w:rsidP="00230BF2">
            <w:pPr>
              <w:keepNext/>
              <w:widowControl/>
              <w:rPr>
                <w:rFonts w:ascii="Arial Narrow" w:hAnsi="Arial Narrow"/>
                <w:sz w:val="20"/>
                <w:szCs w:val="18"/>
              </w:rPr>
            </w:pPr>
          </w:p>
        </w:tc>
        <w:tc>
          <w:tcPr>
            <w:tcW w:w="415" w:type="pct"/>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13vPCV</w:t>
            </w:r>
          </w:p>
        </w:tc>
        <w:tc>
          <w:tcPr>
            <w:tcW w:w="415" w:type="pct"/>
            <w:vMerge w:val="restart"/>
            <w:vAlign w:val="center"/>
          </w:tcPr>
          <w:p w:rsidR="00AB6003" w:rsidRPr="00700585" w:rsidRDefault="00AB6003" w:rsidP="00230BF2">
            <w:pPr>
              <w:keepNext/>
              <w:widowControl/>
              <w:jc w:val="center"/>
              <w:rPr>
                <w:rFonts w:ascii="Arial Narrow" w:hAnsi="Arial Narrow"/>
                <w:b/>
                <w:sz w:val="20"/>
                <w:szCs w:val="18"/>
              </w:rPr>
            </w:pPr>
            <w:proofErr w:type="spellStart"/>
            <w:r w:rsidRPr="00700585">
              <w:rPr>
                <w:rFonts w:ascii="Arial Narrow" w:hAnsi="Arial Narrow"/>
                <w:b/>
                <w:sz w:val="20"/>
                <w:szCs w:val="18"/>
              </w:rPr>
              <w:t>PBO</w:t>
            </w:r>
            <w:r w:rsidRPr="00700585">
              <w:rPr>
                <w:rFonts w:ascii="Arial Narrow" w:hAnsi="Arial Narrow"/>
                <w:b/>
                <w:sz w:val="20"/>
                <w:szCs w:val="18"/>
                <w:vertAlign w:val="superscript"/>
              </w:rPr>
              <w:t>a</w:t>
            </w:r>
            <w:proofErr w:type="spellEnd"/>
          </w:p>
        </w:tc>
        <w:tc>
          <w:tcPr>
            <w:tcW w:w="418" w:type="pct"/>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23vPPV</w:t>
            </w:r>
          </w:p>
        </w:tc>
        <w:tc>
          <w:tcPr>
            <w:tcW w:w="749" w:type="pct"/>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RR</w:t>
            </w:r>
          </w:p>
          <w:p w:rsidR="00AB6003" w:rsidRPr="00700585" w:rsidRDefault="00AB6003" w:rsidP="00230BF2">
            <w:pPr>
              <w:keepNext/>
              <w:widowControl/>
              <w:jc w:val="center"/>
              <w:rPr>
                <w:rFonts w:ascii="Arial Narrow" w:hAnsi="Arial Narrow"/>
                <w:sz w:val="20"/>
                <w:szCs w:val="18"/>
              </w:rPr>
            </w:pPr>
            <w:r w:rsidRPr="00700585">
              <w:rPr>
                <w:rFonts w:ascii="Arial Narrow" w:hAnsi="Arial Narrow"/>
                <w:b/>
                <w:sz w:val="20"/>
                <w:szCs w:val="18"/>
              </w:rPr>
              <w:t>(95% CI)</w:t>
            </w:r>
          </w:p>
        </w:tc>
        <w:tc>
          <w:tcPr>
            <w:tcW w:w="1331" w:type="pct"/>
            <w:gridSpan w:val="5"/>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 xml:space="preserve">Event rate/100 patients* </w:t>
            </w:r>
          </w:p>
        </w:tc>
        <w:tc>
          <w:tcPr>
            <w:tcW w:w="994" w:type="pct"/>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RD</w:t>
            </w:r>
          </w:p>
          <w:p w:rsidR="00AB6003" w:rsidRPr="00700585" w:rsidRDefault="00AB6003" w:rsidP="00230BF2">
            <w:pPr>
              <w:keepNext/>
              <w:widowControl/>
              <w:jc w:val="center"/>
              <w:rPr>
                <w:rFonts w:ascii="Arial Narrow" w:hAnsi="Arial Narrow"/>
                <w:sz w:val="20"/>
                <w:szCs w:val="18"/>
              </w:rPr>
            </w:pPr>
            <w:r w:rsidRPr="00700585">
              <w:rPr>
                <w:rFonts w:ascii="Arial Narrow" w:hAnsi="Arial Narrow"/>
                <w:b/>
                <w:sz w:val="20"/>
                <w:szCs w:val="18"/>
              </w:rPr>
              <w:t>(95% CI)</w:t>
            </w:r>
          </w:p>
        </w:tc>
      </w:tr>
      <w:tr w:rsidR="00700585" w:rsidRPr="00700585" w:rsidTr="008A56D6">
        <w:trPr>
          <w:trHeight w:val="70"/>
        </w:trPr>
        <w:tc>
          <w:tcPr>
            <w:tcW w:w="678" w:type="pct"/>
            <w:vMerge/>
            <w:shd w:val="clear" w:color="auto" w:fill="auto"/>
            <w:vAlign w:val="center"/>
          </w:tcPr>
          <w:p w:rsidR="00AB6003" w:rsidRPr="00700585" w:rsidRDefault="00AB6003" w:rsidP="00230BF2">
            <w:pPr>
              <w:keepNext/>
              <w:widowControl/>
              <w:rPr>
                <w:rFonts w:ascii="Arial Narrow" w:hAnsi="Arial Narrow"/>
                <w:sz w:val="20"/>
                <w:szCs w:val="18"/>
              </w:rPr>
            </w:pPr>
          </w:p>
        </w:tc>
        <w:tc>
          <w:tcPr>
            <w:tcW w:w="415" w:type="pct"/>
            <w:vMerge/>
            <w:vAlign w:val="center"/>
          </w:tcPr>
          <w:p w:rsidR="00AB6003" w:rsidRPr="00700585" w:rsidRDefault="00AB6003" w:rsidP="00230BF2">
            <w:pPr>
              <w:keepNext/>
              <w:widowControl/>
              <w:jc w:val="center"/>
              <w:rPr>
                <w:rFonts w:ascii="Arial Narrow" w:hAnsi="Arial Narrow"/>
                <w:b/>
                <w:sz w:val="20"/>
                <w:szCs w:val="18"/>
              </w:rPr>
            </w:pPr>
          </w:p>
        </w:tc>
        <w:tc>
          <w:tcPr>
            <w:tcW w:w="415" w:type="pct"/>
            <w:vMerge/>
            <w:vAlign w:val="center"/>
          </w:tcPr>
          <w:p w:rsidR="00AB6003" w:rsidRPr="00700585" w:rsidRDefault="00AB6003" w:rsidP="00230BF2">
            <w:pPr>
              <w:keepNext/>
              <w:widowControl/>
              <w:jc w:val="center"/>
              <w:rPr>
                <w:rFonts w:ascii="Arial Narrow" w:hAnsi="Arial Narrow"/>
                <w:b/>
                <w:sz w:val="20"/>
                <w:szCs w:val="18"/>
              </w:rPr>
            </w:pPr>
          </w:p>
        </w:tc>
        <w:tc>
          <w:tcPr>
            <w:tcW w:w="418" w:type="pct"/>
            <w:vMerge/>
            <w:vAlign w:val="center"/>
          </w:tcPr>
          <w:p w:rsidR="00AB6003" w:rsidRPr="00700585" w:rsidRDefault="00AB6003" w:rsidP="00230BF2">
            <w:pPr>
              <w:keepNext/>
              <w:widowControl/>
              <w:jc w:val="center"/>
              <w:rPr>
                <w:rFonts w:ascii="Arial Narrow" w:hAnsi="Arial Narrow"/>
                <w:b/>
                <w:sz w:val="20"/>
                <w:szCs w:val="18"/>
              </w:rPr>
            </w:pPr>
          </w:p>
        </w:tc>
        <w:tc>
          <w:tcPr>
            <w:tcW w:w="749" w:type="pct"/>
            <w:vMerge/>
            <w:vAlign w:val="center"/>
          </w:tcPr>
          <w:p w:rsidR="00AB6003" w:rsidRPr="00700585" w:rsidRDefault="00AB6003" w:rsidP="00230BF2">
            <w:pPr>
              <w:keepNext/>
              <w:widowControl/>
              <w:jc w:val="center"/>
              <w:rPr>
                <w:rFonts w:ascii="Arial Narrow" w:hAnsi="Arial Narrow"/>
                <w:b/>
                <w:sz w:val="20"/>
                <w:szCs w:val="18"/>
              </w:rPr>
            </w:pPr>
          </w:p>
        </w:tc>
        <w:tc>
          <w:tcPr>
            <w:tcW w:w="418" w:type="pc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13vPCV</w:t>
            </w:r>
          </w:p>
        </w:tc>
        <w:tc>
          <w:tcPr>
            <w:tcW w:w="415" w:type="pct"/>
            <w:vAlign w:val="center"/>
          </w:tcPr>
          <w:p w:rsidR="00AB6003" w:rsidRPr="00700585" w:rsidRDefault="00AB6003" w:rsidP="00230BF2">
            <w:pPr>
              <w:keepNext/>
              <w:widowControl/>
              <w:jc w:val="center"/>
              <w:rPr>
                <w:rFonts w:ascii="Arial Narrow" w:hAnsi="Arial Narrow"/>
                <w:b/>
                <w:sz w:val="20"/>
                <w:szCs w:val="18"/>
              </w:rPr>
            </w:pPr>
            <w:proofErr w:type="spellStart"/>
            <w:r w:rsidRPr="00700585">
              <w:rPr>
                <w:rFonts w:ascii="Arial Narrow" w:hAnsi="Arial Narrow"/>
                <w:b/>
                <w:sz w:val="20"/>
                <w:szCs w:val="18"/>
              </w:rPr>
              <w:t>PBO</w:t>
            </w:r>
            <w:r w:rsidRPr="00700585">
              <w:rPr>
                <w:rFonts w:ascii="Arial Narrow" w:hAnsi="Arial Narrow"/>
                <w:b/>
                <w:sz w:val="20"/>
                <w:szCs w:val="18"/>
                <w:vertAlign w:val="superscript"/>
              </w:rPr>
              <w:t>a</w:t>
            </w:r>
            <w:proofErr w:type="spellEnd"/>
          </w:p>
        </w:tc>
        <w:tc>
          <w:tcPr>
            <w:tcW w:w="498" w:type="pct"/>
            <w:gridSpan w:val="3"/>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23vPPV</w:t>
            </w:r>
          </w:p>
        </w:tc>
        <w:tc>
          <w:tcPr>
            <w:tcW w:w="994" w:type="pct"/>
            <w:vMerge/>
            <w:vAlign w:val="center"/>
          </w:tcPr>
          <w:p w:rsidR="00AB6003" w:rsidRPr="00700585" w:rsidRDefault="00AB6003" w:rsidP="00230BF2">
            <w:pPr>
              <w:keepNext/>
              <w:widowControl/>
              <w:jc w:val="center"/>
              <w:rPr>
                <w:rFonts w:ascii="Arial Narrow" w:hAnsi="Arial Narrow"/>
                <w:b/>
                <w:sz w:val="20"/>
                <w:szCs w:val="18"/>
              </w:rPr>
            </w:pPr>
          </w:p>
        </w:tc>
      </w:tr>
      <w:tr w:rsidR="00700585" w:rsidRPr="00700585" w:rsidTr="008A56D6">
        <w:tc>
          <w:tcPr>
            <w:tcW w:w="678" w:type="pct"/>
            <w:shd w:val="clear" w:color="auto" w:fill="auto"/>
            <w:vAlign w:val="center"/>
          </w:tcPr>
          <w:p w:rsidR="00AB6003" w:rsidRPr="00700585" w:rsidRDefault="00AB6003" w:rsidP="00230BF2">
            <w:pPr>
              <w:keepNext/>
              <w:widowControl/>
              <w:rPr>
                <w:rFonts w:ascii="Arial Narrow" w:hAnsi="Arial Narrow"/>
                <w:sz w:val="20"/>
                <w:szCs w:val="18"/>
              </w:rPr>
            </w:pPr>
            <w:proofErr w:type="spellStart"/>
            <w:r w:rsidRPr="00700585">
              <w:rPr>
                <w:rFonts w:ascii="Arial Narrow" w:hAnsi="Arial Narrow"/>
                <w:sz w:val="20"/>
                <w:szCs w:val="18"/>
              </w:rPr>
              <w:t>CAPiTA</w:t>
            </w:r>
            <w:proofErr w:type="spellEnd"/>
          </w:p>
        </w:tc>
        <w:tc>
          <w:tcPr>
            <w:tcW w:w="415" w:type="pct"/>
            <w:vAlign w:val="center"/>
          </w:tcPr>
          <w:p w:rsidR="00AB6003" w:rsidRPr="00700585" w:rsidRDefault="00AB6003" w:rsidP="00230BF2">
            <w:pPr>
              <w:keepNext/>
              <w:widowControl/>
              <w:jc w:val="center"/>
              <w:rPr>
                <w:rFonts w:ascii="Arial Narrow" w:hAnsi="Arial Narrow"/>
                <w:sz w:val="20"/>
              </w:rPr>
            </w:pPr>
            <w:r w:rsidRPr="00700585">
              <w:rPr>
                <w:rFonts w:ascii="Arial Narrow" w:hAnsi="Arial Narrow"/>
                <w:sz w:val="20"/>
              </w:rPr>
              <w:t xml:space="preserve">8/ </w:t>
            </w:r>
          </w:p>
          <w:p w:rsidR="00AB6003" w:rsidRPr="00700585" w:rsidRDefault="00AB6003" w:rsidP="00230BF2">
            <w:pPr>
              <w:keepNext/>
              <w:widowControl/>
              <w:jc w:val="center"/>
              <w:rPr>
                <w:rFonts w:ascii="Arial Narrow" w:hAnsi="Arial Narrow"/>
                <w:sz w:val="20"/>
              </w:rPr>
            </w:pPr>
            <w:r w:rsidRPr="00700585">
              <w:rPr>
                <w:rFonts w:ascii="Arial Narrow" w:hAnsi="Arial Narrow"/>
                <w:sz w:val="20"/>
              </w:rPr>
              <w:t>42,240</w:t>
            </w:r>
          </w:p>
        </w:tc>
        <w:tc>
          <w:tcPr>
            <w:tcW w:w="415" w:type="pct"/>
            <w:vAlign w:val="center"/>
          </w:tcPr>
          <w:p w:rsidR="00AB6003" w:rsidRPr="00700585" w:rsidRDefault="00AB6003" w:rsidP="00230BF2">
            <w:pPr>
              <w:keepNext/>
              <w:widowControl/>
              <w:jc w:val="center"/>
              <w:rPr>
                <w:rFonts w:ascii="Arial Narrow" w:hAnsi="Arial Narrow"/>
                <w:sz w:val="20"/>
              </w:rPr>
            </w:pPr>
            <w:r w:rsidRPr="00700585">
              <w:rPr>
                <w:rFonts w:ascii="Arial Narrow" w:hAnsi="Arial Narrow"/>
                <w:sz w:val="20"/>
              </w:rPr>
              <w:t xml:space="preserve">33/ 42,256 </w:t>
            </w:r>
          </w:p>
        </w:tc>
        <w:tc>
          <w:tcPr>
            <w:tcW w:w="418" w:type="pct"/>
            <w:vAlign w:val="center"/>
          </w:tcPr>
          <w:p w:rsidR="00AB6003" w:rsidRPr="00700585" w:rsidRDefault="00AB6003" w:rsidP="00230BF2">
            <w:pPr>
              <w:keepNext/>
              <w:widowControl/>
              <w:jc w:val="center"/>
              <w:rPr>
                <w:rFonts w:ascii="Arial Narrow" w:hAnsi="Arial Narrow"/>
                <w:i/>
                <w:sz w:val="20"/>
                <w:szCs w:val="18"/>
              </w:rPr>
            </w:pPr>
            <w:r w:rsidRPr="00700585">
              <w:rPr>
                <w:rFonts w:ascii="Arial Narrow" w:hAnsi="Arial Narrow"/>
                <w:i/>
                <w:sz w:val="20"/>
                <w:szCs w:val="18"/>
              </w:rPr>
              <w:t>-</w:t>
            </w:r>
          </w:p>
        </w:tc>
        <w:tc>
          <w:tcPr>
            <w:tcW w:w="749" w:type="pct"/>
            <w:vAlign w:val="center"/>
          </w:tcPr>
          <w:p w:rsidR="00AB6003" w:rsidRPr="00700585" w:rsidRDefault="00AB6003" w:rsidP="00230BF2">
            <w:pPr>
              <w:pStyle w:val="TableText0"/>
              <w:spacing w:before="0" w:after="0"/>
              <w:jc w:val="center"/>
            </w:pPr>
            <w:r w:rsidRPr="00700585">
              <w:t>0.24</w:t>
            </w:r>
          </w:p>
          <w:p w:rsidR="00AB6003" w:rsidRPr="00700585" w:rsidRDefault="00AB6003" w:rsidP="00230BF2">
            <w:pPr>
              <w:pStyle w:val="TableText0"/>
              <w:spacing w:before="0" w:after="0"/>
              <w:jc w:val="center"/>
              <w:rPr>
                <w:szCs w:val="18"/>
              </w:rPr>
            </w:pPr>
            <w:r w:rsidRPr="00700585">
              <w:t>(0.10, 0.54)</w:t>
            </w:r>
          </w:p>
        </w:tc>
        <w:tc>
          <w:tcPr>
            <w:tcW w:w="418"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0.019</w:t>
            </w:r>
          </w:p>
        </w:tc>
        <w:tc>
          <w:tcPr>
            <w:tcW w:w="415"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0.078</w:t>
            </w:r>
          </w:p>
        </w:tc>
        <w:tc>
          <w:tcPr>
            <w:tcW w:w="498" w:type="pct"/>
            <w:gridSpan w:val="3"/>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w:t>
            </w:r>
          </w:p>
        </w:tc>
        <w:tc>
          <w:tcPr>
            <w:tcW w:w="994" w:type="pct"/>
            <w:vAlign w:val="center"/>
          </w:tcPr>
          <w:p w:rsidR="00AB6003" w:rsidRPr="00700585" w:rsidRDefault="00AB6003" w:rsidP="00230BF2">
            <w:pPr>
              <w:keepNext/>
              <w:widowControl/>
              <w:jc w:val="center"/>
              <w:rPr>
                <w:rFonts w:ascii="Arial Narrow" w:hAnsi="Arial Narrow"/>
                <w:sz w:val="20"/>
              </w:rPr>
            </w:pPr>
            <w:r w:rsidRPr="00700585">
              <w:rPr>
                <w:rFonts w:ascii="Arial Narrow" w:hAnsi="Arial Narrow"/>
                <w:sz w:val="20"/>
              </w:rPr>
              <w:t>-0.0006</w:t>
            </w:r>
          </w:p>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rPr>
              <w:t>(-0.00</w:t>
            </w:r>
            <w:r w:rsidR="00037C04" w:rsidRPr="00700585">
              <w:rPr>
                <w:rFonts w:ascii="Arial Narrow" w:hAnsi="Arial Narrow"/>
                <w:sz w:val="20"/>
              </w:rPr>
              <w:t>09</w:t>
            </w:r>
            <w:r w:rsidRPr="00700585">
              <w:rPr>
                <w:rFonts w:ascii="Arial Narrow" w:hAnsi="Arial Narrow"/>
                <w:sz w:val="20"/>
              </w:rPr>
              <w:t>, -0.00</w:t>
            </w:r>
            <w:r w:rsidR="00037C04" w:rsidRPr="00700585">
              <w:rPr>
                <w:rFonts w:ascii="Arial Narrow" w:hAnsi="Arial Narrow"/>
                <w:sz w:val="20"/>
              </w:rPr>
              <w:t>03</w:t>
            </w:r>
            <w:r w:rsidRPr="00700585">
              <w:rPr>
                <w:rFonts w:ascii="Arial Narrow" w:hAnsi="Arial Narrow"/>
                <w:sz w:val="20"/>
              </w:rPr>
              <w:t>)</w:t>
            </w:r>
          </w:p>
        </w:tc>
      </w:tr>
      <w:tr w:rsidR="00700585" w:rsidRPr="00700585" w:rsidTr="008A56D6">
        <w:tc>
          <w:tcPr>
            <w:tcW w:w="678" w:type="pct"/>
            <w:shd w:val="clear" w:color="auto" w:fill="auto"/>
            <w:vAlign w:val="center"/>
          </w:tcPr>
          <w:p w:rsidR="00AB6003" w:rsidRPr="00700585" w:rsidRDefault="00AB6003" w:rsidP="00230BF2">
            <w:pPr>
              <w:pStyle w:val="TableText0"/>
              <w:spacing w:before="0" w:after="0"/>
              <w:rPr>
                <w:rFonts w:cs="Arial"/>
              </w:rPr>
            </w:pPr>
            <w:r w:rsidRPr="00700585">
              <w:rPr>
                <w:rFonts w:cs="Arial"/>
              </w:rPr>
              <w:t>Menzies 2014</w:t>
            </w:r>
          </w:p>
        </w:tc>
        <w:tc>
          <w:tcPr>
            <w:tcW w:w="4322" w:type="pct"/>
            <w:gridSpan w:val="10"/>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 xml:space="preserve">Non-randomised study using screening method, </w:t>
            </w:r>
            <w:r w:rsidRPr="007A0225">
              <w:rPr>
                <w:rFonts w:ascii="Arial Narrow" w:hAnsi="Arial Narrow"/>
                <w:sz w:val="20"/>
                <w:szCs w:val="18"/>
              </w:rPr>
              <w:t>RR=0.39 (0.33, 0.45)</w:t>
            </w:r>
          </w:p>
        </w:tc>
      </w:tr>
      <w:tr w:rsidR="00700585" w:rsidRPr="00700585" w:rsidTr="008A56D6">
        <w:tc>
          <w:tcPr>
            <w:tcW w:w="5000" w:type="pct"/>
            <w:gridSpan w:val="11"/>
            <w:tcBorders>
              <w:top w:val="double" w:sz="4" w:space="0" w:color="auto"/>
            </w:tcBorders>
            <w:shd w:val="clear" w:color="auto" w:fill="auto"/>
            <w:vAlign w:val="center"/>
          </w:tcPr>
          <w:p w:rsidR="00AB6003" w:rsidRPr="00700585" w:rsidRDefault="00AB6003" w:rsidP="00230BF2">
            <w:pPr>
              <w:keepNext/>
              <w:widowControl/>
              <w:rPr>
                <w:rFonts w:ascii="Arial Narrow" w:hAnsi="Arial Narrow"/>
                <w:b/>
                <w:sz w:val="20"/>
                <w:szCs w:val="18"/>
              </w:rPr>
            </w:pPr>
            <w:r w:rsidRPr="00700585">
              <w:rPr>
                <w:rFonts w:ascii="Arial Narrow" w:hAnsi="Arial Narrow"/>
                <w:b/>
                <w:sz w:val="20"/>
                <w:szCs w:val="18"/>
              </w:rPr>
              <w:t xml:space="preserve">Harms </w:t>
            </w:r>
          </w:p>
        </w:tc>
      </w:tr>
      <w:tr w:rsidR="00700585" w:rsidRPr="00700585" w:rsidTr="008A56D6">
        <w:trPr>
          <w:trHeight w:val="70"/>
        </w:trPr>
        <w:tc>
          <w:tcPr>
            <w:tcW w:w="678" w:type="pct"/>
            <w:vMerge w:val="restart"/>
            <w:shd w:val="clear" w:color="auto" w:fill="auto"/>
            <w:vAlign w:val="center"/>
          </w:tcPr>
          <w:p w:rsidR="00AB6003" w:rsidRPr="00700585" w:rsidRDefault="00AB6003" w:rsidP="00230BF2">
            <w:pPr>
              <w:keepNext/>
              <w:widowControl/>
              <w:rPr>
                <w:rFonts w:ascii="Arial Narrow" w:hAnsi="Arial Narrow"/>
                <w:b/>
                <w:sz w:val="20"/>
                <w:szCs w:val="18"/>
              </w:rPr>
            </w:pPr>
          </w:p>
        </w:tc>
        <w:tc>
          <w:tcPr>
            <w:tcW w:w="415" w:type="pct"/>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13vPCV</w:t>
            </w:r>
          </w:p>
        </w:tc>
        <w:tc>
          <w:tcPr>
            <w:tcW w:w="833" w:type="pct"/>
            <w:gridSpan w:val="2"/>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23vPPV</w:t>
            </w:r>
          </w:p>
        </w:tc>
        <w:tc>
          <w:tcPr>
            <w:tcW w:w="749" w:type="pct"/>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RR</w:t>
            </w:r>
          </w:p>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(95% CI)</w:t>
            </w:r>
          </w:p>
        </w:tc>
        <w:tc>
          <w:tcPr>
            <w:tcW w:w="1322" w:type="pct"/>
            <w:gridSpan w:val="4"/>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 xml:space="preserve">Event rate/100 patients* </w:t>
            </w:r>
          </w:p>
        </w:tc>
        <w:tc>
          <w:tcPr>
            <w:tcW w:w="1003" w:type="pct"/>
            <w:gridSpan w:val="2"/>
            <w:vMerge w:val="restar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RD</w:t>
            </w:r>
          </w:p>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(95% CI)</w:t>
            </w:r>
          </w:p>
        </w:tc>
      </w:tr>
      <w:tr w:rsidR="00700585" w:rsidRPr="00700585" w:rsidTr="008A56D6">
        <w:trPr>
          <w:trHeight w:val="118"/>
        </w:trPr>
        <w:tc>
          <w:tcPr>
            <w:tcW w:w="678" w:type="pct"/>
            <w:vMerge/>
            <w:shd w:val="clear" w:color="auto" w:fill="auto"/>
            <w:vAlign w:val="center"/>
          </w:tcPr>
          <w:p w:rsidR="00AB6003" w:rsidRPr="00700585" w:rsidRDefault="00AB6003" w:rsidP="00230BF2">
            <w:pPr>
              <w:keepNext/>
              <w:widowControl/>
              <w:rPr>
                <w:rFonts w:ascii="Arial Narrow" w:hAnsi="Arial Narrow"/>
                <w:b/>
                <w:sz w:val="20"/>
                <w:szCs w:val="18"/>
              </w:rPr>
            </w:pPr>
          </w:p>
        </w:tc>
        <w:tc>
          <w:tcPr>
            <w:tcW w:w="415" w:type="pct"/>
            <w:vMerge/>
            <w:vAlign w:val="center"/>
          </w:tcPr>
          <w:p w:rsidR="00AB6003" w:rsidRPr="00700585" w:rsidRDefault="00AB6003" w:rsidP="00230BF2">
            <w:pPr>
              <w:keepNext/>
              <w:widowControl/>
              <w:jc w:val="center"/>
              <w:rPr>
                <w:rFonts w:ascii="Arial Narrow" w:hAnsi="Arial Narrow"/>
                <w:b/>
                <w:sz w:val="20"/>
                <w:szCs w:val="18"/>
              </w:rPr>
            </w:pPr>
          </w:p>
        </w:tc>
        <w:tc>
          <w:tcPr>
            <w:tcW w:w="833" w:type="pct"/>
            <w:gridSpan w:val="2"/>
            <w:vMerge/>
            <w:vAlign w:val="center"/>
          </w:tcPr>
          <w:p w:rsidR="00AB6003" w:rsidRPr="00700585" w:rsidRDefault="00AB6003" w:rsidP="00230BF2">
            <w:pPr>
              <w:keepNext/>
              <w:widowControl/>
              <w:jc w:val="center"/>
              <w:rPr>
                <w:rFonts w:ascii="Arial Narrow" w:hAnsi="Arial Narrow"/>
                <w:b/>
                <w:sz w:val="20"/>
                <w:szCs w:val="18"/>
              </w:rPr>
            </w:pPr>
          </w:p>
        </w:tc>
        <w:tc>
          <w:tcPr>
            <w:tcW w:w="749" w:type="pct"/>
            <w:vMerge/>
            <w:vAlign w:val="center"/>
          </w:tcPr>
          <w:p w:rsidR="00AB6003" w:rsidRPr="00700585" w:rsidRDefault="00AB6003" w:rsidP="00230BF2">
            <w:pPr>
              <w:keepNext/>
              <w:widowControl/>
              <w:jc w:val="center"/>
              <w:rPr>
                <w:rFonts w:ascii="Arial Narrow" w:hAnsi="Arial Narrow"/>
                <w:b/>
                <w:sz w:val="20"/>
                <w:szCs w:val="18"/>
              </w:rPr>
            </w:pPr>
          </w:p>
        </w:tc>
        <w:tc>
          <w:tcPr>
            <w:tcW w:w="418" w:type="pct"/>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13vPCV</w:t>
            </w:r>
          </w:p>
        </w:tc>
        <w:tc>
          <w:tcPr>
            <w:tcW w:w="904" w:type="pct"/>
            <w:gridSpan w:val="3"/>
            <w:vAlign w:val="center"/>
          </w:tcPr>
          <w:p w:rsidR="00AB6003" w:rsidRPr="00700585" w:rsidRDefault="00AB6003" w:rsidP="00230BF2">
            <w:pPr>
              <w:keepNext/>
              <w:widowControl/>
              <w:jc w:val="center"/>
              <w:rPr>
                <w:rFonts w:ascii="Arial Narrow" w:hAnsi="Arial Narrow"/>
                <w:b/>
                <w:sz w:val="20"/>
                <w:szCs w:val="18"/>
              </w:rPr>
            </w:pPr>
            <w:r w:rsidRPr="00700585">
              <w:rPr>
                <w:rFonts w:ascii="Arial Narrow" w:hAnsi="Arial Narrow"/>
                <w:b/>
                <w:sz w:val="20"/>
                <w:szCs w:val="18"/>
              </w:rPr>
              <w:t>23vPPV</w:t>
            </w:r>
          </w:p>
        </w:tc>
        <w:tc>
          <w:tcPr>
            <w:tcW w:w="1003" w:type="pct"/>
            <w:gridSpan w:val="2"/>
            <w:vMerge/>
            <w:vAlign w:val="center"/>
          </w:tcPr>
          <w:p w:rsidR="00AB6003" w:rsidRPr="00700585" w:rsidRDefault="00AB6003" w:rsidP="00230BF2">
            <w:pPr>
              <w:keepNext/>
              <w:widowControl/>
              <w:jc w:val="center"/>
              <w:rPr>
                <w:rFonts w:ascii="Arial Narrow" w:hAnsi="Arial Narrow"/>
                <w:b/>
                <w:sz w:val="20"/>
                <w:szCs w:val="18"/>
              </w:rPr>
            </w:pPr>
          </w:p>
        </w:tc>
      </w:tr>
      <w:tr w:rsidR="00700585" w:rsidRPr="00700585" w:rsidTr="008A56D6">
        <w:tc>
          <w:tcPr>
            <w:tcW w:w="5000" w:type="pct"/>
            <w:gridSpan w:val="11"/>
            <w:shd w:val="clear" w:color="auto" w:fill="auto"/>
            <w:vAlign w:val="center"/>
          </w:tcPr>
          <w:p w:rsidR="00AB6003" w:rsidRPr="00700585" w:rsidRDefault="00AB6003" w:rsidP="00230BF2">
            <w:pPr>
              <w:keepNext/>
              <w:widowControl/>
              <w:rPr>
                <w:rFonts w:ascii="Arial Narrow" w:hAnsi="Arial Narrow"/>
                <w:sz w:val="20"/>
                <w:szCs w:val="18"/>
              </w:rPr>
            </w:pPr>
            <w:r w:rsidRPr="00700585">
              <w:rPr>
                <w:rFonts w:ascii="Arial Narrow" w:hAnsi="Arial Narrow"/>
                <w:b/>
                <w:sz w:val="20"/>
                <w:szCs w:val="18"/>
              </w:rPr>
              <w:t>Pain at injection site</w:t>
            </w:r>
          </w:p>
        </w:tc>
      </w:tr>
      <w:tr w:rsidR="00700585" w:rsidRPr="00700585" w:rsidTr="008A56D6">
        <w:tc>
          <w:tcPr>
            <w:tcW w:w="678" w:type="pct"/>
            <w:shd w:val="clear" w:color="auto" w:fill="auto"/>
            <w:vAlign w:val="center"/>
          </w:tcPr>
          <w:p w:rsidR="00AB6003" w:rsidRPr="00700585" w:rsidRDefault="00AB6003" w:rsidP="00230BF2">
            <w:pPr>
              <w:keepNext/>
              <w:widowControl/>
              <w:rPr>
                <w:rFonts w:ascii="Arial Narrow" w:hAnsi="Arial Narrow"/>
                <w:sz w:val="20"/>
                <w:szCs w:val="18"/>
              </w:rPr>
            </w:pPr>
            <w:r w:rsidRPr="00700585">
              <w:rPr>
                <w:rFonts w:ascii="Arial Narrow" w:hAnsi="Arial Narrow"/>
                <w:sz w:val="20"/>
                <w:szCs w:val="18"/>
              </w:rPr>
              <w:t>004</w:t>
            </w:r>
          </w:p>
        </w:tc>
        <w:tc>
          <w:tcPr>
            <w:tcW w:w="415"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265/331</w:t>
            </w:r>
          </w:p>
        </w:tc>
        <w:tc>
          <w:tcPr>
            <w:tcW w:w="833" w:type="pct"/>
            <w:gridSpan w:val="2"/>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221/301</w:t>
            </w:r>
          </w:p>
        </w:tc>
        <w:tc>
          <w:tcPr>
            <w:tcW w:w="749" w:type="pct"/>
            <w:vAlign w:val="center"/>
          </w:tcPr>
          <w:p w:rsidR="00AB6003" w:rsidRPr="007A0225" w:rsidRDefault="00AB6003" w:rsidP="00230BF2">
            <w:pPr>
              <w:keepNext/>
              <w:widowControl/>
              <w:jc w:val="center"/>
              <w:rPr>
                <w:rFonts w:ascii="Arial Narrow" w:hAnsi="Arial Narrow"/>
                <w:sz w:val="20"/>
                <w:szCs w:val="18"/>
              </w:rPr>
            </w:pPr>
            <w:r w:rsidRPr="007A0225">
              <w:rPr>
                <w:rFonts w:ascii="Arial Narrow" w:hAnsi="Arial Narrow"/>
                <w:sz w:val="20"/>
                <w:szCs w:val="18"/>
              </w:rPr>
              <w:t>0.92 (0.84, 1.00)</w:t>
            </w:r>
          </w:p>
        </w:tc>
        <w:tc>
          <w:tcPr>
            <w:tcW w:w="418"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80.1</w:t>
            </w:r>
          </w:p>
        </w:tc>
        <w:tc>
          <w:tcPr>
            <w:tcW w:w="896" w:type="pct"/>
            <w:gridSpan w:val="2"/>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73.4</w:t>
            </w:r>
          </w:p>
        </w:tc>
        <w:tc>
          <w:tcPr>
            <w:tcW w:w="1011" w:type="pct"/>
            <w:gridSpan w:val="3"/>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0.066 (-0.00, 0.13)</w:t>
            </w:r>
          </w:p>
        </w:tc>
      </w:tr>
      <w:tr w:rsidR="00700585" w:rsidRPr="00700585" w:rsidTr="008A56D6">
        <w:tc>
          <w:tcPr>
            <w:tcW w:w="678" w:type="pct"/>
            <w:shd w:val="clear" w:color="auto" w:fill="auto"/>
            <w:vAlign w:val="center"/>
          </w:tcPr>
          <w:p w:rsidR="00AB6003" w:rsidRPr="00700585" w:rsidRDefault="00AB6003" w:rsidP="00230BF2">
            <w:pPr>
              <w:keepNext/>
              <w:widowControl/>
              <w:rPr>
                <w:rFonts w:ascii="Arial Narrow" w:hAnsi="Arial Narrow"/>
                <w:sz w:val="20"/>
                <w:szCs w:val="18"/>
              </w:rPr>
            </w:pPr>
            <w:r w:rsidRPr="00700585">
              <w:rPr>
                <w:rFonts w:ascii="Arial Narrow" w:hAnsi="Arial Narrow"/>
                <w:sz w:val="20"/>
                <w:szCs w:val="18"/>
              </w:rPr>
              <w:t>3010</w:t>
            </w:r>
          </w:p>
        </w:tc>
        <w:tc>
          <w:tcPr>
            <w:tcW w:w="415"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256/370</w:t>
            </w:r>
          </w:p>
        </w:tc>
        <w:tc>
          <w:tcPr>
            <w:tcW w:w="833" w:type="pct"/>
            <w:gridSpan w:val="2"/>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102/175</w:t>
            </w:r>
          </w:p>
        </w:tc>
        <w:tc>
          <w:tcPr>
            <w:tcW w:w="749" w:type="pct"/>
            <w:vAlign w:val="center"/>
          </w:tcPr>
          <w:p w:rsidR="00AB6003" w:rsidRPr="007A0225" w:rsidRDefault="00AB6003" w:rsidP="00230BF2">
            <w:pPr>
              <w:keepNext/>
              <w:widowControl/>
              <w:jc w:val="center"/>
              <w:rPr>
                <w:rFonts w:ascii="Arial Narrow" w:hAnsi="Arial Narrow"/>
                <w:sz w:val="20"/>
                <w:szCs w:val="18"/>
              </w:rPr>
            </w:pPr>
            <w:r w:rsidRPr="007A0225">
              <w:rPr>
                <w:rFonts w:ascii="Arial Narrow" w:hAnsi="Arial Narrow"/>
                <w:sz w:val="20"/>
                <w:szCs w:val="18"/>
              </w:rPr>
              <w:t>0.84 (0.73, 0.97)</w:t>
            </w:r>
          </w:p>
        </w:tc>
        <w:tc>
          <w:tcPr>
            <w:tcW w:w="418" w:type="pct"/>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69.2</w:t>
            </w:r>
          </w:p>
        </w:tc>
        <w:tc>
          <w:tcPr>
            <w:tcW w:w="896" w:type="pct"/>
            <w:gridSpan w:val="2"/>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58.3</w:t>
            </w:r>
          </w:p>
        </w:tc>
        <w:tc>
          <w:tcPr>
            <w:tcW w:w="1011" w:type="pct"/>
            <w:gridSpan w:val="3"/>
            <w:vAlign w:val="center"/>
          </w:tcPr>
          <w:p w:rsidR="00AB6003" w:rsidRPr="00700585" w:rsidRDefault="00AB6003" w:rsidP="00230BF2">
            <w:pPr>
              <w:keepNext/>
              <w:widowControl/>
              <w:jc w:val="center"/>
              <w:rPr>
                <w:rFonts w:ascii="Arial Narrow" w:hAnsi="Arial Narrow"/>
                <w:sz w:val="20"/>
                <w:szCs w:val="18"/>
              </w:rPr>
            </w:pPr>
            <w:r w:rsidRPr="00700585">
              <w:rPr>
                <w:rFonts w:ascii="Arial Narrow" w:hAnsi="Arial Narrow"/>
                <w:sz w:val="20"/>
                <w:szCs w:val="18"/>
              </w:rPr>
              <w:t>0.109 (0.02, 0.20)</w:t>
            </w:r>
          </w:p>
        </w:tc>
      </w:tr>
    </w:tbl>
    <w:p w:rsidR="00AB6003" w:rsidRPr="00700585" w:rsidRDefault="00AB6003" w:rsidP="00230BF2">
      <w:pPr>
        <w:pStyle w:val="TableFooter"/>
        <w:widowControl/>
        <w:ind w:left="720"/>
      </w:pPr>
      <w:r w:rsidRPr="00700585">
        <w:t xml:space="preserve">* Mean duration of follow-up: </w:t>
      </w:r>
      <w:proofErr w:type="spellStart"/>
      <w:r w:rsidRPr="00700585">
        <w:t>CAPiTA</w:t>
      </w:r>
      <w:proofErr w:type="spellEnd"/>
      <w:r w:rsidRPr="00700585">
        <w:t xml:space="preserve">=3.97 years; </w:t>
      </w:r>
      <w:proofErr w:type="spellStart"/>
      <w:r w:rsidRPr="00700585">
        <w:t>Alfageme</w:t>
      </w:r>
      <w:proofErr w:type="spellEnd"/>
      <w:r w:rsidRPr="00700585">
        <w:t xml:space="preserve"> 2006=2.7 years; </w:t>
      </w:r>
      <w:proofErr w:type="spellStart"/>
      <w:r w:rsidRPr="00700585">
        <w:t>Furumoto</w:t>
      </w:r>
      <w:proofErr w:type="spellEnd"/>
      <w:r w:rsidRPr="00700585">
        <w:t xml:space="preserve"> 2008=2 years; Kawakami 2010=2 years; Maruyama 2010=2.28 years; </w:t>
      </w:r>
      <w:proofErr w:type="spellStart"/>
      <w:r w:rsidR="00033CC8" w:rsidRPr="00700585">
        <w:t>Örtqvist</w:t>
      </w:r>
      <w:proofErr w:type="spellEnd"/>
      <w:r w:rsidRPr="00700585">
        <w:t xml:space="preserve"> 1998=2.4 years; 004=14 days; 3010=14 days</w:t>
      </w:r>
    </w:p>
    <w:p w:rsidR="00AB6003" w:rsidRPr="00700585" w:rsidRDefault="00AB6003" w:rsidP="00230BF2">
      <w:pPr>
        <w:pStyle w:val="TableFooter"/>
        <w:widowControl/>
        <w:ind w:firstLine="720"/>
      </w:pPr>
      <w:proofErr w:type="gramStart"/>
      <w:r w:rsidRPr="00700585">
        <w:t>a</w:t>
      </w:r>
      <w:proofErr w:type="gramEnd"/>
      <w:r w:rsidRPr="00700585">
        <w:t xml:space="preserve"> No vaccine for </w:t>
      </w:r>
      <w:proofErr w:type="spellStart"/>
      <w:r w:rsidRPr="00700585">
        <w:t>Alfageme</w:t>
      </w:r>
      <w:proofErr w:type="spellEnd"/>
      <w:r w:rsidRPr="00700585">
        <w:t xml:space="preserve"> 2006, </w:t>
      </w:r>
      <w:proofErr w:type="spellStart"/>
      <w:r w:rsidRPr="00700585">
        <w:t>Furumoto</w:t>
      </w:r>
      <w:proofErr w:type="spellEnd"/>
      <w:r w:rsidRPr="00700585">
        <w:t xml:space="preserve"> 2008, Kawakami 2010</w:t>
      </w:r>
    </w:p>
    <w:p w:rsidR="00AB6003" w:rsidRPr="00700585" w:rsidRDefault="00AB6003" w:rsidP="00230BF2">
      <w:pPr>
        <w:pStyle w:val="TableFooter"/>
        <w:widowControl/>
        <w:ind w:firstLine="720"/>
      </w:pPr>
      <w:r w:rsidRPr="00700585">
        <w:t>Abbreviations: PBO = placebo; RD = risk difference; RR = risk ratio</w:t>
      </w:r>
    </w:p>
    <w:p w:rsidR="00AB6003" w:rsidRPr="00700585" w:rsidRDefault="00AB6003" w:rsidP="00230BF2">
      <w:pPr>
        <w:pStyle w:val="TableFooter"/>
        <w:widowControl/>
        <w:ind w:left="709" w:firstLine="11"/>
        <w:rPr>
          <w:i/>
        </w:rPr>
      </w:pPr>
      <w:r w:rsidRPr="00700585">
        <w:t>Source:</w:t>
      </w:r>
      <w:r w:rsidR="00F03759" w:rsidRPr="00700585">
        <w:t xml:space="preserve"> </w:t>
      </w:r>
      <w:r w:rsidR="007225C6" w:rsidRPr="00700585">
        <w:t xml:space="preserve">13vPCV PSD March 2015, table in paragraph 6.17. </w:t>
      </w:r>
    </w:p>
    <w:p w:rsidR="00AB6003" w:rsidRPr="00700585" w:rsidRDefault="00AB6003" w:rsidP="00230BF2">
      <w:pPr>
        <w:widowControl/>
        <w:rPr>
          <w:highlight w:val="green"/>
        </w:rPr>
      </w:pPr>
    </w:p>
    <w:p w:rsidR="00AB6003" w:rsidRPr="00C52B69" w:rsidRDefault="00AB6003" w:rsidP="00230BF2">
      <w:pPr>
        <w:pStyle w:val="ListParagraph"/>
        <w:widowControl/>
        <w:numPr>
          <w:ilvl w:val="1"/>
          <w:numId w:val="3"/>
        </w:numPr>
        <w:rPr>
          <w:szCs w:val="22"/>
        </w:rPr>
      </w:pPr>
      <w:r w:rsidRPr="00C52B69">
        <w:rPr>
          <w:szCs w:val="22"/>
        </w:rPr>
        <w:t xml:space="preserve">Based on the qualitative indirect comparison using placebo/no vaccine as the common comparator, it </w:t>
      </w:r>
      <w:r w:rsidR="00871AF0" w:rsidRPr="00C52B69">
        <w:rPr>
          <w:szCs w:val="22"/>
        </w:rPr>
        <w:t>wa</w:t>
      </w:r>
      <w:r w:rsidRPr="00C52B69">
        <w:rPr>
          <w:szCs w:val="22"/>
        </w:rPr>
        <w:t>s not clear whether 13vPCV is worse or better than 23vPPV in the prevention of invasive pneumococcal disease.</w:t>
      </w:r>
    </w:p>
    <w:p w:rsidR="00AB6003" w:rsidRPr="00C52B69" w:rsidRDefault="00AB6003" w:rsidP="00230BF2">
      <w:pPr>
        <w:widowControl/>
        <w:ind w:left="709"/>
      </w:pPr>
    </w:p>
    <w:p w:rsidR="00AB6003" w:rsidRPr="00C52B69" w:rsidRDefault="00AB6003" w:rsidP="00230BF2">
      <w:pPr>
        <w:pStyle w:val="ListParagraph"/>
        <w:widowControl/>
        <w:numPr>
          <w:ilvl w:val="1"/>
          <w:numId w:val="3"/>
        </w:numPr>
        <w:rPr>
          <w:szCs w:val="22"/>
        </w:rPr>
      </w:pPr>
      <w:r w:rsidRPr="00C52B69">
        <w:rPr>
          <w:szCs w:val="22"/>
        </w:rPr>
        <w:t>On the basis of a trial comparing 13vPCV with placebo</w:t>
      </w:r>
      <w:r w:rsidR="00F93826">
        <w:rPr>
          <w:szCs w:val="22"/>
        </w:rPr>
        <w:t xml:space="preserve"> conducted in a population with a 7vPCV infant vaccine program</w:t>
      </w:r>
      <w:r w:rsidRPr="00C52B69">
        <w:rPr>
          <w:szCs w:val="22"/>
        </w:rPr>
        <w:t xml:space="preserve">, 1,057 adults aged ≥65 years would need to be vaccinated with 13vPCV to prevent one case of vaccine type pneumonia. Clinical trial data assessing the effect of 23vPPV in the prevention of vaccine type pneumonia </w:t>
      </w:r>
      <w:r w:rsidR="00871AF0" w:rsidRPr="00C52B69">
        <w:rPr>
          <w:szCs w:val="22"/>
        </w:rPr>
        <w:t xml:space="preserve">were </w:t>
      </w:r>
      <w:r w:rsidRPr="00C52B69">
        <w:rPr>
          <w:szCs w:val="22"/>
        </w:rPr>
        <w:t>not available.</w:t>
      </w:r>
    </w:p>
    <w:p w:rsidR="00AB6003" w:rsidRPr="00C52B69" w:rsidRDefault="00AB6003" w:rsidP="00230BF2">
      <w:pPr>
        <w:pStyle w:val="ListParagraph"/>
        <w:widowControl/>
        <w:rPr>
          <w:szCs w:val="22"/>
        </w:rPr>
      </w:pPr>
    </w:p>
    <w:p w:rsidR="00AB6003" w:rsidRPr="00C52B69" w:rsidRDefault="00AB6003" w:rsidP="00230BF2">
      <w:pPr>
        <w:pStyle w:val="ListParagraph"/>
        <w:widowControl/>
        <w:numPr>
          <w:ilvl w:val="1"/>
          <w:numId w:val="3"/>
        </w:numPr>
        <w:rPr>
          <w:szCs w:val="22"/>
        </w:rPr>
      </w:pPr>
      <w:r w:rsidRPr="00C52B69">
        <w:lastRenderedPageBreak/>
        <w:t xml:space="preserve">On the basis of the head to head immunogenicity trials and the indirect comparison presented, in </w:t>
      </w:r>
      <w:proofErr w:type="gramStart"/>
      <w:r w:rsidRPr="00C52B69">
        <w:t>subjects</w:t>
      </w:r>
      <w:proofErr w:type="gramEnd"/>
      <w:r w:rsidRPr="00C52B69">
        <w:t xml:space="preserve"> naïve to 23vPPV the frequency of adverse effects </w:t>
      </w:r>
      <w:r w:rsidR="00CE734A" w:rsidRPr="00C52B69">
        <w:t>is</w:t>
      </w:r>
      <w:r w:rsidRPr="00C52B69">
        <w:t xml:space="preserve"> comparable.</w:t>
      </w:r>
    </w:p>
    <w:p w:rsidR="00AB6003" w:rsidRPr="00C52B69" w:rsidRDefault="00AB6003" w:rsidP="00230BF2">
      <w:pPr>
        <w:widowControl/>
      </w:pPr>
    </w:p>
    <w:p w:rsidR="00AB6003" w:rsidRPr="00CB0FEA" w:rsidRDefault="00AB6003" w:rsidP="0091638E">
      <w:pPr>
        <w:pStyle w:val="Heading2"/>
      </w:pPr>
      <w:bookmarkStart w:id="13" w:name="_Toc409513709"/>
      <w:bookmarkStart w:id="14" w:name="_Toc450632534"/>
      <w:r w:rsidRPr="00CB0FEA">
        <w:t>Clinical claim</w:t>
      </w:r>
      <w:bookmarkEnd w:id="13"/>
      <w:bookmarkEnd w:id="14"/>
    </w:p>
    <w:p w:rsidR="003C12BA" w:rsidRPr="00C52B69" w:rsidRDefault="003C12BA" w:rsidP="00230BF2">
      <w:pPr>
        <w:widowControl/>
        <w:rPr>
          <w:highlight w:val="green"/>
        </w:rPr>
      </w:pPr>
    </w:p>
    <w:p w:rsidR="003C12BA" w:rsidRPr="00C52B69" w:rsidRDefault="003C12BA" w:rsidP="00230BF2">
      <w:pPr>
        <w:pStyle w:val="ListParagraph"/>
        <w:widowControl/>
        <w:numPr>
          <w:ilvl w:val="1"/>
          <w:numId w:val="3"/>
        </w:numPr>
        <w:rPr>
          <w:szCs w:val="22"/>
        </w:rPr>
      </w:pPr>
      <w:r w:rsidRPr="00C52B69">
        <w:t xml:space="preserve">The </w:t>
      </w:r>
      <w:r w:rsidR="009E4C41">
        <w:t>submission described 13vPCV as:</w:t>
      </w:r>
    </w:p>
    <w:p w:rsidR="003C12BA" w:rsidRPr="00C52B69" w:rsidRDefault="003C12BA" w:rsidP="00230BF2">
      <w:pPr>
        <w:pStyle w:val="ListParagraph"/>
        <w:widowControl/>
        <w:numPr>
          <w:ilvl w:val="0"/>
          <w:numId w:val="2"/>
        </w:numPr>
        <w:ind w:left="993" w:hanging="284"/>
        <w:rPr>
          <w:szCs w:val="22"/>
        </w:rPr>
      </w:pPr>
      <w:r w:rsidRPr="00C52B69">
        <w:rPr>
          <w:szCs w:val="22"/>
        </w:rPr>
        <w:t>superior in terms of comparative effectiveness for the pre</w:t>
      </w:r>
      <w:r w:rsidR="009E4C41">
        <w:rPr>
          <w:szCs w:val="22"/>
        </w:rPr>
        <w:t>vention of VT-CAP over 23vPPV;</w:t>
      </w:r>
    </w:p>
    <w:p w:rsidR="003C12BA" w:rsidRPr="00C52B69" w:rsidRDefault="003C12BA" w:rsidP="00230BF2">
      <w:pPr>
        <w:pStyle w:val="ListParagraph"/>
        <w:widowControl/>
        <w:numPr>
          <w:ilvl w:val="0"/>
          <w:numId w:val="2"/>
        </w:numPr>
        <w:ind w:left="993" w:hanging="284"/>
        <w:rPr>
          <w:szCs w:val="22"/>
        </w:rPr>
      </w:pPr>
      <w:r w:rsidRPr="00C52B69">
        <w:rPr>
          <w:szCs w:val="22"/>
        </w:rPr>
        <w:t>equivalent to 23vPPV in terms of comparative effectiveness</w:t>
      </w:r>
      <w:r w:rsidR="009E4C41">
        <w:rPr>
          <w:szCs w:val="22"/>
        </w:rPr>
        <w:t xml:space="preserve"> for the prevention of IPD; and</w:t>
      </w:r>
    </w:p>
    <w:p w:rsidR="003C12BA" w:rsidRPr="00C52B69" w:rsidRDefault="003C12BA" w:rsidP="00230BF2">
      <w:pPr>
        <w:pStyle w:val="ListParagraph"/>
        <w:widowControl/>
        <w:numPr>
          <w:ilvl w:val="0"/>
          <w:numId w:val="2"/>
        </w:numPr>
        <w:ind w:left="993" w:hanging="284"/>
        <w:rPr>
          <w:szCs w:val="22"/>
        </w:rPr>
      </w:pPr>
      <w:proofErr w:type="gramStart"/>
      <w:r w:rsidRPr="00C52B69">
        <w:rPr>
          <w:szCs w:val="22"/>
        </w:rPr>
        <w:t>equivalent</w:t>
      </w:r>
      <w:proofErr w:type="gramEnd"/>
      <w:r w:rsidRPr="00C52B69">
        <w:rPr>
          <w:szCs w:val="22"/>
        </w:rPr>
        <w:t xml:space="preserve"> to 23vPPV </w:t>
      </w:r>
      <w:r w:rsidR="009E4C41">
        <w:rPr>
          <w:szCs w:val="22"/>
        </w:rPr>
        <w:t>in terms of comparative safety.</w:t>
      </w:r>
    </w:p>
    <w:p w:rsidR="004667A9" w:rsidRPr="00C52B69" w:rsidRDefault="004667A9" w:rsidP="00230BF2">
      <w:pPr>
        <w:widowControl/>
        <w:ind w:left="709"/>
        <w:rPr>
          <w:szCs w:val="22"/>
        </w:rPr>
      </w:pPr>
    </w:p>
    <w:p w:rsidR="00814226" w:rsidRPr="00C52B69" w:rsidRDefault="004667A9" w:rsidP="00230BF2">
      <w:pPr>
        <w:pStyle w:val="ListParagraph"/>
        <w:widowControl/>
        <w:numPr>
          <w:ilvl w:val="1"/>
          <w:numId w:val="3"/>
        </w:numPr>
      </w:pPr>
      <w:r w:rsidRPr="00C52B69">
        <w:t>At the March 2015 meeting, while noting the limitations in the available evidence for 23vPPV, the PBAC considered that 13vPCV is likely to be superior to 23vPPV in terms of prevention of VT CAP, although the magnitude of superiority was unclear. At the July 2015 meeting, t</w:t>
      </w:r>
      <w:r w:rsidRPr="00C52B69">
        <w:rPr>
          <w:bCs/>
          <w:szCs w:val="22"/>
          <w:lang w:val="en-GB"/>
        </w:rPr>
        <w:t xml:space="preserve">he PBAC did not consider that the minor re-submission adequately addressed the uncertainty regarding the sponsor’s claim of superiority in prevention of VT CAP </w:t>
      </w:r>
      <w:r w:rsidRPr="00C52B69">
        <w:t>(13vPCV PSD July 2015 paragraph 7.7)</w:t>
      </w:r>
      <w:r w:rsidRPr="00C52B69">
        <w:rPr>
          <w:bCs/>
          <w:szCs w:val="22"/>
          <w:lang w:val="en-GB"/>
        </w:rPr>
        <w:t xml:space="preserve">. No new data </w:t>
      </w:r>
      <w:r w:rsidR="006E2D42" w:rsidRPr="00C52B69">
        <w:rPr>
          <w:bCs/>
          <w:szCs w:val="22"/>
          <w:lang w:val="en-GB"/>
        </w:rPr>
        <w:t>were</w:t>
      </w:r>
      <w:r w:rsidRPr="00C52B69">
        <w:rPr>
          <w:bCs/>
          <w:szCs w:val="22"/>
          <w:lang w:val="en-GB"/>
        </w:rPr>
        <w:t xml:space="preserve"> presented in the current submission assessing the efficacy of 13vPCV or 23vPPV against VT CAP.</w:t>
      </w:r>
      <w:r w:rsidR="0056664A" w:rsidRPr="00C52B69">
        <w:rPr>
          <w:bCs/>
          <w:szCs w:val="22"/>
          <w:lang w:val="en-GB"/>
        </w:rPr>
        <w:t xml:space="preserve"> The PSCR argued that the magnitude of superiority is clear</w:t>
      </w:r>
      <w:r w:rsidR="00871AF0" w:rsidRPr="00C52B69">
        <w:rPr>
          <w:bCs/>
          <w:szCs w:val="22"/>
          <w:lang w:val="en-GB"/>
        </w:rPr>
        <w:t xml:space="preserve"> based on the </w:t>
      </w:r>
      <w:proofErr w:type="spellStart"/>
      <w:r w:rsidR="00871AF0" w:rsidRPr="00C52B69">
        <w:rPr>
          <w:bCs/>
          <w:szCs w:val="22"/>
          <w:lang w:val="en-GB"/>
        </w:rPr>
        <w:t>CAPiTA</w:t>
      </w:r>
      <w:proofErr w:type="spellEnd"/>
      <w:r w:rsidR="00871AF0" w:rsidRPr="00C52B69">
        <w:rPr>
          <w:bCs/>
          <w:szCs w:val="22"/>
          <w:lang w:val="en-GB"/>
        </w:rPr>
        <w:t xml:space="preserve"> study for 13vPCV and ATAGI advice for 23vPPV.</w:t>
      </w:r>
      <w:r w:rsidR="00CA2FA4" w:rsidRPr="00C52B69">
        <w:rPr>
          <w:bCs/>
          <w:szCs w:val="22"/>
          <w:lang w:val="en-GB"/>
        </w:rPr>
        <w:t xml:space="preserve"> </w:t>
      </w:r>
      <w:r w:rsidR="00CA2FA4" w:rsidRPr="00C52B69">
        <w:rPr>
          <w:szCs w:val="22"/>
        </w:rPr>
        <w:t xml:space="preserve">The ESC considered that in the absence of any new clinical data to support this claim, the magnitude of superiority </w:t>
      </w:r>
      <w:r w:rsidR="00F12F65" w:rsidRPr="00C52B69">
        <w:rPr>
          <w:szCs w:val="22"/>
        </w:rPr>
        <w:t>continue</w:t>
      </w:r>
      <w:r w:rsidR="00AB0CA4" w:rsidRPr="00C52B69">
        <w:rPr>
          <w:szCs w:val="22"/>
        </w:rPr>
        <w:t>d</w:t>
      </w:r>
      <w:r w:rsidR="00F12F65" w:rsidRPr="00C52B69">
        <w:rPr>
          <w:szCs w:val="22"/>
        </w:rPr>
        <w:t xml:space="preserve"> to remain </w:t>
      </w:r>
      <w:r w:rsidR="00CA2FA4" w:rsidRPr="00C52B69">
        <w:rPr>
          <w:szCs w:val="22"/>
        </w:rPr>
        <w:t>highly uncertain.</w:t>
      </w:r>
    </w:p>
    <w:p w:rsidR="00D21500" w:rsidRPr="00C52B69" w:rsidRDefault="00D21500" w:rsidP="00230BF2">
      <w:pPr>
        <w:pStyle w:val="ListParagraph"/>
        <w:widowControl/>
      </w:pPr>
    </w:p>
    <w:p w:rsidR="00D21500" w:rsidRPr="00F4662C" w:rsidRDefault="005645EC" w:rsidP="00230BF2">
      <w:pPr>
        <w:pStyle w:val="ListParagraph"/>
        <w:widowControl/>
        <w:numPr>
          <w:ilvl w:val="1"/>
          <w:numId w:val="3"/>
        </w:numPr>
      </w:pPr>
      <w:r w:rsidRPr="00C52B69">
        <w:t>T</w:t>
      </w:r>
      <w:r w:rsidR="00814226" w:rsidRPr="00C52B69">
        <w:t xml:space="preserve">he ESC noted </w:t>
      </w:r>
      <w:r w:rsidR="00871AF0" w:rsidRPr="00C52B69">
        <w:t xml:space="preserve">vaccine effectiveness </w:t>
      </w:r>
      <w:r w:rsidRPr="00C52B69">
        <w:t xml:space="preserve">estimates </w:t>
      </w:r>
      <w:r w:rsidR="00871AF0" w:rsidRPr="00C52B69">
        <w:t>against IPD</w:t>
      </w:r>
      <w:r w:rsidR="00325ECA" w:rsidRPr="00C52B69">
        <w:t xml:space="preserve"> used in the economic model</w:t>
      </w:r>
      <w:r w:rsidR="00871AF0" w:rsidRPr="00C52B69">
        <w:t xml:space="preserve">, </w:t>
      </w:r>
      <w:r w:rsidRPr="00C52B69">
        <w:t xml:space="preserve">of </w:t>
      </w:r>
      <w:r w:rsidRPr="00EC513F">
        <w:t>61</w:t>
      </w:r>
      <w:r w:rsidRPr="00C52B69">
        <w:t xml:space="preserve">% </w:t>
      </w:r>
      <w:r w:rsidR="00871AF0" w:rsidRPr="00C52B69">
        <w:t>for 23vPPV and 75.8% for 13vPCV</w:t>
      </w:r>
      <w:r w:rsidR="00325ECA" w:rsidRPr="00C52B69">
        <w:t>, contradicted the claim of equivalent comparative effectiveness for the prevention of IPD</w:t>
      </w:r>
      <w:r w:rsidRPr="00C52B69">
        <w:t>.</w:t>
      </w:r>
      <w:r w:rsidR="00871AF0" w:rsidRPr="00C52B69">
        <w:t xml:space="preserve"> In addition, the </w:t>
      </w:r>
      <w:r w:rsidR="0092719D" w:rsidRPr="00C52B69">
        <w:t xml:space="preserve">submission assumed a </w:t>
      </w:r>
      <w:r w:rsidR="00871AF0" w:rsidRPr="00C52B69">
        <w:t>longer duration of efficacy for 13vPCV</w:t>
      </w:r>
      <w:r w:rsidR="0092719D" w:rsidRPr="00C52B69">
        <w:t>,</w:t>
      </w:r>
      <w:r w:rsidR="00871AF0" w:rsidRPr="00C52B69">
        <w:t xml:space="preserve"> compared with 23vPPV. </w:t>
      </w:r>
      <w:r w:rsidR="0092719D" w:rsidRPr="00C52B69">
        <w:t>Accordingly, despite the claim of equivalent comparative effectiveness and the reduced serotype coverage, 13vPCV prevented more cases of IPD in the economic model than 23vPPV.</w:t>
      </w:r>
      <w:r w:rsidR="00D8346D">
        <w:t xml:space="preserve"> </w:t>
      </w:r>
      <w:r w:rsidR="00D8346D">
        <w:rPr>
          <w:szCs w:val="22"/>
        </w:rPr>
        <w:t>The pre-PBAC response accepted that VE for IPD should be equivalent for 13vPCV and 23vPPV and used the 6</w:t>
      </w:r>
      <w:r w:rsidR="00D8346D" w:rsidRPr="00EC513F">
        <w:rPr>
          <w:szCs w:val="22"/>
        </w:rPr>
        <w:t>1</w:t>
      </w:r>
      <w:r w:rsidR="00D8346D">
        <w:rPr>
          <w:szCs w:val="22"/>
        </w:rPr>
        <w:t>% estimate for both 13vPCV and 23vPPV in a revised model.</w:t>
      </w:r>
    </w:p>
    <w:p w:rsidR="00F4662C" w:rsidRDefault="00F4662C" w:rsidP="00F4662C">
      <w:pPr>
        <w:pStyle w:val="ListParagraph"/>
      </w:pPr>
    </w:p>
    <w:p w:rsidR="00F4662C" w:rsidRDefault="00F4662C" w:rsidP="00230BF2">
      <w:pPr>
        <w:pStyle w:val="ListParagraph"/>
        <w:widowControl/>
        <w:numPr>
          <w:ilvl w:val="1"/>
          <w:numId w:val="3"/>
        </w:numPr>
      </w:pPr>
      <w:r>
        <w:t>The PBAC considered that because of the reduced serotype coverage of 13vPCV compared with 23vPPV, the claim of equivalent effectiveness for prevention of IPD was highly uncertain, and dependent not only on assumptions regarding the height and duration of protection</w:t>
      </w:r>
      <w:r w:rsidR="00D71324">
        <w:t xml:space="preserve"> against VT IPD</w:t>
      </w:r>
      <w:r w:rsidR="00FC5B50">
        <w:t xml:space="preserve"> for each vaccine</w:t>
      </w:r>
      <w:r>
        <w:t xml:space="preserve">, but also on the </w:t>
      </w:r>
      <w:r w:rsidR="00D71324">
        <w:t xml:space="preserve">relative contribution of 23vPPV/non13vPCV serotypes to IPD over time. </w:t>
      </w:r>
      <w:r w:rsidR="00FC5B50">
        <w:t xml:space="preserve">If 13vPCV serotypes </w:t>
      </w:r>
      <w:r w:rsidR="006E66D9">
        <w:t>are eventually eliminated</w:t>
      </w:r>
      <w:r w:rsidR="00FC5B50">
        <w:t xml:space="preserve"> as a result of the infant program, 13vPCV </w:t>
      </w:r>
      <w:r w:rsidR="006E66D9">
        <w:t>will</w:t>
      </w:r>
      <w:r w:rsidR="00FC5B50">
        <w:t xml:space="preserve"> become inferior to 23vPPV for IPD.</w:t>
      </w:r>
    </w:p>
    <w:p w:rsidR="00F749C8" w:rsidRDefault="00F749C8" w:rsidP="00F749C8">
      <w:pPr>
        <w:pStyle w:val="ListParagraph"/>
      </w:pPr>
    </w:p>
    <w:p w:rsidR="00F749C8" w:rsidRPr="00D8346D" w:rsidRDefault="00D8346D" w:rsidP="00F749C8">
      <w:pPr>
        <w:pStyle w:val="ListParagraph"/>
        <w:widowControl/>
        <w:numPr>
          <w:ilvl w:val="1"/>
          <w:numId w:val="3"/>
        </w:numPr>
        <w:jc w:val="left"/>
        <w:rPr>
          <w:bCs/>
        </w:rPr>
      </w:pPr>
      <w:r>
        <w:rPr>
          <w:bCs/>
          <w:szCs w:val="22"/>
        </w:rPr>
        <w:t>In line with previous considerations, t</w:t>
      </w:r>
      <w:r w:rsidR="00F749C8" w:rsidRPr="00D8346D">
        <w:rPr>
          <w:bCs/>
          <w:szCs w:val="22"/>
        </w:rPr>
        <w:t>he PBAC considered that</w:t>
      </w:r>
      <w:r>
        <w:rPr>
          <w:bCs/>
          <w:szCs w:val="22"/>
        </w:rPr>
        <w:t xml:space="preserve"> 13vPCV is likely to be superior to 23vPPV in terms of prevention of VT CAP.</w:t>
      </w:r>
    </w:p>
    <w:p w:rsidR="00F749C8" w:rsidRPr="00DB06C8" w:rsidRDefault="00F749C8" w:rsidP="00F749C8">
      <w:pPr>
        <w:pStyle w:val="ListParagraph"/>
        <w:rPr>
          <w:bCs/>
          <w:szCs w:val="22"/>
          <w:highlight w:val="yellow"/>
        </w:rPr>
      </w:pPr>
    </w:p>
    <w:p w:rsidR="00F749C8" w:rsidRPr="00D8346D" w:rsidRDefault="00F749C8" w:rsidP="00F749C8">
      <w:pPr>
        <w:pStyle w:val="ListParagraph"/>
        <w:widowControl/>
        <w:numPr>
          <w:ilvl w:val="1"/>
          <w:numId w:val="3"/>
        </w:numPr>
        <w:rPr>
          <w:szCs w:val="22"/>
        </w:rPr>
      </w:pPr>
      <w:r w:rsidRPr="00D8346D">
        <w:rPr>
          <w:szCs w:val="22"/>
        </w:rPr>
        <w:t xml:space="preserve">The PBAC considered that the claim of </w:t>
      </w:r>
      <w:r w:rsidR="00D8346D">
        <w:rPr>
          <w:szCs w:val="22"/>
        </w:rPr>
        <w:t xml:space="preserve">equivalent </w:t>
      </w:r>
      <w:r w:rsidRPr="00D8346D">
        <w:rPr>
          <w:szCs w:val="22"/>
        </w:rPr>
        <w:t>comparative safety was reasonable.</w:t>
      </w:r>
    </w:p>
    <w:p w:rsidR="008C5930" w:rsidRPr="00C52B69" w:rsidRDefault="008C5930" w:rsidP="00230BF2">
      <w:pPr>
        <w:widowControl/>
        <w:ind w:left="720" w:hanging="720"/>
        <w:rPr>
          <w:szCs w:val="22"/>
        </w:rPr>
      </w:pPr>
    </w:p>
    <w:p w:rsidR="00B60939" w:rsidRPr="0091638E" w:rsidRDefault="00B60939" w:rsidP="0091638E">
      <w:pPr>
        <w:pStyle w:val="Heading2"/>
        <w:keepNext/>
      </w:pPr>
      <w:bookmarkStart w:id="15" w:name="_Toc450632535"/>
      <w:r w:rsidRPr="0091638E">
        <w:lastRenderedPageBreak/>
        <w:t>Economic analysis</w:t>
      </w:r>
      <w:bookmarkEnd w:id="15"/>
    </w:p>
    <w:p w:rsidR="00CC4BAF" w:rsidRPr="00C52B69" w:rsidRDefault="00CC4BAF" w:rsidP="00DA2C61">
      <w:pPr>
        <w:keepNext/>
        <w:widowControl/>
        <w:rPr>
          <w:szCs w:val="22"/>
          <w:highlight w:val="green"/>
        </w:rPr>
      </w:pPr>
    </w:p>
    <w:p w:rsidR="00B60939" w:rsidRPr="00C52B69" w:rsidRDefault="007051F5" w:rsidP="00230BF2">
      <w:pPr>
        <w:pStyle w:val="ListParagraph"/>
        <w:widowControl/>
        <w:numPr>
          <w:ilvl w:val="1"/>
          <w:numId w:val="3"/>
        </w:numPr>
        <w:rPr>
          <w:szCs w:val="22"/>
        </w:rPr>
      </w:pPr>
      <w:r w:rsidRPr="00C52B69">
        <w:t xml:space="preserve">The </w:t>
      </w:r>
      <w:r w:rsidR="007850C5" w:rsidRPr="00C52B69">
        <w:t xml:space="preserve">model </w:t>
      </w:r>
      <w:r w:rsidR="00E36639" w:rsidRPr="00C52B69">
        <w:t xml:space="preserve">structure </w:t>
      </w:r>
      <w:r w:rsidR="002758F8" w:rsidRPr="00C52B69">
        <w:t>wa</w:t>
      </w:r>
      <w:r w:rsidRPr="00C52B69">
        <w:t>s the same as that presented in the July 2015 submission.</w:t>
      </w:r>
      <w:r w:rsidR="00A62C3A" w:rsidRPr="00C52B69">
        <w:t xml:space="preserve"> </w:t>
      </w:r>
      <w:r w:rsidR="007850C5" w:rsidRPr="00C52B69">
        <w:t xml:space="preserve">The key inputs that </w:t>
      </w:r>
      <w:r w:rsidR="002758F8" w:rsidRPr="00C52B69">
        <w:t>were</w:t>
      </w:r>
      <w:r w:rsidR="007850C5" w:rsidRPr="00C52B69">
        <w:t xml:space="preserve"> changed </w:t>
      </w:r>
      <w:r w:rsidR="00EA2943" w:rsidRPr="00C52B69">
        <w:t xml:space="preserve">were </w:t>
      </w:r>
      <w:r w:rsidR="007850C5" w:rsidRPr="00C52B69">
        <w:t>13vPCV cost (reduced), CAP incidence</w:t>
      </w:r>
      <w:r w:rsidR="00CF13ED" w:rsidRPr="00C52B69">
        <w:t xml:space="preserve"> (reduced),</w:t>
      </w:r>
      <w:r w:rsidR="007850C5" w:rsidRPr="00C52B69">
        <w:t xml:space="preserve"> proportion of CAP due to 13vPCV serotypes (reduced) and duration of protection with 23vPPV (reduced).</w:t>
      </w:r>
    </w:p>
    <w:p w:rsidR="00275C5A" w:rsidRPr="00700585" w:rsidRDefault="00275C5A" w:rsidP="00230BF2">
      <w:pPr>
        <w:widowControl/>
        <w:rPr>
          <w:szCs w:val="22"/>
        </w:rPr>
      </w:pPr>
    </w:p>
    <w:p w:rsidR="00A62C3A" w:rsidRPr="00700585" w:rsidRDefault="00D06FD4" w:rsidP="00230BF2">
      <w:pPr>
        <w:keepNext/>
        <w:widowControl/>
        <w:ind w:firstLine="720"/>
        <w:rPr>
          <w:rFonts w:ascii="Arial Narrow" w:hAnsi="Arial Narrow"/>
          <w:b/>
          <w:sz w:val="20"/>
          <w:szCs w:val="16"/>
        </w:rPr>
      </w:pPr>
      <w:r w:rsidRPr="00700585">
        <w:rPr>
          <w:rStyle w:val="CommentReference"/>
        </w:rPr>
        <w:t xml:space="preserve">Table </w:t>
      </w:r>
      <w:r w:rsidR="007850C5" w:rsidRPr="00700585">
        <w:rPr>
          <w:rStyle w:val="CommentReference"/>
        </w:rPr>
        <w:t>5</w:t>
      </w:r>
      <w:r w:rsidRPr="00700585">
        <w:rPr>
          <w:rStyle w:val="CommentReference"/>
        </w:rPr>
        <w:t>: Summary of model structure and rationale</w:t>
      </w:r>
    </w:p>
    <w:tbl>
      <w:tblPr>
        <w:tblW w:w="850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economic model structure"/>
      </w:tblPr>
      <w:tblGrid>
        <w:gridCol w:w="2552"/>
        <w:gridCol w:w="5953"/>
      </w:tblGrid>
      <w:tr w:rsidR="00700585" w:rsidRPr="00700585" w:rsidTr="000E3434">
        <w:trPr>
          <w:trHeight w:val="240"/>
        </w:trPr>
        <w:tc>
          <w:tcPr>
            <w:tcW w:w="2552" w:type="dxa"/>
            <w:shd w:val="clear" w:color="auto" w:fill="auto"/>
          </w:tcPr>
          <w:p w:rsidR="00A62C3A" w:rsidRPr="00700585" w:rsidRDefault="00A62C3A" w:rsidP="00230BF2">
            <w:pPr>
              <w:keepNext/>
              <w:widowControl/>
              <w:rPr>
                <w:rFonts w:ascii="Arial Narrow" w:hAnsi="Arial Narrow"/>
                <w:sz w:val="20"/>
                <w:highlight w:val="green"/>
              </w:rPr>
            </w:pPr>
            <w:r w:rsidRPr="00700585">
              <w:rPr>
                <w:rFonts w:ascii="Arial Narrow" w:hAnsi="Arial Narrow"/>
                <w:sz w:val="20"/>
              </w:rPr>
              <w:t>Time horizon</w:t>
            </w:r>
          </w:p>
        </w:tc>
        <w:tc>
          <w:tcPr>
            <w:tcW w:w="5953" w:type="dxa"/>
            <w:shd w:val="clear" w:color="auto" w:fill="auto"/>
          </w:tcPr>
          <w:p w:rsidR="00A62C3A" w:rsidRPr="00700585" w:rsidRDefault="00A62C3A" w:rsidP="00230BF2">
            <w:pPr>
              <w:keepNext/>
              <w:widowControl/>
              <w:rPr>
                <w:rFonts w:ascii="Arial Narrow" w:hAnsi="Arial Narrow"/>
                <w:sz w:val="20"/>
              </w:rPr>
            </w:pPr>
            <w:r w:rsidRPr="00700585">
              <w:rPr>
                <w:rFonts w:ascii="Arial Narrow" w:hAnsi="Arial Narrow"/>
                <w:sz w:val="20"/>
              </w:rPr>
              <w:t>Average follow-up is 12.1 years</w:t>
            </w:r>
            <w:r w:rsidR="00CF13ED" w:rsidRPr="00700585">
              <w:rPr>
                <w:rFonts w:ascii="Arial Narrow" w:hAnsi="Arial Narrow"/>
                <w:sz w:val="20"/>
              </w:rPr>
              <w:t xml:space="preserve"> versus 2-</w:t>
            </w:r>
            <w:r w:rsidR="00F91DD9" w:rsidRPr="00700585">
              <w:rPr>
                <w:rFonts w:ascii="Arial Narrow" w:hAnsi="Arial Narrow"/>
                <w:sz w:val="20"/>
              </w:rPr>
              <w:t>4 years in the trials.</w:t>
            </w:r>
          </w:p>
        </w:tc>
      </w:tr>
      <w:tr w:rsidR="00700585" w:rsidRPr="00700585" w:rsidTr="000E3434">
        <w:trPr>
          <w:trHeight w:val="262"/>
        </w:trPr>
        <w:tc>
          <w:tcPr>
            <w:tcW w:w="2552" w:type="dxa"/>
            <w:shd w:val="clear" w:color="auto" w:fill="auto"/>
          </w:tcPr>
          <w:p w:rsidR="00A62C3A" w:rsidRPr="00700585" w:rsidRDefault="00A62C3A" w:rsidP="00230BF2">
            <w:pPr>
              <w:keepNext/>
              <w:widowControl/>
              <w:rPr>
                <w:rFonts w:ascii="Arial Narrow" w:hAnsi="Arial Narrow"/>
                <w:sz w:val="20"/>
              </w:rPr>
            </w:pPr>
            <w:r w:rsidRPr="00700585">
              <w:rPr>
                <w:rFonts w:ascii="Arial Narrow" w:hAnsi="Arial Narrow"/>
                <w:sz w:val="20"/>
              </w:rPr>
              <w:t>Outcome</w:t>
            </w:r>
          </w:p>
        </w:tc>
        <w:tc>
          <w:tcPr>
            <w:tcW w:w="5953" w:type="dxa"/>
            <w:shd w:val="clear" w:color="auto" w:fill="auto"/>
          </w:tcPr>
          <w:p w:rsidR="00A62C3A" w:rsidRPr="00700585" w:rsidRDefault="00A62C3A" w:rsidP="00230BF2">
            <w:pPr>
              <w:keepNext/>
              <w:widowControl/>
              <w:rPr>
                <w:rFonts w:ascii="Arial Narrow" w:hAnsi="Arial Narrow"/>
                <w:sz w:val="20"/>
              </w:rPr>
            </w:pPr>
            <w:r w:rsidRPr="00700585">
              <w:rPr>
                <w:rFonts w:ascii="Arial Narrow" w:hAnsi="Arial Narrow"/>
                <w:sz w:val="20"/>
              </w:rPr>
              <w:t>LY and QALY gained</w:t>
            </w:r>
          </w:p>
        </w:tc>
      </w:tr>
      <w:tr w:rsidR="00700585" w:rsidRPr="00700585" w:rsidTr="000E3434">
        <w:trPr>
          <w:trHeight w:val="271"/>
        </w:trPr>
        <w:tc>
          <w:tcPr>
            <w:tcW w:w="2552" w:type="dxa"/>
            <w:shd w:val="clear" w:color="auto" w:fill="auto"/>
          </w:tcPr>
          <w:p w:rsidR="00A62C3A" w:rsidRPr="00700585" w:rsidRDefault="00A62C3A" w:rsidP="00230BF2">
            <w:pPr>
              <w:keepNext/>
              <w:widowControl/>
              <w:jc w:val="left"/>
              <w:rPr>
                <w:rFonts w:ascii="Arial Narrow" w:hAnsi="Arial Narrow"/>
                <w:sz w:val="20"/>
              </w:rPr>
            </w:pPr>
            <w:r w:rsidRPr="00700585">
              <w:rPr>
                <w:rFonts w:ascii="Arial Narrow" w:hAnsi="Arial Narrow"/>
                <w:sz w:val="20"/>
              </w:rPr>
              <w:t>Methods used to generate results</w:t>
            </w:r>
          </w:p>
        </w:tc>
        <w:tc>
          <w:tcPr>
            <w:tcW w:w="5953" w:type="dxa"/>
            <w:shd w:val="clear" w:color="auto" w:fill="auto"/>
          </w:tcPr>
          <w:p w:rsidR="00A62C3A" w:rsidRPr="00700585" w:rsidRDefault="00A62C3A" w:rsidP="00230BF2">
            <w:pPr>
              <w:keepNext/>
              <w:widowControl/>
            </w:pPr>
            <w:r w:rsidRPr="00700585">
              <w:rPr>
                <w:rFonts w:ascii="Arial Narrow" w:hAnsi="Arial Narrow"/>
                <w:sz w:val="20"/>
              </w:rPr>
              <w:t>Cohort expected value analysis</w:t>
            </w:r>
          </w:p>
        </w:tc>
      </w:tr>
      <w:tr w:rsidR="00700585" w:rsidRPr="00700585" w:rsidTr="000E3434">
        <w:tc>
          <w:tcPr>
            <w:tcW w:w="2552" w:type="dxa"/>
            <w:shd w:val="clear" w:color="auto" w:fill="auto"/>
            <w:vAlign w:val="center"/>
          </w:tcPr>
          <w:p w:rsidR="00D87A0C" w:rsidRPr="00700585" w:rsidRDefault="00D87A0C" w:rsidP="00230BF2">
            <w:pPr>
              <w:widowControl/>
              <w:rPr>
                <w:rFonts w:ascii="Arial Narrow" w:hAnsi="Arial Narrow"/>
                <w:sz w:val="20"/>
              </w:rPr>
            </w:pPr>
            <w:r w:rsidRPr="00700585">
              <w:rPr>
                <w:rFonts w:ascii="Arial Narrow" w:hAnsi="Arial Narrow"/>
                <w:sz w:val="20"/>
              </w:rPr>
              <w:t>Health states (for base case)</w:t>
            </w:r>
          </w:p>
        </w:tc>
        <w:tc>
          <w:tcPr>
            <w:tcW w:w="5953" w:type="dxa"/>
            <w:shd w:val="clear" w:color="auto" w:fill="auto"/>
          </w:tcPr>
          <w:p w:rsidR="00D87A0C" w:rsidRPr="00700585" w:rsidRDefault="00D87A0C" w:rsidP="00230BF2">
            <w:pPr>
              <w:keepNext/>
              <w:widowControl/>
              <w:rPr>
                <w:rFonts w:ascii="Arial Narrow" w:hAnsi="Arial Narrow"/>
                <w:sz w:val="20"/>
              </w:rPr>
            </w:pPr>
            <w:r w:rsidRPr="00700585">
              <w:rPr>
                <w:rFonts w:ascii="Arial Narrow" w:hAnsi="Arial Narrow"/>
                <w:sz w:val="20"/>
              </w:rPr>
              <w:t>Alive, Dead</w:t>
            </w:r>
          </w:p>
        </w:tc>
      </w:tr>
      <w:tr w:rsidR="00700585" w:rsidRPr="00700585" w:rsidTr="000E3434">
        <w:tc>
          <w:tcPr>
            <w:tcW w:w="2552" w:type="dxa"/>
            <w:shd w:val="clear" w:color="auto" w:fill="auto"/>
            <w:vAlign w:val="center"/>
          </w:tcPr>
          <w:p w:rsidR="00D87A0C" w:rsidRPr="00700585" w:rsidRDefault="00D87A0C" w:rsidP="00230BF2">
            <w:pPr>
              <w:widowControl/>
              <w:rPr>
                <w:rFonts w:ascii="Arial Narrow" w:hAnsi="Arial Narrow"/>
                <w:sz w:val="20"/>
              </w:rPr>
            </w:pPr>
            <w:r w:rsidRPr="00700585">
              <w:rPr>
                <w:rFonts w:ascii="Arial Narrow" w:hAnsi="Arial Narrow"/>
                <w:sz w:val="20"/>
              </w:rPr>
              <w:t>Events modelled</w:t>
            </w:r>
          </w:p>
        </w:tc>
        <w:tc>
          <w:tcPr>
            <w:tcW w:w="5953" w:type="dxa"/>
            <w:shd w:val="clear" w:color="auto" w:fill="auto"/>
          </w:tcPr>
          <w:p w:rsidR="00D87A0C" w:rsidRPr="00700585" w:rsidRDefault="00CF13ED" w:rsidP="00230BF2">
            <w:pPr>
              <w:keepNext/>
              <w:widowControl/>
              <w:rPr>
                <w:rFonts w:ascii="Arial Narrow" w:hAnsi="Arial Narrow"/>
                <w:sz w:val="20"/>
              </w:rPr>
            </w:pPr>
            <w:r w:rsidRPr="00700585">
              <w:rPr>
                <w:rFonts w:ascii="Arial Narrow" w:hAnsi="Arial Narrow"/>
                <w:sz w:val="20"/>
              </w:rPr>
              <w:t>IPD (bacteraemia; meningitis),</w:t>
            </w:r>
            <w:r w:rsidR="00D87A0C" w:rsidRPr="00700585">
              <w:rPr>
                <w:rFonts w:ascii="Arial Narrow" w:hAnsi="Arial Narrow"/>
                <w:sz w:val="20"/>
              </w:rPr>
              <w:t xml:space="preserve"> Hospital treated CAP</w:t>
            </w:r>
            <w:r w:rsidRPr="00700585">
              <w:rPr>
                <w:rFonts w:ascii="Arial Narrow" w:hAnsi="Arial Narrow"/>
                <w:sz w:val="20"/>
              </w:rPr>
              <w:t>,</w:t>
            </w:r>
            <w:r w:rsidR="00D87A0C" w:rsidRPr="00700585">
              <w:rPr>
                <w:rFonts w:ascii="Arial Narrow" w:hAnsi="Arial Narrow"/>
                <w:sz w:val="20"/>
              </w:rPr>
              <w:t xml:space="preserve"> GP treated CAP</w:t>
            </w:r>
          </w:p>
        </w:tc>
      </w:tr>
      <w:tr w:rsidR="00700585" w:rsidRPr="00700585" w:rsidTr="000E3434">
        <w:trPr>
          <w:trHeight w:val="225"/>
        </w:trPr>
        <w:tc>
          <w:tcPr>
            <w:tcW w:w="2552" w:type="dxa"/>
            <w:shd w:val="clear" w:color="auto" w:fill="auto"/>
          </w:tcPr>
          <w:p w:rsidR="00A62C3A" w:rsidRPr="00700585" w:rsidRDefault="00A62C3A" w:rsidP="00230BF2">
            <w:pPr>
              <w:keepNext/>
              <w:widowControl/>
              <w:rPr>
                <w:rFonts w:ascii="Arial Narrow" w:hAnsi="Arial Narrow"/>
                <w:sz w:val="20"/>
              </w:rPr>
            </w:pPr>
            <w:r w:rsidRPr="00700585">
              <w:rPr>
                <w:rFonts w:ascii="Arial Narrow" w:hAnsi="Arial Narrow"/>
                <w:sz w:val="20"/>
              </w:rPr>
              <w:t>Cycle length</w:t>
            </w:r>
          </w:p>
        </w:tc>
        <w:tc>
          <w:tcPr>
            <w:tcW w:w="5953" w:type="dxa"/>
            <w:shd w:val="clear" w:color="auto" w:fill="auto"/>
          </w:tcPr>
          <w:p w:rsidR="00A62C3A" w:rsidRPr="00700585" w:rsidRDefault="00A62C3A" w:rsidP="00230BF2">
            <w:pPr>
              <w:keepNext/>
              <w:widowControl/>
              <w:rPr>
                <w:rFonts w:ascii="Arial Narrow" w:hAnsi="Arial Narrow"/>
                <w:sz w:val="20"/>
              </w:rPr>
            </w:pPr>
            <w:r w:rsidRPr="00700585">
              <w:rPr>
                <w:rFonts w:ascii="Arial Narrow" w:hAnsi="Arial Narrow"/>
                <w:sz w:val="20"/>
              </w:rPr>
              <w:t>1 year, half cycle correction applied</w:t>
            </w:r>
          </w:p>
        </w:tc>
      </w:tr>
      <w:tr w:rsidR="00700585" w:rsidRPr="00700585" w:rsidTr="000E3434">
        <w:trPr>
          <w:trHeight w:val="448"/>
        </w:trPr>
        <w:tc>
          <w:tcPr>
            <w:tcW w:w="2552" w:type="dxa"/>
            <w:shd w:val="clear" w:color="auto" w:fill="auto"/>
          </w:tcPr>
          <w:p w:rsidR="00A62C3A" w:rsidRPr="00700585" w:rsidRDefault="00A62C3A" w:rsidP="00230BF2">
            <w:pPr>
              <w:keepNext/>
              <w:widowControl/>
              <w:rPr>
                <w:rFonts w:ascii="Arial Narrow" w:hAnsi="Arial Narrow"/>
                <w:sz w:val="20"/>
                <w:highlight w:val="green"/>
              </w:rPr>
            </w:pPr>
            <w:r w:rsidRPr="00700585">
              <w:rPr>
                <w:rFonts w:ascii="Arial Narrow" w:hAnsi="Arial Narrow"/>
                <w:sz w:val="20"/>
              </w:rPr>
              <w:t>Transition probabilities</w:t>
            </w:r>
          </w:p>
        </w:tc>
        <w:tc>
          <w:tcPr>
            <w:tcW w:w="5953" w:type="dxa"/>
            <w:shd w:val="clear" w:color="auto" w:fill="auto"/>
          </w:tcPr>
          <w:p w:rsidR="00A62C3A" w:rsidRPr="00700585" w:rsidRDefault="00A62C3A" w:rsidP="00230BF2">
            <w:pPr>
              <w:keepNext/>
              <w:widowControl/>
              <w:rPr>
                <w:rFonts w:ascii="Arial Narrow" w:hAnsi="Arial Narrow"/>
                <w:sz w:val="20"/>
              </w:rPr>
            </w:pPr>
            <w:r w:rsidRPr="00700585">
              <w:rPr>
                <w:rFonts w:ascii="Arial Narrow" w:hAnsi="Arial Narrow"/>
                <w:sz w:val="20"/>
              </w:rPr>
              <w:t xml:space="preserve">Transition to ‘Dead’: Australian population death rates if no event or GP treated </w:t>
            </w:r>
            <w:r w:rsidR="00D87A0C" w:rsidRPr="00700585">
              <w:rPr>
                <w:rFonts w:ascii="Arial Narrow" w:hAnsi="Arial Narrow"/>
                <w:sz w:val="20"/>
              </w:rPr>
              <w:t>CAP</w:t>
            </w:r>
            <w:r w:rsidR="000A12CE" w:rsidRPr="00700585">
              <w:rPr>
                <w:rFonts w:ascii="Arial Narrow" w:hAnsi="Arial Narrow"/>
                <w:sz w:val="20"/>
              </w:rPr>
              <w:t>; 12.5% for IPD</w:t>
            </w:r>
            <w:r w:rsidRPr="00700585">
              <w:rPr>
                <w:rFonts w:ascii="Arial Narrow" w:hAnsi="Arial Narrow"/>
                <w:sz w:val="20"/>
              </w:rPr>
              <w:t>; 10.0% f</w:t>
            </w:r>
            <w:r w:rsidR="00D87A0C" w:rsidRPr="00700585">
              <w:rPr>
                <w:rFonts w:ascii="Arial Narrow" w:hAnsi="Arial Narrow"/>
                <w:sz w:val="20"/>
              </w:rPr>
              <w:t>or hospitalised CAP</w:t>
            </w:r>
          </w:p>
        </w:tc>
      </w:tr>
    </w:tbl>
    <w:p w:rsidR="00D06FD4" w:rsidRDefault="00D06FD4" w:rsidP="00230BF2">
      <w:pPr>
        <w:pStyle w:val="TableFooter"/>
        <w:widowControl/>
        <w:ind w:firstLine="720"/>
      </w:pPr>
      <w:r w:rsidRPr="00700585">
        <w:t>Source: compiled during the evaluation</w:t>
      </w:r>
    </w:p>
    <w:p w:rsidR="009E2710" w:rsidRPr="009E2710" w:rsidRDefault="009E2710" w:rsidP="009E2710">
      <w:pPr>
        <w:pStyle w:val="ListParagraph"/>
        <w:widowControl/>
        <w:rPr>
          <w:szCs w:val="22"/>
        </w:rPr>
      </w:pPr>
    </w:p>
    <w:p w:rsidR="00E42C41" w:rsidRPr="00700585" w:rsidRDefault="00E42C41" w:rsidP="00230BF2">
      <w:pPr>
        <w:pStyle w:val="ListParagraph"/>
        <w:widowControl/>
        <w:numPr>
          <w:ilvl w:val="1"/>
          <w:numId w:val="3"/>
        </w:numPr>
        <w:rPr>
          <w:szCs w:val="22"/>
        </w:rPr>
      </w:pPr>
      <w:r w:rsidRPr="00700585">
        <w:rPr>
          <w:szCs w:val="22"/>
        </w:rPr>
        <w:t>The key model drivers are summarised in Table</w:t>
      </w:r>
      <w:r w:rsidR="00346C14">
        <w:rPr>
          <w:szCs w:val="22"/>
        </w:rPr>
        <w:t xml:space="preserve"> 6</w:t>
      </w:r>
      <w:r w:rsidRPr="00700585">
        <w:rPr>
          <w:szCs w:val="22"/>
        </w:rPr>
        <w:t>.</w:t>
      </w:r>
    </w:p>
    <w:p w:rsidR="00E42C41" w:rsidRPr="00700585" w:rsidRDefault="00E42C41" w:rsidP="00230BF2">
      <w:pPr>
        <w:widowControl/>
        <w:rPr>
          <w:szCs w:val="22"/>
        </w:rPr>
      </w:pPr>
    </w:p>
    <w:p w:rsidR="00E42C41" w:rsidRPr="00700585" w:rsidRDefault="00E42C41" w:rsidP="00230BF2">
      <w:pPr>
        <w:widowControl/>
        <w:ind w:firstLine="720"/>
        <w:rPr>
          <w:rStyle w:val="CommentReference"/>
        </w:rPr>
      </w:pPr>
      <w:r w:rsidRPr="00700585">
        <w:rPr>
          <w:rStyle w:val="CommentReference"/>
        </w:rPr>
        <w:t>Table 6: Key drivers of the model</w:t>
      </w:r>
    </w:p>
    <w:tbl>
      <w:tblPr>
        <w:tblW w:w="467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4535"/>
        <w:gridCol w:w="2251"/>
      </w:tblGrid>
      <w:tr w:rsidR="00700585" w:rsidRPr="00700585" w:rsidTr="00846F39">
        <w:trPr>
          <w:tblHeader/>
        </w:trPr>
        <w:tc>
          <w:tcPr>
            <w:tcW w:w="1002" w:type="pct"/>
            <w:shd w:val="clear" w:color="auto" w:fill="auto"/>
            <w:vAlign w:val="center"/>
          </w:tcPr>
          <w:p w:rsidR="00E42C41" w:rsidRPr="00700585" w:rsidRDefault="00E42C41" w:rsidP="00230BF2">
            <w:pPr>
              <w:widowControl/>
              <w:jc w:val="left"/>
              <w:rPr>
                <w:rFonts w:ascii="Arial Narrow" w:hAnsi="Arial Narrow"/>
                <w:b/>
                <w:sz w:val="20"/>
                <w:lang w:val="en-US"/>
              </w:rPr>
            </w:pPr>
            <w:r w:rsidRPr="00700585">
              <w:rPr>
                <w:rFonts w:ascii="Arial Narrow" w:hAnsi="Arial Narrow"/>
                <w:b/>
                <w:sz w:val="20"/>
                <w:lang w:val="en-US"/>
              </w:rPr>
              <w:t>Description</w:t>
            </w:r>
          </w:p>
        </w:tc>
        <w:tc>
          <w:tcPr>
            <w:tcW w:w="2672" w:type="pct"/>
            <w:shd w:val="clear" w:color="auto" w:fill="auto"/>
            <w:vAlign w:val="center"/>
          </w:tcPr>
          <w:p w:rsidR="00E42C41" w:rsidRPr="00700585" w:rsidRDefault="00E42C41" w:rsidP="00230BF2">
            <w:pPr>
              <w:widowControl/>
              <w:jc w:val="center"/>
              <w:rPr>
                <w:rFonts w:ascii="Arial Narrow" w:hAnsi="Arial Narrow"/>
                <w:b/>
                <w:sz w:val="20"/>
                <w:lang w:val="en-US"/>
              </w:rPr>
            </w:pPr>
            <w:r w:rsidRPr="00700585">
              <w:rPr>
                <w:rFonts w:ascii="Arial Narrow" w:hAnsi="Arial Narrow"/>
                <w:b/>
                <w:sz w:val="20"/>
                <w:lang w:val="en-US"/>
              </w:rPr>
              <w:t>Method/Value</w:t>
            </w:r>
          </w:p>
        </w:tc>
        <w:tc>
          <w:tcPr>
            <w:tcW w:w="1326" w:type="pct"/>
            <w:shd w:val="clear" w:color="auto" w:fill="auto"/>
            <w:vAlign w:val="center"/>
          </w:tcPr>
          <w:p w:rsidR="00E42C41" w:rsidRPr="00700585" w:rsidRDefault="00E42C41" w:rsidP="00230BF2">
            <w:pPr>
              <w:widowControl/>
              <w:jc w:val="center"/>
              <w:rPr>
                <w:rFonts w:ascii="Arial Narrow" w:hAnsi="Arial Narrow"/>
                <w:b/>
                <w:sz w:val="20"/>
                <w:lang w:val="en-US"/>
              </w:rPr>
            </w:pPr>
            <w:r w:rsidRPr="00700585">
              <w:rPr>
                <w:rFonts w:ascii="Arial Narrow" w:hAnsi="Arial Narrow"/>
                <w:b/>
                <w:sz w:val="20"/>
                <w:lang w:val="en-US"/>
              </w:rPr>
              <w:t>Impact</w:t>
            </w:r>
          </w:p>
        </w:tc>
      </w:tr>
      <w:tr w:rsidR="00700585" w:rsidRPr="00700585" w:rsidTr="00846F39">
        <w:tc>
          <w:tcPr>
            <w:tcW w:w="1002" w:type="pct"/>
            <w:shd w:val="clear" w:color="auto" w:fill="auto"/>
            <w:vAlign w:val="center"/>
          </w:tcPr>
          <w:p w:rsidR="00E42C41" w:rsidRPr="00700585" w:rsidRDefault="00E42C41" w:rsidP="00230BF2">
            <w:pPr>
              <w:widowControl/>
              <w:jc w:val="left"/>
              <w:rPr>
                <w:rFonts w:ascii="Arial Narrow" w:hAnsi="Arial Narrow"/>
                <w:sz w:val="20"/>
                <w:lang w:val="en-US"/>
              </w:rPr>
            </w:pPr>
            <w:r w:rsidRPr="00700585">
              <w:rPr>
                <w:rFonts w:ascii="Arial Narrow" w:hAnsi="Arial Narrow"/>
                <w:sz w:val="20"/>
                <w:lang w:val="en-US"/>
              </w:rPr>
              <w:t xml:space="preserve">13vPCV efficacy for </w:t>
            </w:r>
            <w:r w:rsidRPr="00700585">
              <w:rPr>
                <w:rFonts w:ascii="Arial Narrow" w:hAnsi="Arial Narrow"/>
                <w:sz w:val="20"/>
              </w:rPr>
              <w:t>hospitalised</w:t>
            </w:r>
            <w:r w:rsidRPr="00700585">
              <w:rPr>
                <w:rFonts w:ascii="Arial Narrow" w:hAnsi="Arial Narrow"/>
                <w:sz w:val="20"/>
                <w:lang w:val="en-US"/>
              </w:rPr>
              <w:t xml:space="preserve"> </w:t>
            </w:r>
            <w:r w:rsidR="00D87A0C" w:rsidRPr="00700585">
              <w:rPr>
                <w:rFonts w:ascii="Arial Narrow" w:hAnsi="Arial Narrow"/>
                <w:sz w:val="20"/>
                <w:lang w:val="en-US"/>
              </w:rPr>
              <w:t>CAP</w:t>
            </w:r>
          </w:p>
        </w:tc>
        <w:tc>
          <w:tcPr>
            <w:tcW w:w="2672" w:type="pct"/>
            <w:shd w:val="clear" w:color="auto" w:fill="auto"/>
            <w:vAlign w:val="center"/>
          </w:tcPr>
          <w:p w:rsidR="00E42C41" w:rsidRPr="00700585" w:rsidRDefault="00E42C41" w:rsidP="00230BF2">
            <w:pPr>
              <w:widowControl/>
              <w:jc w:val="left"/>
              <w:rPr>
                <w:rFonts w:ascii="Arial Narrow" w:hAnsi="Arial Narrow"/>
                <w:sz w:val="20"/>
                <w:lang w:val="en-US"/>
              </w:rPr>
            </w:pPr>
            <w:r w:rsidRPr="00700585">
              <w:rPr>
                <w:rFonts w:ascii="Arial Narrow" w:hAnsi="Arial Narrow"/>
                <w:sz w:val="20"/>
                <w:lang w:val="en-US"/>
              </w:rPr>
              <w:t xml:space="preserve">Sourced from </w:t>
            </w:r>
            <w:proofErr w:type="spellStart"/>
            <w:r w:rsidRPr="00700585">
              <w:rPr>
                <w:rFonts w:ascii="Arial Narrow" w:hAnsi="Arial Narrow"/>
                <w:sz w:val="20"/>
                <w:lang w:val="en-US"/>
              </w:rPr>
              <w:t>CAPiTA</w:t>
            </w:r>
            <w:proofErr w:type="spellEnd"/>
            <w:r w:rsidRPr="00700585">
              <w:rPr>
                <w:rFonts w:ascii="Arial Narrow" w:hAnsi="Arial Narrow"/>
                <w:sz w:val="20"/>
                <w:lang w:val="en-US"/>
              </w:rPr>
              <w:t xml:space="preserve"> trial (37.7%), a RCT in 84,496 subjects</w:t>
            </w:r>
          </w:p>
        </w:tc>
        <w:tc>
          <w:tcPr>
            <w:tcW w:w="1326" w:type="pct"/>
            <w:shd w:val="clear" w:color="auto" w:fill="auto"/>
            <w:vAlign w:val="center"/>
          </w:tcPr>
          <w:p w:rsidR="00E42C41" w:rsidRPr="00700585" w:rsidRDefault="00E42C41" w:rsidP="00230BF2">
            <w:pPr>
              <w:widowControl/>
              <w:jc w:val="center"/>
              <w:rPr>
                <w:rFonts w:ascii="Arial Narrow" w:hAnsi="Arial Narrow"/>
                <w:sz w:val="20"/>
                <w:lang w:val="en-US"/>
              </w:rPr>
            </w:pPr>
            <w:r w:rsidRPr="00700585">
              <w:rPr>
                <w:rFonts w:ascii="Arial Narrow" w:hAnsi="Arial Narrow"/>
                <w:sz w:val="20"/>
                <w:lang w:val="en-US"/>
              </w:rPr>
              <w:t>High</w:t>
            </w:r>
          </w:p>
        </w:tc>
      </w:tr>
      <w:tr w:rsidR="00700585" w:rsidRPr="00700585" w:rsidTr="00846F39">
        <w:tc>
          <w:tcPr>
            <w:tcW w:w="1002" w:type="pct"/>
            <w:shd w:val="clear" w:color="auto" w:fill="auto"/>
            <w:vAlign w:val="center"/>
          </w:tcPr>
          <w:p w:rsidR="00E42C41" w:rsidRPr="00700585" w:rsidRDefault="00E42C41" w:rsidP="00230BF2">
            <w:pPr>
              <w:widowControl/>
              <w:jc w:val="left"/>
              <w:rPr>
                <w:rFonts w:ascii="Arial Narrow" w:hAnsi="Arial Narrow"/>
                <w:sz w:val="20"/>
                <w:lang w:val="en-US"/>
              </w:rPr>
            </w:pPr>
            <w:r w:rsidRPr="00700585">
              <w:rPr>
                <w:rFonts w:ascii="Arial Narrow" w:hAnsi="Arial Narrow"/>
                <w:sz w:val="20"/>
                <w:lang w:val="en-US"/>
              </w:rPr>
              <w:t xml:space="preserve">23vPPV efficacy for </w:t>
            </w:r>
            <w:r w:rsidRPr="00700585">
              <w:rPr>
                <w:rFonts w:ascii="Arial Narrow" w:hAnsi="Arial Narrow"/>
                <w:sz w:val="20"/>
              </w:rPr>
              <w:t>hospitalised</w:t>
            </w:r>
            <w:r w:rsidRPr="00700585">
              <w:rPr>
                <w:rFonts w:ascii="Arial Narrow" w:hAnsi="Arial Narrow"/>
                <w:sz w:val="20"/>
                <w:lang w:val="en-US"/>
              </w:rPr>
              <w:t xml:space="preserve"> </w:t>
            </w:r>
            <w:r w:rsidR="00846F39" w:rsidRPr="00700585">
              <w:rPr>
                <w:rFonts w:ascii="Arial Narrow" w:hAnsi="Arial Narrow"/>
                <w:sz w:val="20"/>
                <w:lang w:val="en-US"/>
              </w:rPr>
              <w:t>CAP</w:t>
            </w:r>
          </w:p>
        </w:tc>
        <w:tc>
          <w:tcPr>
            <w:tcW w:w="2672" w:type="pct"/>
            <w:shd w:val="clear" w:color="auto" w:fill="auto"/>
            <w:vAlign w:val="center"/>
          </w:tcPr>
          <w:p w:rsidR="00E42C41" w:rsidRPr="00700585" w:rsidRDefault="00E42C41" w:rsidP="00230BF2">
            <w:pPr>
              <w:widowControl/>
              <w:jc w:val="left"/>
              <w:rPr>
                <w:rFonts w:ascii="Arial Narrow" w:hAnsi="Arial Narrow"/>
                <w:sz w:val="20"/>
                <w:lang w:val="en-US"/>
              </w:rPr>
            </w:pPr>
            <w:r w:rsidRPr="00700585">
              <w:rPr>
                <w:rFonts w:ascii="Arial Narrow" w:hAnsi="Arial Narrow"/>
                <w:sz w:val="20"/>
                <w:lang w:val="en-US"/>
              </w:rPr>
              <w:t>Zero protective benefit assumed based on 5 underpowered RCTs in a total of 3,246 subjects</w:t>
            </w:r>
          </w:p>
        </w:tc>
        <w:tc>
          <w:tcPr>
            <w:tcW w:w="1326" w:type="pct"/>
            <w:shd w:val="clear" w:color="auto" w:fill="auto"/>
            <w:vAlign w:val="center"/>
          </w:tcPr>
          <w:p w:rsidR="00E42C41" w:rsidRPr="00700585" w:rsidRDefault="00E42C41" w:rsidP="00230BF2">
            <w:pPr>
              <w:widowControl/>
              <w:jc w:val="center"/>
              <w:rPr>
                <w:rFonts w:ascii="Arial Narrow" w:hAnsi="Arial Narrow"/>
                <w:sz w:val="20"/>
                <w:lang w:val="en-US"/>
              </w:rPr>
            </w:pPr>
            <w:r w:rsidRPr="00700585">
              <w:rPr>
                <w:rFonts w:ascii="Arial Narrow" w:hAnsi="Arial Narrow"/>
                <w:sz w:val="20"/>
                <w:lang w:val="en-US"/>
              </w:rPr>
              <w:t xml:space="preserve">High, </w:t>
            </w:r>
            <w:r w:rsidRPr="00700585">
              <w:rPr>
                <w:rFonts w:ascii="Arial Narrow" w:hAnsi="Arial Narrow"/>
                <w:sz w:val="20"/>
              </w:rPr>
              <w:t>favours</w:t>
            </w:r>
            <w:r w:rsidRPr="00700585">
              <w:rPr>
                <w:rFonts w:ascii="Arial Narrow" w:hAnsi="Arial Narrow"/>
                <w:sz w:val="20"/>
                <w:lang w:val="en-US"/>
              </w:rPr>
              <w:t xml:space="preserve"> 13vPCV</w:t>
            </w:r>
          </w:p>
        </w:tc>
      </w:tr>
      <w:tr w:rsidR="00700585" w:rsidRPr="00700585" w:rsidTr="00846F39">
        <w:tc>
          <w:tcPr>
            <w:tcW w:w="1002" w:type="pct"/>
            <w:shd w:val="clear" w:color="auto" w:fill="auto"/>
            <w:vAlign w:val="center"/>
          </w:tcPr>
          <w:p w:rsidR="00E42C41" w:rsidRPr="00700585" w:rsidRDefault="00BF14D3" w:rsidP="00230BF2">
            <w:pPr>
              <w:widowControl/>
              <w:jc w:val="left"/>
              <w:rPr>
                <w:rFonts w:ascii="Arial Narrow" w:hAnsi="Arial Narrow"/>
                <w:sz w:val="20"/>
                <w:lang w:val="en-US"/>
              </w:rPr>
            </w:pPr>
            <w:r w:rsidRPr="00700585">
              <w:rPr>
                <w:rFonts w:ascii="Arial Narrow" w:hAnsi="Arial Narrow"/>
                <w:sz w:val="20"/>
                <w:lang w:val="en-US"/>
              </w:rPr>
              <w:t>Time horizon/d</w:t>
            </w:r>
            <w:r w:rsidR="00846F39" w:rsidRPr="00700585">
              <w:rPr>
                <w:rFonts w:ascii="Arial Narrow" w:hAnsi="Arial Narrow"/>
                <w:sz w:val="20"/>
                <w:lang w:val="en-US"/>
              </w:rPr>
              <w:t>uration of protection</w:t>
            </w:r>
          </w:p>
        </w:tc>
        <w:tc>
          <w:tcPr>
            <w:tcW w:w="2672" w:type="pct"/>
            <w:shd w:val="clear" w:color="auto" w:fill="auto"/>
            <w:vAlign w:val="center"/>
          </w:tcPr>
          <w:p w:rsidR="00BF14D3" w:rsidRDefault="00BF14D3" w:rsidP="00230BF2">
            <w:pPr>
              <w:pStyle w:val="ListParagraph"/>
              <w:widowControl/>
              <w:ind w:left="0"/>
              <w:contextualSpacing w:val="0"/>
              <w:rPr>
                <w:rFonts w:ascii="Arial Narrow" w:hAnsi="Arial Narrow"/>
                <w:sz w:val="20"/>
                <w:lang w:val="en-US"/>
              </w:rPr>
            </w:pPr>
            <w:r w:rsidRPr="00700585">
              <w:rPr>
                <w:rFonts w:ascii="Arial Narrow" w:hAnsi="Arial Narrow"/>
                <w:sz w:val="20"/>
                <w:lang w:val="en-US"/>
              </w:rPr>
              <w:t>Time horizon</w:t>
            </w:r>
            <w:r w:rsidR="00527276">
              <w:rPr>
                <w:rFonts w:ascii="Arial Narrow" w:hAnsi="Arial Narrow"/>
                <w:sz w:val="20"/>
                <w:lang w:val="en-US"/>
              </w:rPr>
              <w:t xml:space="preserve">: </w:t>
            </w:r>
            <w:r w:rsidRPr="00700585">
              <w:rPr>
                <w:rFonts w:ascii="Arial Narrow" w:hAnsi="Arial Narrow"/>
                <w:sz w:val="20"/>
                <w:lang w:val="en-US"/>
              </w:rPr>
              <w:t>up to 18 years assumed from 2-4 year trial duration</w:t>
            </w:r>
          </w:p>
          <w:p w:rsidR="00527276" w:rsidRPr="00700585" w:rsidRDefault="00527276" w:rsidP="00230BF2">
            <w:pPr>
              <w:pStyle w:val="ListParagraph"/>
              <w:widowControl/>
              <w:ind w:left="0"/>
              <w:contextualSpacing w:val="0"/>
              <w:rPr>
                <w:rFonts w:ascii="Arial Narrow" w:hAnsi="Arial Narrow"/>
                <w:sz w:val="20"/>
              </w:rPr>
            </w:pPr>
            <w:r>
              <w:rPr>
                <w:rFonts w:ascii="Arial Narrow" w:hAnsi="Arial Narrow"/>
                <w:sz w:val="20"/>
                <w:lang w:val="en-US"/>
              </w:rPr>
              <w:t>Duration of protection:</w:t>
            </w:r>
          </w:p>
          <w:p w:rsidR="00552243" w:rsidRPr="00527276" w:rsidRDefault="00552243" w:rsidP="00527276">
            <w:pPr>
              <w:pStyle w:val="ListParagraph"/>
              <w:widowControl/>
              <w:numPr>
                <w:ilvl w:val="0"/>
                <w:numId w:val="1"/>
              </w:numPr>
              <w:ind w:left="113" w:hanging="113"/>
              <w:jc w:val="left"/>
              <w:rPr>
                <w:rFonts w:ascii="Arial Narrow" w:hAnsi="Arial Narrow"/>
                <w:sz w:val="20"/>
                <w:lang w:val="en-US"/>
              </w:rPr>
            </w:pPr>
            <w:r w:rsidRPr="00527276">
              <w:rPr>
                <w:rFonts w:ascii="Arial Narrow" w:hAnsi="Arial Narrow"/>
                <w:sz w:val="20"/>
                <w:lang w:val="en-US"/>
              </w:rPr>
              <w:t xml:space="preserve">13vPCV: </w:t>
            </w:r>
            <w:r w:rsidR="00846F39" w:rsidRPr="00527276">
              <w:rPr>
                <w:rFonts w:ascii="Arial Narrow" w:hAnsi="Arial Narrow"/>
                <w:sz w:val="20"/>
                <w:lang w:val="en-US"/>
              </w:rPr>
              <w:t>constant for 5 years, then declines over model duration</w:t>
            </w:r>
          </w:p>
          <w:p w:rsidR="00E42C41" w:rsidRPr="00527276" w:rsidRDefault="00552243" w:rsidP="00527276">
            <w:pPr>
              <w:pStyle w:val="ListParagraph"/>
              <w:widowControl/>
              <w:numPr>
                <w:ilvl w:val="0"/>
                <w:numId w:val="1"/>
              </w:numPr>
              <w:ind w:left="113" w:hanging="113"/>
              <w:jc w:val="left"/>
              <w:rPr>
                <w:rFonts w:ascii="Arial Narrow" w:hAnsi="Arial Narrow"/>
                <w:sz w:val="20"/>
              </w:rPr>
            </w:pPr>
            <w:r w:rsidRPr="00527276">
              <w:rPr>
                <w:rFonts w:ascii="Arial Narrow" w:hAnsi="Arial Narrow"/>
                <w:sz w:val="20"/>
                <w:lang w:val="en-US"/>
              </w:rPr>
              <w:t xml:space="preserve">23vPPV: </w:t>
            </w:r>
            <w:r w:rsidR="00846F39" w:rsidRPr="00527276">
              <w:rPr>
                <w:rFonts w:ascii="Arial Narrow" w:hAnsi="Arial Narrow"/>
                <w:sz w:val="20"/>
                <w:lang w:val="en-US"/>
              </w:rPr>
              <w:t>constant for</w:t>
            </w:r>
            <w:r w:rsidRPr="00527276">
              <w:rPr>
                <w:rFonts w:ascii="Arial Narrow" w:hAnsi="Arial Narrow"/>
                <w:sz w:val="20"/>
                <w:lang w:val="en-US"/>
              </w:rPr>
              <w:t xml:space="preserve"> 2 years, </w:t>
            </w:r>
            <w:r w:rsidR="00846F39" w:rsidRPr="00527276">
              <w:rPr>
                <w:rFonts w:ascii="Arial Narrow" w:hAnsi="Arial Narrow"/>
                <w:sz w:val="20"/>
                <w:lang w:val="en-US"/>
              </w:rPr>
              <w:t xml:space="preserve">then </w:t>
            </w:r>
            <w:r w:rsidRPr="00527276">
              <w:rPr>
                <w:rFonts w:ascii="Arial Narrow" w:hAnsi="Arial Narrow"/>
                <w:sz w:val="20"/>
                <w:lang w:val="en-US"/>
              </w:rPr>
              <w:t>decline</w:t>
            </w:r>
            <w:r w:rsidR="00846F39" w:rsidRPr="00527276">
              <w:rPr>
                <w:rFonts w:ascii="Arial Narrow" w:hAnsi="Arial Narrow"/>
                <w:sz w:val="20"/>
                <w:lang w:val="en-US"/>
              </w:rPr>
              <w:t>s to 0 by</w:t>
            </w:r>
            <w:r w:rsidRPr="00527276">
              <w:rPr>
                <w:rFonts w:ascii="Arial Narrow" w:hAnsi="Arial Narrow"/>
                <w:sz w:val="20"/>
                <w:lang w:val="en-US"/>
              </w:rPr>
              <w:t xml:space="preserve"> 5 years</w:t>
            </w:r>
          </w:p>
        </w:tc>
        <w:tc>
          <w:tcPr>
            <w:tcW w:w="1326" w:type="pct"/>
            <w:shd w:val="clear" w:color="auto" w:fill="auto"/>
            <w:vAlign w:val="center"/>
          </w:tcPr>
          <w:p w:rsidR="00E42C41" w:rsidRPr="00700585" w:rsidRDefault="00E42C41" w:rsidP="00230BF2">
            <w:pPr>
              <w:widowControl/>
              <w:jc w:val="center"/>
              <w:rPr>
                <w:rFonts w:ascii="Arial Narrow" w:hAnsi="Arial Narrow"/>
                <w:sz w:val="20"/>
                <w:lang w:val="en-US"/>
              </w:rPr>
            </w:pPr>
            <w:r w:rsidRPr="00700585">
              <w:rPr>
                <w:rFonts w:ascii="Arial Narrow" w:hAnsi="Arial Narrow"/>
                <w:sz w:val="20"/>
                <w:lang w:val="en-US"/>
              </w:rPr>
              <w:t xml:space="preserve">High, </w:t>
            </w:r>
            <w:r w:rsidRPr="00700585">
              <w:rPr>
                <w:rFonts w:ascii="Arial Narrow" w:hAnsi="Arial Narrow"/>
                <w:sz w:val="20"/>
              </w:rPr>
              <w:t>favours</w:t>
            </w:r>
            <w:r w:rsidRPr="00700585">
              <w:rPr>
                <w:rFonts w:ascii="Arial Narrow" w:hAnsi="Arial Narrow"/>
                <w:sz w:val="20"/>
                <w:lang w:val="en-US"/>
              </w:rPr>
              <w:t xml:space="preserve"> 13vPCV</w:t>
            </w:r>
          </w:p>
        </w:tc>
      </w:tr>
      <w:tr w:rsidR="00700585" w:rsidRPr="00700585" w:rsidTr="00846F39">
        <w:tc>
          <w:tcPr>
            <w:tcW w:w="1002" w:type="pct"/>
            <w:shd w:val="clear" w:color="auto" w:fill="auto"/>
            <w:vAlign w:val="center"/>
          </w:tcPr>
          <w:p w:rsidR="00E42C41" w:rsidRPr="00700585" w:rsidRDefault="00E42C41" w:rsidP="00230BF2">
            <w:pPr>
              <w:widowControl/>
              <w:jc w:val="left"/>
              <w:rPr>
                <w:rFonts w:ascii="Arial Narrow" w:hAnsi="Arial Narrow"/>
                <w:sz w:val="20"/>
                <w:lang w:val="en-US"/>
              </w:rPr>
            </w:pPr>
            <w:r w:rsidRPr="00700585">
              <w:rPr>
                <w:rFonts w:ascii="Arial Narrow" w:hAnsi="Arial Narrow"/>
                <w:sz w:val="20"/>
                <w:lang w:val="en-US"/>
              </w:rPr>
              <w:t xml:space="preserve">Incidence of VT </w:t>
            </w:r>
            <w:r w:rsidRPr="00700585">
              <w:rPr>
                <w:rFonts w:ascii="Arial Narrow" w:hAnsi="Arial Narrow"/>
                <w:sz w:val="20"/>
              </w:rPr>
              <w:t>hospitalised</w:t>
            </w:r>
            <w:r w:rsidRPr="00700585">
              <w:rPr>
                <w:rFonts w:ascii="Arial Narrow" w:hAnsi="Arial Narrow"/>
                <w:sz w:val="20"/>
                <w:lang w:val="en-US"/>
              </w:rPr>
              <w:t xml:space="preserve"> </w:t>
            </w:r>
            <w:r w:rsidR="00846F39" w:rsidRPr="00700585">
              <w:rPr>
                <w:rFonts w:ascii="Arial Narrow" w:hAnsi="Arial Narrow"/>
                <w:sz w:val="20"/>
                <w:lang w:val="en-US"/>
              </w:rPr>
              <w:t>CAP</w:t>
            </w:r>
          </w:p>
        </w:tc>
        <w:tc>
          <w:tcPr>
            <w:tcW w:w="2672" w:type="pct"/>
            <w:shd w:val="clear" w:color="auto" w:fill="auto"/>
            <w:vAlign w:val="center"/>
          </w:tcPr>
          <w:p w:rsidR="00552243" w:rsidRPr="00700585" w:rsidRDefault="00E42C41" w:rsidP="00230BF2">
            <w:pPr>
              <w:pStyle w:val="ListParagraph"/>
              <w:widowControl/>
              <w:numPr>
                <w:ilvl w:val="0"/>
                <w:numId w:val="1"/>
              </w:numPr>
              <w:ind w:left="113" w:hanging="113"/>
              <w:jc w:val="left"/>
              <w:rPr>
                <w:rFonts w:ascii="Arial Narrow" w:hAnsi="Arial Narrow"/>
                <w:sz w:val="20"/>
                <w:lang w:val="en-US"/>
              </w:rPr>
            </w:pPr>
            <w:r w:rsidRPr="00700585">
              <w:rPr>
                <w:rFonts w:ascii="Arial Narrow" w:hAnsi="Arial Narrow"/>
                <w:sz w:val="20"/>
                <w:lang w:val="en-US"/>
              </w:rPr>
              <w:t>Australian hospital admissions in 2010/2011 for pneumonia: 1,364/100,000 person years</w:t>
            </w:r>
          </w:p>
          <w:p w:rsidR="00552243" w:rsidRPr="00700585" w:rsidRDefault="00E42C41" w:rsidP="00230BF2">
            <w:pPr>
              <w:pStyle w:val="ListParagraph"/>
              <w:widowControl/>
              <w:numPr>
                <w:ilvl w:val="0"/>
                <w:numId w:val="1"/>
              </w:numPr>
              <w:ind w:left="113" w:hanging="113"/>
              <w:jc w:val="left"/>
              <w:rPr>
                <w:rFonts w:ascii="Arial Narrow" w:hAnsi="Arial Narrow"/>
                <w:sz w:val="20"/>
                <w:lang w:val="en-US"/>
              </w:rPr>
            </w:pPr>
            <w:r w:rsidRPr="00700585">
              <w:rPr>
                <w:rFonts w:ascii="Arial Narrow" w:hAnsi="Arial Narrow"/>
                <w:sz w:val="20"/>
                <w:lang w:val="en-US"/>
              </w:rPr>
              <w:t>20.6% due to pneumococci (ATAGI; hospital admissions coded as pneumococcal</w:t>
            </w:r>
            <w:r w:rsidR="004867A8" w:rsidRPr="00700585">
              <w:rPr>
                <w:rFonts w:ascii="Arial Narrow" w:hAnsi="Arial Narrow"/>
                <w:sz w:val="20"/>
                <w:lang w:val="en-US"/>
              </w:rPr>
              <w:t>)</w:t>
            </w:r>
          </w:p>
          <w:p w:rsidR="00E42C41" w:rsidRPr="00700585" w:rsidRDefault="00552243" w:rsidP="00230BF2">
            <w:pPr>
              <w:pStyle w:val="ListParagraph"/>
              <w:widowControl/>
              <w:numPr>
                <w:ilvl w:val="0"/>
                <w:numId w:val="1"/>
              </w:numPr>
              <w:ind w:left="113" w:hanging="113"/>
              <w:jc w:val="left"/>
              <w:rPr>
                <w:rFonts w:ascii="Arial Narrow" w:hAnsi="Arial Narrow"/>
                <w:sz w:val="20"/>
                <w:lang w:val="en-US"/>
              </w:rPr>
            </w:pPr>
            <w:r w:rsidRPr="00700585">
              <w:rPr>
                <w:rFonts w:ascii="Arial Narrow" w:hAnsi="Arial Narrow"/>
                <w:sz w:val="20"/>
                <w:lang w:val="en-US"/>
              </w:rPr>
              <w:t>30.6</w:t>
            </w:r>
            <w:r w:rsidR="00E42C41" w:rsidRPr="00700585">
              <w:rPr>
                <w:rFonts w:ascii="Arial Narrow" w:hAnsi="Arial Narrow"/>
                <w:sz w:val="20"/>
                <w:lang w:val="en-US"/>
              </w:rPr>
              <w:t>% due to 13vPCV serotypes (ATAGI;</w:t>
            </w:r>
            <w:r w:rsidR="004867A8" w:rsidRPr="00700585">
              <w:rPr>
                <w:rFonts w:ascii="Arial Narrow" w:hAnsi="Arial Narrow"/>
                <w:sz w:val="20"/>
                <w:lang w:val="en-US"/>
              </w:rPr>
              <w:t xml:space="preserve"> 2014</w:t>
            </w:r>
            <w:r w:rsidR="00E42C41" w:rsidRPr="00700585">
              <w:rPr>
                <w:rFonts w:ascii="Arial Narrow" w:hAnsi="Arial Narrow"/>
                <w:sz w:val="20"/>
                <w:lang w:val="en-US"/>
              </w:rPr>
              <w:t xml:space="preserve"> IPD serotype data)</w:t>
            </w:r>
          </w:p>
          <w:p w:rsidR="00846F39" w:rsidRPr="00700585" w:rsidRDefault="004867A8" w:rsidP="00230BF2">
            <w:pPr>
              <w:pStyle w:val="ListParagraph"/>
              <w:widowControl/>
              <w:numPr>
                <w:ilvl w:val="0"/>
                <w:numId w:val="1"/>
              </w:numPr>
              <w:ind w:left="113" w:hanging="113"/>
              <w:jc w:val="left"/>
              <w:rPr>
                <w:rFonts w:ascii="Arial Narrow" w:hAnsi="Arial Narrow"/>
                <w:sz w:val="20"/>
                <w:lang w:val="en-US"/>
              </w:rPr>
            </w:pPr>
            <w:r w:rsidRPr="00700585">
              <w:rPr>
                <w:rFonts w:ascii="Arial Narrow" w:hAnsi="Arial Narrow"/>
                <w:sz w:val="20"/>
                <w:lang w:val="en-US"/>
              </w:rPr>
              <w:t>VT CAP r</w:t>
            </w:r>
            <w:r w:rsidR="00846F39" w:rsidRPr="00700585">
              <w:rPr>
                <w:rFonts w:ascii="Arial Narrow" w:hAnsi="Arial Narrow"/>
                <w:sz w:val="20"/>
                <w:lang w:val="en-US"/>
              </w:rPr>
              <w:t xml:space="preserve">educed </w:t>
            </w:r>
            <w:r w:rsidRPr="00700585">
              <w:rPr>
                <w:rFonts w:ascii="Arial Narrow" w:hAnsi="Arial Narrow"/>
                <w:sz w:val="20"/>
                <w:lang w:val="en-US"/>
              </w:rPr>
              <w:t>over 8 year</w:t>
            </w:r>
            <w:r w:rsidR="00D1281D">
              <w:rPr>
                <w:rFonts w:ascii="Arial Narrow" w:hAnsi="Arial Narrow"/>
                <w:sz w:val="20"/>
                <w:lang w:val="en-US"/>
              </w:rPr>
              <w:t>s</w:t>
            </w:r>
            <w:r w:rsidRPr="00700585">
              <w:rPr>
                <w:rFonts w:ascii="Arial Narrow" w:hAnsi="Arial Narrow"/>
                <w:sz w:val="20"/>
                <w:lang w:val="en-US"/>
              </w:rPr>
              <w:t xml:space="preserve"> by up to 90% </w:t>
            </w:r>
            <w:r w:rsidR="00846F39" w:rsidRPr="00700585">
              <w:rPr>
                <w:rFonts w:ascii="Arial Narrow" w:hAnsi="Arial Narrow"/>
                <w:sz w:val="20"/>
                <w:lang w:val="en-US"/>
              </w:rPr>
              <w:t>to account for herd immunity from infant program</w:t>
            </w:r>
          </w:p>
        </w:tc>
        <w:tc>
          <w:tcPr>
            <w:tcW w:w="1326" w:type="pct"/>
            <w:shd w:val="clear" w:color="auto" w:fill="auto"/>
            <w:vAlign w:val="center"/>
          </w:tcPr>
          <w:p w:rsidR="00E42C41" w:rsidRPr="00700585" w:rsidRDefault="00846F39" w:rsidP="00230BF2">
            <w:pPr>
              <w:widowControl/>
              <w:jc w:val="center"/>
              <w:rPr>
                <w:rFonts w:ascii="Arial Narrow" w:hAnsi="Arial Narrow"/>
                <w:sz w:val="20"/>
                <w:lang w:val="en-US"/>
              </w:rPr>
            </w:pPr>
            <w:r w:rsidRPr="00700585">
              <w:rPr>
                <w:rFonts w:ascii="Arial Narrow" w:hAnsi="Arial Narrow"/>
                <w:sz w:val="20"/>
                <w:lang w:val="en-US"/>
              </w:rPr>
              <w:t>High</w:t>
            </w:r>
          </w:p>
          <w:p w:rsidR="00E42C41" w:rsidRPr="00700585" w:rsidRDefault="00E42C41" w:rsidP="00230BF2">
            <w:pPr>
              <w:widowControl/>
              <w:rPr>
                <w:rFonts w:ascii="Arial Narrow" w:hAnsi="Arial Narrow"/>
                <w:sz w:val="20"/>
                <w:lang w:val="en-US"/>
              </w:rPr>
            </w:pPr>
          </w:p>
        </w:tc>
      </w:tr>
      <w:tr w:rsidR="00700585" w:rsidRPr="00700585" w:rsidTr="00846F39">
        <w:tc>
          <w:tcPr>
            <w:tcW w:w="1002" w:type="pct"/>
            <w:shd w:val="clear" w:color="auto" w:fill="auto"/>
            <w:vAlign w:val="center"/>
          </w:tcPr>
          <w:p w:rsidR="00E42C41" w:rsidRPr="00700585" w:rsidRDefault="00BF14D3" w:rsidP="00230BF2">
            <w:pPr>
              <w:widowControl/>
              <w:jc w:val="left"/>
              <w:rPr>
                <w:rFonts w:ascii="Arial Narrow" w:hAnsi="Arial Narrow"/>
                <w:sz w:val="20"/>
                <w:lang w:val="en-US"/>
              </w:rPr>
            </w:pPr>
            <w:r w:rsidRPr="00700585">
              <w:rPr>
                <w:rFonts w:ascii="Arial Narrow" w:hAnsi="Arial Narrow"/>
                <w:sz w:val="20"/>
                <w:lang w:val="en-US"/>
              </w:rPr>
              <w:t>Distribution across the age cohorts</w:t>
            </w:r>
          </w:p>
        </w:tc>
        <w:tc>
          <w:tcPr>
            <w:tcW w:w="2672" w:type="pct"/>
            <w:shd w:val="clear" w:color="auto" w:fill="auto"/>
            <w:vAlign w:val="center"/>
          </w:tcPr>
          <w:p w:rsidR="00E42C41" w:rsidRPr="00700585" w:rsidRDefault="00BF14D3" w:rsidP="00230BF2">
            <w:pPr>
              <w:widowControl/>
              <w:jc w:val="left"/>
              <w:rPr>
                <w:rFonts w:ascii="Arial Narrow" w:hAnsi="Arial Narrow"/>
                <w:sz w:val="20"/>
                <w:lang w:val="en-US"/>
              </w:rPr>
            </w:pPr>
            <w:r w:rsidRPr="00700585">
              <w:rPr>
                <w:rFonts w:ascii="Arial Narrow" w:hAnsi="Arial Narrow"/>
                <w:sz w:val="20"/>
                <w:lang w:val="en-US"/>
              </w:rPr>
              <w:t>Based on distribution of Australian population</w:t>
            </w:r>
          </w:p>
        </w:tc>
        <w:tc>
          <w:tcPr>
            <w:tcW w:w="1326" w:type="pct"/>
            <w:shd w:val="clear" w:color="auto" w:fill="auto"/>
            <w:vAlign w:val="center"/>
          </w:tcPr>
          <w:p w:rsidR="00E42C41" w:rsidRPr="00700585" w:rsidRDefault="00BF14D3" w:rsidP="00230BF2">
            <w:pPr>
              <w:widowControl/>
              <w:jc w:val="center"/>
              <w:rPr>
                <w:rFonts w:ascii="Arial Narrow" w:hAnsi="Arial Narrow"/>
                <w:sz w:val="20"/>
                <w:lang w:val="en-US"/>
              </w:rPr>
            </w:pPr>
            <w:r w:rsidRPr="00700585">
              <w:rPr>
                <w:rFonts w:ascii="Arial Narrow" w:hAnsi="Arial Narrow"/>
                <w:sz w:val="20"/>
                <w:lang w:val="en-US"/>
              </w:rPr>
              <w:t>High</w:t>
            </w:r>
          </w:p>
        </w:tc>
      </w:tr>
    </w:tbl>
    <w:p w:rsidR="00E42C41" w:rsidRPr="00700585" w:rsidRDefault="00E42C41" w:rsidP="00230BF2">
      <w:pPr>
        <w:pStyle w:val="TableFooter"/>
        <w:widowControl/>
        <w:ind w:left="720" w:hanging="11"/>
      </w:pPr>
      <w:r w:rsidRPr="00700585">
        <w:t>Source: compiled during the evaluation</w:t>
      </w:r>
    </w:p>
    <w:p w:rsidR="00E42C41" w:rsidRPr="00700585" w:rsidRDefault="00E42C41" w:rsidP="00230BF2">
      <w:pPr>
        <w:widowControl/>
        <w:rPr>
          <w:szCs w:val="22"/>
          <w:highlight w:val="green"/>
        </w:rPr>
      </w:pPr>
    </w:p>
    <w:p w:rsidR="00D276FF" w:rsidRPr="00C52B69" w:rsidRDefault="00BF14D3" w:rsidP="00230BF2">
      <w:pPr>
        <w:pStyle w:val="ListParagraph"/>
        <w:widowControl/>
        <w:numPr>
          <w:ilvl w:val="1"/>
          <w:numId w:val="3"/>
        </w:numPr>
        <w:rPr>
          <w:szCs w:val="22"/>
        </w:rPr>
      </w:pPr>
      <w:r w:rsidRPr="00C52B69">
        <w:rPr>
          <w:szCs w:val="22"/>
        </w:rPr>
        <w:t>Compared with the July 2015 re-submission</w:t>
      </w:r>
      <w:r w:rsidR="00D276FF" w:rsidRPr="00C52B69">
        <w:rPr>
          <w:szCs w:val="22"/>
        </w:rPr>
        <w:t>, the following model inputs were changed</w:t>
      </w:r>
      <w:r w:rsidR="00382821" w:rsidRPr="00C52B69">
        <w:rPr>
          <w:szCs w:val="22"/>
        </w:rPr>
        <w:t xml:space="preserve"> in the base case analysis</w:t>
      </w:r>
      <w:r w:rsidR="00D276FF" w:rsidRPr="00C52B69">
        <w:rPr>
          <w:szCs w:val="22"/>
        </w:rPr>
        <w:t>:</w:t>
      </w:r>
    </w:p>
    <w:p w:rsidR="00D276FF" w:rsidRPr="00C52B69" w:rsidRDefault="00D276FF" w:rsidP="00230BF2">
      <w:pPr>
        <w:pStyle w:val="ListParagraph"/>
        <w:widowControl/>
        <w:numPr>
          <w:ilvl w:val="0"/>
          <w:numId w:val="2"/>
        </w:numPr>
        <w:ind w:left="993" w:hanging="284"/>
      </w:pPr>
      <w:r w:rsidRPr="00C52B69">
        <w:t xml:space="preserve">The cost of a dose of 13vPCV was reduced </w:t>
      </w:r>
      <w:r w:rsidR="00204853" w:rsidRPr="00C52B69">
        <w:t>to $</w:t>
      </w:r>
      <w:r w:rsidR="0091638E">
        <w:rPr>
          <w:noProof/>
          <w:color w:val="000000"/>
          <w:highlight w:val="black"/>
        </w:rPr>
        <w:t>''''''''''''''</w:t>
      </w:r>
      <w:r w:rsidR="00204853" w:rsidRPr="00C52B69">
        <w:t xml:space="preserve"> </w:t>
      </w:r>
      <w:r w:rsidRPr="00C52B69">
        <w:t xml:space="preserve">from </w:t>
      </w:r>
      <w:r w:rsidR="00204853" w:rsidRPr="00C52B69">
        <w:t>$</w:t>
      </w:r>
      <w:r w:rsidR="0091638E">
        <w:rPr>
          <w:noProof/>
          <w:color w:val="000000"/>
          <w:highlight w:val="black"/>
        </w:rPr>
        <w:t>'''''''''''''''</w:t>
      </w:r>
      <w:r w:rsidR="00204853" w:rsidRPr="00C52B69">
        <w:t xml:space="preserve"> in the March</w:t>
      </w:r>
      <w:r w:rsidR="00270CD5">
        <w:t> </w:t>
      </w:r>
      <w:r w:rsidR="00204853" w:rsidRPr="00C52B69">
        <w:t xml:space="preserve">2015 submission and </w:t>
      </w:r>
      <w:r w:rsidRPr="00C52B69">
        <w:t>$</w:t>
      </w:r>
      <w:r w:rsidR="0091638E">
        <w:rPr>
          <w:noProof/>
          <w:color w:val="000000"/>
          <w:highlight w:val="black"/>
        </w:rPr>
        <w:t>'''''''''''''</w:t>
      </w:r>
      <w:r w:rsidRPr="00C52B69">
        <w:t xml:space="preserve"> </w:t>
      </w:r>
      <w:r w:rsidR="00D1281D" w:rsidRPr="00C52B69">
        <w:t xml:space="preserve">in the July 2015 </w:t>
      </w:r>
      <w:r w:rsidR="00204853" w:rsidRPr="00C52B69">
        <w:t>resubmission</w:t>
      </w:r>
      <w:r w:rsidRPr="00C52B69">
        <w:t>.</w:t>
      </w:r>
    </w:p>
    <w:p w:rsidR="00C164BD" w:rsidRPr="00C52B69" w:rsidRDefault="00C164BD" w:rsidP="00230BF2">
      <w:pPr>
        <w:pStyle w:val="ListParagraph"/>
        <w:widowControl/>
        <w:numPr>
          <w:ilvl w:val="0"/>
          <w:numId w:val="2"/>
        </w:numPr>
        <w:ind w:left="993" w:hanging="284"/>
      </w:pPr>
      <w:r w:rsidRPr="00C52B69">
        <w:t>Duration of protection</w:t>
      </w:r>
      <w:r w:rsidR="00D1281D" w:rsidRPr="00C52B69">
        <w:t>:</w:t>
      </w:r>
    </w:p>
    <w:p w:rsidR="00C164BD" w:rsidRPr="00C52B69" w:rsidRDefault="00C164BD" w:rsidP="00230BF2">
      <w:pPr>
        <w:pStyle w:val="ListParagraph"/>
        <w:widowControl/>
        <w:numPr>
          <w:ilvl w:val="0"/>
          <w:numId w:val="13"/>
        </w:numPr>
        <w:ind w:left="1276" w:hanging="283"/>
      </w:pPr>
      <w:r w:rsidRPr="00C52B69">
        <w:t>13vPCV</w:t>
      </w:r>
      <w:r w:rsidR="00151865" w:rsidRPr="00C52B69">
        <w:t xml:space="preserve"> VE protection against IPD</w:t>
      </w:r>
      <w:r w:rsidRPr="00C52B69">
        <w:t xml:space="preserve">: </w:t>
      </w:r>
      <w:r w:rsidR="00921961" w:rsidRPr="00C52B69">
        <w:t xml:space="preserve">efficacy </w:t>
      </w:r>
      <w:r w:rsidR="006F02F1" w:rsidRPr="00C52B69">
        <w:t xml:space="preserve">was </w:t>
      </w:r>
      <w:r w:rsidR="00921961" w:rsidRPr="00C52B69">
        <w:t xml:space="preserve">assumed to wane </w:t>
      </w:r>
      <w:r w:rsidR="00CF13ED" w:rsidRPr="00C52B69">
        <w:t>over 18</w:t>
      </w:r>
      <w:r w:rsidR="00346C14" w:rsidRPr="00C52B69">
        <w:t> </w:t>
      </w:r>
      <w:r w:rsidR="00CF13ED" w:rsidRPr="00C52B69">
        <w:t xml:space="preserve">years </w:t>
      </w:r>
      <w:r w:rsidR="00921961" w:rsidRPr="00C52B69">
        <w:t>in a</w:t>
      </w:r>
      <w:r w:rsidR="005B2489" w:rsidRPr="00C52B69">
        <w:t>n increasing</w:t>
      </w:r>
      <w:r w:rsidR="00921961" w:rsidRPr="00C52B69">
        <w:t xml:space="preserve"> stepwise manner </w:t>
      </w:r>
      <w:r w:rsidR="00CF13ED" w:rsidRPr="00C52B69">
        <w:t>instead of</w:t>
      </w:r>
      <w:r w:rsidR="00921961" w:rsidRPr="00C52B69">
        <w:t xml:space="preserve"> linearly. This ha</w:t>
      </w:r>
      <w:r w:rsidR="00D1281D" w:rsidRPr="00C52B69">
        <w:t>d</w:t>
      </w:r>
      <w:r w:rsidR="00921961" w:rsidRPr="00C52B69">
        <w:t xml:space="preserve"> minimal impact on the results</w:t>
      </w:r>
      <w:r w:rsidR="0048537D" w:rsidRPr="00C52B69">
        <w:t xml:space="preserve">. </w:t>
      </w:r>
      <w:r w:rsidR="00123B6D" w:rsidRPr="00C52B69">
        <w:rPr>
          <w:szCs w:val="22"/>
        </w:rPr>
        <w:t>The submission concluded</w:t>
      </w:r>
      <w:r w:rsidR="00D1281D" w:rsidRPr="00C52B69">
        <w:rPr>
          <w:szCs w:val="22"/>
        </w:rPr>
        <w:t xml:space="preserve"> 13vPCV is effective for at least 5 years,</w:t>
      </w:r>
      <w:r w:rsidR="00123B6D" w:rsidRPr="00C52B69">
        <w:rPr>
          <w:szCs w:val="22"/>
        </w:rPr>
        <w:t xml:space="preserve"> based on immunogenicity trial B1851020, however </w:t>
      </w:r>
      <w:r w:rsidR="008E5A39" w:rsidRPr="00C52B69">
        <w:rPr>
          <w:szCs w:val="22"/>
        </w:rPr>
        <w:t xml:space="preserve">neither </w:t>
      </w:r>
      <w:r w:rsidR="00123B6D" w:rsidRPr="00C52B69">
        <w:rPr>
          <w:szCs w:val="22"/>
        </w:rPr>
        <w:lastRenderedPageBreak/>
        <w:t xml:space="preserve">clinical </w:t>
      </w:r>
      <w:r w:rsidR="008E5A39" w:rsidRPr="00C52B69">
        <w:rPr>
          <w:szCs w:val="22"/>
        </w:rPr>
        <w:t>or</w:t>
      </w:r>
      <w:r w:rsidR="00123B6D" w:rsidRPr="00C52B69">
        <w:rPr>
          <w:szCs w:val="22"/>
        </w:rPr>
        <w:t xml:space="preserve"> immunogenicity data </w:t>
      </w:r>
      <w:r w:rsidR="00495BC3" w:rsidRPr="00C52B69">
        <w:rPr>
          <w:szCs w:val="22"/>
        </w:rPr>
        <w:t xml:space="preserve">were </w:t>
      </w:r>
      <w:r w:rsidR="00123B6D" w:rsidRPr="00C52B69">
        <w:rPr>
          <w:szCs w:val="22"/>
        </w:rPr>
        <w:t>available to support a duration of protection of longer than 5 years.</w:t>
      </w:r>
    </w:p>
    <w:p w:rsidR="000555D1" w:rsidRPr="00C52B69" w:rsidRDefault="000555D1" w:rsidP="00230BF2">
      <w:pPr>
        <w:pStyle w:val="ListParagraph"/>
        <w:widowControl/>
        <w:numPr>
          <w:ilvl w:val="0"/>
          <w:numId w:val="13"/>
        </w:numPr>
        <w:ind w:left="1276" w:hanging="283"/>
      </w:pPr>
      <w:r w:rsidRPr="00C52B69">
        <w:t xml:space="preserve">13vPCV VE protection against CAP: VE was assumed to wane over 18 years </w:t>
      </w:r>
      <w:r w:rsidR="006C2618" w:rsidRPr="00C52B69">
        <w:t>in a similar fashion</w:t>
      </w:r>
      <w:r w:rsidRPr="00C52B69">
        <w:t xml:space="preserve"> to IPD. </w:t>
      </w:r>
      <w:r w:rsidR="001769B2" w:rsidRPr="00C52B69">
        <w:t xml:space="preserve">The </w:t>
      </w:r>
      <w:r w:rsidR="00A7072A" w:rsidRPr="00C52B69">
        <w:t xml:space="preserve">evaluation considered that the </w:t>
      </w:r>
      <w:r w:rsidR="001769B2" w:rsidRPr="00C52B69">
        <w:t>assumed duration of benefit with 13vPCV (up to 18 years) appear</w:t>
      </w:r>
      <w:r w:rsidR="00750135" w:rsidRPr="00C52B69">
        <w:t>ed</w:t>
      </w:r>
      <w:r w:rsidR="001769B2" w:rsidRPr="00C52B69">
        <w:t xml:space="preserve"> inconsistent with the recommendation to revaccinate </w:t>
      </w:r>
      <w:r w:rsidR="001426E3" w:rsidRPr="00C52B69">
        <w:t xml:space="preserve">high-risk individuals </w:t>
      </w:r>
      <w:r w:rsidR="001769B2" w:rsidRPr="00C52B69">
        <w:t>after 5 years</w:t>
      </w:r>
      <w:r w:rsidR="00A7072A" w:rsidRPr="00C52B69">
        <w:t xml:space="preserve"> with 23vPPV</w:t>
      </w:r>
      <w:r w:rsidR="001769B2" w:rsidRPr="00C52B69">
        <w:t>.</w:t>
      </w:r>
      <w:r w:rsidR="00E66CD1" w:rsidRPr="00C52B69">
        <w:t xml:space="preserve"> However, ATAGI advised that </w:t>
      </w:r>
      <w:r w:rsidR="00667BD2" w:rsidRPr="00C52B69">
        <w:t xml:space="preserve">the </w:t>
      </w:r>
      <w:r w:rsidR="00667BD2" w:rsidRPr="00C52B69">
        <w:rPr>
          <w:snapToGrid/>
          <w:szCs w:val="22"/>
          <w:lang w:eastAsia="en-AU"/>
        </w:rPr>
        <w:t xml:space="preserve">primary expected benefit of recommending a dose of 23vPPV following 13vPCV for high risk individuals is for protection against pneumococcal disease due to the additional (23v-non-13v) serotypes, rather than boosting of effects against the common serotypes </w:t>
      </w:r>
      <w:r w:rsidR="00E66CD1" w:rsidRPr="00C52B69">
        <w:rPr>
          <w:szCs w:val="22"/>
        </w:rPr>
        <w:t>(post-submission advice).</w:t>
      </w:r>
      <w:r w:rsidR="00C33EAD" w:rsidRPr="00C52B69">
        <w:rPr>
          <w:szCs w:val="22"/>
        </w:rPr>
        <w:t xml:space="preserve"> The ESC noted that the economic analysis only modelled the single dose of 13vPCV and not the impact on the effectiveness of the subsequent doses of 23vPPV.</w:t>
      </w:r>
    </w:p>
    <w:p w:rsidR="00C164BD" w:rsidRPr="00C52B69" w:rsidRDefault="00C164BD" w:rsidP="008C130A">
      <w:pPr>
        <w:pStyle w:val="ListParagraph"/>
        <w:widowControl/>
        <w:numPr>
          <w:ilvl w:val="1"/>
          <w:numId w:val="2"/>
        </w:numPr>
        <w:ind w:left="1276" w:hanging="283"/>
      </w:pPr>
      <w:r w:rsidRPr="00C52B69">
        <w:t>23vPPV</w:t>
      </w:r>
      <w:r w:rsidR="00ED29D2" w:rsidRPr="00C52B69">
        <w:t xml:space="preserve"> VE protection against </w:t>
      </w:r>
      <w:r w:rsidR="0048537D" w:rsidRPr="00C52B69">
        <w:t>IPD</w:t>
      </w:r>
      <w:r w:rsidRPr="00C52B69">
        <w:t xml:space="preserve">: </w:t>
      </w:r>
      <w:r w:rsidR="00921961" w:rsidRPr="00C52B69">
        <w:t>no efficacy assumed after 5 years</w:t>
      </w:r>
      <w:r w:rsidR="00C34BCF" w:rsidRPr="00C52B69">
        <w:t>.</w:t>
      </w:r>
      <w:r w:rsidR="00123B6D" w:rsidRPr="00C52B69">
        <w:t xml:space="preserve"> The efficacy of 23vPPV </w:t>
      </w:r>
      <w:r w:rsidR="007828E7" w:rsidRPr="00C52B69">
        <w:t>wa</w:t>
      </w:r>
      <w:r w:rsidR="00123B6D" w:rsidRPr="00C52B69">
        <w:t>s assumed to be constant for the first two years, and then linearly decrease</w:t>
      </w:r>
      <w:r w:rsidR="007828E7" w:rsidRPr="00C52B69">
        <w:t>d</w:t>
      </w:r>
      <w:r w:rsidR="00123B6D" w:rsidRPr="00C52B69">
        <w:t xml:space="preserve"> to zero from Years 2 to 5.</w:t>
      </w:r>
      <w:r w:rsidR="00C34BCF" w:rsidRPr="00C52B69">
        <w:t xml:space="preserve"> In the previous submission a </w:t>
      </w:r>
      <w:r w:rsidR="00921961" w:rsidRPr="00C52B69">
        <w:t xml:space="preserve">linear decline over </w:t>
      </w:r>
      <w:r w:rsidR="00CF13ED" w:rsidRPr="00C52B69">
        <w:t>18 years</w:t>
      </w:r>
      <w:r w:rsidR="00C34BCF" w:rsidRPr="00C52B69">
        <w:t xml:space="preserve"> was assumed</w:t>
      </w:r>
      <w:r w:rsidR="00921961" w:rsidRPr="00C52B69">
        <w:t>.</w:t>
      </w:r>
      <w:r w:rsidR="00123B6D" w:rsidRPr="00C52B69">
        <w:t xml:space="preserve"> </w:t>
      </w:r>
      <w:r w:rsidR="00921961" w:rsidRPr="00C52B69">
        <w:t>The</w:t>
      </w:r>
      <w:r w:rsidR="00C34BCF" w:rsidRPr="00C52B69">
        <w:t xml:space="preserve"> assumed differential waning rates between </w:t>
      </w:r>
      <w:r w:rsidR="00921961" w:rsidRPr="00C52B69">
        <w:t xml:space="preserve">23vPPV </w:t>
      </w:r>
      <w:r w:rsidR="00C34BCF" w:rsidRPr="00C52B69">
        <w:t xml:space="preserve">and </w:t>
      </w:r>
      <w:r w:rsidR="00921961" w:rsidRPr="00C52B69">
        <w:t>13vPCV result</w:t>
      </w:r>
      <w:r w:rsidR="007828E7" w:rsidRPr="00C52B69">
        <w:t>ed</w:t>
      </w:r>
      <w:r w:rsidR="00921961" w:rsidRPr="00C52B69">
        <w:t xml:space="preserve"> in 13vPCV preventing more cases of IPD</w:t>
      </w:r>
      <w:r w:rsidR="00B1270D" w:rsidRPr="00C52B69">
        <w:t xml:space="preserve"> despite the reduced serotype coverage</w:t>
      </w:r>
      <w:r w:rsidR="006F02F1" w:rsidRPr="00C52B69">
        <w:t xml:space="preserve"> (</w:t>
      </w:r>
      <w:r w:rsidR="009A67E5" w:rsidRPr="00C52B69">
        <w:t xml:space="preserve">bacteraemia and meningitis in </w:t>
      </w:r>
      <w:r w:rsidR="006F02F1" w:rsidRPr="00C52B69">
        <w:t>Table 7)</w:t>
      </w:r>
      <w:r w:rsidR="00B1270D" w:rsidRPr="00C52B69">
        <w:t xml:space="preserve">. This is inconsistent with the claim of equivalent effectiveness for the prevention of IPD. </w:t>
      </w:r>
      <w:r w:rsidR="009A67E5" w:rsidRPr="00C52B69">
        <w:t>By comparison, t</w:t>
      </w:r>
      <w:r w:rsidR="00B1270D" w:rsidRPr="00C52B69">
        <w:t>he July 2015 model</w:t>
      </w:r>
      <w:r w:rsidR="00921961" w:rsidRPr="00C52B69">
        <w:t xml:space="preserve"> </w:t>
      </w:r>
      <w:r w:rsidR="00B1270D" w:rsidRPr="00C52B69">
        <w:t>estimated an increase in IPD due to the reduced serotype coverage with 13vPCV.</w:t>
      </w:r>
    </w:p>
    <w:p w:rsidR="000E63DB" w:rsidRPr="00C52B69" w:rsidRDefault="006F02F1" w:rsidP="00230BF2">
      <w:pPr>
        <w:pStyle w:val="ListParagraph"/>
        <w:widowControl/>
        <w:numPr>
          <w:ilvl w:val="0"/>
          <w:numId w:val="2"/>
        </w:numPr>
        <w:ind w:left="993" w:hanging="284"/>
      </w:pPr>
      <w:r w:rsidRPr="00C52B69">
        <w:t xml:space="preserve">The incidence of </w:t>
      </w:r>
      <w:r w:rsidR="00CF13ED" w:rsidRPr="00C52B69">
        <w:t>VT-</w:t>
      </w:r>
      <w:r w:rsidRPr="00C52B69">
        <w:t>CAP was reduced over time to account for herd</w:t>
      </w:r>
      <w:r w:rsidR="00C164BD" w:rsidRPr="00C52B69">
        <w:t xml:space="preserve"> eff</w:t>
      </w:r>
      <w:r w:rsidR="006B5B11" w:rsidRPr="00C52B69">
        <w:t xml:space="preserve">ects from </w:t>
      </w:r>
      <w:r w:rsidRPr="00C52B69">
        <w:t xml:space="preserve">the </w:t>
      </w:r>
      <w:r w:rsidR="006B5B11" w:rsidRPr="00C52B69">
        <w:t>13vPCV infant program</w:t>
      </w:r>
      <w:r w:rsidR="00C164BD" w:rsidRPr="00C52B69">
        <w:t xml:space="preserve">. </w:t>
      </w:r>
      <w:r w:rsidR="002758F8" w:rsidRPr="00C52B69">
        <w:t>Th</w:t>
      </w:r>
      <w:r w:rsidR="00A7072A" w:rsidRPr="00C52B69">
        <w:t>e evaluation considered that this</w:t>
      </w:r>
      <w:r w:rsidR="002758F8" w:rsidRPr="00C52B69">
        <w:t xml:space="preserve"> wa</w:t>
      </w:r>
      <w:r w:rsidR="00C164BD" w:rsidRPr="00C52B69">
        <w:t>s impleme</w:t>
      </w:r>
      <w:r w:rsidR="00FD7F06" w:rsidRPr="00C52B69">
        <w:t>nted incorrectly in the model</w:t>
      </w:r>
      <w:r w:rsidR="002D7B72" w:rsidRPr="00C52B69">
        <w:t xml:space="preserve"> because:</w:t>
      </w:r>
    </w:p>
    <w:p w:rsidR="000E63DB" w:rsidRPr="00C52B69" w:rsidRDefault="000E63DB" w:rsidP="00230BF2">
      <w:pPr>
        <w:pStyle w:val="ListParagraph"/>
        <w:widowControl/>
        <w:numPr>
          <w:ilvl w:val="0"/>
          <w:numId w:val="13"/>
        </w:numPr>
      </w:pPr>
      <w:r w:rsidRPr="00C52B69">
        <w:t>T</w:t>
      </w:r>
      <w:r w:rsidR="00C164BD" w:rsidRPr="00C52B69">
        <w:t xml:space="preserve">he reduction </w:t>
      </w:r>
      <w:r w:rsidR="006F02F1" w:rsidRPr="00C52B69">
        <w:t>was</w:t>
      </w:r>
      <w:r w:rsidR="00C164BD" w:rsidRPr="00C52B69">
        <w:t xml:space="preserve"> applied</w:t>
      </w:r>
      <w:r w:rsidR="006F02F1" w:rsidRPr="00C52B69">
        <w:t xml:space="preserve"> to all 13vPCV serotypes rather than</w:t>
      </w:r>
      <w:r w:rsidR="00C164BD" w:rsidRPr="00C52B69">
        <w:t xml:space="preserve"> only</w:t>
      </w:r>
      <w:r w:rsidR="00FD7F06" w:rsidRPr="00C52B69">
        <w:t xml:space="preserve"> </w:t>
      </w:r>
      <w:r w:rsidR="006F02F1" w:rsidRPr="00C52B69">
        <w:t>the</w:t>
      </w:r>
      <w:r w:rsidR="00FD7F06" w:rsidRPr="00C52B69">
        <w:t xml:space="preserve"> 13v</w:t>
      </w:r>
      <w:r w:rsidR="009D1956" w:rsidRPr="00C52B69">
        <w:noBreakHyphen/>
      </w:r>
      <w:r w:rsidR="00FD7F06" w:rsidRPr="00C52B69">
        <w:t xml:space="preserve">non7vPCV serotypes. </w:t>
      </w:r>
      <w:r w:rsidR="006B2F03" w:rsidRPr="00C52B69">
        <w:t xml:space="preserve">The impact of the 7vPCV infant program (which was introduced in 2005) on the incidence of </w:t>
      </w:r>
      <w:r w:rsidR="00CF13ED" w:rsidRPr="00C52B69">
        <w:t>CAP in</w:t>
      </w:r>
      <w:r w:rsidR="006B2F03" w:rsidRPr="00C52B69">
        <w:t xml:space="preserve"> adults i</w:t>
      </w:r>
      <w:r w:rsidR="00CF13ED" w:rsidRPr="00C52B69">
        <w:t>s</w:t>
      </w:r>
      <w:r w:rsidR="006B2F03" w:rsidRPr="00C52B69">
        <w:t xml:space="preserve"> expected to have already reached its maximal effect and hence no f</w:t>
      </w:r>
      <w:r w:rsidR="006F02F1" w:rsidRPr="00C52B69">
        <w:t>urther reductions in</w:t>
      </w:r>
      <w:r w:rsidR="00CF13ED" w:rsidRPr="00C52B69">
        <w:t xml:space="preserve"> the</w:t>
      </w:r>
      <w:r w:rsidR="006F02F1" w:rsidRPr="00C52B69">
        <w:t xml:space="preserve"> incidence </w:t>
      </w:r>
      <w:r w:rsidR="006B2F03" w:rsidRPr="00C52B69">
        <w:t xml:space="preserve">of disease </w:t>
      </w:r>
      <w:r w:rsidR="006F02F1" w:rsidRPr="00C52B69">
        <w:t>due to the 7vPCV serotypes</w:t>
      </w:r>
      <w:r w:rsidR="006B2F03" w:rsidRPr="00C52B69">
        <w:t xml:space="preserve"> is expected</w:t>
      </w:r>
      <w:r w:rsidR="00AB0CA4" w:rsidRPr="00C52B69">
        <w:t>;</w:t>
      </w:r>
    </w:p>
    <w:p w:rsidR="000E63DB" w:rsidRPr="00C52B69" w:rsidRDefault="000E63DB" w:rsidP="00230BF2">
      <w:pPr>
        <w:pStyle w:val="ListParagraph"/>
        <w:widowControl/>
        <w:numPr>
          <w:ilvl w:val="0"/>
          <w:numId w:val="13"/>
        </w:numPr>
      </w:pPr>
      <w:r w:rsidRPr="00C52B69">
        <w:t>CAP incidence data from 2012 are combined with serotype data from 2014</w:t>
      </w:r>
      <w:r w:rsidR="00AB0CA4" w:rsidRPr="00C52B69">
        <w:t>; and</w:t>
      </w:r>
    </w:p>
    <w:p w:rsidR="006F02F1" w:rsidRPr="00C52B69" w:rsidRDefault="000E63DB" w:rsidP="00230BF2">
      <w:pPr>
        <w:pStyle w:val="ListParagraph"/>
        <w:widowControl/>
        <w:numPr>
          <w:ilvl w:val="0"/>
          <w:numId w:val="13"/>
        </w:numPr>
      </w:pPr>
      <w:r w:rsidRPr="00C52B69">
        <w:t>T</w:t>
      </w:r>
      <w:r w:rsidR="00C164BD" w:rsidRPr="00C52B69">
        <w:t xml:space="preserve">he proportion </w:t>
      </w:r>
      <w:r w:rsidR="00CF13ED" w:rsidRPr="00C52B69">
        <w:t xml:space="preserve">of </w:t>
      </w:r>
      <w:r w:rsidR="00C164BD" w:rsidRPr="00C52B69">
        <w:t xml:space="preserve">pneumococcal CAP </w:t>
      </w:r>
      <w:r w:rsidR="006B2F03" w:rsidRPr="00C52B69">
        <w:t xml:space="preserve">due to 13vPCV serotypes </w:t>
      </w:r>
      <w:r w:rsidR="009B31B4">
        <w:t xml:space="preserve">was </w:t>
      </w:r>
      <w:r w:rsidR="00C164BD" w:rsidRPr="00C52B69">
        <w:t>not reduced</w:t>
      </w:r>
      <w:r w:rsidR="00E26207" w:rsidRPr="00C52B69">
        <w:t xml:space="preserve"> sufficiently</w:t>
      </w:r>
      <w:r w:rsidR="00C164BD" w:rsidRPr="00C52B69">
        <w:t xml:space="preserve"> in future years to account for the impact of the herd immunity.</w:t>
      </w:r>
      <w:r w:rsidR="006F02F1" w:rsidRPr="00C52B69">
        <w:t xml:space="preserve"> </w:t>
      </w:r>
      <w:r w:rsidR="006B2F03" w:rsidRPr="00C52B69">
        <w:t xml:space="preserve">The proportion was reduced from </w:t>
      </w:r>
      <w:r w:rsidR="006B2F03" w:rsidRPr="00EC513F">
        <w:t>35.1</w:t>
      </w:r>
      <w:r w:rsidR="006B2F03" w:rsidRPr="00C52B69">
        <w:t xml:space="preserve">% </w:t>
      </w:r>
      <w:r w:rsidR="00E26207" w:rsidRPr="00C52B69">
        <w:t xml:space="preserve">in the July 2015 model </w:t>
      </w:r>
      <w:r w:rsidR="006B2F03" w:rsidRPr="00C52B69">
        <w:t xml:space="preserve">to </w:t>
      </w:r>
      <w:r w:rsidR="006B2F03" w:rsidRPr="00EC513F">
        <w:t>30.6</w:t>
      </w:r>
      <w:r w:rsidR="006B2F03" w:rsidRPr="00C52B69">
        <w:t>% based on 2014 serotype data</w:t>
      </w:r>
      <w:r w:rsidR="00E26207" w:rsidRPr="00C52B69">
        <w:t>, however</w:t>
      </w:r>
      <w:r w:rsidR="006B2F03" w:rsidRPr="00C52B69">
        <w:t xml:space="preserve"> further reductions are expected beyond 2014 as the 13vPCV infant program was</w:t>
      </w:r>
      <w:r w:rsidR="00E26207" w:rsidRPr="00C52B69">
        <w:t xml:space="preserve"> only</w:t>
      </w:r>
      <w:r w:rsidR="006B2F03" w:rsidRPr="00C52B69">
        <w:t xml:space="preserve"> introduced in 2011.</w:t>
      </w:r>
    </w:p>
    <w:p w:rsidR="002D3B21" w:rsidRPr="00C52B69" w:rsidRDefault="00A7072A" w:rsidP="004B64E6">
      <w:pPr>
        <w:pStyle w:val="ListParagraph"/>
        <w:widowControl/>
        <w:numPr>
          <w:ilvl w:val="0"/>
          <w:numId w:val="13"/>
        </w:numPr>
      </w:pPr>
      <w:r w:rsidRPr="00C52B69">
        <w:t xml:space="preserve">The PSCR disagreed that the impact of the herd immunity from the 13vPCV infant program was underestimated. The PSCR stated that herd effects were calculated </w:t>
      </w:r>
      <w:r w:rsidR="00556BF4" w:rsidRPr="00C52B69">
        <w:t>using</w:t>
      </w:r>
      <w:r w:rsidRPr="00C52B69">
        <w:t xml:space="preserve"> the same method</w:t>
      </w:r>
      <w:r w:rsidR="00556BF4" w:rsidRPr="00C52B69">
        <w:t>ology</w:t>
      </w:r>
      <w:r w:rsidRPr="00C52B69">
        <w:t xml:space="preserve"> as that used to estimate IPD herd effects. </w:t>
      </w:r>
    </w:p>
    <w:p w:rsidR="002D3B21" w:rsidRPr="00C52B69" w:rsidRDefault="00A7072A" w:rsidP="004B64E6">
      <w:pPr>
        <w:pStyle w:val="ListParagraph"/>
        <w:widowControl/>
        <w:numPr>
          <w:ilvl w:val="0"/>
          <w:numId w:val="13"/>
        </w:numPr>
      </w:pPr>
      <w:r w:rsidRPr="00C52B69">
        <w:t xml:space="preserve">The </w:t>
      </w:r>
      <w:r w:rsidR="005E73CB" w:rsidRPr="00C52B69">
        <w:t>ESC agreed with the evaluation</w:t>
      </w:r>
      <w:r w:rsidR="00556BF4" w:rsidRPr="00C52B69">
        <w:t>,</w:t>
      </w:r>
      <w:r w:rsidR="005E73CB" w:rsidRPr="00C52B69">
        <w:t xml:space="preserve"> noting that the </w:t>
      </w:r>
      <w:r w:rsidRPr="00C52B69">
        <w:t xml:space="preserve">reduction in the incidence of pneumococcal CAP was calculated by reducing the incidence of all 13vPCV serotypes whereas, consistent with the approach used for IPD in the March 2015/July 2015 model, the reduction should </w:t>
      </w:r>
      <w:r w:rsidR="00556BF4" w:rsidRPr="00C52B69">
        <w:t xml:space="preserve">have only </w:t>
      </w:r>
      <w:r w:rsidRPr="00C52B69">
        <w:t>be</w:t>
      </w:r>
      <w:r w:rsidR="00556BF4" w:rsidRPr="00C52B69">
        <w:t>en</w:t>
      </w:r>
      <w:r w:rsidRPr="00C52B69">
        <w:t xml:space="preserve"> applied to 13v-non7vPCV serotypes.</w:t>
      </w:r>
      <w:r w:rsidR="005E73CB" w:rsidRPr="00C52B69">
        <w:t xml:space="preserve"> </w:t>
      </w:r>
    </w:p>
    <w:p w:rsidR="005E73CB" w:rsidRPr="00C52B69" w:rsidRDefault="00797520" w:rsidP="004B64E6">
      <w:pPr>
        <w:pStyle w:val="ListParagraph"/>
        <w:widowControl/>
        <w:numPr>
          <w:ilvl w:val="0"/>
          <w:numId w:val="13"/>
        </w:numPr>
      </w:pPr>
      <w:r w:rsidRPr="00C52B69">
        <w:t xml:space="preserve">In this regard, the ESC noted that </w:t>
      </w:r>
      <w:r w:rsidR="005E73CB" w:rsidRPr="00C52B69">
        <w:t>ATAGI (post</w:t>
      </w:r>
      <w:r w:rsidR="005E73CB" w:rsidRPr="00C52B69">
        <w:noBreakHyphen/>
        <w:t>submission advice) considered it reasonable to assume that:</w:t>
      </w:r>
    </w:p>
    <w:p w:rsidR="005E73CB" w:rsidRPr="00C52B69" w:rsidRDefault="005E73CB" w:rsidP="00230BF2">
      <w:pPr>
        <w:pStyle w:val="ListParagraph"/>
        <w:widowControl/>
        <w:numPr>
          <w:ilvl w:val="1"/>
          <w:numId w:val="21"/>
        </w:numPr>
        <w:ind w:left="1701" w:hanging="283"/>
      </w:pPr>
      <w:proofErr w:type="gramStart"/>
      <w:r w:rsidRPr="00C52B69">
        <w:lastRenderedPageBreak/>
        <w:t>any</w:t>
      </w:r>
      <w:proofErr w:type="gramEnd"/>
      <w:r w:rsidRPr="00C52B69">
        <w:t xml:space="preserve"> further reductions in the incidence of CAP would occur in the proportion at</w:t>
      </w:r>
      <w:r w:rsidR="00C72DBB">
        <w:t>tributable to 13v-non7vPCV only</w:t>
      </w:r>
      <w:r w:rsidRPr="00C52B69">
        <w:t>. From 2011, 7vPCV</w:t>
      </w:r>
      <w:r w:rsidR="00590DEC">
        <w:noBreakHyphen/>
      </w:r>
      <w:r w:rsidR="006F7A7C">
        <w:t>type</w:t>
      </w:r>
      <w:r w:rsidRPr="00C52B69">
        <w:t xml:space="preserve"> IPD incidence rates have reached a steady state in the presence of the ongoing childhood </w:t>
      </w:r>
      <w:r w:rsidR="00556BF4" w:rsidRPr="00C52B69">
        <w:t xml:space="preserve">13vPCV </w:t>
      </w:r>
      <w:r w:rsidRPr="00C52B69">
        <w:t>program, and a further reduction in incidence of IPD arising from the herd effect of the childhood program would occur almost entirel</w:t>
      </w:r>
      <w:r w:rsidR="00C72DBB">
        <w:t>y in the 13v-non7vPCV component</w:t>
      </w:r>
      <w:r w:rsidR="002D7B72" w:rsidRPr="00C52B69">
        <w:t>; and</w:t>
      </w:r>
    </w:p>
    <w:p w:rsidR="00A7072A" w:rsidRDefault="005E73CB" w:rsidP="00230BF2">
      <w:pPr>
        <w:pStyle w:val="ListParagraph"/>
        <w:widowControl/>
        <w:numPr>
          <w:ilvl w:val="1"/>
          <w:numId w:val="21"/>
        </w:numPr>
        <w:ind w:left="1701" w:hanging="283"/>
      </w:pPr>
      <w:proofErr w:type="gramStart"/>
      <w:r w:rsidRPr="00C52B69">
        <w:t>the</w:t>
      </w:r>
      <w:proofErr w:type="gramEnd"/>
      <w:r w:rsidRPr="00C52B69">
        <w:t xml:space="preserve"> proportion of adult CAP due to 13v-non7vPCV serotypes would progressively decline with each consecutive </w:t>
      </w:r>
      <w:r w:rsidR="00556BF4" w:rsidRPr="00C52B69">
        <w:t>year of 13vPCV use in children.</w:t>
      </w:r>
      <w:r w:rsidRPr="00C52B69">
        <w:t xml:space="preserve"> The estimate of </w:t>
      </w:r>
      <w:r w:rsidRPr="000C4F85">
        <w:t>6.3</w:t>
      </w:r>
      <w:r w:rsidRPr="00C52B69">
        <w:t>% as suggested for 2014 for 13vPCV serotype CAP should be reduced in 2015 and beyond.</w:t>
      </w:r>
    </w:p>
    <w:p w:rsidR="00222E8F" w:rsidRPr="00C52B69" w:rsidRDefault="00222E8F" w:rsidP="00222E8F">
      <w:pPr>
        <w:pStyle w:val="ListParagraph"/>
        <w:widowControl/>
        <w:numPr>
          <w:ilvl w:val="0"/>
          <w:numId w:val="13"/>
        </w:numPr>
      </w:pPr>
      <w:r>
        <w:t>The pre-PBAC response accepted the revised methodology for accounting for herd immunity.</w:t>
      </w:r>
    </w:p>
    <w:p w:rsidR="00F7052C" w:rsidRPr="00C52B69" w:rsidRDefault="00F7052C" w:rsidP="00230BF2">
      <w:pPr>
        <w:pStyle w:val="ListParagraph"/>
        <w:widowControl/>
        <w:rPr>
          <w:sz w:val="18"/>
          <w:szCs w:val="22"/>
        </w:rPr>
      </w:pPr>
    </w:p>
    <w:p w:rsidR="00B1270D" w:rsidRPr="00C52B69" w:rsidRDefault="00B1270D" w:rsidP="00230BF2">
      <w:pPr>
        <w:pStyle w:val="ListParagraph"/>
        <w:widowControl/>
        <w:numPr>
          <w:ilvl w:val="1"/>
          <w:numId w:val="3"/>
        </w:numPr>
        <w:rPr>
          <w:szCs w:val="22"/>
        </w:rPr>
      </w:pPr>
      <w:r w:rsidRPr="00C52B69">
        <w:rPr>
          <w:szCs w:val="22"/>
        </w:rPr>
        <w:t xml:space="preserve">A comparison of the number of events avoided with 13vPCV compared with 23vPPV in the July 2015 model and the current </w:t>
      </w:r>
      <w:r w:rsidR="00590DEC">
        <w:rPr>
          <w:szCs w:val="22"/>
        </w:rPr>
        <w:t xml:space="preserve">submission’s </w:t>
      </w:r>
      <w:r w:rsidRPr="00C52B69">
        <w:rPr>
          <w:szCs w:val="22"/>
        </w:rPr>
        <w:t>model is presented in Table 7.</w:t>
      </w:r>
    </w:p>
    <w:p w:rsidR="00B1270D" w:rsidRPr="00C52B69" w:rsidRDefault="00B1270D" w:rsidP="00230BF2">
      <w:pPr>
        <w:pStyle w:val="ListParagraph"/>
        <w:widowControl/>
        <w:rPr>
          <w:sz w:val="18"/>
          <w:szCs w:val="22"/>
        </w:rPr>
      </w:pPr>
    </w:p>
    <w:p w:rsidR="00B1270D" w:rsidRPr="00700585" w:rsidRDefault="00B1270D" w:rsidP="00230BF2">
      <w:pPr>
        <w:keepNext/>
        <w:widowControl/>
        <w:ind w:left="720"/>
        <w:rPr>
          <w:rStyle w:val="CommentReference"/>
        </w:rPr>
      </w:pPr>
      <w:r w:rsidRPr="00700585">
        <w:rPr>
          <w:rStyle w:val="CommentReference"/>
        </w:rPr>
        <w:t>Table 7: Number of events avoided with 13vPCV compared with 23vPPV</w:t>
      </w:r>
      <w:r w:rsidR="00F4385D" w:rsidRPr="00700585">
        <w:rPr>
          <w:rStyle w:val="CommentReference"/>
        </w:rPr>
        <w:t xml:space="preserve"> </w:t>
      </w:r>
      <w:r w:rsidRPr="00700585">
        <w:rPr>
          <w:rStyle w:val="CommentReference"/>
        </w:rPr>
        <w:t xml:space="preserve">(per 1,000 </w:t>
      </w:r>
      <w:proofErr w:type="gramStart"/>
      <w:r w:rsidRPr="00700585">
        <w:rPr>
          <w:rStyle w:val="CommentReference"/>
        </w:rPr>
        <w:t>population</w:t>
      </w:r>
      <w:proofErr w:type="gramEnd"/>
      <w:r w:rsidRPr="00700585">
        <w:rPr>
          <w:rStyle w:val="CommentReference"/>
        </w:rPr>
        <w:t>)</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10"/>
        <w:gridCol w:w="1984"/>
        <w:gridCol w:w="1984"/>
        <w:gridCol w:w="1986"/>
      </w:tblGrid>
      <w:tr w:rsidR="00700585" w:rsidRPr="00700585" w:rsidTr="009A67E5">
        <w:trPr>
          <w:tblHeader/>
        </w:trPr>
        <w:tc>
          <w:tcPr>
            <w:tcW w:w="1441" w:type="pct"/>
            <w:vAlign w:val="center"/>
          </w:tcPr>
          <w:p w:rsidR="00B1270D" w:rsidRPr="00700585" w:rsidRDefault="00B1270D" w:rsidP="00230BF2">
            <w:pPr>
              <w:keepNext/>
              <w:widowControl/>
              <w:jc w:val="left"/>
              <w:rPr>
                <w:rFonts w:ascii="Arial Narrow" w:hAnsi="Arial Narrow"/>
                <w:b/>
                <w:sz w:val="20"/>
              </w:rPr>
            </w:pPr>
            <w:r w:rsidRPr="00700585">
              <w:rPr>
                <w:rFonts w:ascii="Arial Narrow" w:hAnsi="Arial Narrow"/>
                <w:b/>
                <w:sz w:val="20"/>
              </w:rPr>
              <w:t>Event</w:t>
            </w:r>
          </w:p>
        </w:tc>
        <w:tc>
          <w:tcPr>
            <w:tcW w:w="1186" w:type="pct"/>
            <w:vAlign w:val="center"/>
          </w:tcPr>
          <w:p w:rsidR="00B1270D" w:rsidRPr="00700585" w:rsidRDefault="00B1270D" w:rsidP="00230BF2">
            <w:pPr>
              <w:keepNext/>
              <w:widowControl/>
              <w:jc w:val="center"/>
              <w:rPr>
                <w:rFonts w:ascii="Arial Narrow" w:hAnsi="Arial Narrow"/>
                <w:b/>
                <w:sz w:val="20"/>
              </w:rPr>
            </w:pPr>
            <w:r w:rsidRPr="00700585">
              <w:rPr>
                <w:rFonts w:ascii="Arial Narrow" w:hAnsi="Arial Narrow"/>
                <w:b/>
                <w:sz w:val="20"/>
              </w:rPr>
              <w:t>July 2015 re-submission</w:t>
            </w:r>
          </w:p>
        </w:tc>
        <w:tc>
          <w:tcPr>
            <w:tcW w:w="1186" w:type="pct"/>
            <w:vAlign w:val="center"/>
          </w:tcPr>
          <w:p w:rsidR="00B1270D" w:rsidRPr="00700585" w:rsidRDefault="00B1270D" w:rsidP="00230BF2">
            <w:pPr>
              <w:keepNext/>
              <w:widowControl/>
              <w:jc w:val="center"/>
              <w:rPr>
                <w:rFonts w:ascii="Arial Narrow" w:hAnsi="Arial Narrow"/>
                <w:b/>
                <w:sz w:val="20"/>
              </w:rPr>
            </w:pPr>
            <w:r w:rsidRPr="00700585">
              <w:rPr>
                <w:rFonts w:ascii="Arial Narrow" w:hAnsi="Arial Narrow"/>
                <w:b/>
                <w:sz w:val="20"/>
              </w:rPr>
              <w:t>Current submission</w:t>
            </w:r>
          </w:p>
        </w:tc>
        <w:tc>
          <w:tcPr>
            <w:tcW w:w="1187" w:type="pct"/>
            <w:vAlign w:val="center"/>
          </w:tcPr>
          <w:p w:rsidR="00B1270D" w:rsidRPr="00F939C6" w:rsidRDefault="005A68A7" w:rsidP="00230BF2">
            <w:pPr>
              <w:keepNext/>
              <w:widowControl/>
              <w:jc w:val="center"/>
              <w:rPr>
                <w:rFonts w:ascii="Arial Narrow" w:hAnsi="Arial Narrow"/>
                <w:b/>
                <w:sz w:val="20"/>
              </w:rPr>
            </w:pPr>
            <w:r w:rsidRPr="00F939C6">
              <w:rPr>
                <w:rFonts w:ascii="Arial Narrow" w:hAnsi="Arial Narrow"/>
                <w:b/>
                <w:sz w:val="20"/>
              </w:rPr>
              <w:t xml:space="preserve">Calculated during the </w:t>
            </w:r>
            <w:r w:rsidR="00B1270D" w:rsidRPr="00F939C6">
              <w:rPr>
                <w:rFonts w:ascii="Arial Narrow" w:hAnsi="Arial Narrow"/>
                <w:b/>
                <w:sz w:val="20"/>
              </w:rPr>
              <w:t>evaluation</w:t>
            </w:r>
            <w:r w:rsidR="00F939C6">
              <w:rPr>
                <w:rFonts w:ascii="Arial Narrow" w:hAnsi="Arial Narrow"/>
                <w:b/>
                <w:sz w:val="20"/>
              </w:rPr>
              <w:t>*</w:t>
            </w:r>
          </w:p>
        </w:tc>
      </w:tr>
      <w:tr w:rsidR="00700585" w:rsidRPr="00700585" w:rsidTr="009A67E5">
        <w:trPr>
          <w:tblHeader/>
        </w:trPr>
        <w:tc>
          <w:tcPr>
            <w:tcW w:w="1441" w:type="pct"/>
            <w:vAlign w:val="center"/>
          </w:tcPr>
          <w:p w:rsidR="006F02F1" w:rsidRPr="00700585" w:rsidRDefault="006F02F1" w:rsidP="00230BF2">
            <w:pPr>
              <w:keepNext/>
              <w:widowControl/>
              <w:tabs>
                <w:tab w:val="left" w:pos="198"/>
              </w:tabs>
              <w:jc w:val="left"/>
              <w:rPr>
                <w:rFonts w:ascii="Arial Narrow" w:hAnsi="Arial Narrow" w:cs="Times New Roman"/>
                <w:sz w:val="20"/>
              </w:rPr>
            </w:pPr>
            <w:r w:rsidRPr="00700585">
              <w:rPr>
                <w:rFonts w:ascii="Arial Narrow" w:hAnsi="Arial Narrow" w:cs="Times New Roman"/>
                <w:sz w:val="20"/>
              </w:rPr>
              <w:t>Bacteraemia</w:t>
            </w:r>
          </w:p>
        </w:tc>
        <w:tc>
          <w:tcPr>
            <w:tcW w:w="1186" w:type="pct"/>
            <w:vAlign w:val="center"/>
          </w:tcPr>
          <w:p w:rsidR="006F02F1" w:rsidRPr="00700585" w:rsidRDefault="00E26207" w:rsidP="00230BF2">
            <w:pPr>
              <w:keepNext/>
              <w:widowControl/>
              <w:jc w:val="center"/>
              <w:rPr>
                <w:rFonts w:ascii="Arial Narrow" w:hAnsi="Arial Narrow" w:cs="Times New Roman"/>
                <w:sz w:val="20"/>
              </w:rPr>
            </w:pPr>
            <w:r w:rsidRPr="00700585">
              <w:rPr>
                <w:rFonts w:ascii="Arial Narrow" w:hAnsi="Arial Narrow" w:cs="Times New Roman"/>
                <w:sz w:val="20"/>
              </w:rPr>
              <w:t>-</w:t>
            </w:r>
            <w:r w:rsidR="006F02F1" w:rsidRPr="00700585">
              <w:rPr>
                <w:rFonts w:ascii="Arial Narrow" w:hAnsi="Arial Narrow" w:cs="Times New Roman"/>
                <w:sz w:val="20"/>
              </w:rPr>
              <w:t xml:space="preserve">0.024 </w:t>
            </w:r>
          </w:p>
        </w:tc>
        <w:tc>
          <w:tcPr>
            <w:tcW w:w="1186" w:type="pct"/>
            <w:vAlign w:val="center"/>
          </w:tcPr>
          <w:p w:rsidR="006F02F1" w:rsidRPr="00700585" w:rsidRDefault="006F02F1" w:rsidP="00230BF2">
            <w:pPr>
              <w:keepNext/>
              <w:widowControl/>
              <w:jc w:val="center"/>
              <w:rPr>
                <w:rFonts w:ascii="Arial Narrow" w:hAnsi="Arial Narrow" w:cs="Times New Roman"/>
                <w:sz w:val="20"/>
              </w:rPr>
            </w:pPr>
            <w:r w:rsidRPr="00700585">
              <w:rPr>
                <w:rFonts w:ascii="Arial Narrow" w:hAnsi="Arial Narrow" w:cs="Times New Roman"/>
                <w:sz w:val="20"/>
              </w:rPr>
              <w:t>0.134</w:t>
            </w:r>
          </w:p>
        </w:tc>
        <w:tc>
          <w:tcPr>
            <w:tcW w:w="1187" w:type="pct"/>
            <w:vAlign w:val="center"/>
          </w:tcPr>
          <w:p w:rsidR="006F02F1" w:rsidRPr="005A68A7" w:rsidRDefault="006F02F1" w:rsidP="00230BF2">
            <w:pPr>
              <w:keepNext/>
              <w:widowControl/>
              <w:jc w:val="center"/>
              <w:rPr>
                <w:rFonts w:ascii="Arial Narrow" w:hAnsi="Arial Narrow" w:cs="Times New Roman"/>
                <w:sz w:val="20"/>
              </w:rPr>
            </w:pPr>
            <w:r w:rsidRPr="005A68A7">
              <w:rPr>
                <w:rFonts w:ascii="Arial Narrow" w:hAnsi="Arial Narrow" w:cs="Times New Roman"/>
                <w:sz w:val="20"/>
              </w:rPr>
              <w:t>0.134</w:t>
            </w:r>
          </w:p>
        </w:tc>
      </w:tr>
      <w:tr w:rsidR="00700585" w:rsidRPr="00700585" w:rsidTr="009A67E5">
        <w:trPr>
          <w:tblHeader/>
        </w:trPr>
        <w:tc>
          <w:tcPr>
            <w:tcW w:w="1441" w:type="pct"/>
            <w:vAlign w:val="center"/>
          </w:tcPr>
          <w:p w:rsidR="006F02F1" w:rsidRPr="00700585" w:rsidRDefault="006F02F1" w:rsidP="00230BF2">
            <w:pPr>
              <w:keepNext/>
              <w:widowControl/>
              <w:tabs>
                <w:tab w:val="left" w:pos="198"/>
              </w:tabs>
              <w:jc w:val="left"/>
              <w:rPr>
                <w:rFonts w:ascii="Arial Narrow" w:hAnsi="Arial Narrow" w:cs="Times New Roman"/>
                <w:sz w:val="20"/>
              </w:rPr>
            </w:pPr>
            <w:r w:rsidRPr="00700585">
              <w:rPr>
                <w:rFonts w:ascii="Arial Narrow" w:hAnsi="Arial Narrow" w:cs="Times New Roman"/>
                <w:sz w:val="20"/>
              </w:rPr>
              <w:t>Meningitis without c</w:t>
            </w:r>
            <w:r w:rsidR="009A67E5">
              <w:rPr>
                <w:rFonts w:ascii="Arial Narrow" w:hAnsi="Arial Narrow" w:cs="Times New Roman"/>
                <w:sz w:val="20"/>
              </w:rPr>
              <w:t>omplication</w:t>
            </w:r>
          </w:p>
        </w:tc>
        <w:tc>
          <w:tcPr>
            <w:tcW w:w="1186" w:type="pct"/>
            <w:vAlign w:val="center"/>
          </w:tcPr>
          <w:p w:rsidR="006F02F1" w:rsidRPr="00700585" w:rsidRDefault="00E26207" w:rsidP="00230BF2">
            <w:pPr>
              <w:keepNext/>
              <w:widowControl/>
              <w:jc w:val="center"/>
              <w:rPr>
                <w:rFonts w:ascii="Arial Narrow" w:hAnsi="Arial Narrow" w:cs="Times New Roman"/>
                <w:sz w:val="20"/>
              </w:rPr>
            </w:pPr>
            <w:r w:rsidRPr="00700585">
              <w:rPr>
                <w:rFonts w:ascii="Arial Narrow" w:hAnsi="Arial Narrow" w:cs="Times New Roman"/>
                <w:sz w:val="20"/>
              </w:rPr>
              <w:t>-</w:t>
            </w:r>
            <w:r w:rsidR="006F02F1" w:rsidRPr="00700585">
              <w:rPr>
                <w:rFonts w:ascii="Arial Narrow" w:hAnsi="Arial Narrow" w:cs="Times New Roman"/>
                <w:sz w:val="20"/>
              </w:rPr>
              <w:t xml:space="preserve">0.001 </w:t>
            </w:r>
          </w:p>
        </w:tc>
        <w:tc>
          <w:tcPr>
            <w:tcW w:w="1186" w:type="pct"/>
            <w:vAlign w:val="center"/>
          </w:tcPr>
          <w:p w:rsidR="006F02F1" w:rsidRPr="00700585" w:rsidRDefault="006F02F1" w:rsidP="00230BF2">
            <w:pPr>
              <w:keepNext/>
              <w:widowControl/>
              <w:jc w:val="center"/>
              <w:rPr>
                <w:rFonts w:ascii="Arial Narrow" w:hAnsi="Arial Narrow" w:cs="Times New Roman"/>
                <w:sz w:val="20"/>
              </w:rPr>
            </w:pPr>
            <w:r w:rsidRPr="00700585">
              <w:rPr>
                <w:rFonts w:ascii="Arial Narrow" w:hAnsi="Arial Narrow" w:cs="Times New Roman"/>
                <w:sz w:val="20"/>
              </w:rPr>
              <w:t>0.007</w:t>
            </w:r>
          </w:p>
        </w:tc>
        <w:tc>
          <w:tcPr>
            <w:tcW w:w="1187" w:type="pct"/>
            <w:vAlign w:val="center"/>
          </w:tcPr>
          <w:p w:rsidR="006F02F1" w:rsidRPr="005A68A7" w:rsidRDefault="006F02F1" w:rsidP="00230BF2">
            <w:pPr>
              <w:keepNext/>
              <w:widowControl/>
              <w:jc w:val="center"/>
              <w:rPr>
                <w:rFonts w:ascii="Arial Narrow" w:hAnsi="Arial Narrow" w:cs="Times New Roman"/>
                <w:sz w:val="20"/>
              </w:rPr>
            </w:pPr>
            <w:r w:rsidRPr="005A68A7">
              <w:rPr>
                <w:rFonts w:ascii="Arial Narrow" w:hAnsi="Arial Narrow" w:cs="Times New Roman"/>
                <w:sz w:val="20"/>
              </w:rPr>
              <w:t>0.007</w:t>
            </w:r>
          </w:p>
        </w:tc>
      </w:tr>
      <w:tr w:rsidR="00700585" w:rsidRPr="00700585" w:rsidTr="009A67E5">
        <w:trPr>
          <w:tblHeader/>
        </w:trPr>
        <w:tc>
          <w:tcPr>
            <w:tcW w:w="1441" w:type="pct"/>
            <w:vAlign w:val="center"/>
          </w:tcPr>
          <w:p w:rsidR="006F02F1" w:rsidRPr="00700585" w:rsidRDefault="006F02F1" w:rsidP="00230BF2">
            <w:pPr>
              <w:keepNext/>
              <w:widowControl/>
              <w:tabs>
                <w:tab w:val="left" w:pos="198"/>
              </w:tabs>
              <w:jc w:val="left"/>
              <w:rPr>
                <w:rFonts w:ascii="Arial Narrow" w:hAnsi="Arial Narrow" w:cs="Times New Roman"/>
                <w:sz w:val="20"/>
              </w:rPr>
            </w:pPr>
            <w:r w:rsidRPr="00700585">
              <w:rPr>
                <w:rFonts w:ascii="Arial Narrow" w:hAnsi="Arial Narrow" w:cs="Times New Roman"/>
                <w:sz w:val="20"/>
              </w:rPr>
              <w:t>Meningitis with c</w:t>
            </w:r>
            <w:r w:rsidR="009A67E5">
              <w:rPr>
                <w:rFonts w:ascii="Arial Narrow" w:hAnsi="Arial Narrow" w:cs="Times New Roman"/>
                <w:sz w:val="20"/>
              </w:rPr>
              <w:t>omplication</w:t>
            </w:r>
          </w:p>
        </w:tc>
        <w:tc>
          <w:tcPr>
            <w:tcW w:w="1186" w:type="pct"/>
            <w:vAlign w:val="center"/>
          </w:tcPr>
          <w:p w:rsidR="006F02F1" w:rsidRPr="00700585" w:rsidRDefault="00E26207" w:rsidP="00230BF2">
            <w:pPr>
              <w:keepNext/>
              <w:widowControl/>
              <w:jc w:val="center"/>
              <w:rPr>
                <w:rFonts w:ascii="Arial Narrow" w:hAnsi="Arial Narrow" w:cs="Times New Roman"/>
                <w:sz w:val="20"/>
              </w:rPr>
            </w:pPr>
            <w:r w:rsidRPr="00700585">
              <w:rPr>
                <w:rFonts w:ascii="Arial Narrow" w:hAnsi="Arial Narrow" w:cs="Times New Roman"/>
                <w:sz w:val="20"/>
              </w:rPr>
              <w:t>-</w:t>
            </w:r>
            <w:r w:rsidR="006F02F1" w:rsidRPr="00700585">
              <w:rPr>
                <w:rFonts w:ascii="Arial Narrow" w:hAnsi="Arial Narrow" w:cs="Times New Roman"/>
                <w:sz w:val="20"/>
              </w:rPr>
              <w:t xml:space="preserve">0.001 </w:t>
            </w:r>
          </w:p>
        </w:tc>
        <w:tc>
          <w:tcPr>
            <w:tcW w:w="1186" w:type="pct"/>
            <w:vAlign w:val="center"/>
          </w:tcPr>
          <w:p w:rsidR="006F02F1" w:rsidRPr="00700585" w:rsidRDefault="006F02F1" w:rsidP="00230BF2">
            <w:pPr>
              <w:keepNext/>
              <w:widowControl/>
              <w:jc w:val="center"/>
              <w:rPr>
                <w:rFonts w:ascii="Arial Narrow" w:hAnsi="Arial Narrow" w:cs="Times New Roman"/>
                <w:sz w:val="20"/>
              </w:rPr>
            </w:pPr>
            <w:r w:rsidRPr="00700585">
              <w:rPr>
                <w:rFonts w:ascii="Arial Narrow" w:hAnsi="Arial Narrow" w:cs="Times New Roman"/>
                <w:sz w:val="20"/>
              </w:rPr>
              <w:t>0.003</w:t>
            </w:r>
          </w:p>
        </w:tc>
        <w:tc>
          <w:tcPr>
            <w:tcW w:w="1187" w:type="pct"/>
            <w:vAlign w:val="center"/>
          </w:tcPr>
          <w:p w:rsidR="006F02F1" w:rsidRPr="005A68A7" w:rsidRDefault="006F02F1" w:rsidP="00230BF2">
            <w:pPr>
              <w:keepNext/>
              <w:widowControl/>
              <w:jc w:val="center"/>
              <w:rPr>
                <w:rFonts w:ascii="Arial Narrow" w:hAnsi="Arial Narrow" w:cs="Times New Roman"/>
                <w:sz w:val="20"/>
              </w:rPr>
            </w:pPr>
            <w:r w:rsidRPr="005A68A7">
              <w:rPr>
                <w:rFonts w:ascii="Arial Narrow" w:hAnsi="Arial Narrow" w:cs="Times New Roman"/>
                <w:sz w:val="20"/>
              </w:rPr>
              <w:t>0.003</w:t>
            </w:r>
          </w:p>
        </w:tc>
      </w:tr>
      <w:tr w:rsidR="00700585" w:rsidRPr="00700585" w:rsidTr="009A67E5">
        <w:trPr>
          <w:tblHeader/>
        </w:trPr>
        <w:tc>
          <w:tcPr>
            <w:tcW w:w="1441" w:type="pct"/>
            <w:vAlign w:val="center"/>
          </w:tcPr>
          <w:p w:rsidR="006F02F1" w:rsidRPr="00700585" w:rsidRDefault="006F02F1" w:rsidP="00230BF2">
            <w:pPr>
              <w:keepNext/>
              <w:widowControl/>
              <w:tabs>
                <w:tab w:val="left" w:pos="198"/>
              </w:tabs>
              <w:jc w:val="left"/>
              <w:rPr>
                <w:rFonts w:ascii="Arial Narrow" w:hAnsi="Arial Narrow" w:cs="Times New Roman"/>
                <w:sz w:val="20"/>
              </w:rPr>
            </w:pPr>
            <w:r w:rsidRPr="00700585">
              <w:rPr>
                <w:rFonts w:ascii="Arial Narrow" w:hAnsi="Arial Narrow" w:cs="Times New Roman"/>
                <w:sz w:val="20"/>
              </w:rPr>
              <w:t>CAP hospitalisations</w:t>
            </w:r>
          </w:p>
        </w:tc>
        <w:tc>
          <w:tcPr>
            <w:tcW w:w="1186" w:type="pct"/>
            <w:vAlign w:val="center"/>
          </w:tcPr>
          <w:p w:rsidR="006F02F1" w:rsidRPr="00700585" w:rsidRDefault="006F02F1" w:rsidP="00230BF2">
            <w:pPr>
              <w:keepNext/>
              <w:widowControl/>
              <w:jc w:val="center"/>
              <w:rPr>
                <w:rFonts w:ascii="Arial Narrow" w:hAnsi="Arial Narrow" w:cs="Times New Roman"/>
                <w:sz w:val="20"/>
              </w:rPr>
            </w:pPr>
            <w:r w:rsidRPr="00700585">
              <w:rPr>
                <w:rFonts w:ascii="Arial Narrow" w:hAnsi="Arial Narrow" w:cs="Times New Roman"/>
                <w:sz w:val="20"/>
              </w:rPr>
              <w:t xml:space="preserve">2.458 </w:t>
            </w:r>
          </w:p>
        </w:tc>
        <w:tc>
          <w:tcPr>
            <w:tcW w:w="1186" w:type="pct"/>
            <w:vAlign w:val="center"/>
          </w:tcPr>
          <w:p w:rsidR="006F02F1" w:rsidRPr="00700585" w:rsidRDefault="006F02F1" w:rsidP="00230BF2">
            <w:pPr>
              <w:keepNext/>
              <w:widowControl/>
              <w:jc w:val="center"/>
              <w:rPr>
                <w:rFonts w:ascii="Arial Narrow" w:hAnsi="Arial Narrow" w:cs="Times New Roman"/>
                <w:sz w:val="20"/>
              </w:rPr>
            </w:pPr>
            <w:r w:rsidRPr="00700585">
              <w:rPr>
                <w:rFonts w:ascii="Arial Narrow" w:hAnsi="Arial Narrow" w:cs="Times New Roman"/>
                <w:sz w:val="20"/>
              </w:rPr>
              <w:t>1.387</w:t>
            </w:r>
          </w:p>
        </w:tc>
        <w:tc>
          <w:tcPr>
            <w:tcW w:w="1187" w:type="pct"/>
            <w:vAlign w:val="center"/>
          </w:tcPr>
          <w:p w:rsidR="006F02F1" w:rsidRPr="005A68A7" w:rsidRDefault="006F02F1" w:rsidP="00230BF2">
            <w:pPr>
              <w:keepNext/>
              <w:widowControl/>
              <w:jc w:val="center"/>
              <w:rPr>
                <w:rFonts w:ascii="Arial Narrow" w:hAnsi="Arial Narrow" w:cs="Times New Roman"/>
                <w:sz w:val="20"/>
              </w:rPr>
            </w:pPr>
            <w:r w:rsidRPr="005A68A7">
              <w:rPr>
                <w:rFonts w:ascii="Arial Narrow" w:hAnsi="Arial Narrow" w:cs="Times New Roman"/>
                <w:sz w:val="20"/>
              </w:rPr>
              <w:t>0.769</w:t>
            </w:r>
          </w:p>
        </w:tc>
      </w:tr>
      <w:tr w:rsidR="00700585" w:rsidRPr="00700585" w:rsidTr="009A67E5">
        <w:trPr>
          <w:tblHeader/>
        </w:trPr>
        <w:tc>
          <w:tcPr>
            <w:tcW w:w="1441" w:type="pct"/>
            <w:vAlign w:val="center"/>
          </w:tcPr>
          <w:p w:rsidR="006F02F1" w:rsidRPr="00700585" w:rsidRDefault="006F02F1" w:rsidP="00230BF2">
            <w:pPr>
              <w:keepNext/>
              <w:widowControl/>
              <w:tabs>
                <w:tab w:val="left" w:pos="198"/>
              </w:tabs>
              <w:jc w:val="left"/>
              <w:rPr>
                <w:rFonts w:ascii="Arial Narrow" w:hAnsi="Arial Narrow" w:cs="Times New Roman"/>
                <w:sz w:val="20"/>
              </w:rPr>
            </w:pPr>
            <w:r w:rsidRPr="00700585">
              <w:rPr>
                <w:rFonts w:ascii="Arial Narrow" w:hAnsi="Arial Narrow" w:cs="Times New Roman"/>
                <w:sz w:val="20"/>
              </w:rPr>
              <w:t>GP treated CAP</w:t>
            </w:r>
          </w:p>
        </w:tc>
        <w:tc>
          <w:tcPr>
            <w:tcW w:w="1186" w:type="pct"/>
            <w:vAlign w:val="center"/>
          </w:tcPr>
          <w:p w:rsidR="006F02F1" w:rsidRPr="00700585" w:rsidRDefault="006F02F1" w:rsidP="00230BF2">
            <w:pPr>
              <w:keepNext/>
              <w:widowControl/>
              <w:jc w:val="center"/>
              <w:rPr>
                <w:rFonts w:ascii="Arial Narrow" w:hAnsi="Arial Narrow" w:cs="Times New Roman"/>
                <w:sz w:val="20"/>
              </w:rPr>
            </w:pPr>
            <w:r w:rsidRPr="00700585">
              <w:rPr>
                <w:rFonts w:ascii="Arial Narrow" w:hAnsi="Arial Narrow" w:cs="Times New Roman"/>
                <w:sz w:val="20"/>
              </w:rPr>
              <w:t xml:space="preserve">1.360 </w:t>
            </w:r>
          </w:p>
        </w:tc>
        <w:tc>
          <w:tcPr>
            <w:tcW w:w="1186" w:type="pct"/>
            <w:vAlign w:val="center"/>
          </w:tcPr>
          <w:p w:rsidR="006F02F1" w:rsidRPr="00700585" w:rsidRDefault="006F02F1" w:rsidP="00230BF2">
            <w:pPr>
              <w:keepNext/>
              <w:widowControl/>
              <w:jc w:val="center"/>
              <w:rPr>
                <w:rFonts w:ascii="Arial Narrow" w:hAnsi="Arial Narrow" w:cs="Times New Roman"/>
                <w:sz w:val="20"/>
              </w:rPr>
            </w:pPr>
            <w:r w:rsidRPr="00700585">
              <w:rPr>
                <w:rFonts w:ascii="Arial Narrow" w:hAnsi="Arial Narrow" w:cs="Times New Roman"/>
                <w:sz w:val="20"/>
              </w:rPr>
              <w:t>0.735</w:t>
            </w:r>
          </w:p>
        </w:tc>
        <w:tc>
          <w:tcPr>
            <w:tcW w:w="1187" w:type="pct"/>
            <w:vAlign w:val="center"/>
          </w:tcPr>
          <w:p w:rsidR="006F02F1" w:rsidRPr="005A68A7" w:rsidRDefault="006F02F1" w:rsidP="00230BF2">
            <w:pPr>
              <w:keepNext/>
              <w:widowControl/>
              <w:jc w:val="center"/>
              <w:rPr>
                <w:rFonts w:ascii="Arial Narrow" w:hAnsi="Arial Narrow" w:cs="Times New Roman"/>
                <w:sz w:val="20"/>
              </w:rPr>
            </w:pPr>
            <w:r w:rsidRPr="005A68A7">
              <w:rPr>
                <w:rFonts w:ascii="Arial Narrow" w:hAnsi="Arial Narrow" w:cs="Times New Roman"/>
                <w:sz w:val="20"/>
              </w:rPr>
              <w:t>0.407</w:t>
            </w:r>
          </w:p>
        </w:tc>
      </w:tr>
      <w:tr w:rsidR="00700585" w:rsidRPr="00700585" w:rsidTr="009A67E5">
        <w:trPr>
          <w:tblHeader/>
        </w:trPr>
        <w:tc>
          <w:tcPr>
            <w:tcW w:w="1441" w:type="pct"/>
            <w:vAlign w:val="center"/>
          </w:tcPr>
          <w:p w:rsidR="006F02F1" w:rsidRPr="00700585" w:rsidRDefault="006F02F1" w:rsidP="00230BF2">
            <w:pPr>
              <w:keepNext/>
              <w:widowControl/>
              <w:tabs>
                <w:tab w:val="left" w:pos="198"/>
              </w:tabs>
              <w:jc w:val="left"/>
              <w:rPr>
                <w:rFonts w:ascii="Arial Narrow" w:hAnsi="Arial Narrow" w:cs="Times New Roman"/>
                <w:b/>
                <w:sz w:val="20"/>
              </w:rPr>
            </w:pPr>
            <w:r w:rsidRPr="00700585">
              <w:rPr>
                <w:rFonts w:ascii="Arial Narrow" w:hAnsi="Arial Narrow" w:cs="Times New Roman"/>
                <w:b/>
                <w:sz w:val="20"/>
              </w:rPr>
              <w:t>Total pneumococcal events</w:t>
            </w:r>
          </w:p>
        </w:tc>
        <w:tc>
          <w:tcPr>
            <w:tcW w:w="1186" w:type="pct"/>
            <w:vAlign w:val="center"/>
          </w:tcPr>
          <w:p w:rsidR="006F02F1" w:rsidRPr="00700585" w:rsidRDefault="006F02F1" w:rsidP="00230BF2">
            <w:pPr>
              <w:keepNext/>
              <w:widowControl/>
              <w:jc w:val="center"/>
              <w:rPr>
                <w:rFonts w:ascii="Arial Narrow" w:hAnsi="Arial Narrow" w:cs="Times New Roman"/>
                <w:b/>
                <w:sz w:val="20"/>
              </w:rPr>
            </w:pPr>
            <w:r w:rsidRPr="00700585">
              <w:rPr>
                <w:rFonts w:ascii="Arial Narrow" w:hAnsi="Arial Narrow" w:cs="Times New Roman"/>
                <w:b/>
                <w:sz w:val="20"/>
              </w:rPr>
              <w:t>3.792</w:t>
            </w:r>
          </w:p>
        </w:tc>
        <w:tc>
          <w:tcPr>
            <w:tcW w:w="1186" w:type="pct"/>
            <w:vAlign w:val="center"/>
          </w:tcPr>
          <w:p w:rsidR="006F02F1" w:rsidRPr="00700585" w:rsidRDefault="006F02F1" w:rsidP="00230BF2">
            <w:pPr>
              <w:keepNext/>
              <w:widowControl/>
              <w:jc w:val="center"/>
              <w:rPr>
                <w:rFonts w:ascii="Arial Narrow" w:hAnsi="Arial Narrow" w:cs="Times New Roman"/>
                <w:b/>
                <w:sz w:val="20"/>
              </w:rPr>
            </w:pPr>
            <w:r w:rsidRPr="00700585">
              <w:rPr>
                <w:rFonts w:ascii="Arial Narrow" w:hAnsi="Arial Narrow" w:cs="Times New Roman"/>
                <w:b/>
                <w:sz w:val="20"/>
              </w:rPr>
              <w:t>2.266</w:t>
            </w:r>
          </w:p>
        </w:tc>
        <w:tc>
          <w:tcPr>
            <w:tcW w:w="1187" w:type="pct"/>
            <w:vAlign w:val="center"/>
          </w:tcPr>
          <w:p w:rsidR="006F02F1" w:rsidRPr="005A68A7" w:rsidRDefault="006F02F1" w:rsidP="00230BF2">
            <w:pPr>
              <w:keepNext/>
              <w:widowControl/>
              <w:jc w:val="center"/>
              <w:rPr>
                <w:rFonts w:ascii="Arial Narrow" w:hAnsi="Arial Narrow" w:cs="Times New Roman"/>
                <w:b/>
                <w:sz w:val="20"/>
              </w:rPr>
            </w:pPr>
            <w:r w:rsidRPr="005A68A7">
              <w:rPr>
                <w:rFonts w:ascii="Arial Narrow" w:hAnsi="Arial Narrow" w:cs="Times New Roman"/>
                <w:b/>
                <w:sz w:val="20"/>
              </w:rPr>
              <w:t>1.319</w:t>
            </w:r>
          </w:p>
        </w:tc>
      </w:tr>
      <w:tr w:rsidR="00700585" w:rsidRPr="00700585" w:rsidTr="009A67E5">
        <w:trPr>
          <w:tblHeader/>
        </w:trPr>
        <w:tc>
          <w:tcPr>
            <w:tcW w:w="1441" w:type="pct"/>
            <w:vAlign w:val="center"/>
          </w:tcPr>
          <w:p w:rsidR="006F02F1" w:rsidRPr="00700585" w:rsidRDefault="006F02F1" w:rsidP="00230BF2">
            <w:pPr>
              <w:keepNext/>
              <w:widowControl/>
              <w:tabs>
                <w:tab w:val="left" w:pos="198"/>
              </w:tabs>
              <w:jc w:val="left"/>
              <w:rPr>
                <w:rFonts w:ascii="Arial Narrow" w:hAnsi="Arial Narrow" w:cs="Times New Roman"/>
                <w:sz w:val="20"/>
              </w:rPr>
            </w:pPr>
            <w:r w:rsidRPr="00700585">
              <w:rPr>
                <w:rFonts w:ascii="Arial Narrow" w:hAnsi="Arial Narrow" w:cs="Times New Roman"/>
                <w:sz w:val="20"/>
              </w:rPr>
              <w:t>Deaths</w:t>
            </w:r>
          </w:p>
        </w:tc>
        <w:tc>
          <w:tcPr>
            <w:tcW w:w="1186" w:type="pct"/>
            <w:vAlign w:val="center"/>
          </w:tcPr>
          <w:p w:rsidR="006F02F1" w:rsidRPr="00700585" w:rsidRDefault="006F02F1" w:rsidP="00230BF2">
            <w:pPr>
              <w:keepNext/>
              <w:widowControl/>
              <w:jc w:val="center"/>
              <w:rPr>
                <w:rFonts w:ascii="Arial Narrow" w:hAnsi="Arial Narrow" w:cs="Times New Roman"/>
                <w:sz w:val="20"/>
              </w:rPr>
            </w:pPr>
            <w:r w:rsidRPr="00700585">
              <w:rPr>
                <w:rFonts w:ascii="Arial Narrow" w:hAnsi="Arial Narrow" w:cs="Times New Roman"/>
                <w:sz w:val="20"/>
              </w:rPr>
              <w:t xml:space="preserve">0.152 </w:t>
            </w:r>
          </w:p>
        </w:tc>
        <w:tc>
          <w:tcPr>
            <w:tcW w:w="1186" w:type="pct"/>
            <w:vAlign w:val="center"/>
          </w:tcPr>
          <w:p w:rsidR="006F02F1" w:rsidRPr="00700585" w:rsidRDefault="006F02F1" w:rsidP="00230BF2">
            <w:pPr>
              <w:keepNext/>
              <w:widowControl/>
              <w:jc w:val="center"/>
              <w:rPr>
                <w:rFonts w:ascii="Arial Narrow" w:hAnsi="Arial Narrow" w:cs="Times New Roman"/>
                <w:sz w:val="20"/>
              </w:rPr>
            </w:pPr>
            <w:r w:rsidRPr="00700585">
              <w:rPr>
                <w:rFonts w:ascii="Arial Narrow" w:hAnsi="Arial Narrow" w:cs="Times New Roman"/>
                <w:sz w:val="20"/>
              </w:rPr>
              <w:t xml:space="preserve">0.097 </w:t>
            </w:r>
          </w:p>
        </w:tc>
        <w:tc>
          <w:tcPr>
            <w:tcW w:w="1187" w:type="pct"/>
            <w:vAlign w:val="center"/>
          </w:tcPr>
          <w:p w:rsidR="006F02F1" w:rsidRPr="005A68A7" w:rsidRDefault="006F02F1" w:rsidP="00230BF2">
            <w:pPr>
              <w:keepNext/>
              <w:widowControl/>
              <w:jc w:val="center"/>
              <w:rPr>
                <w:rFonts w:ascii="Arial Narrow" w:hAnsi="Arial Narrow" w:cs="Times New Roman"/>
                <w:sz w:val="20"/>
              </w:rPr>
            </w:pPr>
            <w:r w:rsidRPr="005A68A7">
              <w:rPr>
                <w:rFonts w:ascii="Arial Narrow" w:hAnsi="Arial Narrow" w:cs="Times New Roman"/>
                <w:sz w:val="20"/>
              </w:rPr>
              <w:t xml:space="preserve">0.059 </w:t>
            </w:r>
          </w:p>
        </w:tc>
      </w:tr>
    </w:tbl>
    <w:p w:rsidR="00590DEC" w:rsidRDefault="00F4385D" w:rsidP="00230BF2">
      <w:pPr>
        <w:pStyle w:val="TableFooter"/>
        <w:widowControl/>
        <w:ind w:left="709" w:firstLine="11"/>
      </w:pPr>
      <w:r w:rsidRPr="00282DB9">
        <w:t xml:space="preserve">Source: </w:t>
      </w:r>
      <w:r w:rsidR="005A68A7" w:rsidRPr="00282DB9">
        <w:t xml:space="preserve">Table 94 p182 of the submission; compiled during the evaluation using ‘13vPCV’ and ’23vPPV’ worksheets, Section D Non-Indigenous (65-84 y).xls and adaptations to model in Attachment D; 7.08 PBAC </w:t>
      </w:r>
      <w:r w:rsidR="0019428E">
        <w:t>Public Summary Document</w:t>
      </w:r>
      <w:r w:rsidR="0019428E" w:rsidRPr="00282DB9">
        <w:t xml:space="preserve"> </w:t>
      </w:r>
      <w:r w:rsidR="005A68A7" w:rsidRPr="00282DB9">
        <w:t>Table 4 paragraph 6.17.</w:t>
      </w:r>
    </w:p>
    <w:p w:rsidR="00B1270D" w:rsidRPr="00700585" w:rsidRDefault="00F939C6" w:rsidP="00230BF2">
      <w:pPr>
        <w:pStyle w:val="TableFooter"/>
        <w:widowControl/>
        <w:ind w:left="709" w:firstLine="11"/>
      </w:pPr>
      <w:r>
        <w:t>*</w:t>
      </w:r>
      <w:r w:rsidR="00590DEC">
        <w:rPr>
          <w:szCs w:val="22"/>
        </w:rPr>
        <w:t xml:space="preserve">The pre-PBAC response revised the model so that 23vPPV and 13vPCV had equivalent VE for IPD. This change has not been taken account </w:t>
      </w:r>
      <w:r w:rsidR="003043F2">
        <w:rPr>
          <w:szCs w:val="22"/>
        </w:rPr>
        <w:t>of in these estimates.</w:t>
      </w:r>
    </w:p>
    <w:p w:rsidR="001426E3" w:rsidRPr="004A12A3" w:rsidRDefault="001426E3" w:rsidP="00230BF2">
      <w:pPr>
        <w:pStyle w:val="ListParagraph"/>
        <w:widowControl/>
        <w:rPr>
          <w:sz w:val="18"/>
          <w:szCs w:val="22"/>
        </w:rPr>
      </w:pPr>
    </w:p>
    <w:p w:rsidR="00D276FF" w:rsidRPr="00C52B69" w:rsidRDefault="005B2489" w:rsidP="00230BF2">
      <w:pPr>
        <w:pStyle w:val="ListParagraph"/>
        <w:widowControl/>
        <w:numPr>
          <w:ilvl w:val="1"/>
          <w:numId w:val="3"/>
        </w:numPr>
        <w:rPr>
          <w:szCs w:val="22"/>
        </w:rPr>
      </w:pPr>
      <w:r w:rsidRPr="00C52B69">
        <w:rPr>
          <w:szCs w:val="22"/>
        </w:rPr>
        <w:t>In t</w:t>
      </w:r>
      <w:r w:rsidR="00D276FF" w:rsidRPr="00C52B69">
        <w:rPr>
          <w:szCs w:val="22"/>
        </w:rPr>
        <w:t>he base</w:t>
      </w:r>
      <w:r w:rsidR="00C47D84" w:rsidRPr="00C52B69">
        <w:rPr>
          <w:szCs w:val="22"/>
        </w:rPr>
        <w:t xml:space="preserve"> case </w:t>
      </w:r>
      <w:r w:rsidRPr="00C52B69">
        <w:rPr>
          <w:szCs w:val="22"/>
        </w:rPr>
        <w:t>analysis presented in the submission 13vPCV was dominant over 23vPPV</w:t>
      </w:r>
      <w:r w:rsidR="00C47D84" w:rsidRPr="00C52B69">
        <w:rPr>
          <w:szCs w:val="22"/>
        </w:rPr>
        <w:t xml:space="preserve"> </w:t>
      </w:r>
      <w:r w:rsidR="00D276FF" w:rsidRPr="00C52B69">
        <w:rPr>
          <w:szCs w:val="22"/>
        </w:rPr>
        <w:t xml:space="preserve">(see </w:t>
      </w:r>
      <w:r w:rsidR="00C47D84" w:rsidRPr="00C52B69">
        <w:rPr>
          <w:szCs w:val="22"/>
        </w:rPr>
        <w:t xml:space="preserve">Table </w:t>
      </w:r>
      <w:r w:rsidRPr="00C52B69">
        <w:rPr>
          <w:szCs w:val="22"/>
        </w:rPr>
        <w:t>8</w:t>
      </w:r>
      <w:r w:rsidR="00D276FF" w:rsidRPr="00C52B69">
        <w:rPr>
          <w:szCs w:val="22"/>
        </w:rPr>
        <w:t>).</w:t>
      </w:r>
      <w:r w:rsidRPr="00C52B69">
        <w:rPr>
          <w:szCs w:val="22"/>
        </w:rPr>
        <w:t xml:space="preserve"> </w:t>
      </w:r>
      <w:r w:rsidR="002D3B21" w:rsidRPr="00C52B69">
        <w:rPr>
          <w:szCs w:val="22"/>
        </w:rPr>
        <w:t>After t</w:t>
      </w:r>
      <w:r w:rsidRPr="00C52B69">
        <w:rPr>
          <w:szCs w:val="22"/>
        </w:rPr>
        <w:t xml:space="preserve">he evaluation </w:t>
      </w:r>
      <w:r w:rsidR="006B418D" w:rsidRPr="00C52B69">
        <w:rPr>
          <w:szCs w:val="22"/>
        </w:rPr>
        <w:t xml:space="preserve">revised </w:t>
      </w:r>
      <w:r w:rsidRPr="00C52B69">
        <w:rPr>
          <w:szCs w:val="22"/>
        </w:rPr>
        <w:t>the calculation for the herd immunity</w:t>
      </w:r>
      <w:r w:rsidR="002D3B21" w:rsidRPr="00C52B69">
        <w:rPr>
          <w:szCs w:val="22"/>
        </w:rPr>
        <w:t>,</w:t>
      </w:r>
      <w:r w:rsidRPr="00C52B69">
        <w:rPr>
          <w:szCs w:val="22"/>
        </w:rPr>
        <w:t xml:space="preserve"> the cost/QALY gained </w:t>
      </w:r>
      <w:r w:rsidR="006B418D" w:rsidRPr="00C52B69">
        <w:rPr>
          <w:szCs w:val="22"/>
        </w:rPr>
        <w:t xml:space="preserve">increased to </w:t>
      </w:r>
      <w:r w:rsidR="000C4F85">
        <w:rPr>
          <w:szCs w:val="22"/>
        </w:rPr>
        <w:t>less than $15,000 per QALY</w:t>
      </w:r>
      <w:r w:rsidRPr="00C52B69">
        <w:rPr>
          <w:szCs w:val="22"/>
        </w:rPr>
        <w:t>. This compare</w:t>
      </w:r>
      <w:r w:rsidR="006B418D" w:rsidRPr="00C52B69">
        <w:rPr>
          <w:szCs w:val="22"/>
        </w:rPr>
        <w:t>d</w:t>
      </w:r>
      <w:r w:rsidRPr="00C52B69">
        <w:rPr>
          <w:szCs w:val="22"/>
        </w:rPr>
        <w:t xml:space="preserve"> with </w:t>
      </w:r>
      <w:r w:rsidR="0091638E">
        <w:rPr>
          <w:szCs w:val="22"/>
        </w:rPr>
        <w:t>$15,000 - $45,000/QALY</w:t>
      </w:r>
      <w:r w:rsidR="002D3B21" w:rsidRPr="00C52B69">
        <w:rPr>
          <w:szCs w:val="22"/>
        </w:rPr>
        <w:t>QALY</w:t>
      </w:r>
      <w:r w:rsidRPr="00C52B69">
        <w:rPr>
          <w:szCs w:val="22"/>
        </w:rPr>
        <w:t xml:space="preserve"> </w:t>
      </w:r>
      <w:r w:rsidR="00F55D83" w:rsidRPr="00C52B69">
        <w:rPr>
          <w:szCs w:val="22"/>
        </w:rPr>
        <w:t xml:space="preserve">gained </w:t>
      </w:r>
      <w:r w:rsidRPr="00C52B69">
        <w:rPr>
          <w:szCs w:val="22"/>
        </w:rPr>
        <w:t>in the July 2015 submission.</w:t>
      </w:r>
    </w:p>
    <w:p w:rsidR="00E42C41" w:rsidRPr="004A12A3" w:rsidRDefault="00E42C41" w:rsidP="00230BF2">
      <w:pPr>
        <w:widowControl/>
        <w:rPr>
          <w:sz w:val="18"/>
          <w:szCs w:val="22"/>
        </w:rPr>
      </w:pPr>
    </w:p>
    <w:p w:rsidR="00E42C41" w:rsidRPr="00700585" w:rsidRDefault="005B2489" w:rsidP="00230BF2">
      <w:pPr>
        <w:keepNext/>
        <w:widowControl/>
        <w:ind w:firstLine="720"/>
        <w:rPr>
          <w:rStyle w:val="CommentReference"/>
        </w:rPr>
      </w:pPr>
      <w:r w:rsidRPr="00700585">
        <w:rPr>
          <w:rStyle w:val="CommentReference"/>
        </w:rPr>
        <w:lastRenderedPageBreak/>
        <w:t>Table 8</w:t>
      </w:r>
      <w:r w:rsidR="00E42C41" w:rsidRPr="00700585">
        <w:rPr>
          <w:rStyle w:val="CommentReference"/>
        </w:rPr>
        <w:t>: Results of the economic evaluation</w:t>
      </w:r>
      <w:r w:rsidR="00B60079" w:rsidRPr="00700585">
        <w:rPr>
          <w:rStyle w:val="CommentReference"/>
        </w:rPr>
        <w:t xml:space="preserve"> (per 1,000 </w:t>
      </w:r>
      <w:proofErr w:type="gramStart"/>
      <w:r w:rsidR="00B60079" w:rsidRPr="00700585">
        <w:rPr>
          <w:rStyle w:val="CommentReference"/>
        </w:rPr>
        <w:t>population</w:t>
      </w:r>
      <w:proofErr w:type="gramEnd"/>
      <w:r w:rsidR="00B60079" w:rsidRPr="00700585">
        <w:rPr>
          <w:rStyle w:val="CommentReference"/>
        </w:rPr>
        <w:t>)</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35"/>
        <w:gridCol w:w="18"/>
        <w:gridCol w:w="2235"/>
        <w:gridCol w:w="32"/>
        <w:gridCol w:w="25"/>
        <w:gridCol w:w="2105"/>
        <w:gridCol w:w="1395"/>
      </w:tblGrid>
      <w:tr w:rsidR="00700585" w:rsidRPr="00700585" w:rsidTr="00B42D5E">
        <w:trPr>
          <w:tblHeader/>
        </w:trPr>
        <w:tc>
          <w:tcPr>
            <w:tcW w:w="1530" w:type="pct"/>
            <w:gridSpan w:val="2"/>
            <w:vAlign w:val="center"/>
          </w:tcPr>
          <w:p w:rsidR="00E42C41" w:rsidRPr="00700585" w:rsidRDefault="00E42C41" w:rsidP="00230BF2">
            <w:pPr>
              <w:keepNext/>
              <w:widowControl/>
              <w:jc w:val="left"/>
              <w:rPr>
                <w:rFonts w:ascii="Arial Narrow" w:hAnsi="Arial Narrow"/>
                <w:b/>
                <w:sz w:val="20"/>
              </w:rPr>
            </w:pPr>
            <w:r w:rsidRPr="00700585">
              <w:rPr>
                <w:rFonts w:ascii="Arial Narrow" w:hAnsi="Arial Narrow"/>
                <w:b/>
                <w:sz w:val="20"/>
              </w:rPr>
              <w:t>Step and component</w:t>
            </w:r>
          </w:p>
        </w:tc>
        <w:tc>
          <w:tcPr>
            <w:tcW w:w="1358" w:type="pct"/>
            <w:gridSpan w:val="2"/>
            <w:vAlign w:val="center"/>
          </w:tcPr>
          <w:p w:rsidR="00E42C41" w:rsidRPr="00700585" w:rsidRDefault="00E42C41" w:rsidP="00230BF2">
            <w:pPr>
              <w:keepNext/>
              <w:widowControl/>
              <w:jc w:val="center"/>
              <w:rPr>
                <w:rFonts w:ascii="Arial Narrow" w:hAnsi="Arial Narrow"/>
                <w:b/>
                <w:sz w:val="20"/>
              </w:rPr>
            </w:pPr>
            <w:r w:rsidRPr="00700585">
              <w:rPr>
                <w:rFonts w:ascii="Arial Narrow" w:hAnsi="Arial Narrow"/>
                <w:b/>
                <w:sz w:val="20"/>
              </w:rPr>
              <w:t>13vPCV</w:t>
            </w:r>
          </w:p>
        </w:tc>
        <w:tc>
          <w:tcPr>
            <w:tcW w:w="1276" w:type="pct"/>
            <w:gridSpan w:val="2"/>
            <w:vAlign w:val="center"/>
          </w:tcPr>
          <w:p w:rsidR="00E42C41" w:rsidRPr="00700585" w:rsidRDefault="00E42C41" w:rsidP="00230BF2">
            <w:pPr>
              <w:keepNext/>
              <w:widowControl/>
              <w:jc w:val="center"/>
              <w:rPr>
                <w:rFonts w:ascii="Arial Narrow" w:hAnsi="Arial Narrow"/>
                <w:b/>
                <w:sz w:val="20"/>
              </w:rPr>
            </w:pPr>
            <w:r w:rsidRPr="00700585">
              <w:rPr>
                <w:rFonts w:ascii="Arial Narrow" w:hAnsi="Arial Narrow"/>
                <w:b/>
                <w:sz w:val="20"/>
              </w:rPr>
              <w:t>23vPPV</w:t>
            </w:r>
          </w:p>
        </w:tc>
        <w:tc>
          <w:tcPr>
            <w:tcW w:w="836" w:type="pct"/>
            <w:vAlign w:val="center"/>
          </w:tcPr>
          <w:p w:rsidR="00E42C41" w:rsidRPr="00700585" w:rsidRDefault="00E42C41" w:rsidP="00230BF2">
            <w:pPr>
              <w:keepNext/>
              <w:widowControl/>
              <w:jc w:val="center"/>
              <w:rPr>
                <w:rFonts w:ascii="Arial Narrow" w:hAnsi="Arial Narrow"/>
                <w:b/>
                <w:sz w:val="20"/>
              </w:rPr>
            </w:pPr>
            <w:r w:rsidRPr="00700585">
              <w:rPr>
                <w:rFonts w:ascii="Arial Narrow" w:hAnsi="Arial Narrow"/>
                <w:b/>
                <w:sz w:val="20"/>
              </w:rPr>
              <w:t>Increment</w:t>
            </w:r>
          </w:p>
        </w:tc>
      </w:tr>
      <w:tr w:rsidR="00700585" w:rsidRPr="00700585" w:rsidTr="004F0B0C">
        <w:tc>
          <w:tcPr>
            <w:tcW w:w="5000" w:type="pct"/>
            <w:gridSpan w:val="7"/>
            <w:vAlign w:val="center"/>
          </w:tcPr>
          <w:p w:rsidR="00E42C41" w:rsidRPr="00700585" w:rsidRDefault="00157DB2" w:rsidP="00230BF2">
            <w:pPr>
              <w:pStyle w:val="TableHeading"/>
              <w:spacing w:before="0" w:after="0"/>
              <w:rPr>
                <w:snapToGrid w:val="0"/>
              </w:rPr>
            </w:pPr>
            <w:r w:rsidRPr="00700585">
              <w:rPr>
                <w:snapToGrid w:val="0"/>
              </w:rPr>
              <w:t>July 2015 submission</w:t>
            </w:r>
          </w:p>
        </w:tc>
      </w:tr>
      <w:tr w:rsidR="00700585" w:rsidRPr="00700585" w:rsidTr="00290D9E">
        <w:tc>
          <w:tcPr>
            <w:tcW w:w="1530" w:type="pct"/>
            <w:gridSpan w:val="2"/>
            <w:vAlign w:val="center"/>
          </w:tcPr>
          <w:p w:rsidR="00157DB2" w:rsidRPr="00700585" w:rsidRDefault="00157DB2" w:rsidP="00230BF2">
            <w:pPr>
              <w:keepNext/>
              <w:widowControl/>
              <w:jc w:val="left"/>
              <w:rPr>
                <w:rFonts w:ascii="Arial Narrow" w:hAnsi="Arial Narrow"/>
                <w:sz w:val="20"/>
              </w:rPr>
            </w:pPr>
            <w:r w:rsidRPr="00700585">
              <w:rPr>
                <w:rFonts w:ascii="Arial Narrow" w:hAnsi="Arial Narrow"/>
                <w:sz w:val="20"/>
              </w:rPr>
              <w:t>Costs</w:t>
            </w:r>
          </w:p>
        </w:tc>
        <w:tc>
          <w:tcPr>
            <w:tcW w:w="1358" w:type="pct"/>
            <w:gridSpan w:val="2"/>
            <w:vAlign w:val="bottom"/>
          </w:tcPr>
          <w:p w:rsidR="00157DB2" w:rsidRPr="00700585" w:rsidRDefault="00157DB2" w:rsidP="00230BF2">
            <w:pPr>
              <w:keepNext/>
              <w:widowControl/>
              <w:jc w:val="center"/>
              <w:rPr>
                <w:rFonts w:ascii="Arial Narrow" w:hAnsi="Arial Narrow"/>
                <w:sz w:val="20"/>
              </w:rPr>
            </w:pPr>
            <w:r w:rsidRPr="00700585">
              <w:rPr>
                <w:rFonts w:ascii="Arial Narrow" w:hAnsi="Arial Narrow"/>
                <w:sz w:val="20"/>
              </w:rPr>
              <w:t>$</w:t>
            </w:r>
            <w:r w:rsidR="0091638E">
              <w:rPr>
                <w:rFonts w:ascii="Arial Narrow" w:hAnsi="Arial Narrow"/>
                <w:noProof/>
                <w:color w:val="000000"/>
                <w:sz w:val="20"/>
                <w:highlight w:val="black"/>
              </w:rPr>
              <w:t>''''''''''''''''''</w:t>
            </w:r>
          </w:p>
        </w:tc>
        <w:tc>
          <w:tcPr>
            <w:tcW w:w="1276" w:type="pct"/>
            <w:gridSpan w:val="2"/>
            <w:vAlign w:val="bottom"/>
          </w:tcPr>
          <w:p w:rsidR="00157DB2" w:rsidRPr="00700585" w:rsidRDefault="00157DB2" w:rsidP="00230BF2">
            <w:pPr>
              <w:keepNext/>
              <w:widowControl/>
              <w:jc w:val="center"/>
              <w:rPr>
                <w:rFonts w:ascii="Arial Narrow" w:hAnsi="Arial Narrow"/>
                <w:sz w:val="20"/>
              </w:rPr>
            </w:pPr>
            <w:r w:rsidRPr="00700585">
              <w:rPr>
                <w:rFonts w:ascii="Arial Narrow" w:hAnsi="Arial Narrow"/>
                <w:sz w:val="20"/>
              </w:rPr>
              <w:t>$</w:t>
            </w:r>
            <w:r w:rsidR="0091638E">
              <w:rPr>
                <w:rFonts w:ascii="Arial Narrow" w:hAnsi="Arial Narrow"/>
                <w:noProof/>
                <w:color w:val="000000"/>
                <w:sz w:val="20"/>
                <w:highlight w:val="black"/>
              </w:rPr>
              <w:t>'''''''''''''''''''</w:t>
            </w:r>
          </w:p>
        </w:tc>
        <w:tc>
          <w:tcPr>
            <w:tcW w:w="836" w:type="pct"/>
            <w:vAlign w:val="bottom"/>
          </w:tcPr>
          <w:p w:rsidR="00157DB2" w:rsidRPr="00700585" w:rsidRDefault="00157DB2" w:rsidP="00230BF2">
            <w:pPr>
              <w:keepNext/>
              <w:widowControl/>
              <w:jc w:val="center"/>
              <w:rPr>
                <w:rFonts w:ascii="Arial Narrow" w:hAnsi="Arial Narrow"/>
                <w:sz w:val="20"/>
              </w:rPr>
            </w:pPr>
            <w:r w:rsidRPr="00700585">
              <w:rPr>
                <w:rFonts w:ascii="Arial Narrow" w:hAnsi="Arial Narrow"/>
                <w:sz w:val="20"/>
              </w:rPr>
              <w:t>$</w:t>
            </w:r>
            <w:r w:rsidR="0091638E">
              <w:rPr>
                <w:rFonts w:ascii="Arial Narrow" w:hAnsi="Arial Narrow"/>
                <w:noProof/>
                <w:color w:val="000000"/>
                <w:sz w:val="20"/>
                <w:highlight w:val="black"/>
              </w:rPr>
              <w:t>'''''''''''''''''</w:t>
            </w:r>
          </w:p>
        </w:tc>
      </w:tr>
      <w:tr w:rsidR="00700585" w:rsidRPr="00700585" w:rsidTr="00290D9E">
        <w:tc>
          <w:tcPr>
            <w:tcW w:w="1530" w:type="pct"/>
            <w:gridSpan w:val="2"/>
            <w:vAlign w:val="center"/>
          </w:tcPr>
          <w:p w:rsidR="00157DB2" w:rsidRPr="00700585" w:rsidRDefault="00157DB2" w:rsidP="00230BF2">
            <w:pPr>
              <w:keepNext/>
              <w:widowControl/>
              <w:jc w:val="left"/>
              <w:rPr>
                <w:rFonts w:ascii="Arial Narrow" w:hAnsi="Arial Narrow"/>
                <w:sz w:val="20"/>
              </w:rPr>
            </w:pPr>
            <w:r w:rsidRPr="00700585">
              <w:rPr>
                <w:rFonts w:ascii="Arial Narrow" w:hAnsi="Arial Narrow"/>
                <w:sz w:val="20"/>
              </w:rPr>
              <w:t>LY gained</w:t>
            </w:r>
          </w:p>
        </w:tc>
        <w:tc>
          <w:tcPr>
            <w:tcW w:w="1358" w:type="pct"/>
            <w:gridSpan w:val="2"/>
            <w:vAlign w:val="bottom"/>
          </w:tcPr>
          <w:p w:rsidR="00157DB2" w:rsidRPr="00700585" w:rsidRDefault="00157DB2" w:rsidP="00230BF2">
            <w:pPr>
              <w:keepNext/>
              <w:widowControl/>
              <w:jc w:val="center"/>
              <w:rPr>
                <w:rFonts w:ascii="Arial Narrow" w:hAnsi="Arial Narrow"/>
                <w:sz w:val="20"/>
              </w:rPr>
            </w:pPr>
            <w:r w:rsidRPr="00E16541">
              <w:rPr>
                <w:rFonts w:ascii="Arial Narrow" w:hAnsi="Arial Narrow"/>
                <w:sz w:val="20"/>
              </w:rPr>
              <w:t>7,462.959</w:t>
            </w:r>
          </w:p>
        </w:tc>
        <w:tc>
          <w:tcPr>
            <w:tcW w:w="1276" w:type="pct"/>
            <w:gridSpan w:val="2"/>
            <w:vAlign w:val="bottom"/>
          </w:tcPr>
          <w:p w:rsidR="00157DB2" w:rsidRPr="00700585" w:rsidRDefault="00157DB2" w:rsidP="00230BF2">
            <w:pPr>
              <w:keepNext/>
              <w:widowControl/>
              <w:jc w:val="center"/>
              <w:rPr>
                <w:rFonts w:ascii="Arial Narrow" w:hAnsi="Arial Narrow"/>
                <w:sz w:val="20"/>
              </w:rPr>
            </w:pPr>
            <w:r w:rsidRPr="00E16541">
              <w:rPr>
                <w:rFonts w:ascii="Arial Narrow" w:hAnsi="Arial Narrow"/>
                <w:sz w:val="20"/>
              </w:rPr>
              <w:t>7,461.768</w:t>
            </w:r>
          </w:p>
        </w:tc>
        <w:tc>
          <w:tcPr>
            <w:tcW w:w="836" w:type="pct"/>
            <w:vAlign w:val="bottom"/>
          </w:tcPr>
          <w:p w:rsidR="00157DB2" w:rsidRPr="00700585" w:rsidRDefault="00157DB2" w:rsidP="00230BF2">
            <w:pPr>
              <w:keepNext/>
              <w:widowControl/>
              <w:jc w:val="center"/>
              <w:rPr>
                <w:rFonts w:ascii="Arial Narrow" w:hAnsi="Arial Narrow"/>
                <w:sz w:val="20"/>
              </w:rPr>
            </w:pPr>
            <w:r w:rsidRPr="00E16541">
              <w:rPr>
                <w:rFonts w:ascii="Arial Narrow" w:hAnsi="Arial Narrow"/>
                <w:sz w:val="20"/>
              </w:rPr>
              <w:t>1.191</w:t>
            </w:r>
          </w:p>
        </w:tc>
      </w:tr>
      <w:tr w:rsidR="00700585" w:rsidRPr="00700585" w:rsidTr="00157DB2">
        <w:tc>
          <w:tcPr>
            <w:tcW w:w="4164" w:type="pct"/>
            <w:gridSpan w:val="6"/>
            <w:vAlign w:val="center"/>
          </w:tcPr>
          <w:p w:rsidR="00157DB2" w:rsidRPr="00700585" w:rsidRDefault="00157DB2" w:rsidP="00230BF2">
            <w:pPr>
              <w:pStyle w:val="Tabletext"/>
              <w:keepNext/>
              <w:spacing w:after="0"/>
              <w:rPr>
                <w:rFonts w:ascii="Arial Narrow" w:hAnsi="Arial Narrow"/>
                <w:b/>
                <w:i/>
              </w:rPr>
            </w:pPr>
            <w:r w:rsidRPr="00700585">
              <w:rPr>
                <w:rFonts w:ascii="Arial Narrow" w:hAnsi="Arial Narrow"/>
                <w:b/>
                <w:snapToGrid w:val="0"/>
              </w:rPr>
              <w:t>Incremental cost/extra LY gained</w:t>
            </w:r>
          </w:p>
        </w:tc>
        <w:tc>
          <w:tcPr>
            <w:tcW w:w="836" w:type="pct"/>
          </w:tcPr>
          <w:p w:rsidR="00157DB2" w:rsidRPr="00700585" w:rsidRDefault="00157DB2" w:rsidP="00230BF2">
            <w:pPr>
              <w:keepNext/>
              <w:widowControl/>
              <w:jc w:val="center"/>
              <w:rPr>
                <w:rFonts w:ascii="Arial Narrow" w:hAnsi="Arial Narrow"/>
                <w:b/>
                <w:sz w:val="20"/>
              </w:rPr>
            </w:pPr>
            <w:r w:rsidRPr="00700585">
              <w:rPr>
                <w:rFonts w:ascii="Arial Narrow" w:hAnsi="Arial Narrow"/>
                <w:b/>
                <w:sz w:val="20"/>
              </w:rPr>
              <w:t>$</w:t>
            </w:r>
            <w:r w:rsidR="0091638E">
              <w:rPr>
                <w:rFonts w:ascii="Arial Narrow" w:hAnsi="Arial Narrow"/>
                <w:b/>
                <w:noProof/>
                <w:color w:val="000000"/>
                <w:sz w:val="20"/>
                <w:highlight w:val="black"/>
              </w:rPr>
              <w:t>'''''''''''''</w:t>
            </w:r>
          </w:p>
        </w:tc>
      </w:tr>
      <w:tr w:rsidR="00700585" w:rsidRPr="00700585" w:rsidTr="00290D9E">
        <w:tc>
          <w:tcPr>
            <w:tcW w:w="1530" w:type="pct"/>
            <w:gridSpan w:val="2"/>
            <w:vAlign w:val="center"/>
          </w:tcPr>
          <w:p w:rsidR="00157DB2" w:rsidRPr="00700585" w:rsidRDefault="00157DB2" w:rsidP="00230BF2">
            <w:pPr>
              <w:keepNext/>
              <w:widowControl/>
              <w:jc w:val="left"/>
              <w:rPr>
                <w:rFonts w:ascii="Arial Narrow" w:hAnsi="Arial Narrow"/>
                <w:sz w:val="20"/>
              </w:rPr>
            </w:pPr>
            <w:r w:rsidRPr="00700585">
              <w:rPr>
                <w:rFonts w:ascii="Arial Narrow" w:hAnsi="Arial Narrow"/>
                <w:sz w:val="20"/>
              </w:rPr>
              <w:t>QALY gained</w:t>
            </w:r>
          </w:p>
        </w:tc>
        <w:tc>
          <w:tcPr>
            <w:tcW w:w="1358" w:type="pct"/>
            <w:gridSpan w:val="2"/>
            <w:vAlign w:val="bottom"/>
          </w:tcPr>
          <w:p w:rsidR="00157DB2" w:rsidRPr="00700585" w:rsidRDefault="00157DB2" w:rsidP="00230BF2">
            <w:pPr>
              <w:keepNext/>
              <w:widowControl/>
              <w:jc w:val="center"/>
              <w:rPr>
                <w:rFonts w:ascii="Arial Narrow" w:hAnsi="Arial Narrow"/>
                <w:sz w:val="20"/>
              </w:rPr>
            </w:pPr>
            <w:r w:rsidRPr="00E16541">
              <w:rPr>
                <w:rFonts w:ascii="Arial Narrow" w:hAnsi="Arial Narrow"/>
                <w:sz w:val="20"/>
              </w:rPr>
              <w:t>0.878</w:t>
            </w:r>
          </w:p>
        </w:tc>
        <w:tc>
          <w:tcPr>
            <w:tcW w:w="1276" w:type="pct"/>
            <w:gridSpan w:val="2"/>
            <w:vAlign w:val="bottom"/>
          </w:tcPr>
          <w:p w:rsidR="00157DB2" w:rsidRPr="00700585" w:rsidRDefault="00157DB2" w:rsidP="00230BF2">
            <w:pPr>
              <w:keepNext/>
              <w:widowControl/>
              <w:jc w:val="center"/>
              <w:rPr>
                <w:rFonts w:ascii="Arial Narrow" w:hAnsi="Arial Narrow"/>
                <w:sz w:val="20"/>
              </w:rPr>
            </w:pPr>
            <w:r w:rsidRPr="00E16541">
              <w:rPr>
                <w:rFonts w:ascii="Arial Narrow" w:hAnsi="Arial Narrow"/>
                <w:sz w:val="20"/>
              </w:rPr>
              <w:t>5,499.323</w:t>
            </w:r>
          </w:p>
        </w:tc>
        <w:tc>
          <w:tcPr>
            <w:tcW w:w="836" w:type="pct"/>
            <w:vAlign w:val="bottom"/>
          </w:tcPr>
          <w:p w:rsidR="00157DB2" w:rsidRPr="00700585" w:rsidRDefault="00157DB2" w:rsidP="00230BF2">
            <w:pPr>
              <w:keepNext/>
              <w:widowControl/>
              <w:jc w:val="center"/>
              <w:rPr>
                <w:rFonts w:ascii="Arial Narrow" w:hAnsi="Arial Narrow"/>
                <w:sz w:val="20"/>
              </w:rPr>
            </w:pPr>
            <w:r w:rsidRPr="00E16541">
              <w:rPr>
                <w:rFonts w:ascii="Arial Narrow" w:hAnsi="Arial Narrow"/>
                <w:sz w:val="20"/>
              </w:rPr>
              <w:t>0.878</w:t>
            </w:r>
          </w:p>
        </w:tc>
      </w:tr>
      <w:tr w:rsidR="00700585" w:rsidRPr="00700585" w:rsidTr="00157DB2">
        <w:tc>
          <w:tcPr>
            <w:tcW w:w="4164" w:type="pct"/>
            <w:gridSpan w:val="6"/>
            <w:vAlign w:val="center"/>
          </w:tcPr>
          <w:p w:rsidR="00157DB2" w:rsidRPr="00700585" w:rsidRDefault="00157DB2" w:rsidP="00230BF2">
            <w:pPr>
              <w:pStyle w:val="Tabletext"/>
              <w:keepNext/>
              <w:spacing w:after="0"/>
              <w:rPr>
                <w:rFonts w:ascii="Arial Narrow" w:hAnsi="Arial Narrow"/>
                <w:b/>
              </w:rPr>
            </w:pPr>
            <w:r w:rsidRPr="00700585">
              <w:rPr>
                <w:rFonts w:ascii="Arial Narrow" w:hAnsi="Arial Narrow"/>
                <w:b/>
              </w:rPr>
              <w:t>Incremental cost/extra QALY gained</w:t>
            </w:r>
          </w:p>
        </w:tc>
        <w:tc>
          <w:tcPr>
            <w:tcW w:w="836" w:type="pct"/>
          </w:tcPr>
          <w:p w:rsidR="00157DB2" w:rsidRPr="0091638E" w:rsidRDefault="0091638E" w:rsidP="00230BF2">
            <w:pPr>
              <w:keepNext/>
              <w:widowControl/>
              <w:jc w:val="center"/>
              <w:rPr>
                <w:rFonts w:ascii="Arial Narrow" w:hAnsi="Arial Narrow"/>
                <w:b/>
                <w:sz w:val="20"/>
                <w:highlight w:val="black"/>
              </w:rPr>
            </w:pPr>
            <w:r>
              <w:rPr>
                <w:rFonts w:ascii="Arial Narrow" w:hAnsi="Arial Narrow"/>
                <w:b/>
                <w:noProof/>
                <w:color w:val="000000"/>
                <w:sz w:val="20"/>
                <w:highlight w:val="black"/>
              </w:rPr>
              <w:t>'''''''''''''''</w:t>
            </w:r>
          </w:p>
        </w:tc>
      </w:tr>
      <w:tr w:rsidR="00700585" w:rsidRPr="00700585" w:rsidTr="00EB730D">
        <w:tc>
          <w:tcPr>
            <w:tcW w:w="5000" w:type="pct"/>
            <w:gridSpan w:val="7"/>
            <w:vAlign w:val="center"/>
          </w:tcPr>
          <w:p w:rsidR="00157DB2" w:rsidRPr="00700585" w:rsidRDefault="00157DB2" w:rsidP="00230BF2">
            <w:pPr>
              <w:pStyle w:val="Tabletext"/>
              <w:keepNext/>
              <w:spacing w:after="0"/>
              <w:rPr>
                <w:rFonts w:ascii="Arial Narrow" w:hAnsi="Arial Narrow"/>
                <w:i/>
              </w:rPr>
            </w:pPr>
            <w:r w:rsidRPr="00700585">
              <w:rPr>
                <w:rFonts w:ascii="Arial Narrow" w:hAnsi="Arial Narrow"/>
                <w:b/>
              </w:rPr>
              <w:t xml:space="preserve">Non-Indigenous adults (65-84y) model </w:t>
            </w:r>
            <w:r w:rsidRPr="00700585">
              <w:rPr>
                <w:rFonts w:ascii="Arial Narrow" w:hAnsi="Arial Narrow"/>
                <w:b/>
                <w:i/>
              </w:rPr>
              <w:t>(corrected during the evaluation)</w:t>
            </w:r>
          </w:p>
        </w:tc>
      </w:tr>
      <w:tr w:rsidR="00700585" w:rsidRPr="00700585" w:rsidTr="004F0B0C">
        <w:tc>
          <w:tcPr>
            <w:tcW w:w="1530" w:type="pct"/>
            <w:gridSpan w:val="2"/>
            <w:vAlign w:val="center"/>
          </w:tcPr>
          <w:p w:rsidR="00157DB2" w:rsidRPr="00700585" w:rsidRDefault="00157DB2" w:rsidP="00230BF2">
            <w:pPr>
              <w:keepNext/>
              <w:widowControl/>
              <w:jc w:val="left"/>
              <w:rPr>
                <w:rFonts w:ascii="Arial Narrow" w:hAnsi="Arial Narrow"/>
                <w:sz w:val="20"/>
              </w:rPr>
            </w:pPr>
            <w:r w:rsidRPr="00700585">
              <w:rPr>
                <w:rFonts w:ascii="Arial Narrow" w:hAnsi="Arial Narrow"/>
                <w:sz w:val="20"/>
              </w:rPr>
              <w:t>Costs</w:t>
            </w:r>
          </w:p>
        </w:tc>
        <w:tc>
          <w:tcPr>
            <w:tcW w:w="1358" w:type="pct"/>
            <w:gridSpan w:val="2"/>
          </w:tcPr>
          <w:p w:rsidR="00157DB2" w:rsidRPr="00700585" w:rsidRDefault="00157DB2" w:rsidP="00230BF2">
            <w:pPr>
              <w:keepNext/>
              <w:widowControl/>
              <w:jc w:val="center"/>
              <w:rPr>
                <w:rFonts w:ascii="Arial Narrow" w:hAnsi="Arial Narrow"/>
                <w:i/>
                <w:sz w:val="20"/>
              </w:rPr>
            </w:pPr>
            <w:r w:rsidRPr="00700585">
              <w:rPr>
                <w:rFonts w:ascii="Arial Narrow" w:hAnsi="Arial Narrow"/>
                <w:i/>
                <w:sz w:val="20"/>
              </w:rPr>
              <w:t>$</w:t>
            </w:r>
            <w:r w:rsidR="0091638E">
              <w:rPr>
                <w:rFonts w:ascii="Arial Narrow" w:hAnsi="Arial Narrow"/>
                <w:i/>
                <w:noProof/>
                <w:color w:val="000000"/>
                <w:sz w:val="20"/>
                <w:highlight w:val="black"/>
              </w:rPr>
              <w:t>''''''''''''''''''''</w:t>
            </w:r>
          </w:p>
        </w:tc>
        <w:tc>
          <w:tcPr>
            <w:tcW w:w="1276" w:type="pct"/>
            <w:gridSpan w:val="2"/>
          </w:tcPr>
          <w:p w:rsidR="00157DB2" w:rsidRPr="00700585" w:rsidRDefault="00157DB2" w:rsidP="00230BF2">
            <w:pPr>
              <w:keepNext/>
              <w:widowControl/>
              <w:jc w:val="center"/>
              <w:rPr>
                <w:rFonts w:ascii="Arial Narrow" w:hAnsi="Arial Narrow"/>
                <w:i/>
                <w:sz w:val="20"/>
              </w:rPr>
            </w:pPr>
            <w:r w:rsidRPr="00700585">
              <w:rPr>
                <w:rFonts w:ascii="Arial Narrow" w:hAnsi="Arial Narrow"/>
                <w:i/>
                <w:sz w:val="20"/>
              </w:rPr>
              <w:t>$</w:t>
            </w:r>
            <w:r w:rsidR="0091638E">
              <w:rPr>
                <w:rFonts w:ascii="Arial Narrow" w:hAnsi="Arial Narrow"/>
                <w:i/>
                <w:noProof/>
                <w:color w:val="000000"/>
                <w:sz w:val="20"/>
                <w:highlight w:val="black"/>
              </w:rPr>
              <w:t>'''''''''''''''''</w:t>
            </w:r>
          </w:p>
        </w:tc>
        <w:tc>
          <w:tcPr>
            <w:tcW w:w="836" w:type="pct"/>
          </w:tcPr>
          <w:p w:rsidR="00157DB2" w:rsidRPr="00700585" w:rsidRDefault="00157DB2" w:rsidP="00230BF2">
            <w:pPr>
              <w:keepNext/>
              <w:widowControl/>
              <w:jc w:val="center"/>
              <w:rPr>
                <w:rFonts w:ascii="Arial Narrow" w:hAnsi="Arial Narrow"/>
                <w:i/>
                <w:sz w:val="20"/>
              </w:rPr>
            </w:pPr>
            <w:r w:rsidRPr="00700585">
              <w:rPr>
                <w:rFonts w:ascii="Arial Narrow" w:hAnsi="Arial Narrow"/>
                <w:i/>
                <w:sz w:val="20"/>
              </w:rPr>
              <w:t>$</w:t>
            </w:r>
            <w:r w:rsidR="0091638E">
              <w:rPr>
                <w:rFonts w:ascii="Arial Narrow" w:hAnsi="Arial Narrow"/>
                <w:i/>
                <w:noProof/>
                <w:color w:val="000000"/>
                <w:sz w:val="20"/>
                <w:highlight w:val="black"/>
              </w:rPr>
              <w:t>''''''''''''''</w:t>
            </w:r>
          </w:p>
        </w:tc>
      </w:tr>
      <w:tr w:rsidR="00700585" w:rsidRPr="00700585" w:rsidTr="004F0B0C">
        <w:tc>
          <w:tcPr>
            <w:tcW w:w="1530" w:type="pct"/>
            <w:gridSpan w:val="2"/>
            <w:vAlign w:val="center"/>
          </w:tcPr>
          <w:p w:rsidR="00157DB2" w:rsidRPr="00700585" w:rsidRDefault="00157DB2" w:rsidP="00230BF2">
            <w:pPr>
              <w:keepNext/>
              <w:widowControl/>
              <w:jc w:val="left"/>
              <w:rPr>
                <w:rFonts w:ascii="Arial Narrow" w:hAnsi="Arial Narrow"/>
                <w:sz w:val="20"/>
              </w:rPr>
            </w:pPr>
            <w:r w:rsidRPr="00700585">
              <w:rPr>
                <w:rFonts w:ascii="Arial Narrow" w:hAnsi="Arial Narrow"/>
                <w:sz w:val="20"/>
              </w:rPr>
              <w:t>LY gained</w:t>
            </w:r>
          </w:p>
        </w:tc>
        <w:tc>
          <w:tcPr>
            <w:tcW w:w="1358" w:type="pct"/>
            <w:gridSpan w:val="2"/>
          </w:tcPr>
          <w:p w:rsidR="00157DB2" w:rsidRPr="0091638E" w:rsidRDefault="0091638E" w:rsidP="00230BF2">
            <w:pPr>
              <w:keepNext/>
              <w:widowControl/>
              <w:jc w:val="center"/>
              <w:rPr>
                <w:rFonts w:ascii="Arial Narrow" w:hAnsi="Arial Narrow"/>
                <w:i/>
                <w:sz w:val="20"/>
                <w:highlight w:val="black"/>
              </w:rPr>
            </w:pPr>
            <w:r>
              <w:rPr>
                <w:rFonts w:ascii="Arial Narrow" w:hAnsi="Arial Narrow"/>
                <w:i/>
                <w:noProof/>
                <w:color w:val="000000"/>
                <w:sz w:val="20"/>
                <w:highlight w:val="black"/>
              </w:rPr>
              <w:t>''''''''''''''''''''''''''</w:t>
            </w:r>
          </w:p>
        </w:tc>
        <w:tc>
          <w:tcPr>
            <w:tcW w:w="1276" w:type="pct"/>
            <w:gridSpan w:val="2"/>
          </w:tcPr>
          <w:p w:rsidR="00157DB2" w:rsidRPr="0091638E" w:rsidRDefault="0091638E" w:rsidP="00230BF2">
            <w:pPr>
              <w:keepNext/>
              <w:widowControl/>
              <w:jc w:val="center"/>
              <w:rPr>
                <w:rFonts w:ascii="Arial Narrow" w:hAnsi="Arial Narrow"/>
                <w:i/>
                <w:sz w:val="20"/>
                <w:highlight w:val="black"/>
              </w:rPr>
            </w:pPr>
            <w:r>
              <w:rPr>
                <w:rFonts w:ascii="Arial Narrow" w:hAnsi="Arial Narrow"/>
                <w:i/>
                <w:noProof/>
                <w:color w:val="000000"/>
                <w:sz w:val="20"/>
                <w:highlight w:val="black"/>
              </w:rPr>
              <w:t>'''''''''''''''''''''''</w:t>
            </w:r>
          </w:p>
        </w:tc>
        <w:tc>
          <w:tcPr>
            <w:tcW w:w="836" w:type="pct"/>
          </w:tcPr>
          <w:p w:rsidR="00157DB2" w:rsidRPr="0091638E" w:rsidRDefault="0091638E" w:rsidP="00230BF2">
            <w:pPr>
              <w:keepNext/>
              <w:widowControl/>
              <w:jc w:val="center"/>
              <w:rPr>
                <w:rFonts w:ascii="Arial Narrow" w:hAnsi="Arial Narrow"/>
                <w:i/>
                <w:sz w:val="20"/>
                <w:highlight w:val="black"/>
              </w:rPr>
            </w:pPr>
            <w:r>
              <w:rPr>
                <w:rFonts w:ascii="Arial Narrow" w:hAnsi="Arial Narrow"/>
                <w:i/>
                <w:noProof/>
                <w:color w:val="000000"/>
                <w:sz w:val="20"/>
                <w:highlight w:val="black"/>
              </w:rPr>
              <w:t>''''''''''''''</w:t>
            </w:r>
          </w:p>
        </w:tc>
      </w:tr>
      <w:tr w:rsidR="00700585" w:rsidRPr="00700585" w:rsidTr="00B42D5E">
        <w:tc>
          <w:tcPr>
            <w:tcW w:w="4164" w:type="pct"/>
            <w:gridSpan w:val="6"/>
            <w:vAlign w:val="center"/>
          </w:tcPr>
          <w:p w:rsidR="00157DB2" w:rsidRPr="00700585" w:rsidRDefault="00157DB2" w:rsidP="00230BF2">
            <w:pPr>
              <w:pStyle w:val="Tabletext"/>
              <w:keepNext/>
              <w:spacing w:after="0"/>
              <w:rPr>
                <w:rFonts w:ascii="Arial Narrow" w:hAnsi="Arial Narrow"/>
                <w:snapToGrid w:val="0"/>
              </w:rPr>
            </w:pPr>
            <w:r w:rsidRPr="00700585">
              <w:rPr>
                <w:rFonts w:ascii="Arial Narrow" w:hAnsi="Arial Narrow"/>
                <w:b/>
              </w:rPr>
              <w:t>Incremental cost/extra LY gained</w:t>
            </w:r>
          </w:p>
        </w:tc>
        <w:tc>
          <w:tcPr>
            <w:tcW w:w="836" w:type="pct"/>
            <w:vAlign w:val="center"/>
          </w:tcPr>
          <w:p w:rsidR="00157DB2" w:rsidRPr="00700585" w:rsidRDefault="00157DB2" w:rsidP="00230BF2">
            <w:pPr>
              <w:keepNext/>
              <w:widowControl/>
              <w:jc w:val="center"/>
              <w:rPr>
                <w:rFonts w:ascii="Arial Narrow" w:hAnsi="Arial Narrow"/>
                <w:sz w:val="20"/>
              </w:rPr>
            </w:pPr>
            <w:r w:rsidRPr="00700585">
              <w:rPr>
                <w:rFonts w:ascii="Arial Narrow" w:hAnsi="Arial Narrow"/>
                <w:b/>
                <w:i/>
                <w:sz w:val="20"/>
              </w:rPr>
              <w:t>$</w:t>
            </w:r>
            <w:r w:rsidR="0091638E">
              <w:rPr>
                <w:rFonts w:ascii="Arial Narrow" w:hAnsi="Arial Narrow"/>
                <w:b/>
                <w:i/>
                <w:noProof/>
                <w:color w:val="000000"/>
                <w:sz w:val="20"/>
                <w:highlight w:val="black"/>
              </w:rPr>
              <w:t>''''''''''''</w:t>
            </w:r>
          </w:p>
        </w:tc>
      </w:tr>
      <w:tr w:rsidR="00700585" w:rsidRPr="00700585" w:rsidTr="004F0B0C">
        <w:tc>
          <w:tcPr>
            <w:tcW w:w="1530" w:type="pct"/>
            <w:gridSpan w:val="2"/>
            <w:vAlign w:val="center"/>
          </w:tcPr>
          <w:p w:rsidR="00157DB2" w:rsidRPr="00700585" w:rsidRDefault="00157DB2" w:rsidP="00230BF2">
            <w:pPr>
              <w:pStyle w:val="Tabletext"/>
              <w:keepNext/>
              <w:spacing w:after="0"/>
              <w:rPr>
                <w:rFonts w:ascii="Arial Narrow" w:hAnsi="Arial Narrow"/>
              </w:rPr>
            </w:pPr>
            <w:r w:rsidRPr="00700585">
              <w:rPr>
                <w:rFonts w:ascii="Arial Narrow" w:hAnsi="Arial Narrow"/>
              </w:rPr>
              <w:t>QALY gained</w:t>
            </w:r>
          </w:p>
        </w:tc>
        <w:tc>
          <w:tcPr>
            <w:tcW w:w="1339" w:type="pct"/>
            <w:vAlign w:val="bottom"/>
          </w:tcPr>
          <w:p w:rsidR="00157DB2" w:rsidRPr="0091638E" w:rsidRDefault="0091638E" w:rsidP="00230BF2">
            <w:pPr>
              <w:keepNext/>
              <w:widowControl/>
              <w:jc w:val="center"/>
              <w:rPr>
                <w:rFonts w:ascii="Arial Narrow" w:hAnsi="Arial Narrow"/>
                <w:i/>
                <w:sz w:val="20"/>
                <w:highlight w:val="black"/>
              </w:rPr>
            </w:pPr>
            <w:r>
              <w:rPr>
                <w:rFonts w:ascii="Arial Narrow" w:hAnsi="Arial Narrow"/>
                <w:i/>
                <w:noProof/>
                <w:color w:val="000000"/>
                <w:sz w:val="20"/>
                <w:highlight w:val="black"/>
              </w:rPr>
              <w:t>''''''''''''''''''''''</w:t>
            </w:r>
          </w:p>
        </w:tc>
        <w:tc>
          <w:tcPr>
            <w:tcW w:w="1295" w:type="pct"/>
            <w:gridSpan w:val="3"/>
            <w:vAlign w:val="bottom"/>
          </w:tcPr>
          <w:p w:rsidR="00157DB2" w:rsidRPr="0091638E" w:rsidRDefault="0091638E" w:rsidP="00230BF2">
            <w:pPr>
              <w:keepNext/>
              <w:widowControl/>
              <w:jc w:val="center"/>
              <w:rPr>
                <w:rFonts w:ascii="Arial Narrow" w:hAnsi="Arial Narrow"/>
                <w:i/>
                <w:sz w:val="20"/>
                <w:highlight w:val="black"/>
              </w:rPr>
            </w:pPr>
            <w:r>
              <w:rPr>
                <w:rFonts w:ascii="Arial Narrow" w:hAnsi="Arial Narrow"/>
                <w:i/>
                <w:noProof/>
                <w:color w:val="000000"/>
                <w:sz w:val="20"/>
                <w:highlight w:val="black"/>
              </w:rPr>
              <w:t>''''''''''''''''''''''''''</w:t>
            </w:r>
          </w:p>
        </w:tc>
        <w:tc>
          <w:tcPr>
            <w:tcW w:w="836" w:type="pct"/>
            <w:vAlign w:val="bottom"/>
          </w:tcPr>
          <w:p w:rsidR="00157DB2" w:rsidRPr="0091638E" w:rsidRDefault="0091638E" w:rsidP="00230BF2">
            <w:pPr>
              <w:keepNext/>
              <w:widowControl/>
              <w:jc w:val="center"/>
              <w:rPr>
                <w:rFonts w:ascii="Arial Narrow" w:hAnsi="Arial Narrow"/>
                <w:i/>
                <w:sz w:val="20"/>
                <w:highlight w:val="black"/>
              </w:rPr>
            </w:pPr>
            <w:r>
              <w:rPr>
                <w:rFonts w:ascii="Arial Narrow" w:hAnsi="Arial Narrow"/>
                <w:i/>
                <w:noProof/>
                <w:color w:val="000000"/>
                <w:sz w:val="20"/>
                <w:highlight w:val="black"/>
              </w:rPr>
              <w:t>'''''''''''''</w:t>
            </w:r>
          </w:p>
        </w:tc>
      </w:tr>
      <w:tr w:rsidR="00700585" w:rsidRPr="00700585" w:rsidTr="00305580">
        <w:tc>
          <w:tcPr>
            <w:tcW w:w="4164" w:type="pct"/>
            <w:gridSpan w:val="6"/>
            <w:vAlign w:val="center"/>
          </w:tcPr>
          <w:p w:rsidR="00157DB2" w:rsidRPr="00700585" w:rsidRDefault="00157DB2" w:rsidP="00230BF2">
            <w:pPr>
              <w:pStyle w:val="Tabletext"/>
              <w:keepNext/>
              <w:spacing w:after="0"/>
              <w:rPr>
                <w:rFonts w:ascii="Arial Narrow" w:hAnsi="Arial Narrow"/>
                <w:b/>
              </w:rPr>
            </w:pPr>
            <w:r w:rsidRPr="00700585">
              <w:rPr>
                <w:rFonts w:ascii="Arial Narrow" w:hAnsi="Arial Narrow"/>
                <w:b/>
              </w:rPr>
              <w:t>Incremental cost/extra QALY gained</w:t>
            </w:r>
          </w:p>
        </w:tc>
        <w:tc>
          <w:tcPr>
            <w:tcW w:w="836" w:type="pct"/>
            <w:vAlign w:val="center"/>
          </w:tcPr>
          <w:p w:rsidR="00157DB2" w:rsidRPr="00700585" w:rsidRDefault="00157DB2" w:rsidP="00230BF2">
            <w:pPr>
              <w:keepNext/>
              <w:widowControl/>
              <w:jc w:val="center"/>
              <w:rPr>
                <w:rFonts w:ascii="Arial Narrow" w:hAnsi="Arial Narrow"/>
                <w:b/>
              </w:rPr>
            </w:pPr>
            <w:r w:rsidRPr="00700585">
              <w:rPr>
                <w:rFonts w:ascii="Arial Narrow" w:hAnsi="Arial Narrow"/>
                <w:b/>
                <w:i/>
                <w:sz w:val="20"/>
              </w:rPr>
              <w:t>$</w:t>
            </w:r>
            <w:r w:rsidR="0091638E">
              <w:rPr>
                <w:rFonts w:ascii="Arial Narrow" w:hAnsi="Arial Narrow"/>
                <w:b/>
                <w:i/>
                <w:noProof/>
                <w:color w:val="000000"/>
                <w:sz w:val="20"/>
                <w:highlight w:val="black"/>
              </w:rPr>
              <w:t>''''''''''''</w:t>
            </w:r>
          </w:p>
        </w:tc>
      </w:tr>
      <w:tr w:rsidR="00700585" w:rsidRPr="00700585" w:rsidTr="004F0B0C">
        <w:tc>
          <w:tcPr>
            <w:tcW w:w="5000" w:type="pct"/>
            <w:gridSpan w:val="7"/>
            <w:vAlign w:val="center"/>
          </w:tcPr>
          <w:p w:rsidR="00157DB2" w:rsidRPr="00700585" w:rsidRDefault="00157DB2" w:rsidP="00230BF2">
            <w:pPr>
              <w:pStyle w:val="TableHeading"/>
              <w:spacing w:before="0" w:after="0"/>
              <w:rPr>
                <w:snapToGrid w:val="0"/>
              </w:rPr>
            </w:pPr>
            <w:r w:rsidRPr="00700585">
              <w:rPr>
                <w:snapToGrid w:val="0"/>
              </w:rPr>
              <w:t>Indigenous adults (50-69y) model (not corrected during the evaluation)</w:t>
            </w:r>
          </w:p>
        </w:tc>
      </w:tr>
      <w:tr w:rsidR="00700585" w:rsidRPr="00700585" w:rsidTr="004F0B0C">
        <w:tc>
          <w:tcPr>
            <w:tcW w:w="1530" w:type="pct"/>
            <w:gridSpan w:val="2"/>
            <w:vAlign w:val="center"/>
          </w:tcPr>
          <w:p w:rsidR="00157DB2" w:rsidRPr="00700585" w:rsidRDefault="00157DB2" w:rsidP="00230BF2">
            <w:pPr>
              <w:keepNext/>
              <w:widowControl/>
              <w:jc w:val="left"/>
              <w:rPr>
                <w:rFonts w:ascii="Arial Narrow" w:hAnsi="Arial Narrow"/>
                <w:sz w:val="20"/>
              </w:rPr>
            </w:pPr>
            <w:r w:rsidRPr="00700585">
              <w:rPr>
                <w:rFonts w:ascii="Arial Narrow" w:hAnsi="Arial Narrow"/>
                <w:sz w:val="20"/>
              </w:rPr>
              <w:t>Costs</w:t>
            </w:r>
          </w:p>
        </w:tc>
        <w:tc>
          <w:tcPr>
            <w:tcW w:w="1358" w:type="pct"/>
            <w:gridSpan w:val="2"/>
            <w:vAlign w:val="bottom"/>
          </w:tcPr>
          <w:p w:rsidR="00157DB2" w:rsidRPr="00700585" w:rsidRDefault="00157DB2" w:rsidP="00230BF2">
            <w:pPr>
              <w:keepNext/>
              <w:widowControl/>
              <w:jc w:val="center"/>
              <w:rPr>
                <w:rFonts w:ascii="Arial Narrow" w:hAnsi="Arial Narrow"/>
                <w:sz w:val="20"/>
              </w:rPr>
            </w:pPr>
            <w:r w:rsidRPr="00700585">
              <w:rPr>
                <w:rFonts w:ascii="Arial Narrow" w:hAnsi="Arial Narrow"/>
                <w:sz w:val="20"/>
              </w:rPr>
              <w:t>$</w:t>
            </w:r>
            <w:r w:rsidR="0091638E">
              <w:rPr>
                <w:rFonts w:ascii="Arial Narrow" w:hAnsi="Arial Narrow"/>
                <w:noProof/>
                <w:color w:val="000000"/>
                <w:sz w:val="20"/>
                <w:highlight w:val="black"/>
              </w:rPr>
              <w:t>''''''''''''''''''''</w:t>
            </w:r>
          </w:p>
        </w:tc>
        <w:tc>
          <w:tcPr>
            <w:tcW w:w="1276" w:type="pct"/>
            <w:gridSpan w:val="2"/>
            <w:vAlign w:val="bottom"/>
          </w:tcPr>
          <w:p w:rsidR="00157DB2" w:rsidRPr="00700585" w:rsidRDefault="00157DB2" w:rsidP="00230BF2">
            <w:pPr>
              <w:keepNext/>
              <w:widowControl/>
              <w:jc w:val="center"/>
              <w:rPr>
                <w:rFonts w:ascii="Arial Narrow" w:hAnsi="Arial Narrow"/>
                <w:sz w:val="20"/>
              </w:rPr>
            </w:pPr>
            <w:r w:rsidRPr="00700585">
              <w:rPr>
                <w:rFonts w:ascii="Arial Narrow" w:hAnsi="Arial Narrow"/>
                <w:sz w:val="20"/>
              </w:rPr>
              <w:t>$</w:t>
            </w:r>
            <w:r w:rsidR="0091638E">
              <w:rPr>
                <w:rFonts w:ascii="Arial Narrow" w:hAnsi="Arial Narrow"/>
                <w:noProof/>
                <w:color w:val="000000"/>
                <w:sz w:val="20"/>
                <w:highlight w:val="black"/>
              </w:rPr>
              <w:t>'''''''''''''''''</w:t>
            </w:r>
          </w:p>
        </w:tc>
        <w:tc>
          <w:tcPr>
            <w:tcW w:w="836" w:type="pct"/>
            <w:vAlign w:val="bottom"/>
          </w:tcPr>
          <w:p w:rsidR="00157DB2" w:rsidRPr="00700585" w:rsidRDefault="00157DB2" w:rsidP="00230BF2">
            <w:pPr>
              <w:keepNext/>
              <w:widowControl/>
              <w:jc w:val="center"/>
              <w:rPr>
                <w:rFonts w:ascii="Arial Narrow" w:hAnsi="Arial Narrow"/>
                <w:sz w:val="20"/>
              </w:rPr>
            </w:pPr>
            <w:r w:rsidRPr="00700585">
              <w:rPr>
                <w:rFonts w:ascii="Arial Narrow" w:hAnsi="Arial Narrow"/>
                <w:sz w:val="20"/>
              </w:rPr>
              <w:noBreakHyphen/>
              <w:t>$</w:t>
            </w:r>
            <w:r w:rsidR="0091638E">
              <w:rPr>
                <w:rFonts w:ascii="Arial Narrow" w:hAnsi="Arial Narrow"/>
                <w:noProof/>
                <w:color w:val="000000"/>
                <w:sz w:val="20"/>
                <w:highlight w:val="black"/>
              </w:rPr>
              <w:t>''''''''''''''''</w:t>
            </w:r>
          </w:p>
        </w:tc>
      </w:tr>
      <w:tr w:rsidR="00700585" w:rsidRPr="00700585" w:rsidTr="004F0B0C">
        <w:tc>
          <w:tcPr>
            <w:tcW w:w="1530" w:type="pct"/>
            <w:gridSpan w:val="2"/>
            <w:vAlign w:val="center"/>
          </w:tcPr>
          <w:p w:rsidR="00157DB2" w:rsidRPr="00700585" w:rsidRDefault="00157DB2" w:rsidP="00230BF2">
            <w:pPr>
              <w:keepNext/>
              <w:widowControl/>
              <w:jc w:val="left"/>
              <w:rPr>
                <w:rFonts w:ascii="Arial Narrow" w:hAnsi="Arial Narrow"/>
                <w:sz w:val="20"/>
              </w:rPr>
            </w:pPr>
            <w:r w:rsidRPr="00700585">
              <w:rPr>
                <w:rFonts w:ascii="Arial Narrow" w:hAnsi="Arial Narrow"/>
                <w:sz w:val="20"/>
              </w:rPr>
              <w:t>LY gained</w:t>
            </w:r>
          </w:p>
        </w:tc>
        <w:tc>
          <w:tcPr>
            <w:tcW w:w="1358" w:type="pct"/>
            <w:gridSpan w:val="2"/>
            <w:vAlign w:val="bottom"/>
          </w:tcPr>
          <w:p w:rsidR="00157DB2" w:rsidRPr="0091638E" w:rsidRDefault="0091638E" w:rsidP="00230BF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276" w:type="pct"/>
            <w:gridSpan w:val="2"/>
            <w:vAlign w:val="bottom"/>
          </w:tcPr>
          <w:p w:rsidR="00157DB2" w:rsidRPr="0091638E" w:rsidRDefault="0091638E" w:rsidP="00230BF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836" w:type="pct"/>
            <w:vAlign w:val="bottom"/>
          </w:tcPr>
          <w:p w:rsidR="00157DB2" w:rsidRPr="0091638E" w:rsidRDefault="0091638E" w:rsidP="00230BF2">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700585" w:rsidRPr="00700585" w:rsidTr="00B42D5E">
        <w:tc>
          <w:tcPr>
            <w:tcW w:w="4164" w:type="pct"/>
            <w:gridSpan w:val="6"/>
            <w:vAlign w:val="center"/>
          </w:tcPr>
          <w:p w:rsidR="00157DB2" w:rsidRPr="00700585" w:rsidRDefault="00157DB2" w:rsidP="00230BF2">
            <w:pPr>
              <w:pStyle w:val="Tabletext"/>
              <w:keepNext/>
              <w:spacing w:after="0"/>
              <w:rPr>
                <w:rFonts w:ascii="Arial Narrow" w:hAnsi="Arial Narrow"/>
                <w:b/>
              </w:rPr>
            </w:pPr>
            <w:r w:rsidRPr="00700585">
              <w:rPr>
                <w:rFonts w:ascii="Arial Narrow" w:hAnsi="Arial Narrow"/>
              </w:rPr>
              <w:t>Incremental cost/extra LY gained (as presented in submission)</w:t>
            </w:r>
          </w:p>
        </w:tc>
        <w:tc>
          <w:tcPr>
            <w:tcW w:w="836" w:type="pct"/>
            <w:vAlign w:val="center"/>
          </w:tcPr>
          <w:p w:rsidR="00157DB2" w:rsidRPr="00700585" w:rsidRDefault="00157DB2" w:rsidP="00230BF2">
            <w:pPr>
              <w:keepNext/>
              <w:widowControl/>
              <w:jc w:val="center"/>
              <w:rPr>
                <w:rFonts w:ascii="Arial Narrow" w:hAnsi="Arial Narrow"/>
                <w:sz w:val="20"/>
              </w:rPr>
            </w:pPr>
            <w:r w:rsidRPr="00EC168C">
              <w:rPr>
                <w:rFonts w:ascii="Arial Narrow" w:hAnsi="Arial Narrow"/>
                <w:sz w:val="20"/>
              </w:rPr>
              <w:t>Dominant</w:t>
            </w:r>
          </w:p>
        </w:tc>
      </w:tr>
      <w:tr w:rsidR="00700585" w:rsidRPr="00700585" w:rsidTr="004F0B0C">
        <w:tc>
          <w:tcPr>
            <w:tcW w:w="1519" w:type="pct"/>
            <w:vAlign w:val="center"/>
          </w:tcPr>
          <w:p w:rsidR="00157DB2" w:rsidRPr="00700585" w:rsidRDefault="00157DB2" w:rsidP="00230BF2">
            <w:pPr>
              <w:pStyle w:val="Tabletext"/>
              <w:keepNext/>
              <w:spacing w:after="0"/>
              <w:rPr>
                <w:rFonts w:ascii="Arial Narrow" w:hAnsi="Arial Narrow"/>
              </w:rPr>
            </w:pPr>
            <w:r w:rsidRPr="00700585">
              <w:rPr>
                <w:rFonts w:ascii="Arial Narrow" w:hAnsi="Arial Narrow"/>
              </w:rPr>
              <w:t>QALY gained</w:t>
            </w:r>
          </w:p>
        </w:tc>
        <w:tc>
          <w:tcPr>
            <w:tcW w:w="1384" w:type="pct"/>
            <w:gridSpan w:val="4"/>
            <w:vAlign w:val="bottom"/>
          </w:tcPr>
          <w:p w:rsidR="00157DB2" w:rsidRPr="0091638E" w:rsidRDefault="0091638E" w:rsidP="00230BF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261" w:type="pct"/>
            <w:vAlign w:val="bottom"/>
          </w:tcPr>
          <w:p w:rsidR="00157DB2" w:rsidRPr="0091638E" w:rsidRDefault="0091638E" w:rsidP="00230BF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836" w:type="pct"/>
            <w:vAlign w:val="bottom"/>
          </w:tcPr>
          <w:p w:rsidR="00157DB2" w:rsidRPr="0091638E" w:rsidRDefault="0091638E" w:rsidP="00230BF2">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700585" w:rsidRPr="00700585" w:rsidTr="00B42D5E">
        <w:tc>
          <w:tcPr>
            <w:tcW w:w="4164" w:type="pct"/>
            <w:gridSpan w:val="6"/>
            <w:vAlign w:val="center"/>
          </w:tcPr>
          <w:p w:rsidR="00157DB2" w:rsidRPr="00700585" w:rsidRDefault="00157DB2" w:rsidP="00230BF2">
            <w:pPr>
              <w:pStyle w:val="Tabletext"/>
              <w:keepNext/>
              <w:spacing w:after="0"/>
              <w:rPr>
                <w:rFonts w:ascii="Arial Narrow" w:hAnsi="Arial Narrow"/>
              </w:rPr>
            </w:pPr>
            <w:r w:rsidRPr="00700585">
              <w:rPr>
                <w:rFonts w:ascii="Arial Narrow" w:hAnsi="Arial Narrow"/>
              </w:rPr>
              <w:t>Incremental cost/extra QALY gained (as presented in submission)</w:t>
            </w:r>
          </w:p>
        </w:tc>
        <w:tc>
          <w:tcPr>
            <w:tcW w:w="836" w:type="pct"/>
            <w:vAlign w:val="center"/>
          </w:tcPr>
          <w:p w:rsidR="00157DB2" w:rsidRPr="00700585" w:rsidRDefault="00157DB2" w:rsidP="00230BF2">
            <w:pPr>
              <w:keepNext/>
              <w:widowControl/>
              <w:jc w:val="center"/>
              <w:rPr>
                <w:rFonts w:ascii="Arial Narrow" w:hAnsi="Arial Narrow"/>
                <w:sz w:val="20"/>
              </w:rPr>
            </w:pPr>
            <w:r w:rsidRPr="00EC168C">
              <w:rPr>
                <w:rFonts w:ascii="Arial Narrow" w:hAnsi="Arial Narrow"/>
                <w:sz w:val="20"/>
              </w:rPr>
              <w:t>Dominant</w:t>
            </w:r>
          </w:p>
        </w:tc>
      </w:tr>
    </w:tbl>
    <w:p w:rsidR="00E42C41" w:rsidRPr="00700585" w:rsidRDefault="00E42C41" w:rsidP="00230BF2">
      <w:pPr>
        <w:pStyle w:val="TableFooter"/>
        <w:widowControl/>
        <w:ind w:left="709" w:firstLine="11"/>
      </w:pPr>
      <w:r w:rsidRPr="006B418D">
        <w:t xml:space="preserve">Source: </w:t>
      </w:r>
      <w:r w:rsidR="005A68A7" w:rsidRPr="006B418D">
        <w:t>Table 95 p183 of the submission and ca</w:t>
      </w:r>
      <w:r w:rsidR="00797520">
        <w:t>lculated during the evaluation</w:t>
      </w:r>
      <w:r w:rsidRPr="006B418D">
        <w:t>;</w:t>
      </w:r>
      <w:r w:rsidRPr="006B418D">
        <w:rPr>
          <w:i/>
        </w:rPr>
        <w:t xml:space="preserve"> values in italics calculated during the evaluatio</w:t>
      </w:r>
      <w:r w:rsidR="007D5A28" w:rsidRPr="006B418D">
        <w:rPr>
          <w:i/>
        </w:rPr>
        <w:t>n.</w:t>
      </w:r>
    </w:p>
    <w:p w:rsidR="00D110BD" w:rsidRPr="00700585" w:rsidRDefault="00D110BD" w:rsidP="00230BF2">
      <w:pPr>
        <w:widowControl/>
        <w:rPr>
          <w:szCs w:val="22"/>
        </w:rPr>
      </w:pPr>
    </w:p>
    <w:p w:rsidR="00F251E8" w:rsidRPr="00C52B69" w:rsidRDefault="00F251E8" w:rsidP="00230BF2">
      <w:pPr>
        <w:pStyle w:val="ListParagraph"/>
        <w:widowControl/>
        <w:numPr>
          <w:ilvl w:val="1"/>
          <w:numId w:val="3"/>
        </w:numPr>
        <w:rPr>
          <w:szCs w:val="22"/>
        </w:rPr>
      </w:pPr>
      <w:r w:rsidRPr="00C52B69">
        <w:rPr>
          <w:szCs w:val="22"/>
        </w:rPr>
        <w:t xml:space="preserve">Of the model inputs that </w:t>
      </w:r>
      <w:r w:rsidR="00B0511A" w:rsidRPr="00C52B69">
        <w:rPr>
          <w:szCs w:val="22"/>
        </w:rPr>
        <w:t>were</w:t>
      </w:r>
      <w:r w:rsidRPr="00C52B69">
        <w:rPr>
          <w:szCs w:val="22"/>
        </w:rPr>
        <w:t xml:space="preserve"> </w:t>
      </w:r>
      <w:r w:rsidR="00E26207" w:rsidRPr="00C52B69">
        <w:rPr>
          <w:szCs w:val="22"/>
        </w:rPr>
        <w:t>revised</w:t>
      </w:r>
      <w:r w:rsidRPr="00C52B69">
        <w:rPr>
          <w:szCs w:val="22"/>
        </w:rPr>
        <w:t xml:space="preserve">, the 13vPCV price and the inclusion of the herd immunity </w:t>
      </w:r>
      <w:r w:rsidR="00E26207" w:rsidRPr="00C52B69">
        <w:rPr>
          <w:szCs w:val="22"/>
        </w:rPr>
        <w:t>had</w:t>
      </w:r>
      <w:r w:rsidRPr="00C52B69">
        <w:rPr>
          <w:szCs w:val="22"/>
        </w:rPr>
        <w:t xml:space="preserve"> the largest impact. </w:t>
      </w:r>
      <w:r w:rsidR="00E26207" w:rsidRPr="00C52B69">
        <w:rPr>
          <w:szCs w:val="22"/>
        </w:rPr>
        <w:t>The price reduction</w:t>
      </w:r>
      <w:r w:rsidRPr="00C52B69">
        <w:rPr>
          <w:szCs w:val="22"/>
        </w:rPr>
        <w:t xml:space="preserve"> </w:t>
      </w:r>
      <w:r w:rsidR="00E26207" w:rsidRPr="00C52B69">
        <w:rPr>
          <w:szCs w:val="22"/>
        </w:rPr>
        <w:t>(</w:t>
      </w:r>
      <w:r w:rsidRPr="00C52B69">
        <w:rPr>
          <w:szCs w:val="22"/>
        </w:rPr>
        <w:t>$</w:t>
      </w:r>
      <w:r w:rsidR="0091638E">
        <w:rPr>
          <w:noProof/>
          <w:color w:val="000000"/>
          <w:szCs w:val="22"/>
          <w:highlight w:val="black"/>
        </w:rPr>
        <w:t>''''''</w:t>
      </w:r>
      <w:r w:rsidRPr="00C52B69">
        <w:rPr>
          <w:szCs w:val="22"/>
        </w:rPr>
        <w:t xml:space="preserve"> to $</w:t>
      </w:r>
      <w:r w:rsidR="0091638E">
        <w:rPr>
          <w:noProof/>
          <w:color w:val="000000"/>
          <w:szCs w:val="22"/>
          <w:highlight w:val="black"/>
        </w:rPr>
        <w:t>''''''</w:t>
      </w:r>
      <w:r w:rsidR="00E26207" w:rsidRPr="00C52B69">
        <w:rPr>
          <w:szCs w:val="22"/>
        </w:rPr>
        <w:t>) alone</w:t>
      </w:r>
      <w:r w:rsidRPr="00C52B69">
        <w:rPr>
          <w:szCs w:val="22"/>
        </w:rPr>
        <w:t xml:space="preserve"> </w:t>
      </w:r>
      <w:r w:rsidR="002758F8" w:rsidRPr="00C52B69">
        <w:rPr>
          <w:szCs w:val="22"/>
        </w:rPr>
        <w:t xml:space="preserve">(without the herd immunity) </w:t>
      </w:r>
      <w:r w:rsidRPr="00C52B69">
        <w:rPr>
          <w:szCs w:val="22"/>
        </w:rPr>
        <w:t>result</w:t>
      </w:r>
      <w:r w:rsidR="00E26207" w:rsidRPr="00C52B69">
        <w:rPr>
          <w:szCs w:val="22"/>
        </w:rPr>
        <w:t>ed</w:t>
      </w:r>
      <w:r w:rsidRPr="00C52B69">
        <w:rPr>
          <w:szCs w:val="22"/>
        </w:rPr>
        <w:t xml:space="preserve"> in 13vPCV being dominant</w:t>
      </w:r>
      <w:r w:rsidR="006B418D" w:rsidRPr="00C52B69">
        <w:rPr>
          <w:szCs w:val="22"/>
        </w:rPr>
        <w:t xml:space="preserve"> in the submission</w:t>
      </w:r>
      <w:r w:rsidRPr="00C52B69">
        <w:rPr>
          <w:szCs w:val="22"/>
        </w:rPr>
        <w:t xml:space="preserve">. </w:t>
      </w:r>
      <w:r w:rsidR="002758F8" w:rsidRPr="00C52B69">
        <w:rPr>
          <w:szCs w:val="22"/>
        </w:rPr>
        <w:t>Including</w:t>
      </w:r>
      <w:r w:rsidR="00E26207" w:rsidRPr="00C52B69">
        <w:rPr>
          <w:szCs w:val="22"/>
        </w:rPr>
        <w:t xml:space="preserve"> the herd immunity only</w:t>
      </w:r>
      <w:r w:rsidR="003C6579" w:rsidRPr="00C52B69">
        <w:rPr>
          <w:szCs w:val="22"/>
        </w:rPr>
        <w:t xml:space="preserve"> (using the revised methodology and </w:t>
      </w:r>
      <w:r w:rsidR="00BD5165" w:rsidRPr="00C52B69">
        <w:rPr>
          <w:szCs w:val="22"/>
        </w:rPr>
        <w:t>without the price reduction</w:t>
      </w:r>
      <w:r w:rsidR="002758F8" w:rsidRPr="00C52B69">
        <w:rPr>
          <w:szCs w:val="22"/>
        </w:rPr>
        <w:t>)</w:t>
      </w:r>
      <w:r w:rsidR="00E26207" w:rsidRPr="00C52B69">
        <w:rPr>
          <w:szCs w:val="22"/>
        </w:rPr>
        <w:t xml:space="preserve"> increased</w:t>
      </w:r>
      <w:r w:rsidRPr="00C52B69">
        <w:rPr>
          <w:szCs w:val="22"/>
        </w:rPr>
        <w:t xml:space="preserve"> the ICER from $</w:t>
      </w:r>
      <w:r w:rsidR="00544FF5">
        <w:rPr>
          <w:szCs w:val="22"/>
        </w:rPr>
        <w:t>15,000</w:t>
      </w:r>
      <w:r w:rsidR="0091638E">
        <w:rPr>
          <w:szCs w:val="22"/>
        </w:rPr>
        <w:t xml:space="preserve"> </w:t>
      </w:r>
      <w:r w:rsidR="00544FF5">
        <w:rPr>
          <w:szCs w:val="22"/>
        </w:rPr>
        <w:t>- $45,000/QALY gained</w:t>
      </w:r>
      <w:r w:rsidRPr="00C52B69">
        <w:rPr>
          <w:szCs w:val="22"/>
        </w:rPr>
        <w:t xml:space="preserve"> to $</w:t>
      </w:r>
      <w:r w:rsidR="00544FF5">
        <w:rPr>
          <w:szCs w:val="22"/>
        </w:rPr>
        <w:t>75,000 - $105,000/QALY gained</w:t>
      </w:r>
      <w:r w:rsidR="00A57B70" w:rsidRPr="00C52B69">
        <w:rPr>
          <w:szCs w:val="22"/>
        </w:rPr>
        <w:t xml:space="preserve">. </w:t>
      </w:r>
    </w:p>
    <w:p w:rsidR="00F251E8" w:rsidRPr="004B0E3C" w:rsidRDefault="00F251E8" w:rsidP="00230BF2">
      <w:pPr>
        <w:widowControl/>
        <w:rPr>
          <w:szCs w:val="22"/>
        </w:rPr>
      </w:pPr>
    </w:p>
    <w:p w:rsidR="009E47D6" w:rsidRPr="00C52B69" w:rsidRDefault="00283013" w:rsidP="00BF3091">
      <w:pPr>
        <w:pStyle w:val="ListParagraph"/>
        <w:keepNext/>
        <w:keepLines/>
        <w:widowControl/>
        <w:numPr>
          <w:ilvl w:val="1"/>
          <w:numId w:val="3"/>
        </w:numPr>
      </w:pPr>
      <w:r w:rsidRPr="00C52B69">
        <w:rPr>
          <w:szCs w:val="22"/>
        </w:rPr>
        <w:lastRenderedPageBreak/>
        <w:t xml:space="preserve">As </w:t>
      </w:r>
      <w:r w:rsidR="00FE159A" w:rsidRPr="00C52B69">
        <w:rPr>
          <w:szCs w:val="22"/>
        </w:rPr>
        <w:t xml:space="preserve">with </w:t>
      </w:r>
      <w:r w:rsidRPr="00C52B69">
        <w:rPr>
          <w:szCs w:val="22"/>
        </w:rPr>
        <w:t xml:space="preserve">the July 2015 model, the results </w:t>
      </w:r>
      <w:r w:rsidR="002D3B21" w:rsidRPr="00C52B69">
        <w:rPr>
          <w:szCs w:val="22"/>
        </w:rPr>
        <w:t xml:space="preserve">were </w:t>
      </w:r>
      <w:r w:rsidRPr="00C52B69">
        <w:rPr>
          <w:szCs w:val="22"/>
        </w:rPr>
        <w:t xml:space="preserve">sensitive to the assumed duration of </w:t>
      </w:r>
      <w:r w:rsidR="00E26207" w:rsidRPr="00C52B69">
        <w:rPr>
          <w:szCs w:val="22"/>
        </w:rPr>
        <w:t>protection</w:t>
      </w:r>
      <w:r w:rsidRPr="00C52B69">
        <w:rPr>
          <w:szCs w:val="22"/>
        </w:rPr>
        <w:t xml:space="preserve"> with 13vPCV. In the base case analysis 13vPCV efficacy </w:t>
      </w:r>
      <w:r w:rsidR="004C3E56" w:rsidRPr="00C52B69">
        <w:rPr>
          <w:szCs w:val="22"/>
        </w:rPr>
        <w:t xml:space="preserve">for </w:t>
      </w:r>
      <w:r w:rsidR="00BD5165" w:rsidRPr="00C52B69">
        <w:rPr>
          <w:szCs w:val="22"/>
        </w:rPr>
        <w:t>hospitalised CAP wa</w:t>
      </w:r>
      <w:r w:rsidRPr="00C52B69">
        <w:rPr>
          <w:szCs w:val="22"/>
        </w:rPr>
        <w:t>s reduced from 37.7% (assumed for the first 5 years) to 27.7% at year 10 and 18.4% at year 18</w:t>
      </w:r>
      <w:r w:rsidR="004C3E56" w:rsidRPr="00C52B69">
        <w:rPr>
          <w:szCs w:val="22"/>
        </w:rPr>
        <w:t xml:space="preserve"> (model end)</w:t>
      </w:r>
      <w:r w:rsidRPr="00C52B69">
        <w:rPr>
          <w:szCs w:val="22"/>
        </w:rPr>
        <w:t>.</w:t>
      </w:r>
      <w:r w:rsidR="004C3E56" w:rsidRPr="00C52B69">
        <w:rPr>
          <w:szCs w:val="22"/>
        </w:rPr>
        <w:t xml:space="preserve"> Clinical data (</w:t>
      </w:r>
      <w:proofErr w:type="spellStart"/>
      <w:r w:rsidR="004C3E56" w:rsidRPr="00C52B69">
        <w:rPr>
          <w:szCs w:val="22"/>
        </w:rPr>
        <w:t>CAPiTA</w:t>
      </w:r>
      <w:proofErr w:type="spellEnd"/>
      <w:r w:rsidR="004C3E56" w:rsidRPr="00C52B69">
        <w:rPr>
          <w:szCs w:val="22"/>
        </w:rPr>
        <w:t xml:space="preserve">) support a duration of </w:t>
      </w:r>
      <w:r w:rsidR="00E26207" w:rsidRPr="00C52B69">
        <w:rPr>
          <w:szCs w:val="22"/>
        </w:rPr>
        <w:t>protection</w:t>
      </w:r>
      <w:r w:rsidR="004C3E56" w:rsidRPr="00C52B69">
        <w:rPr>
          <w:szCs w:val="22"/>
        </w:rPr>
        <w:t xml:space="preserve"> of at least 4 years. Immunogenicity data support </w:t>
      </w:r>
      <w:proofErr w:type="gramStart"/>
      <w:r w:rsidR="004C3E56" w:rsidRPr="00C52B69">
        <w:rPr>
          <w:szCs w:val="22"/>
        </w:rPr>
        <w:t>a duration</w:t>
      </w:r>
      <w:proofErr w:type="gramEnd"/>
      <w:r w:rsidR="004C3E56" w:rsidRPr="00C52B69">
        <w:rPr>
          <w:szCs w:val="22"/>
        </w:rPr>
        <w:t xml:space="preserve"> of </w:t>
      </w:r>
      <w:r w:rsidR="00E26207" w:rsidRPr="00C52B69">
        <w:rPr>
          <w:szCs w:val="22"/>
        </w:rPr>
        <w:t>protection</w:t>
      </w:r>
      <w:r w:rsidR="004C3E56" w:rsidRPr="00C52B69">
        <w:rPr>
          <w:szCs w:val="22"/>
        </w:rPr>
        <w:t xml:space="preserve"> of 5 years for </w:t>
      </w:r>
      <w:r w:rsidR="00E26207" w:rsidRPr="00C52B69">
        <w:rPr>
          <w:szCs w:val="22"/>
        </w:rPr>
        <w:t>most</w:t>
      </w:r>
      <w:r w:rsidR="004C3E56" w:rsidRPr="00C52B69">
        <w:rPr>
          <w:szCs w:val="22"/>
        </w:rPr>
        <w:t xml:space="preserve"> serotypes, but not </w:t>
      </w:r>
      <w:r w:rsidR="00B74DBA" w:rsidRPr="00C52B69">
        <w:rPr>
          <w:szCs w:val="22"/>
        </w:rPr>
        <w:t xml:space="preserve">serotype 3 which is relatively common. </w:t>
      </w:r>
      <w:r w:rsidR="00DD369C" w:rsidRPr="00C52B69">
        <w:rPr>
          <w:szCs w:val="22"/>
        </w:rPr>
        <w:t>The evaluation considered that a</w:t>
      </w:r>
      <w:r w:rsidR="00B74DBA" w:rsidRPr="00C52B69">
        <w:rPr>
          <w:szCs w:val="22"/>
        </w:rPr>
        <w:t xml:space="preserve">ssuming substantial </w:t>
      </w:r>
      <w:r w:rsidR="00E26207" w:rsidRPr="00C52B69">
        <w:rPr>
          <w:szCs w:val="22"/>
        </w:rPr>
        <w:t>protection</w:t>
      </w:r>
      <w:r w:rsidR="00B74DBA" w:rsidRPr="00C52B69">
        <w:rPr>
          <w:szCs w:val="22"/>
        </w:rPr>
        <w:t xml:space="preserve"> beyond 5 years appear</w:t>
      </w:r>
      <w:r w:rsidR="00DD369C" w:rsidRPr="00C52B69">
        <w:rPr>
          <w:szCs w:val="22"/>
        </w:rPr>
        <w:t>ed</w:t>
      </w:r>
      <w:r w:rsidR="00B74DBA" w:rsidRPr="00C52B69">
        <w:rPr>
          <w:szCs w:val="22"/>
        </w:rPr>
        <w:t xml:space="preserve"> inconsistent with the recommendation to vaccinate </w:t>
      </w:r>
      <w:r w:rsidR="0036689E" w:rsidRPr="00C52B69">
        <w:rPr>
          <w:snapToGrid/>
          <w:szCs w:val="22"/>
          <w:lang w:eastAsia="en-AU"/>
        </w:rPr>
        <w:t xml:space="preserve">at-risk groups </w:t>
      </w:r>
      <w:r w:rsidR="00B74DBA" w:rsidRPr="00C52B69">
        <w:rPr>
          <w:snapToGrid/>
          <w:szCs w:val="22"/>
          <w:lang w:eastAsia="en-AU"/>
        </w:rPr>
        <w:t>with</w:t>
      </w:r>
      <w:r w:rsidR="0036689E" w:rsidRPr="00C52B69">
        <w:rPr>
          <w:snapToGrid/>
          <w:szCs w:val="22"/>
          <w:lang w:eastAsia="en-AU"/>
        </w:rPr>
        <w:t xml:space="preserve"> 23vPPV five years following the primary dose of 13vPCV.</w:t>
      </w:r>
      <w:r w:rsidR="00DD369C" w:rsidRPr="00C52B69">
        <w:rPr>
          <w:snapToGrid/>
          <w:szCs w:val="22"/>
          <w:lang w:eastAsia="en-AU"/>
        </w:rPr>
        <w:t xml:space="preserve"> </w:t>
      </w:r>
      <w:r w:rsidR="00DD369C" w:rsidRPr="00C52B69">
        <w:t xml:space="preserve">However, the ESC noted </w:t>
      </w:r>
      <w:r w:rsidR="00DD369C" w:rsidRPr="00C52B69">
        <w:rPr>
          <w:snapToGrid/>
          <w:szCs w:val="22"/>
          <w:lang w:eastAsia="en-AU"/>
        </w:rPr>
        <w:t>ATAGI’s view that the primary expected benefit of recommending a dose of 23vPPV following 13vPCV is for protection against pneumococcal disease due to the additional (23v-non-13v) serotypes, rather than boosting of effects against the common serotypes.</w:t>
      </w:r>
      <w:r w:rsidR="0036689E" w:rsidRPr="00C52B69">
        <w:rPr>
          <w:szCs w:val="22"/>
        </w:rPr>
        <w:t xml:space="preserve"> In the March 2015 submission </w:t>
      </w:r>
      <w:r w:rsidR="004C3E56" w:rsidRPr="00C52B69">
        <w:t xml:space="preserve">it was estimated that more than </w:t>
      </w:r>
      <w:r w:rsidR="004C3E56" w:rsidRPr="00961D5B">
        <w:t xml:space="preserve">half </w:t>
      </w:r>
      <w:r w:rsidR="004C3E56" w:rsidRPr="00C52B69">
        <w:t>(</w:t>
      </w:r>
      <w:r w:rsidR="004C3E56" w:rsidRPr="00961D5B">
        <w:t>52.4</w:t>
      </w:r>
      <w:r w:rsidR="004C3E56" w:rsidRPr="00C52B69">
        <w:t xml:space="preserve">%) of people aged 65 years and above are classified as </w:t>
      </w:r>
      <w:r w:rsidR="00987398" w:rsidRPr="00C52B69">
        <w:t>“</w:t>
      </w:r>
      <w:r w:rsidR="004C3E56" w:rsidRPr="00C52B69">
        <w:t>at risk</w:t>
      </w:r>
      <w:r w:rsidR="00987398" w:rsidRPr="00C52B69">
        <w:t>”</w:t>
      </w:r>
      <w:r w:rsidR="004C3E56" w:rsidRPr="00C52B69">
        <w:t xml:space="preserve"> and hence would be eligible for re-vaccination after 5 years.</w:t>
      </w:r>
      <w:r w:rsidR="00B74DBA" w:rsidRPr="00C52B69">
        <w:t xml:space="preserve"> </w:t>
      </w:r>
    </w:p>
    <w:p w:rsidR="009E47D6" w:rsidRPr="00C52B69" w:rsidRDefault="0056664A" w:rsidP="00BF3091">
      <w:pPr>
        <w:pStyle w:val="ListParagraph"/>
        <w:keepNext/>
        <w:keepLines/>
        <w:widowControl/>
        <w:numPr>
          <w:ilvl w:val="0"/>
          <w:numId w:val="2"/>
        </w:numPr>
        <w:ind w:left="993" w:hanging="284"/>
      </w:pPr>
      <w:r w:rsidRPr="00C52B69">
        <w:t>The PSCR argued that it is not reasonable to assume the duration of protection of 13vPCV would be limited to 5 years</w:t>
      </w:r>
      <w:r w:rsidR="00797520" w:rsidRPr="00C52B69">
        <w:t>,</w:t>
      </w:r>
      <w:r w:rsidRPr="00C52B69">
        <w:t xml:space="preserve"> </w:t>
      </w:r>
      <w:r w:rsidR="00797520" w:rsidRPr="00C52B69">
        <w:t xml:space="preserve">stating </w:t>
      </w:r>
      <w:r w:rsidRPr="00C52B69">
        <w:t xml:space="preserve">that efficacy of 13vPCV was sustained for the 5-year duration of the </w:t>
      </w:r>
      <w:proofErr w:type="spellStart"/>
      <w:r w:rsidRPr="00C52B69">
        <w:t>CAPiTA</w:t>
      </w:r>
      <w:proofErr w:type="spellEnd"/>
      <w:r w:rsidRPr="00C52B69">
        <w:t xml:space="preserve"> trial. The PSCR referred to a new publication of </w:t>
      </w:r>
      <w:proofErr w:type="spellStart"/>
      <w:r w:rsidRPr="00C52B69">
        <w:t>CAPiTA</w:t>
      </w:r>
      <w:proofErr w:type="spellEnd"/>
      <w:r w:rsidRPr="00C52B69">
        <w:t xml:space="preserve"> which has recently become available</w:t>
      </w:r>
      <w:r w:rsidR="00797520" w:rsidRPr="00C52B69">
        <w:t xml:space="preserve"> (Patterson et al 201</w:t>
      </w:r>
      <w:r w:rsidR="002F4272" w:rsidRPr="00C52B69">
        <w:t>6</w:t>
      </w:r>
      <w:r w:rsidR="00797520" w:rsidRPr="00C52B69">
        <w:t>)</w:t>
      </w:r>
      <w:r w:rsidRPr="00C52B69">
        <w:rPr>
          <w:vertAlign w:val="superscript"/>
        </w:rPr>
        <w:footnoteReference w:id="1"/>
      </w:r>
      <w:r w:rsidRPr="00C52B69">
        <w:t>. The PSCR stated that if duration</w:t>
      </w:r>
      <w:r w:rsidR="00797520" w:rsidRPr="00C52B69">
        <w:t xml:space="preserve"> of protection was limited to 5 </w:t>
      </w:r>
      <w:r w:rsidRPr="00C52B69">
        <w:t xml:space="preserve">years, waning would have been seen </w:t>
      </w:r>
      <w:r w:rsidR="00797520" w:rsidRPr="00C52B69">
        <w:t>within the 5-year duration of the trial</w:t>
      </w:r>
      <w:r w:rsidRPr="00C52B69">
        <w:t>,</w:t>
      </w:r>
      <w:r w:rsidR="00797520" w:rsidRPr="00C52B69">
        <w:t xml:space="preserve"> as reported for 23vPPV.</w:t>
      </w:r>
    </w:p>
    <w:p w:rsidR="009E47D6" w:rsidRPr="00C52B69" w:rsidRDefault="0056664A" w:rsidP="00BF3091">
      <w:pPr>
        <w:pStyle w:val="ListParagraph"/>
        <w:keepNext/>
        <w:keepLines/>
        <w:widowControl/>
        <w:numPr>
          <w:ilvl w:val="0"/>
          <w:numId w:val="2"/>
        </w:numPr>
        <w:ind w:left="993" w:hanging="284"/>
      </w:pPr>
      <w:r w:rsidRPr="00C52B69">
        <w:t xml:space="preserve">The </w:t>
      </w:r>
      <w:r w:rsidR="00797520" w:rsidRPr="00C52B69">
        <w:t>ESC noted that Patterson et al 201</w:t>
      </w:r>
      <w:r w:rsidR="002F4272" w:rsidRPr="00C52B69">
        <w:t>6</w:t>
      </w:r>
      <w:r w:rsidR="00797520" w:rsidRPr="00C52B69">
        <w:t xml:space="preserve"> </w:t>
      </w:r>
      <w:r w:rsidRPr="00C52B69">
        <w:t xml:space="preserve">reported a post-hoc analysis of the </w:t>
      </w:r>
      <w:proofErr w:type="spellStart"/>
      <w:r w:rsidRPr="00C52B69">
        <w:t>CAPiTA</w:t>
      </w:r>
      <w:proofErr w:type="spellEnd"/>
      <w:r w:rsidRPr="00C52B69">
        <w:t xml:space="preserve"> study</w:t>
      </w:r>
      <w:r w:rsidR="00C35A58" w:rsidRPr="00C52B69">
        <w:t xml:space="preserve"> which should be interpreted with caution. The publication</w:t>
      </w:r>
      <w:r w:rsidRPr="00C52B69">
        <w:t xml:space="preserve"> concluded 13vPCV was protective with no waning of efficacy observed </w:t>
      </w:r>
      <w:r w:rsidR="00045387" w:rsidRPr="00C52B69">
        <w:t>during the mean follow-up time of approximately 4 years</w:t>
      </w:r>
      <w:r w:rsidRPr="00C52B69">
        <w:t xml:space="preserve">. The publication </w:t>
      </w:r>
      <w:r w:rsidR="00C35A58" w:rsidRPr="00C52B69">
        <w:t>did</w:t>
      </w:r>
      <w:r w:rsidRPr="00C52B69">
        <w:t xml:space="preserve"> not report the vaccine efficacy of 13vPCV beyond a 5-year period. </w:t>
      </w:r>
    </w:p>
    <w:p w:rsidR="00283013" w:rsidRDefault="0056664A" w:rsidP="00BF3091">
      <w:pPr>
        <w:pStyle w:val="ListParagraph"/>
        <w:keepNext/>
        <w:keepLines/>
        <w:widowControl/>
        <w:numPr>
          <w:ilvl w:val="0"/>
          <w:numId w:val="2"/>
        </w:numPr>
        <w:ind w:left="993" w:hanging="284"/>
      </w:pPr>
      <w:r w:rsidRPr="00C52B69">
        <w:t xml:space="preserve">ATAGI </w:t>
      </w:r>
      <w:r w:rsidR="007A1CCE" w:rsidRPr="00C52B69">
        <w:t>advised</w:t>
      </w:r>
      <w:r w:rsidRPr="00C52B69">
        <w:t xml:space="preserve"> that </w:t>
      </w:r>
      <w:r w:rsidR="00F67C38">
        <w:t xml:space="preserve">while </w:t>
      </w:r>
      <w:r w:rsidRPr="00C52B69">
        <w:t>the</w:t>
      </w:r>
      <w:r w:rsidR="00797520" w:rsidRPr="00C52B69">
        <w:t xml:space="preserve"> exact rate of waning of 13vPCV</w:t>
      </w:r>
      <w:r w:rsidR="00797520" w:rsidRPr="00C52B69">
        <w:noBreakHyphen/>
      </w:r>
      <w:r w:rsidR="00A7072A" w:rsidRPr="00C52B69">
        <w:t>induced protection is uncertain</w:t>
      </w:r>
      <w:r w:rsidR="00F67C38">
        <w:t>,</w:t>
      </w:r>
      <w:r w:rsidRPr="00C52B69">
        <w:t xml:space="preserve"> the proposed </w:t>
      </w:r>
      <w:r w:rsidR="00055B0E">
        <w:t xml:space="preserve">base case </w:t>
      </w:r>
      <w:r w:rsidRPr="00C52B69">
        <w:t xml:space="preserve">waning profile </w:t>
      </w:r>
      <w:r w:rsidR="00055B0E">
        <w:t xml:space="preserve">was </w:t>
      </w:r>
      <w:r w:rsidRPr="00C52B69">
        <w:t>acceptable</w:t>
      </w:r>
      <w:r w:rsidR="00F67C38">
        <w:t xml:space="preserve">. However, ATAGI advised that inclusion in sensitivity analysis of the scenario of a shorter duration of protection with zero </w:t>
      </w:r>
      <w:proofErr w:type="gramStart"/>
      <w:r w:rsidR="00F67C38">
        <w:t>efficacy</w:t>
      </w:r>
      <w:proofErr w:type="gramEnd"/>
      <w:r w:rsidR="00F67C38">
        <w:t xml:space="preserve"> from 10 years after vaccination</w:t>
      </w:r>
      <w:r w:rsidR="00055B0E">
        <w:t xml:space="preserve"> wa</w:t>
      </w:r>
      <w:r w:rsidR="00F67C38">
        <w:t>s appropriate</w:t>
      </w:r>
      <w:r w:rsidR="009E47D6" w:rsidRPr="00C52B69">
        <w:t xml:space="preserve"> (post-submission advice)</w:t>
      </w:r>
      <w:r w:rsidRPr="00C52B69">
        <w:t>.</w:t>
      </w:r>
    </w:p>
    <w:p w:rsidR="00F67C38" w:rsidRPr="00C52B69" w:rsidRDefault="002C117C" w:rsidP="00BF3091">
      <w:pPr>
        <w:pStyle w:val="ListParagraph"/>
        <w:keepNext/>
        <w:keepLines/>
        <w:widowControl/>
        <w:numPr>
          <w:ilvl w:val="0"/>
          <w:numId w:val="2"/>
        </w:numPr>
        <w:ind w:left="993" w:hanging="284"/>
      </w:pPr>
      <w:r>
        <w:t xml:space="preserve">The </w:t>
      </w:r>
      <w:r w:rsidR="00F67C38">
        <w:t xml:space="preserve">PBAC </w:t>
      </w:r>
      <w:r w:rsidR="000C0EFC">
        <w:t>noted</w:t>
      </w:r>
      <w:r w:rsidR="00F67C38">
        <w:t xml:space="preserve"> that</w:t>
      </w:r>
      <w:r w:rsidR="000C0EFC">
        <w:t xml:space="preserve"> the</w:t>
      </w:r>
      <w:r w:rsidR="00F67C38">
        <w:t xml:space="preserve"> sensitivity analysis </w:t>
      </w:r>
      <w:r w:rsidR="000C0EFC">
        <w:t>for</w:t>
      </w:r>
      <w:r w:rsidR="00F67C38">
        <w:t xml:space="preserve"> the 10 year scenario was informative.</w:t>
      </w:r>
    </w:p>
    <w:p w:rsidR="004C3E56" w:rsidRPr="00C52B69" w:rsidRDefault="004C3E56" w:rsidP="00230BF2">
      <w:pPr>
        <w:pStyle w:val="ListParagraph"/>
        <w:widowControl/>
        <w:rPr>
          <w:szCs w:val="22"/>
        </w:rPr>
      </w:pPr>
    </w:p>
    <w:p w:rsidR="002C117C" w:rsidRDefault="00055B0E" w:rsidP="002C117C">
      <w:pPr>
        <w:pStyle w:val="ListParagraph"/>
        <w:widowControl/>
        <w:numPr>
          <w:ilvl w:val="1"/>
          <w:numId w:val="3"/>
        </w:numPr>
        <w:rPr>
          <w:szCs w:val="22"/>
        </w:rPr>
      </w:pPr>
      <w:r>
        <w:t>As per paragraph 6.16, t</w:t>
      </w:r>
      <w:r w:rsidR="002C117C">
        <w:rPr>
          <w:szCs w:val="22"/>
        </w:rPr>
        <w:t xml:space="preserve">he pre-PBAC response agreed with the ESC that VE for IPD should be equivalent for 13vPCV and 23vPPV and provided a revised ICER with this change of </w:t>
      </w:r>
      <w:r w:rsidR="00961D5B">
        <w:rPr>
          <w:szCs w:val="22"/>
        </w:rPr>
        <w:t>less than $15,000 per QALY</w:t>
      </w:r>
      <w:r w:rsidR="002C117C">
        <w:rPr>
          <w:szCs w:val="22"/>
        </w:rPr>
        <w:t>.</w:t>
      </w:r>
    </w:p>
    <w:p w:rsidR="002C117C" w:rsidRDefault="002C117C" w:rsidP="002C117C">
      <w:pPr>
        <w:pStyle w:val="ListParagraph"/>
        <w:widowControl/>
        <w:rPr>
          <w:szCs w:val="22"/>
        </w:rPr>
      </w:pPr>
    </w:p>
    <w:p w:rsidR="00E920E7" w:rsidRDefault="002C117C" w:rsidP="00873921">
      <w:pPr>
        <w:pStyle w:val="ListParagraph"/>
        <w:widowControl/>
        <w:numPr>
          <w:ilvl w:val="1"/>
          <w:numId w:val="3"/>
        </w:numPr>
        <w:rPr>
          <w:szCs w:val="22"/>
        </w:rPr>
      </w:pPr>
      <w:r>
        <w:rPr>
          <w:szCs w:val="22"/>
        </w:rPr>
        <w:t>The ESC Advice</w:t>
      </w:r>
      <w:r w:rsidR="00055B0E">
        <w:rPr>
          <w:szCs w:val="22"/>
        </w:rPr>
        <w:t xml:space="preserve"> </w:t>
      </w:r>
      <w:r>
        <w:rPr>
          <w:szCs w:val="22"/>
        </w:rPr>
        <w:t xml:space="preserve">included a multivariate </w:t>
      </w:r>
      <w:r w:rsidR="000C0EFC">
        <w:rPr>
          <w:szCs w:val="22"/>
        </w:rPr>
        <w:t xml:space="preserve">sensitivity </w:t>
      </w:r>
      <w:r>
        <w:rPr>
          <w:szCs w:val="22"/>
        </w:rPr>
        <w:t xml:space="preserve">analysis </w:t>
      </w:r>
      <w:r w:rsidR="00230BF2" w:rsidRPr="00C52B69">
        <w:rPr>
          <w:szCs w:val="22"/>
        </w:rPr>
        <w:t xml:space="preserve">investigating the effect of </w:t>
      </w:r>
      <w:r w:rsidR="00873921">
        <w:rPr>
          <w:szCs w:val="22"/>
        </w:rPr>
        <w:t>the assumed efficacy for 23vPPV and duration of protection with 13vPCV</w:t>
      </w:r>
      <w:r w:rsidR="00230BF2" w:rsidRPr="00C52B69">
        <w:rPr>
          <w:szCs w:val="22"/>
        </w:rPr>
        <w:t xml:space="preserve"> on the cost effectiveness of 13vPCV. </w:t>
      </w:r>
      <w:r>
        <w:rPr>
          <w:szCs w:val="22"/>
        </w:rPr>
        <w:t xml:space="preserve">Table 9 provides </w:t>
      </w:r>
      <w:r w:rsidR="00873921">
        <w:rPr>
          <w:szCs w:val="22"/>
        </w:rPr>
        <w:t>corrected</w:t>
      </w:r>
      <w:r>
        <w:rPr>
          <w:szCs w:val="22"/>
        </w:rPr>
        <w:t xml:space="preserve"> univariate and multivariate sensitivity analysis</w:t>
      </w:r>
      <w:r w:rsidR="00873921">
        <w:rPr>
          <w:szCs w:val="22"/>
        </w:rPr>
        <w:t xml:space="preserve"> as presented</w:t>
      </w:r>
      <w:r>
        <w:rPr>
          <w:szCs w:val="22"/>
        </w:rPr>
        <w:t xml:space="preserve"> in the pre-PBAC response</w:t>
      </w:r>
      <w:r w:rsidR="00055B0E">
        <w:rPr>
          <w:szCs w:val="22"/>
        </w:rPr>
        <w:t xml:space="preserve"> </w:t>
      </w:r>
      <w:r w:rsidR="00873921">
        <w:rPr>
          <w:szCs w:val="22"/>
        </w:rPr>
        <w:t>and</w:t>
      </w:r>
      <w:r w:rsidR="00055B0E">
        <w:rPr>
          <w:szCs w:val="22"/>
        </w:rPr>
        <w:t xml:space="preserve"> confirmed by the evaluator</w:t>
      </w:r>
      <w:r>
        <w:rPr>
          <w:szCs w:val="22"/>
        </w:rPr>
        <w:t xml:space="preserve">. </w:t>
      </w:r>
    </w:p>
    <w:p w:rsidR="004135F0" w:rsidRPr="00C52B69" w:rsidRDefault="00BD5165" w:rsidP="00E920E7">
      <w:pPr>
        <w:pStyle w:val="ListParagraph"/>
        <w:numPr>
          <w:ilvl w:val="0"/>
          <w:numId w:val="24"/>
        </w:numPr>
        <w:ind w:left="993" w:hanging="273"/>
      </w:pPr>
      <w:r w:rsidRPr="00E920E7">
        <w:rPr>
          <w:szCs w:val="22"/>
        </w:rPr>
        <w:t>I</w:t>
      </w:r>
      <w:r w:rsidR="0038104D" w:rsidRPr="00E920E7">
        <w:rPr>
          <w:szCs w:val="22"/>
        </w:rPr>
        <w:t>n</w:t>
      </w:r>
      <w:r w:rsidRPr="00E920E7">
        <w:rPr>
          <w:szCs w:val="22"/>
        </w:rPr>
        <w:t xml:space="preserve"> the base case 0% efficacy wa</w:t>
      </w:r>
      <w:r w:rsidR="00716FCD" w:rsidRPr="00E920E7">
        <w:rPr>
          <w:szCs w:val="22"/>
        </w:rPr>
        <w:t xml:space="preserve">s assumed. </w:t>
      </w:r>
      <w:r w:rsidR="00B74DBA" w:rsidRPr="00E920E7">
        <w:rPr>
          <w:szCs w:val="22"/>
        </w:rPr>
        <w:t xml:space="preserve">ATAGI considered that this estimate </w:t>
      </w:r>
      <w:r w:rsidR="00880E4F" w:rsidRPr="00E920E7">
        <w:rPr>
          <w:szCs w:val="22"/>
        </w:rPr>
        <w:t>wa</w:t>
      </w:r>
      <w:r w:rsidR="00B74DBA" w:rsidRPr="00E920E7">
        <w:rPr>
          <w:szCs w:val="22"/>
        </w:rPr>
        <w:t xml:space="preserve">s appropriate but noted that a non-zero efficacy </w:t>
      </w:r>
      <w:r w:rsidR="00C8729A" w:rsidRPr="00E920E7">
        <w:rPr>
          <w:szCs w:val="22"/>
        </w:rPr>
        <w:t xml:space="preserve">of </w:t>
      </w:r>
      <w:r w:rsidR="00B74DBA" w:rsidRPr="00E920E7">
        <w:rPr>
          <w:szCs w:val="22"/>
        </w:rPr>
        <w:t xml:space="preserve">14% </w:t>
      </w:r>
      <w:r w:rsidR="002D7B72" w:rsidRPr="00E920E7">
        <w:rPr>
          <w:szCs w:val="22"/>
        </w:rPr>
        <w:t xml:space="preserve">is plausible </w:t>
      </w:r>
      <w:r w:rsidR="00B74DBA" w:rsidRPr="00E920E7">
        <w:rPr>
          <w:szCs w:val="22"/>
        </w:rPr>
        <w:t xml:space="preserve">(revised from 46% for the March 2015 submission) </w:t>
      </w:r>
      <w:r w:rsidR="002D7B72" w:rsidRPr="00E920E7">
        <w:rPr>
          <w:szCs w:val="22"/>
        </w:rPr>
        <w:t>as an informative</w:t>
      </w:r>
      <w:r w:rsidR="00B74DBA" w:rsidRPr="00E920E7">
        <w:rPr>
          <w:szCs w:val="22"/>
        </w:rPr>
        <w:t xml:space="preserve"> sensitivity analyses</w:t>
      </w:r>
      <w:r w:rsidR="003609F3" w:rsidRPr="00E920E7">
        <w:rPr>
          <w:szCs w:val="22"/>
        </w:rPr>
        <w:t xml:space="preserve"> (pre</w:t>
      </w:r>
      <w:r w:rsidR="00C8729A" w:rsidRPr="00E920E7">
        <w:rPr>
          <w:szCs w:val="22"/>
        </w:rPr>
        <w:noBreakHyphen/>
      </w:r>
      <w:r w:rsidR="003609F3" w:rsidRPr="00E920E7">
        <w:rPr>
          <w:szCs w:val="22"/>
        </w:rPr>
        <w:t>submission advice)</w:t>
      </w:r>
      <w:r w:rsidR="00B74DBA" w:rsidRPr="00E920E7">
        <w:rPr>
          <w:szCs w:val="22"/>
        </w:rPr>
        <w:t>.</w:t>
      </w:r>
      <w:r w:rsidR="00E26207" w:rsidRPr="00E920E7">
        <w:rPr>
          <w:szCs w:val="22"/>
        </w:rPr>
        <w:t xml:space="preserve"> </w:t>
      </w:r>
      <w:r w:rsidR="00E920E7">
        <w:rPr>
          <w:szCs w:val="22"/>
        </w:rPr>
        <w:t xml:space="preserve">This increased </w:t>
      </w:r>
      <w:r w:rsidR="004135F0" w:rsidRPr="00C52B69">
        <w:t xml:space="preserve">the ICER from </w:t>
      </w:r>
      <w:r w:rsidR="00D90850">
        <w:rPr>
          <w:szCs w:val="22"/>
        </w:rPr>
        <w:t xml:space="preserve">less than $15,000 per </w:t>
      </w:r>
      <w:r w:rsidR="00D90850">
        <w:rPr>
          <w:szCs w:val="22"/>
        </w:rPr>
        <w:lastRenderedPageBreak/>
        <w:t>QALY gained</w:t>
      </w:r>
      <w:r w:rsidR="0091638E">
        <w:rPr>
          <w:szCs w:val="22"/>
        </w:rPr>
        <w:t xml:space="preserve"> </w:t>
      </w:r>
      <w:r w:rsidR="004135F0" w:rsidRPr="00C52B69">
        <w:t xml:space="preserve">to </w:t>
      </w:r>
      <w:r w:rsidR="00D90850">
        <w:rPr>
          <w:szCs w:val="22"/>
        </w:rPr>
        <w:t>less than $15,000 per QALY gained</w:t>
      </w:r>
      <w:r w:rsidR="004135F0" w:rsidRPr="00C52B69">
        <w:t>.</w:t>
      </w:r>
    </w:p>
    <w:p w:rsidR="00E920E7" w:rsidRDefault="00E920E7" w:rsidP="004135F0">
      <w:pPr>
        <w:pStyle w:val="ListParagraph"/>
        <w:widowControl/>
        <w:numPr>
          <w:ilvl w:val="2"/>
          <w:numId w:val="24"/>
        </w:numPr>
        <w:ind w:left="993" w:hanging="284"/>
        <w:rPr>
          <w:szCs w:val="22"/>
        </w:rPr>
      </w:pPr>
      <w:r>
        <w:rPr>
          <w:szCs w:val="22"/>
        </w:rPr>
        <w:t>T</w:t>
      </w:r>
      <w:r w:rsidR="006C2618" w:rsidRPr="00C52B69">
        <w:rPr>
          <w:szCs w:val="22"/>
        </w:rPr>
        <w:t xml:space="preserve">he assumed duration of </w:t>
      </w:r>
      <w:r>
        <w:rPr>
          <w:szCs w:val="22"/>
        </w:rPr>
        <w:t>protection</w:t>
      </w:r>
      <w:r w:rsidRPr="00C52B69">
        <w:rPr>
          <w:szCs w:val="22"/>
        </w:rPr>
        <w:t xml:space="preserve"> </w:t>
      </w:r>
      <w:r w:rsidR="00797520" w:rsidRPr="00C52B69">
        <w:rPr>
          <w:szCs w:val="22"/>
        </w:rPr>
        <w:t>wa</w:t>
      </w:r>
      <w:r w:rsidR="006C2618" w:rsidRPr="00C52B69">
        <w:rPr>
          <w:szCs w:val="22"/>
        </w:rPr>
        <w:t>s only up to 5 years</w:t>
      </w:r>
      <w:r w:rsidR="002D7B72" w:rsidRPr="00C52B69">
        <w:rPr>
          <w:szCs w:val="22"/>
        </w:rPr>
        <w:t xml:space="preserve"> for 23</w:t>
      </w:r>
      <w:r w:rsidR="00A14643" w:rsidRPr="00C52B69">
        <w:rPr>
          <w:szCs w:val="22"/>
        </w:rPr>
        <w:t>v</w:t>
      </w:r>
      <w:r w:rsidR="002D7B72" w:rsidRPr="00C52B69">
        <w:rPr>
          <w:szCs w:val="22"/>
        </w:rPr>
        <w:t>PPV</w:t>
      </w:r>
      <w:r w:rsidR="006C2618" w:rsidRPr="00C52B69">
        <w:rPr>
          <w:szCs w:val="22"/>
        </w:rPr>
        <w:t xml:space="preserve"> (declining from 2 years) compared with up to 18</w:t>
      </w:r>
      <w:r w:rsidR="00AB0CA4" w:rsidRPr="00C52B69">
        <w:rPr>
          <w:szCs w:val="22"/>
        </w:rPr>
        <w:t> </w:t>
      </w:r>
      <w:r w:rsidR="006C2618" w:rsidRPr="00C52B69">
        <w:rPr>
          <w:szCs w:val="22"/>
        </w:rPr>
        <w:t xml:space="preserve">years for 13vPCV. </w:t>
      </w:r>
      <w:r>
        <w:rPr>
          <w:szCs w:val="22"/>
        </w:rPr>
        <w:t xml:space="preserve">Reducing the duration of protection with 13vPCV to 10 years increased the ICER from </w:t>
      </w:r>
      <w:r w:rsidR="002B5106">
        <w:rPr>
          <w:szCs w:val="22"/>
        </w:rPr>
        <w:t xml:space="preserve">less than $15,000 per </w:t>
      </w:r>
      <w:proofErr w:type="spellStart"/>
      <w:r w:rsidR="002B5106">
        <w:rPr>
          <w:szCs w:val="22"/>
        </w:rPr>
        <w:t>QALY</w:t>
      </w:r>
      <w:r>
        <w:rPr>
          <w:szCs w:val="22"/>
        </w:rPr>
        <w:t>to</w:t>
      </w:r>
      <w:proofErr w:type="spellEnd"/>
      <w:r>
        <w:rPr>
          <w:szCs w:val="22"/>
        </w:rPr>
        <w:t xml:space="preserve"> $</w:t>
      </w:r>
      <w:r w:rsidR="002B5106">
        <w:rPr>
          <w:szCs w:val="22"/>
        </w:rPr>
        <w:t>15,000/QALY - $45,000/QALY</w:t>
      </w:r>
      <w:r>
        <w:rPr>
          <w:szCs w:val="22"/>
        </w:rPr>
        <w:t>.</w:t>
      </w:r>
    </w:p>
    <w:p w:rsidR="00525EDE" w:rsidRPr="00C52B69" w:rsidRDefault="00E920E7" w:rsidP="004135F0">
      <w:pPr>
        <w:pStyle w:val="ListParagraph"/>
        <w:widowControl/>
        <w:numPr>
          <w:ilvl w:val="2"/>
          <w:numId w:val="24"/>
        </w:numPr>
        <w:ind w:left="993" w:hanging="284"/>
        <w:rPr>
          <w:szCs w:val="22"/>
        </w:rPr>
      </w:pPr>
      <w:r>
        <w:rPr>
          <w:szCs w:val="22"/>
        </w:rPr>
        <w:t xml:space="preserve">Assuming 14% efficacy for 23vPPV and 10 years of protection with 13vPCV increased </w:t>
      </w:r>
      <w:r w:rsidR="002C117C">
        <w:rPr>
          <w:szCs w:val="22"/>
        </w:rPr>
        <w:t>the ICER to $</w:t>
      </w:r>
      <w:r w:rsidR="003046CB">
        <w:rPr>
          <w:szCs w:val="22"/>
        </w:rPr>
        <w:t>15,000/QALY - $45,000/QALY</w:t>
      </w:r>
      <w:r w:rsidR="003046CB" w:rsidDel="003046CB">
        <w:rPr>
          <w:szCs w:val="22"/>
        </w:rPr>
        <w:t xml:space="preserve"> </w:t>
      </w:r>
      <w:r>
        <w:rPr>
          <w:szCs w:val="22"/>
        </w:rPr>
        <w:t>gained</w:t>
      </w:r>
      <w:r w:rsidR="006C2618" w:rsidRPr="00C52B69">
        <w:rPr>
          <w:szCs w:val="22"/>
        </w:rPr>
        <w:t>.</w:t>
      </w:r>
    </w:p>
    <w:p w:rsidR="004C66FC" w:rsidRDefault="004C66FC" w:rsidP="00230BF2">
      <w:pPr>
        <w:pStyle w:val="ListParagraph"/>
        <w:widowControl/>
        <w:rPr>
          <w:szCs w:val="22"/>
        </w:rPr>
      </w:pPr>
    </w:p>
    <w:p w:rsidR="00E34CA5" w:rsidRPr="00E34CA5" w:rsidRDefault="003B6B68" w:rsidP="00E34CA5">
      <w:pPr>
        <w:keepNext/>
        <w:widowControl/>
        <w:ind w:firstLine="709"/>
        <w:rPr>
          <w:rStyle w:val="CommentReference"/>
        </w:rPr>
      </w:pPr>
      <w:r>
        <w:rPr>
          <w:rStyle w:val="CommentReference"/>
        </w:rPr>
        <w:t>Table 9</w:t>
      </w:r>
      <w:r w:rsidR="00E34CA5" w:rsidRPr="00E34CA5">
        <w:rPr>
          <w:rStyle w:val="CommentReference"/>
        </w:rPr>
        <w:t>: Revised base case and sensitivity analyses</w:t>
      </w:r>
      <w:r>
        <w:rPr>
          <w:rStyle w:val="CommentReference"/>
        </w:rPr>
        <w:t xml:space="preserve"> (non-Indigenous </w:t>
      </w:r>
      <w:proofErr w:type="gramStart"/>
      <w:r>
        <w:rPr>
          <w:rStyle w:val="CommentReference"/>
        </w:rPr>
        <w:t>adults</w:t>
      </w:r>
      <w:proofErr w:type="gramEnd"/>
      <w:r>
        <w:rPr>
          <w:rStyle w:val="CommentReference"/>
        </w:rPr>
        <w:t xml:space="preserve"> </w:t>
      </w:r>
      <w:r w:rsidRPr="003B6B68">
        <w:rPr>
          <w:rStyle w:val="CommentReference"/>
        </w:rPr>
        <w:t>65-84y)</w:t>
      </w:r>
    </w:p>
    <w:tbl>
      <w:tblPr>
        <w:tblW w:w="4524" w:type="pct"/>
        <w:tblInd w:w="817" w:type="dxa"/>
        <w:tblLayout w:type="fixed"/>
        <w:tblLook w:val="04A0" w:firstRow="1" w:lastRow="0" w:firstColumn="1" w:lastColumn="0" w:noHBand="0" w:noVBand="1"/>
      </w:tblPr>
      <w:tblGrid>
        <w:gridCol w:w="6095"/>
        <w:gridCol w:w="1134"/>
        <w:gridCol w:w="1134"/>
      </w:tblGrid>
      <w:tr w:rsidR="00506A54" w:rsidRPr="007775FF" w:rsidTr="00506A54">
        <w:trPr>
          <w:trHeight w:val="255"/>
        </w:trPr>
        <w:tc>
          <w:tcPr>
            <w:tcW w:w="3644" w:type="pct"/>
            <w:tcBorders>
              <w:top w:val="single" w:sz="4" w:space="0" w:color="auto"/>
              <w:left w:val="single" w:sz="4" w:space="0" w:color="auto"/>
              <w:bottom w:val="single" w:sz="4" w:space="0" w:color="auto"/>
              <w:right w:val="single" w:sz="4" w:space="0" w:color="auto"/>
            </w:tcBorders>
            <w:shd w:val="clear" w:color="auto" w:fill="auto"/>
            <w:vAlign w:val="center"/>
          </w:tcPr>
          <w:p w:rsidR="00506A54" w:rsidRPr="00506A54" w:rsidRDefault="00506A54" w:rsidP="007775FF">
            <w:pPr>
              <w:keepNext/>
              <w:widowControl/>
              <w:rPr>
                <w:rFonts w:ascii="Arial Narrow" w:hAnsi="Arial Narrow"/>
                <w:b/>
                <w:sz w:val="20"/>
              </w:rPr>
            </w:pPr>
            <w:r w:rsidRPr="00506A54">
              <w:rPr>
                <w:rFonts w:ascii="Arial Narrow" w:hAnsi="Arial Narrow"/>
                <w:b/>
                <w:sz w:val="20"/>
              </w:rPr>
              <w:t>Scenario</w:t>
            </w:r>
          </w:p>
        </w:tc>
        <w:tc>
          <w:tcPr>
            <w:tcW w:w="678" w:type="pct"/>
            <w:tcBorders>
              <w:top w:val="single" w:sz="4" w:space="0" w:color="auto"/>
              <w:left w:val="nil"/>
              <w:bottom w:val="single" w:sz="4" w:space="0" w:color="auto"/>
              <w:right w:val="single" w:sz="4" w:space="0" w:color="auto"/>
            </w:tcBorders>
            <w:shd w:val="clear" w:color="auto" w:fill="auto"/>
          </w:tcPr>
          <w:p w:rsidR="00506A54" w:rsidRPr="007775FF" w:rsidRDefault="00506A54" w:rsidP="000C0EFC">
            <w:pPr>
              <w:keepNext/>
              <w:widowControl/>
              <w:jc w:val="center"/>
              <w:rPr>
                <w:rFonts w:ascii="Arial Narrow" w:hAnsi="Arial Narrow"/>
                <w:sz w:val="20"/>
              </w:rPr>
            </w:pPr>
            <w:r w:rsidRPr="007775FF">
              <w:rPr>
                <w:rFonts w:ascii="Arial Narrow" w:hAnsi="Arial Narrow"/>
                <w:b/>
                <w:sz w:val="20"/>
              </w:rPr>
              <w:t>$/LYG</w:t>
            </w:r>
          </w:p>
        </w:tc>
        <w:tc>
          <w:tcPr>
            <w:tcW w:w="678" w:type="pct"/>
            <w:tcBorders>
              <w:top w:val="single" w:sz="4" w:space="0" w:color="auto"/>
              <w:left w:val="nil"/>
              <w:bottom w:val="single" w:sz="4" w:space="0" w:color="auto"/>
              <w:right w:val="single" w:sz="4" w:space="0" w:color="auto"/>
            </w:tcBorders>
            <w:shd w:val="clear" w:color="auto" w:fill="auto"/>
            <w:noWrap/>
          </w:tcPr>
          <w:p w:rsidR="00506A54" w:rsidRPr="007775FF" w:rsidRDefault="00506A54" w:rsidP="000C0EFC">
            <w:pPr>
              <w:keepNext/>
              <w:widowControl/>
              <w:jc w:val="center"/>
              <w:rPr>
                <w:rFonts w:ascii="Arial Narrow" w:hAnsi="Arial Narrow"/>
                <w:sz w:val="20"/>
              </w:rPr>
            </w:pPr>
            <w:r w:rsidRPr="007775FF">
              <w:rPr>
                <w:rFonts w:ascii="Arial Narrow" w:hAnsi="Arial Narrow"/>
                <w:b/>
                <w:sz w:val="20"/>
              </w:rPr>
              <w:t>$/QALY</w:t>
            </w:r>
          </w:p>
        </w:tc>
      </w:tr>
      <w:tr w:rsidR="00506A54" w:rsidRPr="007775FF" w:rsidTr="00506A54">
        <w:trPr>
          <w:trHeight w:val="255"/>
        </w:trPr>
        <w:tc>
          <w:tcPr>
            <w:tcW w:w="36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6A54" w:rsidRPr="007775FF" w:rsidRDefault="00AE0C47" w:rsidP="00AE0C47">
            <w:pPr>
              <w:keepNext/>
              <w:widowControl/>
              <w:rPr>
                <w:rFonts w:ascii="Arial Narrow" w:hAnsi="Arial Narrow"/>
                <w:sz w:val="20"/>
              </w:rPr>
            </w:pPr>
            <w:r>
              <w:rPr>
                <w:rFonts w:ascii="Arial Narrow" w:hAnsi="Arial Narrow"/>
                <w:sz w:val="20"/>
              </w:rPr>
              <w:t>Evaluation b</w:t>
            </w:r>
            <w:r w:rsidR="00506A54" w:rsidRPr="007775FF">
              <w:rPr>
                <w:rFonts w:ascii="Arial Narrow" w:hAnsi="Arial Narrow"/>
                <w:sz w:val="20"/>
              </w:rPr>
              <w:t>ase case</w:t>
            </w:r>
          </w:p>
        </w:tc>
        <w:tc>
          <w:tcPr>
            <w:tcW w:w="678" w:type="pct"/>
            <w:tcBorders>
              <w:top w:val="single" w:sz="4" w:space="0" w:color="auto"/>
              <w:left w:val="nil"/>
              <w:bottom w:val="single" w:sz="4" w:space="0" w:color="auto"/>
              <w:right w:val="single" w:sz="4" w:space="0" w:color="auto"/>
            </w:tcBorders>
            <w:shd w:val="clear" w:color="auto" w:fill="auto"/>
            <w:hideMark/>
          </w:tcPr>
          <w:p w:rsidR="00506A54" w:rsidRPr="007775FF" w:rsidRDefault="00506A54" w:rsidP="000C0EFC">
            <w:pPr>
              <w:keepNext/>
              <w:widowControl/>
              <w:jc w:val="center"/>
              <w:rPr>
                <w:rFonts w:ascii="Arial Narrow" w:hAnsi="Arial Narrow"/>
                <w:sz w:val="20"/>
              </w:rPr>
            </w:pPr>
            <w:r w:rsidRPr="007775FF">
              <w:rPr>
                <w:rFonts w:ascii="Arial Narrow" w:hAnsi="Arial Narrow"/>
                <w:sz w:val="20"/>
              </w:rPr>
              <w:t>$</w:t>
            </w:r>
            <w:r w:rsidR="0091638E">
              <w:rPr>
                <w:rFonts w:ascii="Arial Narrow" w:hAnsi="Arial Narrow"/>
                <w:noProof/>
                <w:color w:val="000000"/>
                <w:sz w:val="20"/>
                <w:highlight w:val="black"/>
              </w:rPr>
              <w:t>'''''''''''''</w:t>
            </w:r>
          </w:p>
        </w:tc>
        <w:tc>
          <w:tcPr>
            <w:tcW w:w="678" w:type="pct"/>
            <w:tcBorders>
              <w:top w:val="single" w:sz="4" w:space="0" w:color="auto"/>
              <w:left w:val="nil"/>
              <w:bottom w:val="single" w:sz="4" w:space="0" w:color="auto"/>
              <w:right w:val="single" w:sz="4" w:space="0" w:color="auto"/>
            </w:tcBorders>
            <w:shd w:val="clear" w:color="auto" w:fill="auto"/>
            <w:noWrap/>
            <w:hideMark/>
          </w:tcPr>
          <w:p w:rsidR="00506A54" w:rsidRPr="007775FF" w:rsidRDefault="00506A54" w:rsidP="000C0EFC">
            <w:pPr>
              <w:keepNext/>
              <w:widowControl/>
              <w:jc w:val="center"/>
              <w:rPr>
                <w:rFonts w:ascii="Arial Narrow" w:hAnsi="Arial Narrow"/>
                <w:sz w:val="20"/>
              </w:rPr>
            </w:pPr>
            <w:r w:rsidRPr="007775FF">
              <w:rPr>
                <w:rFonts w:ascii="Arial Narrow" w:hAnsi="Arial Narrow"/>
                <w:sz w:val="20"/>
              </w:rPr>
              <w:t>$</w:t>
            </w:r>
            <w:r w:rsidR="0091638E">
              <w:rPr>
                <w:rFonts w:ascii="Arial Narrow" w:hAnsi="Arial Narrow"/>
                <w:noProof/>
                <w:color w:val="000000"/>
                <w:sz w:val="20"/>
                <w:highlight w:val="black"/>
              </w:rPr>
              <w:t>'''''''''''''''</w:t>
            </w:r>
          </w:p>
        </w:tc>
      </w:tr>
      <w:tr w:rsidR="00506A54" w:rsidRPr="007775FF" w:rsidTr="00506A54">
        <w:trPr>
          <w:trHeight w:val="255"/>
        </w:trPr>
        <w:tc>
          <w:tcPr>
            <w:tcW w:w="3644" w:type="pct"/>
            <w:tcBorders>
              <w:top w:val="single" w:sz="4" w:space="0" w:color="auto"/>
              <w:left w:val="single" w:sz="4" w:space="0" w:color="auto"/>
              <w:bottom w:val="single" w:sz="4" w:space="0" w:color="auto"/>
              <w:right w:val="single" w:sz="4" w:space="0" w:color="auto"/>
            </w:tcBorders>
            <w:shd w:val="clear" w:color="auto" w:fill="auto"/>
            <w:vAlign w:val="center"/>
          </w:tcPr>
          <w:p w:rsidR="00506A54" w:rsidRPr="007775FF" w:rsidRDefault="00AE0C47" w:rsidP="00AE0C47">
            <w:pPr>
              <w:keepNext/>
              <w:widowControl/>
              <w:ind w:left="142" w:hanging="142"/>
              <w:rPr>
                <w:rFonts w:ascii="Arial Narrow" w:hAnsi="Arial Narrow"/>
                <w:sz w:val="20"/>
              </w:rPr>
            </w:pPr>
            <w:r>
              <w:rPr>
                <w:rFonts w:ascii="Arial Narrow" w:hAnsi="Arial Narrow"/>
                <w:sz w:val="20"/>
              </w:rPr>
              <w:t>Pre-PBAC response b</w:t>
            </w:r>
            <w:r w:rsidR="00506A54" w:rsidRPr="007775FF">
              <w:rPr>
                <w:rFonts w:ascii="Arial Narrow" w:hAnsi="Arial Narrow"/>
                <w:sz w:val="20"/>
              </w:rPr>
              <w:t xml:space="preserve">ase case </w:t>
            </w:r>
            <w:r>
              <w:rPr>
                <w:rFonts w:ascii="Arial Narrow" w:hAnsi="Arial Narrow"/>
                <w:sz w:val="20"/>
              </w:rPr>
              <w:t xml:space="preserve">(equivalent </w:t>
            </w:r>
            <w:r w:rsidR="00506A54" w:rsidRPr="007775FF">
              <w:rPr>
                <w:rFonts w:ascii="Arial Narrow" w:hAnsi="Arial Narrow"/>
                <w:sz w:val="20"/>
              </w:rPr>
              <w:t xml:space="preserve">IPD </w:t>
            </w:r>
            <w:r>
              <w:rPr>
                <w:rFonts w:ascii="Arial Narrow" w:hAnsi="Arial Narrow"/>
                <w:sz w:val="20"/>
              </w:rPr>
              <w:t>VE)</w:t>
            </w:r>
          </w:p>
        </w:tc>
        <w:tc>
          <w:tcPr>
            <w:tcW w:w="678" w:type="pct"/>
            <w:tcBorders>
              <w:top w:val="single" w:sz="4" w:space="0" w:color="auto"/>
              <w:left w:val="nil"/>
              <w:bottom w:val="single" w:sz="4" w:space="0" w:color="auto"/>
              <w:right w:val="single" w:sz="4" w:space="0" w:color="auto"/>
            </w:tcBorders>
            <w:shd w:val="clear" w:color="auto" w:fill="auto"/>
          </w:tcPr>
          <w:p w:rsidR="00506A54" w:rsidRPr="007775FF" w:rsidRDefault="00506A54" w:rsidP="000C0EFC">
            <w:pPr>
              <w:keepNext/>
              <w:widowControl/>
              <w:jc w:val="center"/>
              <w:rPr>
                <w:rFonts w:ascii="Arial Narrow" w:hAnsi="Arial Narrow"/>
                <w:sz w:val="20"/>
              </w:rPr>
            </w:pPr>
            <w:r w:rsidRPr="007775FF">
              <w:rPr>
                <w:rFonts w:ascii="Arial Narrow" w:hAnsi="Arial Narrow"/>
                <w:sz w:val="20"/>
              </w:rPr>
              <w:t>$</w:t>
            </w:r>
            <w:r w:rsidR="0091638E">
              <w:rPr>
                <w:rFonts w:ascii="Arial Narrow" w:hAnsi="Arial Narrow"/>
                <w:noProof/>
                <w:color w:val="000000"/>
                <w:sz w:val="20"/>
                <w:highlight w:val="black"/>
              </w:rPr>
              <w:t>'''''''''''''''</w:t>
            </w:r>
          </w:p>
        </w:tc>
        <w:tc>
          <w:tcPr>
            <w:tcW w:w="678" w:type="pct"/>
            <w:tcBorders>
              <w:top w:val="single" w:sz="4" w:space="0" w:color="auto"/>
              <w:left w:val="nil"/>
              <w:bottom w:val="single" w:sz="4" w:space="0" w:color="auto"/>
              <w:right w:val="single" w:sz="4" w:space="0" w:color="auto"/>
            </w:tcBorders>
            <w:shd w:val="clear" w:color="auto" w:fill="auto"/>
            <w:noWrap/>
          </w:tcPr>
          <w:p w:rsidR="00506A54" w:rsidRPr="007775FF" w:rsidRDefault="00506A54" w:rsidP="000C0EFC">
            <w:pPr>
              <w:keepNext/>
              <w:widowControl/>
              <w:jc w:val="center"/>
              <w:rPr>
                <w:rFonts w:ascii="Arial Narrow" w:hAnsi="Arial Narrow"/>
                <w:sz w:val="20"/>
              </w:rPr>
            </w:pPr>
            <w:r w:rsidRPr="007775FF">
              <w:rPr>
                <w:rFonts w:ascii="Arial Narrow" w:hAnsi="Arial Narrow"/>
                <w:sz w:val="20"/>
              </w:rPr>
              <w:t>$</w:t>
            </w:r>
            <w:r w:rsidR="0091638E">
              <w:rPr>
                <w:rFonts w:ascii="Arial Narrow" w:hAnsi="Arial Narrow"/>
                <w:noProof/>
                <w:color w:val="000000"/>
                <w:sz w:val="20"/>
                <w:highlight w:val="black"/>
              </w:rPr>
              <w:t>'''''''''''''</w:t>
            </w:r>
          </w:p>
        </w:tc>
      </w:tr>
      <w:tr w:rsidR="00506A54" w:rsidRPr="007775FF" w:rsidTr="00506A54">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06A54" w:rsidRPr="007775FF" w:rsidRDefault="00506A54" w:rsidP="00506A54">
            <w:pPr>
              <w:keepNext/>
              <w:widowControl/>
              <w:jc w:val="left"/>
              <w:rPr>
                <w:rFonts w:ascii="Arial Narrow" w:hAnsi="Arial Narrow"/>
                <w:sz w:val="20"/>
              </w:rPr>
            </w:pPr>
            <w:r>
              <w:rPr>
                <w:rFonts w:ascii="Arial Narrow" w:hAnsi="Arial Narrow"/>
                <w:b/>
                <w:i/>
                <w:sz w:val="20"/>
              </w:rPr>
              <w:t>Univariate s</w:t>
            </w:r>
            <w:r w:rsidRPr="00506A54">
              <w:rPr>
                <w:rFonts w:ascii="Arial Narrow" w:hAnsi="Arial Narrow"/>
                <w:b/>
                <w:i/>
                <w:sz w:val="20"/>
              </w:rPr>
              <w:t>ensitivity analyses on pre-PBAC response base case</w:t>
            </w:r>
          </w:p>
        </w:tc>
      </w:tr>
      <w:tr w:rsidR="00506A54" w:rsidRPr="007775FF" w:rsidTr="00506A54">
        <w:trPr>
          <w:trHeight w:val="255"/>
        </w:trPr>
        <w:tc>
          <w:tcPr>
            <w:tcW w:w="36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6A54" w:rsidRPr="003B6B68" w:rsidRDefault="00506A54" w:rsidP="00506A54">
            <w:pPr>
              <w:keepNext/>
              <w:widowControl/>
              <w:jc w:val="left"/>
              <w:rPr>
                <w:rFonts w:ascii="Arial Narrow" w:hAnsi="Arial Narrow"/>
                <w:sz w:val="20"/>
                <w:vertAlign w:val="superscript"/>
              </w:rPr>
            </w:pPr>
            <w:r>
              <w:rPr>
                <w:rFonts w:ascii="Arial Narrow" w:hAnsi="Arial Narrow"/>
                <w:sz w:val="20"/>
              </w:rPr>
              <w:t xml:space="preserve">23vPPV VE for </w:t>
            </w:r>
            <w:r w:rsidRPr="007775FF">
              <w:rPr>
                <w:rFonts w:ascii="Arial Narrow" w:hAnsi="Arial Narrow"/>
                <w:sz w:val="20"/>
              </w:rPr>
              <w:t>CAP, Upper limit: 0%→14% (CAP hospitalisations) or 5.3% (CAP GP visits)</w:t>
            </w:r>
            <w:r w:rsidR="003B6B68">
              <w:rPr>
                <w:rFonts w:ascii="Arial Narrow" w:hAnsi="Arial Narrow"/>
                <w:sz w:val="20"/>
                <w:vertAlign w:val="superscript"/>
              </w:rPr>
              <w:t xml:space="preserve"> </w:t>
            </w:r>
            <w:r w:rsidRPr="007775FF">
              <w:rPr>
                <w:rFonts w:ascii="Arial Narrow" w:hAnsi="Arial Narrow"/>
                <w:sz w:val="20"/>
              </w:rPr>
              <w:t>and</w:t>
            </w:r>
            <w:r w:rsidR="003B6B68">
              <w:rPr>
                <w:rFonts w:ascii="Arial Narrow" w:hAnsi="Arial Narrow"/>
                <w:sz w:val="20"/>
                <w:vertAlign w:val="superscript"/>
              </w:rPr>
              <w:t xml:space="preserve"> </w:t>
            </w:r>
            <w:r w:rsidR="003B6B68">
              <w:rPr>
                <w:rFonts w:ascii="Arial Narrow" w:hAnsi="Arial Narrow"/>
                <w:sz w:val="20"/>
              </w:rPr>
              <w:t>e</w:t>
            </w:r>
            <w:r w:rsidRPr="007775FF">
              <w:rPr>
                <w:rFonts w:ascii="Arial Narrow" w:hAnsi="Arial Narrow"/>
                <w:sz w:val="20"/>
              </w:rPr>
              <w:t>ffective for additiona</w:t>
            </w:r>
            <w:r w:rsidR="003B6B68">
              <w:rPr>
                <w:rFonts w:ascii="Arial Narrow" w:hAnsi="Arial Narrow"/>
                <w:sz w:val="20"/>
              </w:rPr>
              <w:t>l serotypes of pneumococcal CAP</w:t>
            </w:r>
            <w:r w:rsidRPr="007775FF">
              <w:rPr>
                <w:rFonts w:ascii="Arial Narrow" w:hAnsi="Arial Narrow"/>
                <w:sz w:val="20"/>
              </w:rPr>
              <w:t xml:space="preserve"> </w:t>
            </w:r>
            <w:r w:rsidR="003B6B68">
              <w:rPr>
                <w:rFonts w:ascii="Arial Narrow" w:hAnsi="Arial Narrow"/>
                <w:sz w:val="20"/>
              </w:rPr>
              <w:t>(</w:t>
            </w:r>
            <w:r w:rsidRPr="007775FF">
              <w:rPr>
                <w:rFonts w:ascii="Arial Narrow" w:hAnsi="Arial Narrow"/>
                <w:sz w:val="20"/>
              </w:rPr>
              <w:t>22.1% for 65</w:t>
            </w:r>
            <w:r w:rsidRPr="007775FF">
              <w:rPr>
                <w:rFonts w:ascii="Arial Narrow" w:hAnsi="Arial Narrow"/>
                <w:sz w:val="20"/>
              </w:rPr>
              <w:noBreakHyphen/>
              <w:t>74 years cohort and 19.0% for 75-84 years cohort</w:t>
            </w:r>
            <w:r w:rsidR="003B6B68">
              <w:rPr>
                <w:rFonts w:ascii="Arial Narrow" w:hAnsi="Arial Narrow"/>
                <w:sz w:val="20"/>
              </w:rPr>
              <w:t>)</w:t>
            </w:r>
          </w:p>
        </w:tc>
        <w:tc>
          <w:tcPr>
            <w:tcW w:w="678" w:type="pct"/>
            <w:tcBorders>
              <w:top w:val="single" w:sz="4" w:space="0" w:color="auto"/>
              <w:left w:val="nil"/>
              <w:bottom w:val="single" w:sz="4" w:space="0" w:color="auto"/>
              <w:right w:val="single" w:sz="4" w:space="0" w:color="auto"/>
            </w:tcBorders>
            <w:shd w:val="clear" w:color="auto" w:fill="auto"/>
            <w:hideMark/>
          </w:tcPr>
          <w:p w:rsidR="00506A54" w:rsidRPr="007775FF" w:rsidRDefault="00506A54" w:rsidP="000C0EFC">
            <w:pPr>
              <w:keepNext/>
              <w:widowControl/>
              <w:jc w:val="center"/>
              <w:rPr>
                <w:rFonts w:ascii="Arial Narrow" w:hAnsi="Arial Narrow"/>
                <w:sz w:val="20"/>
              </w:rPr>
            </w:pPr>
            <w:r w:rsidRPr="007775FF">
              <w:rPr>
                <w:rFonts w:ascii="Arial Narrow" w:hAnsi="Arial Narrow"/>
                <w:sz w:val="20"/>
              </w:rPr>
              <w:t>$</w:t>
            </w:r>
            <w:r w:rsidR="0091638E">
              <w:rPr>
                <w:rFonts w:ascii="Arial Narrow" w:hAnsi="Arial Narrow"/>
                <w:noProof/>
                <w:color w:val="000000"/>
                <w:sz w:val="20"/>
                <w:highlight w:val="black"/>
              </w:rPr>
              <w:t>''''''''''''''</w:t>
            </w:r>
          </w:p>
        </w:tc>
        <w:tc>
          <w:tcPr>
            <w:tcW w:w="678" w:type="pct"/>
            <w:tcBorders>
              <w:top w:val="single" w:sz="4" w:space="0" w:color="auto"/>
              <w:left w:val="nil"/>
              <w:bottom w:val="single" w:sz="4" w:space="0" w:color="auto"/>
              <w:right w:val="single" w:sz="4" w:space="0" w:color="auto"/>
            </w:tcBorders>
            <w:shd w:val="clear" w:color="auto" w:fill="auto"/>
            <w:noWrap/>
            <w:hideMark/>
          </w:tcPr>
          <w:p w:rsidR="00506A54" w:rsidRPr="007775FF" w:rsidRDefault="00506A54" w:rsidP="000C0EFC">
            <w:pPr>
              <w:keepNext/>
              <w:widowControl/>
              <w:jc w:val="center"/>
              <w:rPr>
                <w:rFonts w:ascii="Arial Narrow" w:hAnsi="Arial Narrow"/>
                <w:sz w:val="20"/>
              </w:rPr>
            </w:pPr>
            <w:r w:rsidRPr="007775FF">
              <w:rPr>
                <w:rFonts w:ascii="Arial Narrow" w:hAnsi="Arial Narrow"/>
                <w:sz w:val="20"/>
              </w:rPr>
              <w:t>$</w:t>
            </w:r>
            <w:r w:rsidR="0091638E">
              <w:rPr>
                <w:rFonts w:ascii="Arial Narrow" w:hAnsi="Arial Narrow"/>
                <w:noProof/>
                <w:color w:val="000000"/>
                <w:sz w:val="20"/>
                <w:highlight w:val="black"/>
              </w:rPr>
              <w:t>'''''''''''''</w:t>
            </w:r>
          </w:p>
        </w:tc>
      </w:tr>
      <w:tr w:rsidR="00506A54" w:rsidRPr="007775FF" w:rsidTr="00506A54">
        <w:trPr>
          <w:trHeight w:val="255"/>
        </w:trPr>
        <w:tc>
          <w:tcPr>
            <w:tcW w:w="3644" w:type="pct"/>
            <w:tcBorders>
              <w:top w:val="single" w:sz="4" w:space="0" w:color="auto"/>
              <w:left w:val="single" w:sz="4" w:space="0" w:color="auto"/>
              <w:bottom w:val="single" w:sz="4" w:space="0" w:color="auto"/>
              <w:right w:val="single" w:sz="4" w:space="0" w:color="auto"/>
            </w:tcBorders>
            <w:shd w:val="clear" w:color="auto" w:fill="auto"/>
            <w:vAlign w:val="center"/>
          </w:tcPr>
          <w:p w:rsidR="00506A54" w:rsidRDefault="00506A54" w:rsidP="00506A54">
            <w:pPr>
              <w:keepNext/>
              <w:widowControl/>
              <w:jc w:val="left"/>
              <w:rPr>
                <w:rFonts w:ascii="Arial Narrow" w:hAnsi="Arial Narrow"/>
                <w:sz w:val="20"/>
              </w:rPr>
            </w:pPr>
            <w:r>
              <w:rPr>
                <w:rFonts w:ascii="Arial Narrow" w:hAnsi="Arial Narrow"/>
                <w:sz w:val="20"/>
              </w:rPr>
              <w:t>13vPCV VE zero beyond 10 years</w:t>
            </w:r>
          </w:p>
        </w:tc>
        <w:tc>
          <w:tcPr>
            <w:tcW w:w="678" w:type="pct"/>
            <w:tcBorders>
              <w:top w:val="single" w:sz="4" w:space="0" w:color="auto"/>
              <w:left w:val="nil"/>
              <w:bottom w:val="single" w:sz="4" w:space="0" w:color="auto"/>
              <w:right w:val="single" w:sz="4" w:space="0" w:color="auto"/>
            </w:tcBorders>
            <w:shd w:val="clear" w:color="auto" w:fill="auto"/>
          </w:tcPr>
          <w:p w:rsidR="00506A54" w:rsidRPr="007775FF" w:rsidRDefault="00506A54" w:rsidP="000C0EFC">
            <w:pPr>
              <w:keepNext/>
              <w:widowControl/>
              <w:jc w:val="center"/>
              <w:rPr>
                <w:rFonts w:ascii="Arial Narrow" w:hAnsi="Arial Narrow"/>
                <w:sz w:val="20"/>
              </w:rPr>
            </w:pPr>
            <w:r>
              <w:rPr>
                <w:rFonts w:ascii="Arial Narrow" w:hAnsi="Arial Narrow"/>
                <w:sz w:val="20"/>
              </w:rPr>
              <w:t>$</w:t>
            </w:r>
            <w:r w:rsidR="0091638E">
              <w:rPr>
                <w:rFonts w:ascii="Arial Narrow" w:hAnsi="Arial Narrow"/>
                <w:noProof/>
                <w:color w:val="000000"/>
                <w:sz w:val="20"/>
                <w:highlight w:val="black"/>
              </w:rPr>
              <w:t>'''''''''''''''''</w:t>
            </w:r>
          </w:p>
        </w:tc>
        <w:tc>
          <w:tcPr>
            <w:tcW w:w="678" w:type="pct"/>
            <w:tcBorders>
              <w:top w:val="single" w:sz="4" w:space="0" w:color="auto"/>
              <w:left w:val="nil"/>
              <w:bottom w:val="single" w:sz="4" w:space="0" w:color="auto"/>
              <w:right w:val="single" w:sz="4" w:space="0" w:color="auto"/>
            </w:tcBorders>
            <w:shd w:val="clear" w:color="auto" w:fill="auto"/>
            <w:noWrap/>
          </w:tcPr>
          <w:p w:rsidR="00506A54" w:rsidRPr="007775FF" w:rsidRDefault="00506A54" w:rsidP="000C0EFC">
            <w:pPr>
              <w:keepNext/>
              <w:widowControl/>
              <w:jc w:val="center"/>
              <w:rPr>
                <w:rFonts w:ascii="Arial Narrow" w:hAnsi="Arial Narrow"/>
                <w:sz w:val="20"/>
              </w:rPr>
            </w:pPr>
            <w:r>
              <w:rPr>
                <w:rFonts w:ascii="Arial Narrow" w:hAnsi="Arial Narrow"/>
                <w:sz w:val="20"/>
              </w:rPr>
              <w:t>$</w:t>
            </w:r>
            <w:r w:rsidR="0091638E">
              <w:rPr>
                <w:rFonts w:ascii="Arial Narrow" w:hAnsi="Arial Narrow"/>
                <w:noProof/>
                <w:color w:val="000000"/>
                <w:sz w:val="20"/>
                <w:highlight w:val="black"/>
              </w:rPr>
              <w:t>'''''''''''''''''</w:t>
            </w:r>
          </w:p>
        </w:tc>
      </w:tr>
      <w:tr w:rsidR="00506A54" w:rsidRPr="007775FF" w:rsidTr="00506A54">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06A54" w:rsidRPr="00506A54" w:rsidRDefault="00506A54" w:rsidP="000C0EFC">
            <w:pPr>
              <w:keepNext/>
              <w:widowControl/>
              <w:jc w:val="left"/>
              <w:rPr>
                <w:rFonts w:ascii="Arial Narrow" w:hAnsi="Arial Narrow"/>
                <w:i/>
                <w:sz w:val="20"/>
              </w:rPr>
            </w:pPr>
            <w:r w:rsidRPr="00506A54">
              <w:rPr>
                <w:rFonts w:ascii="Arial Narrow" w:hAnsi="Arial Narrow"/>
                <w:b/>
                <w:i/>
                <w:sz w:val="20"/>
              </w:rPr>
              <w:t>Multivariate analysis</w:t>
            </w:r>
            <w:r>
              <w:rPr>
                <w:rFonts w:ascii="Arial Narrow" w:hAnsi="Arial Narrow"/>
                <w:b/>
                <w:i/>
                <w:sz w:val="20"/>
              </w:rPr>
              <w:t xml:space="preserve"> on pre-PBAC response base case</w:t>
            </w:r>
          </w:p>
        </w:tc>
      </w:tr>
      <w:tr w:rsidR="00506A54" w:rsidRPr="007775FF" w:rsidTr="00506A54">
        <w:trPr>
          <w:trHeight w:val="255"/>
        </w:trPr>
        <w:tc>
          <w:tcPr>
            <w:tcW w:w="3644" w:type="pct"/>
            <w:tcBorders>
              <w:top w:val="single" w:sz="4" w:space="0" w:color="auto"/>
              <w:left w:val="single" w:sz="4" w:space="0" w:color="auto"/>
              <w:bottom w:val="single" w:sz="4" w:space="0" w:color="auto"/>
              <w:right w:val="single" w:sz="4" w:space="0" w:color="auto"/>
            </w:tcBorders>
            <w:shd w:val="clear" w:color="auto" w:fill="auto"/>
          </w:tcPr>
          <w:p w:rsidR="00506A54" w:rsidRPr="007775FF" w:rsidRDefault="00506A54" w:rsidP="003B6B68">
            <w:pPr>
              <w:keepNext/>
              <w:widowControl/>
              <w:ind w:left="294" w:hanging="294"/>
              <w:jc w:val="left"/>
              <w:rPr>
                <w:rFonts w:ascii="Arial Narrow" w:hAnsi="Arial Narrow"/>
                <w:sz w:val="20"/>
              </w:rPr>
            </w:pPr>
            <w:r>
              <w:rPr>
                <w:rFonts w:ascii="Arial Narrow" w:hAnsi="Arial Narrow"/>
                <w:sz w:val="20"/>
              </w:rPr>
              <w:t xml:space="preserve">Both of the above </w:t>
            </w:r>
            <w:r w:rsidR="003B6B68">
              <w:rPr>
                <w:rFonts w:ascii="Arial Narrow" w:hAnsi="Arial Narrow"/>
                <w:sz w:val="20"/>
              </w:rPr>
              <w:t xml:space="preserve">univariate analysis </w:t>
            </w:r>
            <w:r>
              <w:rPr>
                <w:rFonts w:ascii="Arial Narrow" w:hAnsi="Arial Narrow"/>
                <w:sz w:val="20"/>
              </w:rPr>
              <w:t>scenarios</w:t>
            </w:r>
          </w:p>
        </w:tc>
        <w:tc>
          <w:tcPr>
            <w:tcW w:w="678" w:type="pct"/>
            <w:tcBorders>
              <w:top w:val="single" w:sz="4" w:space="0" w:color="auto"/>
              <w:left w:val="nil"/>
              <w:bottom w:val="single" w:sz="4" w:space="0" w:color="auto"/>
              <w:right w:val="single" w:sz="4" w:space="0" w:color="auto"/>
            </w:tcBorders>
            <w:shd w:val="clear" w:color="auto" w:fill="auto"/>
          </w:tcPr>
          <w:p w:rsidR="00506A54" w:rsidRPr="007775FF" w:rsidRDefault="00506A54" w:rsidP="000C0EFC">
            <w:pPr>
              <w:keepNext/>
              <w:widowControl/>
              <w:jc w:val="center"/>
              <w:rPr>
                <w:rFonts w:ascii="Arial Narrow" w:hAnsi="Arial Narrow"/>
                <w:sz w:val="20"/>
              </w:rPr>
            </w:pPr>
            <w:r w:rsidRPr="007775FF">
              <w:rPr>
                <w:rFonts w:ascii="Arial Narrow" w:hAnsi="Arial Narrow"/>
                <w:sz w:val="20"/>
              </w:rPr>
              <w:t>$</w:t>
            </w:r>
            <w:r w:rsidR="0091638E">
              <w:rPr>
                <w:rFonts w:ascii="Arial Narrow" w:hAnsi="Arial Narrow"/>
                <w:noProof/>
                <w:color w:val="000000"/>
                <w:sz w:val="20"/>
                <w:highlight w:val="black"/>
              </w:rPr>
              <w:t>''''''''''''''''</w:t>
            </w:r>
          </w:p>
        </w:tc>
        <w:tc>
          <w:tcPr>
            <w:tcW w:w="678" w:type="pct"/>
            <w:tcBorders>
              <w:top w:val="single" w:sz="4" w:space="0" w:color="auto"/>
              <w:left w:val="nil"/>
              <w:bottom w:val="single" w:sz="4" w:space="0" w:color="auto"/>
              <w:right w:val="single" w:sz="4" w:space="0" w:color="auto"/>
            </w:tcBorders>
            <w:shd w:val="clear" w:color="auto" w:fill="auto"/>
            <w:noWrap/>
          </w:tcPr>
          <w:p w:rsidR="00506A54" w:rsidRPr="007775FF" w:rsidRDefault="00506A54" w:rsidP="000C0EFC">
            <w:pPr>
              <w:keepNext/>
              <w:widowControl/>
              <w:jc w:val="center"/>
              <w:rPr>
                <w:rFonts w:ascii="Arial Narrow" w:hAnsi="Arial Narrow"/>
                <w:sz w:val="20"/>
              </w:rPr>
            </w:pPr>
            <w:r w:rsidRPr="007775FF">
              <w:rPr>
                <w:rFonts w:ascii="Arial Narrow" w:hAnsi="Arial Narrow"/>
                <w:sz w:val="20"/>
              </w:rPr>
              <w:t>$</w:t>
            </w:r>
            <w:r w:rsidR="0091638E">
              <w:rPr>
                <w:rFonts w:ascii="Arial Narrow" w:hAnsi="Arial Narrow"/>
                <w:noProof/>
                <w:color w:val="000000"/>
                <w:sz w:val="20"/>
                <w:highlight w:val="black"/>
              </w:rPr>
              <w:t>''''''''''''''''</w:t>
            </w:r>
          </w:p>
        </w:tc>
      </w:tr>
    </w:tbl>
    <w:p w:rsidR="003B6B68" w:rsidRPr="007775FF" w:rsidRDefault="003B6B68" w:rsidP="003B6B68">
      <w:pPr>
        <w:pStyle w:val="TableFooter"/>
        <w:widowControl/>
        <w:ind w:left="709"/>
      </w:pPr>
      <w:r w:rsidRPr="007775FF">
        <w:t>Source:</w:t>
      </w:r>
      <w:r w:rsidRPr="007775FF">
        <w:tab/>
      </w:r>
      <w:r>
        <w:t>Pre-PBAC response</w:t>
      </w:r>
    </w:p>
    <w:p w:rsidR="007775FF" w:rsidRPr="00FE04F5" w:rsidRDefault="007775FF" w:rsidP="00230BF2">
      <w:pPr>
        <w:pStyle w:val="ListParagraph"/>
        <w:widowControl/>
        <w:rPr>
          <w:szCs w:val="22"/>
        </w:rPr>
      </w:pPr>
    </w:p>
    <w:p w:rsidR="004C66FC" w:rsidRPr="00C52B69" w:rsidRDefault="004C66FC" w:rsidP="00230BF2">
      <w:pPr>
        <w:pStyle w:val="ListParagraph"/>
        <w:widowControl/>
        <w:numPr>
          <w:ilvl w:val="1"/>
          <w:numId w:val="3"/>
        </w:numPr>
        <w:rPr>
          <w:szCs w:val="22"/>
        </w:rPr>
      </w:pPr>
      <w:r w:rsidRPr="00C52B69">
        <w:rPr>
          <w:szCs w:val="22"/>
        </w:rPr>
        <w:t xml:space="preserve">A sensitivity analyses was presented in the submission assessing the impact of serotype replacement (an increase in pneumococcal disease due to non-VT serotypes) due to the replacement of 23vPPV with 13vPCV. Consistent with the assumption that </w:t>
      </w:r>
      <w:r w:rsidR="00426610" w:rsidRPr="00C52B69">
        <w:rPr>
          <w:szCs w:val="22"/>
        </w:rPr>
        <w:t>23vPPV is only effective against IPD, an increase</w:t>
      </w:r>
      <w:r w:rsidR="00F251E8" w:rsidRPr="00C52B69">
        <w:rPr>
          <w:szCs w:val="22"/>
        </w:rPr>
        <w:t xml:space="preserve"> (</w:t>
      </w:r>
      <w:r w:rsidR="00F251E8" w:rsidRPr="00441D4D">
        <w:rPr>
          <w:szCs w:val="22"/>
        </w:rPr>
        <w:t>33</w:t>
      </w:r>
      <w:r w:rsidR="00F251E8" w:rsidRPr="00C52B69">
        <w:rPr>
          <w:szCs w:val="22"/>
        </w:rPr>
        <w:t>%)</w:t>
      </w:r>
      <w:r w:rsidR="00426610" w:rsidRPr="00C52B69">
        <w:rPr>
          <w:szCs w:val="22"/>
        </w:rPr>
        <w:t xml:space="preserve"> in the incidence of IPD only was assumed. </w:t>
      </w:r>
      <w:r w:rsidR="00F251E8" w:rsidRPr="00C52B69">
        <w:rPr>
          <w:szCs w:val="22"/>
        </w:rPr>
        <w:t xml:space="preserve">The ICER </w:t>
      </w:r>
      <w:r w:rsidR="004A4CB0" w:rsidRPr="00C52B69">
        <w:rPr>
          <w:szCs w:val="22"/>
        </w:rPr>
        <w:t>for the non-</w:t>
      </w:r>
      <w:r w:rsidR="00D244C9">
        <w:rPr>
          <w:szCs w:val="22"/>
        </w:rPr>
        <w:t>I</w:t>
      </w:r>
      <w:r w:rsidR="004A4CB0" w:rsidRPr="00C52B69">
        <w:rPr>
          <w:szCs w:val="22"/>
        </w:rPr>
        <w:t xml:space="preserve">ndigenous (65-85 years) model (corrected during the evaluation) </w:t>
      </w:r>
      <w:r w:rsidR="00F251E8" w:rsidRPr="00C52B69">
        <w:rPr>
          <w:szCs w:val="22"/>
        </w:rPr>
        <w:t xml:space="preserve">increased to </w:t>
      </w:r>
      <w:r w:rsidR="003046CB">
        <w:rPr>
          <w:szCs w:val="22"/>
        </w:rPr>
        <w:t>less than $15,000 per QALY</w:t>
      </w:r>
      <w:r w:rsidR="003046CB" w:rsidRPr="00C52B69" w:rsidDel="003046CB">
        <w:rPr>
          <w:szCs w:val="22"/>
        </w:rPr>
        <w:t xml:space="preserve"> </w:t>
      </w:r>
      <w:r w:rsidR="00575024" w:rsidRPr="00C52B69">
        <w:rPr>
          <w:szCs w:val="22"/>
        </w:rPr>
        <w:t xml:space="preserve">(compared with </w:t>
      </w:r>
      <w:r w:rsidR="00010204">
        <w:rPr>
          <w:szCs w:val="22"/>
        </w:rPr>
        <w:t>less than $15,000 per QALY</w:t>
      </w:r>
      <w:r w:rsidR="00575024" w:rsidRPr="00C52B69">
        <w:rPr>
          <w:szCs w:val="22"/>
        </w:rPr>
        <w:t>)</w:t>
      </w:r>
      <w:r w:rsidR="00F251E8" w:rsidRPr="00C52B69">
        <w:rPr>
          <w:szCs w:val="22"/>
        </w:rPr>
        <w:t>.</w:t>
      </w:r>
    </w:p>
    <w:p w:rsidR="00F251E8" w:rsidRPr="00C52B69" w:rsidRDefault="00F251E8" w:rsidP="00230BF2">
      <w:pPr>
        <w:pStyle w:val="ListParagraph"/>
        <w:widowControl/>
        <w:rPr>
          <w:szCs w:val="22"/>
        </w:rPr>
      </w:pPr>
    </w:p>
    <w:p w:rsidR="005B2489" w:rsidRPr="00C52B69" w:rsidRDefault="00692274" w:rsidP="00230BF2">
      <w:pPr>
        <w:pStyle w:val="ListParagraph"/>
        <w:widowControl/>
        <w:numPr>
          <w:ilvl w:val="1"/>
          <w:numId w:val="3"/>
        </w:numPr>
        <w:rPr>
          <w:szCs w:val="22"/>
        </w:rPr>
      </w:pPr>
      <w:r w:rsidRPr="00C52B69">
        <w:rPr>
          <w:szCs w:val="22"/>
        </w:rPr>
        <w:t>For the Indigenous population, 13vPCV was dominant over 23vPPV</w:t>
      </w:r>
      <w:r w:rsidR="00283013" w:rsidRPr="00C52B69">
        <w:rPr>
          <w:szCs w:val="22"/>
        </w:rPr>
        <w:t xml:space="preserve"> (Table</w:t>
      </w:r>
      <w:r w:rsidR="004A4CB0" w:rsidRPr="00C52B69">
        <w:rPr>
          <w:szCs w:val="22"/>
        </w:rPr>
        <w:t> </w:t>
      </w:r>
      <w:r w:rsidR="00283013" w:rsidRPr="00C52B69">
        <w:rPr>
          <w:szCs w:val="22"/>
        </w:rPr>
        <w:t>8)</w:t>
      </w:r>
      <w:r w:rsidRPr="00C52B69">
        <w:rPr>
          <w:szCs w:val="22"/>
        </w:rPr>
        <w:t xml:space="preserve">. The calculations </w:t>
      </w:r>
      <w:r w:rsidR="00E26207" w:rsidRPr="00C52B69">
        <w:rPr>
          <w:szCs w:val="22"/>
        </w:rPr>
        <w:t xml:space="preserve">for the herd protection </w:t>
      </w:r>
      <w:r w:rsidRPr="00C52B69">
        <w:rPr>
          <w:szCs w:val="22"/>
        </w:rPr>
        <w:t xml:space="preserve">were not corrected during the evaluation as data on serotype distribution over time for the Indigenous population were not provided. </w:t>
      </w:r>
      <w:r w:rsidR="00FA2F41" w:rsidRPr="00C52B69">
        <w:rPr>
          <w:szCs w:val="22"/>
        </w:rPr>
        <w:t>The key inputs changed f</w:t>
      </w:r>
      <w:r w:rsidR="00E26207" w:rsidRPr="00C52B69">
        <w:rPr>
          <w:szCs w:val="22"/>
        </w:rPr>
        <w:t xml:space="preserve">or the Indigenous population </w:t>
      </w:r>
      <w:r w:rsidRPr="00C52B69">
        <w:rPr>
          <w:szCs w:val="22"/>
        </w:rPr>
        <w:t xml:space="preserve">were the baseline incidence </w:t>
      </w:r>
      <w:r w:rsidR="00E26207" w:rsidRPr="00C52B69">
        <w:rPr>
          <w:szCs w:val="22"/>
        </w:rPr>
        <w:t xml:space="preserve">of IPD and CAP (increased from </w:t>
      </w:r>
      <w:r w:rsidR="00E26207" w:rsidRPr="00441D4D">
        <w:rPr>
          <w:szCs w:val="22"/>
        </w:rPr>
        <w:t>13/100,000</w:t>
      </w:r>
      <w:r w:rsidRPr="00C52B69">
        <w:rPr>
          <w:szCs w:val="22"/>
        </w:rPr>
        <w:t xml:space="preserve"> to </w:t>
      </w:r>
      <w:r w:rsidR="00E26207" w:rsidRPr="00441D4D">
        <w:rPr>
          <w:szCs w:val="22"/>
        </w:rPr>
        <w:t>90/100,000</w:t>
      </w:r>
      <w:r w:rsidRPr="00441D4D">
        <w:rPr>
          <w:szCs w:val="22"/>
        </w:rPr>
        <w:t xml:space="preserve"> </w:t>
      </w:r>
      <w:r w:rsidRPr="00C52B69">
        <w:rPr>
          <w:szCs w:val="22"/>
        </w:rPr>
        <w:t xml:space="preserve">for IPD and from </w:t>
      </w:r>
      <w:r w:rsidR="00A003C3" w:rsidRPr="00441D4D">
        <w:rPr>
          <w:szCs w:val="22"/>
        </w:rPr>
        <w:t>281/100,000</w:t>
      </w:r>
      <w:r w:rsidR="00A003C3" w:rsidRPr="00C52B69">
        <w:rPr>
          <w:szCs w:val="22"/>
        </w:rPr>
        <w:t xml:space="preserve"> </w:t>
      </w:r>
      <w:r w:rsidRPr="00C52B69">
        <w:rPr>
          <w:szCs w:val="22"/>
        </w:rPr>
        <w:t xml:space="preserve">to </w:t>
      </w:r>
      <w:r w:rsidR="00A003C3" w:rsidRPr="00441D4D">
        <w:rPr>
          <w:szCs w:val="22"/>
        </w:rPr>
        <w:t>824/100,000</w:t>
      </w:r>
      <w:r w:rsidRPr="00C52B69">
        <w:rPr>
          <w:szCs w:val="22"/>
        </w:rPr>
        <w:t xml:space="preserve"> for hospitalised </w:t>
      </w:r>
      <w:r w:rsidR="00A003C3" w:rsidRPr="00C52B69">
        <w:rPr>
          <w:szCs w:val="22"/>
        </w:rPr>
        <w:t>pneumococcal CAP)</w:t>
      </w:r>
      <w:r w:rsidRPr="00C52B69">
        <w:rPr>
          <w:szCs w:val="22"/>
        </w:rPr>
        <w:t xml:space="preserve"> and the proportion of pneumococcal disease due to 13vPCV serotypes </w:t>
      </w:r>
      <w:r w:rsidR="00A003C3" w:rsidRPr="00C52B69">
        <w:rPr>
          <w:szCs w:val="22"/>
        </w:rPr>
        <w:t xml:space="preserve">(decreased from </w:t>
      </w:r>
      <w:r w:rsidR="00A003C3" w:rsidRPr="00441D4D">
        <w:rPr>
          <w:szCs w:val="22"/>
        </w:rPr>
        <w:t>30.6</w:t>
      </w:r>
      <w:r w:rsidR="00A003C3" w:rsidRPr="00C52B69">
        <w:rPr>
          <w:szCs w:val="22"/>
        </w:rPr>
        <w:t xml:space="preserve">% to </w:t>
      </w:r>
      <w:r w:rsidR="00A003C3" w:rsidRPr="00441D4D">
        <w:rPr>
          <w:szCs w:val="22"/>
        </w:rPr>
        <w:t>14.3</w:t>
      </w:r>
      <w:r w:rsidRPr="00C52B69">
        <w:rPr>
          <w:szCs w:val="22"/>
        </w:rPr>
        <w:t>%). Overall, 13vPCV is likely to be more cost-effective in the Indigenous population</w:t>
      </w:r>
      <w:r w:rsidR="00E32D77" w:rsidRPr="00C52B69">
        <w:rPr>
          <w:szCs w:val="22"/>
        </w:rPr>
        <w:t>,</w:t>
      </w:r>
      <w:r w:rsidRPr="00C52B69">
        <w:rPr>
          <w:szCs w:val="22"/>
        </w:rPr>
        <w:t xml:space="preserve"> compared with the </w:t>
      </w:r>
      <w:r w:rsidR="004A4CB0" w:rsidRPr="00C52B69">
        <w:rPr>
          <w:szCs w:val="22"/>
        </w:rPr>
        <w:t>n</w:t>
      </w:r>
      <w:r w:rsidRPr="00C52B69">
        <w:rPr>
          <w:szCs w:val="22"/>
        </w:rPr>
        <w:t>on-Indigenous population</w:t>
      </w:r>
      <w:r w:rsidR="00E32D77" w:rsidRPr="00C52B69">
        <w:rPr>
          <w:szCs w:val="22"/>
        </w:rPr>
        <w:t>,</w:t>
      </w:r>
      <w:r w:rsidRPr="00C52B69">
        <w:rPr>
          <w:szCs w:val="22"/>
        </w:rPr>
        <w:t xml:space="preserve"> due to the increased disease incidence </w:t>
      </w:r>
      <w:r w:rsidR="00E32D77" w:rsidRPr="00C52B69">
        <w:rPr>
          <w:szCs w:val="22"/>
        </w:rPr>
        <w:t>(</w:t>
      </w:r>
      <w:r w:rsidRPr="00C52B69">
        <w:rPr>
          <w:szCs w:val="22"/>
        </w:rPr>
        <w:t xml:space="preserve">although there are limited </w:t>
      </w:r>
      <w:r w:rsidR="00283013" w:rsidRPr="00C52B69">
        <w:rPr>
          <w:szCs w:val="22"/>
        </w:rPr>
        <w:t xml:space="preserve">Indigenous specific </w:t>
      </w:r>
      <w:r w:rsidRPr="00C52B69">
        <w:rPr>
          <w:szCs w:val="22"/>
        </w:rPr>
        <w:t xml:space="preserve">data </w:t>
      </w:r>
      <w:r w:rsidR="00283013" w:rsidRPr="00C52B69">
        <w:rPr>
          <w:szCs w:val="22"/>
        </w:rPr>
        <w:t>informing this conclusion</w:t>
      </w:r>
      <w:r w:rsidR="00E32D77" w:rsidRPr="00C52B69">
        <w:rPr>
          <w:szCs w:val="22"/>
        </w:rPr>
        <w:t>)</w:t>
      </w:r>
      <w:r w:rsidRPr="00C52B69">
        <w:rPr>
          <w:szCs w:val="22"/>
        </w:rPr>
        <w:t>.</w:t>
      </w:r>
    </w:p>
    <w:p w:rsidR="00DF45DD" w:rsidRPr="00C52B69" w:rsidRDefault="00DF45DD" w:rsidP="00230BF2">
      <w:pPr>
        <w:pStyle w:val="ListParagraph"/>
        <w:widowControl/>
        <w:rPr>
          <w:highlight w:val="green"/>
        </w:rPr>
      </w:pPr>
    </w:p>
    <w:p w:rsidR="00DF45DD" w:rsidRDefault="00DF45DD" w:rsidP="00230BF2">
      <w:pPr>
        <w:pStyle w:val="ListParagraph"/>
        <w:widowControl/>
        <w:numPr>
          <w:ilvl w:val="1"/>
          <w:numId w:val="3"/>
        </w:numPr>
      </w:pPr>
      <w:r w:rsidRPr="00C52B69">
        <w:t xml:space="preserve">The </w:t>
      </w:r>
      <w:r w:rsidR="00A57B70" w:rsidRPr="00C52B69">
        <w:t>initial distribution across</w:t>
      </w:r>
      <w:r w:rsidRPr="00C52B69">
        <w:t xml:space="preserve"> the age cohorts was not tested in the submission’s sensitivity analyses.</w:t>
      </w:r>
      <w:r w:rsidR="00A57B70" w:rsidRPr="00C52B69">
        <w:t xml:space="preserve"> 13vPCV is less cost-effective</w:t>
      </w:r>
      <w:r w:rsidRPr="00C52B69">
        <w:t xml:space="preserve"> in older individuals because they have fewer years to benefit from the vaccine.</w:t>
      </w:r>
      <w:r w:rsidR="00A57B70" w:rsidRPr="00C52B69">
        <w:t xml:space="preserve"> The average </w:t>
      </w:r>
      <w:r w:rsidR="00A003C3" w:rsidRPr="00C52B69">
        <w:t xml:space="preserve">age </w:t>
      </w:r>
      <w:r w:rsidR="00A57B70" w:rsidRPr="00C52B69">
        <w:t xml:space="preserve">at vaccination </w:t>
      </w:r>
      <w:r w:rsidR="00A003C3" w:rsidRPr="00C52B69">
        <w:t>in the base case was</w:t>
      </w:r>
      <w:r w:rsidR="00A57B70" w:rsidRPr="00C52B69">
        <w:t xml:space="preserve"> 73 years.</w:t>
      </w:r>
    </w:p>
    <w:p w:rsidR="0003088F" w:rsidRPr="00C52B69" w:rsidRDefault="0003088F" w:rsidP="00230BF2">
      <w:pPr>
        <w:widowControl/>
      </w:pPr>
    </w:p>
    <w:p w:rsidR="00C25D9C" w:rsidRPr="00CB0FEA" w:rsidRDefault="00C25D9C" w:rsidP="0091638E">
      <w:pPr>
        <w:pStyle w:val="Heading2"/>
      </w:pPr>
      <w:bookmarkStart w:id="16" w:name="_Toc450632536"/>
      <w:r w:rsidRPr="0091638E">
        <w:t>Drug c</w:t>
      </w:r>
      <w:r w:rsidR="00CC4BAF" w:rsidRPr="0091638E">
        <w:t>ost/patient/dose:</w:t>
      </w:r>
      <w:r w:rsidR="00CC4BAF" w:rsidRPr="00CB0FEA">
        <w:t xml:space="preserve"> $</w:t>
      </w:r>
      <w:bookmarkEnd w:id="16"/>
      <w:r w:rsidR="0091638E">
        <w:rPr>
          <w:noProof/>
          <w:color w:val="000000"/>
          <w:highlight w:val="black"/>
        </w:rPr>
        <w:t>''''''''''''</w:t>
      </w:r>
    </w:p>
    <w:p w:rsidR="00C25D9C" w:rsidRPr="00C52B69" w:rsidRDefault="00C25D9C" w:rsidP="00230BF2">
      <w:pPr>
        <w:widowControl/>
        <w:rPr>
          <w:szCs w:val="22"/>
        </w:rPr>
      </w:pPr>
    </w:p>
    <w:p w:rsidR="00B60939" w:rsidRPr="00C52B69" w:rsidRDefault="00E35C23" w:rsidP="00230BF2">
      <w:pPr>
        <w:pStyle w:val="ListParagraph"/>
        <w:widowControl/>
        <w:numPr>
          <w:ilvl w:val="1"/>
          <w:numId w:val="3"/>
        </w:numPr>
        <w:snapToGrid w:val="0"/>
        <w:rPr>
          <w:szCs w:val="22"/>
        </w:rPr>
      </w:pPr>
      <w:r w:rsidRPr="00C52B69">
        <w:rPr>
          <w:szCs w:val="22"/>
        </w:rPr>
        <w:t xml:space="preserve">The </w:t>
      </w:r>
      <w:r w:rsidR="009A3E82" w:rsidRPr="00C52B69">
        <w:rPr>
          <w:szCs w:val="22"/>
        </w:rPr>
        <w:t>13vPCV cost per dose in the submission was $</w:t>
      </w:r>
      <w:r w:rsidR="0091638E">
        <w:rPr>
          <w:noProof/>
          <w:color w:val="000000"/>
          <w:szCs w:val="22"/>
          <w:highlight w:val="black"/>
        </w:rPr>
        <w:t>'''''''''''''</w:t>
      </w:r>
      <w:r w:rsidR="009A3E82" w:rsidRPr="00C52B69">
        <w:rPr>
          <w:szCs w:val="22"/>
        </w:rPr>
        <w:t xml:space="preserve">. The 23vPPV cost per dose </w:t>
      </w:r>
      <w:r w:rsidR="00171E21" w:rsidRPr="00C52B69">
        <w:rPr>
          <w:szCs w:val="22"/>
        </w:rPr>
        <w:t xml:space="preserve">in the submission </w:t>
      </w:r>
      <w:r w:rsidR="009A3E82" w:rsidRPr="00C52B69">
        <w:rPr>
          <w:szCs w:val="22"/>
        </w:rPr>
        <w:t>was $35.12.</w:t>
      </w:r>
    </w:p>
    <w:p w:rsidR="009A3E82" w:rsidRPr="00C52B69" w:rsidRDefault="009A3E82" w:rsidP="00230BF2">
      <w:pPr>
        <w:pStyle w:val="ListParagraph"/>
        <w:widowControl/>
        <w:snapToGrid w:val="0"/>
        <w:rPr>
          <w:szCs w:val="22"/>
        </w:rPr>
      </w:pPr>
    </w:p>
    <w:p w:rsidR="00B60939" w:rsidRPr="00CB0FEA" w:rsidRDefault="00B60939" w:rsidP="0091638E">
      <w:pPr>
        <w:pStyle w:val="Heading2"/>
      </w:pPr>
      <w:bookmarkStart w:id="17" w:name="_Toc450632537"/>
      <w:r w:rsidRPr="00CB0FEA">
        <w:t>Estimated PBS usage &amp; financial implications</w:t>
      </w:r>
      <w:bookmarkEnd w:id="17"/>
    </w:p>
    <w:p w:rsidR="00B60939" w:rsidRPr="00C52B69" w:rsidRDefault="00B60939" w:rsidP="007B42A1">
      <w:pPr>
        <w:keepNext/>
        <w:widowControl/>
      </w:pPr>
    </w:p>
    <w:p w:rsidR="00BB75C3" w:rsidRPr="00C52B69" w:rsidRDefault="00204011" w:rsidP="00230BF2">
      <w:pPr>
        <w:pStyle w:val="ListParagraph"/>
        <w:widowControl/>
        <w:numPr>
          <w:ilvl w:val="1"/>
          <w:numId w:val="3"/>
        </w:numPr>
      </w:pPr>
      <w:r w:rsidRPr="00C52B69">
        <w:rPr>
          <w:bCs/>
          <w:szCs w:val="22"/>
        </w:rPr>
        <w:t xml:space="preserve">This submission was not considered by DUSC. </w:t>
      </w:r>
      <w:r w:rsidR="00D87A0C" w:rsidRPr="00C52B69">
        <w:t>The submission used an epidemiological approach to estimate the extent of use of 13vPCV. The estimates were based on the projected Australian population and assumed uptake.</w:t>
      </w:r>
      <w:r w:rsidR="00E172B0" w:rsidRPr="00C52B69">
        <w:t xml:space="preserve"> </w:t>
      </w:r>
      <w:r w:rsidR="00D87A0C" w:rsidRPr="00C52B69">
        <w:t>The approach is the same as used in the July 2015 submission.</w:t>
      </w:r>
      <w:r w:rsidR="004D268B">
        <w:t xml:space="preserve"> At year 5, the estimated number of patients would be </w:t>
      </w:r>
      <w:r w:rsidR="00EE33A8">
        <w:t xml:space="preserve">over 200,000 per year </w:t>
      </w:r>
      <w:r w:rsidR="004D268B">
        <w:t xml:space="preserve">and the net cost to the NIP would be </w:t>
      </w:r>
      <w:r w:rsidR="00EE33A8">
        <w:t>less than $10 million per year</w:t>
      </w:r>
      <w:r w:rsidR="004D268B">
        <w:t>.</w:t>
      </w:r>
    </w:p>
    <w:p w:rsidR="00C25D9C" w:rsidRPr="00700585" w:rsidRDefault="00C25D9C" w:rsidP="00230BF2">
      <w:pPr>
        <w:widowControl/>
        <w:rPr>
          <w:szCs w:val="22"/>
        </w:rPr>
      </w:pPr>
    </w:p>
    <w:p w:rsidR="0004231D" w:rsidRPr="00700585" w:rsidRDefault="0004231D" w:rsidP="00230BF2">
      <w:pPr>
        <w:keepNext/>
        <w:widowControl/>
        <w:ind w:firstLine="709"/>
        <w:rPr>
          <w:rStyle w:val="CommentReference"/>
        </w:rPr>
      </w:pPr>
      <w:r w:rsidRPr="00700585">
        <w:rPr>
          <w:rStyle w:val="CommentReference"/>
        </w:rPr>
        <w:t xml:space="preserve">Table </w:t>
      </w:r>
      <w:r w:rsidR="004A4CB0">
        <w:rPr>
          <w:rStyle w:val="CommentReference"/>
        </w:rPr>
        <w:t>10</w:t>
      </w:r>
      <w:r w:rsidRPr="00700585">
        <w:rPr>
          <w:rStyle w:val="CommentReference"/>
        </w:rPr>
        <w:t>: Estimated use and financial implications</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61"/>
        <w:gridCol w:w="1021"/>
        <w:gridCol w:w="1020"/>
        <w:gridCol w:w="1020"/>
        <w:gridCol w:w="1020"/>
        <w:gridCol w:w="1022"/>
      </w:tblGrid>
      <w:tr w:rsidR="00700585" w:rsidRPr="00700585" w:rsidTr="009A333B">
        <w:trPr>
          <w:tblHeader/>
        </w:trPr>
        <w:tc>
          <w:tcPr>
            <w:tcW w:w="1949" w:type="pct"/>
            <w:shd w:val="clear" w:color="auto" w:fill="auto"/>
            <w:vAlign w:val="center"/>
          </w:tcPr>
          <w:p w:rsidR="008749DE" w:rsidRPr="00700585" w:rsidRDefault="008749DE" w:rsidP="00230BF2">
            <w:pPr>
              <w:keepNext/>
              <w:widowControl/>
              <w:tabs>
                <w:tab w:val="left" w:pos="142"/>
              </w:tabs>
              <w:rPr>
                <w:rFonts w:ascii="Arial Narrow" w:hAnsi="Arial Narrow"/>
                <w:b/>
                <w:sz w:val="20"/>
              </w:rPr>
            </w:pPr>
          </w:p>
        </w:tc>
        <w:tc>
          <w:tcPr>
            <w:tcW w:w="610" w:type="pct"/>
            <w:shd w:val="clear" w:color="auto" w:fill="auto"/>
            <w:vAlign w:val="center"/>
          </w:tcPr>
          <w:p w:rsidR="008749DE" w:rsidRPr="00700585" w:rsidRDefault="008749DE" w:rsidP="00230BF2">
            <w:pPr>
              <w:keepNext/>
              <w:widowControl/>
              <w:jc w:val="center"/>
              <w:rPr>
                <w:rFonts w:ascii="Arial Narrow" w:hAnsi="Arial Narrow"/>
                <w:b/>
                <w:sz w:val="20"/>
              </w:rPr>
            </w:pPr>
            <w:r w:rsidRPr="00700585">
              <w:rPr>
                <w:rFonts w:ascii="Arial Narrow" w:hAnsi="Arial Narrow"/>
                <w:b/>
                <w:sz w:val="20"/>
              </w:rPr>
              <w:t>Year 1</w:t>
            </w:r>
          </w:p>
        </w:tc>
        <w:tc>
          <w:tcPr>
            <w:tcW w:w="610" w:type="pct"/>
            <w:shd w:val="clear" w:color="auto" w:fill="auto"/>
            <w:vAlign w:val="center"/>
          </w:tcPr>
          <w:p w:rsidR="008749DE" w:rsidRPr="00700585" w:rsidRDefault="008749DE" w:rsidP="00230BF2">
            <w:pPr>
              <w:keepNext/>
              <w:widowControl/>
              <w:jc w:val="center"/>
              <w:rPr>
                <w:rFonts w:ascii="Arial Narrow" w:hAnsi="Arial Narrow"/>
                <w:b/>
                <w:sz w:val="20"/>
              </w:rPr>
            </w:pPr>
            <w:r w:rsidRPr="00700585">
              <w:rPr>
                <w:rFonts w:ascii="Arial Narrow" w:hAnsi="Arial Narrow"/>
                <w:b/>
                <w:sz w:val="20"/>
              </w:rPr>
              <w:t>Year 2</w:t>
            </w:r>
          </w:p>
        </w:tc>
        <w:tc>
          <w:tcPr>
            <w:tcW w:w="610" w:type="pct"/>
            <w:shd w:val="clear" w:color="auto" w:fill="auto"/>
            <w:vAlign w:val="center"/>
          </w:tcPr>
          <w:p w:rsidR="008749DE" w:rsidRPr="00700585" w:rsidRDefault="008749DE" w:rsidP="00230BF2">
            <w:pPr>
              <w:keepNext/>
              <w:widowControl/>
              <w:jc w:val="center"/>
              <w:rPr>
                <w:rFonts w:ascii="Arial Narrow" w:hAnsi="Arial Narrow"/>
                <w:b/>
                <w:sz w:val="20"/>
              </w:rPr>
            </w:pPr>
            <w:r w:rsidRPr="00700585">
              <w:rPr>
                <w:rFonts w:ascii="Arial Narrow" w:hAnsi="Arial Narrow"/>
                <w:b/>
                <w:sz w:val="20"/>
              </w:rPr>
              <w:t>Year 3</w:t>
            </w:r>
          </w:p>
        </w:tc>
        <w:tc>
          <w:tcPr>
            <w:tcW w:w="610" w:type="pct"/>
            <w:shd w:val="clear" w:color="auto" w:fill="auto"/>
            <w:vAlign w:val="center"/>
          </w:tcPr>
          <w:p w:rsidR="008749DE" w:rsidRPr="00700585" w:rsidRDefault="008749DE" w:rsidP="00230BF2">
            <w:pPr>
              <w:keepNext/>
              <w:widowControl/>
              <w:jc w:val="center"/>
              <w:rPr>
                <w:rFonts w:ascii="Arial Narrow" w:hAnsi="Arial Narrow"/>
                <w:b/>
                <w:sz w:val="20"/>
              </w:rPr>
            </w:pPr>
            <w:r w:rsidRPr="00700585">
              <w:rPr>
                <w:rFonts w:ascii="Arial Narrow" w:hAnsi="Arial Narrow"/>
                <w:b/>
                <w:sz w:val="20"/>
              </w:rPr>
              <w:t>Year 4</w:t>
            </w:r>
          </w:p>
        </w:tc>
        <w:tc>
          <w:tcPr>
            <w:tcW w:w="611" w:type="pct"/>
            <w:shd w:val="clear" w:color="auto" w:fill="auto"/>
            <w:vAlign w:val="center"/>
          </w:tcPr>
          <w:p w:rsidR="008749DE" w:rsidRPr="00700585" w:rsidRDefault="008749DE" w:rsidP="00230BF2">
            <w:pPr>
              <w:keepNext/>
              <w:widowControl/>
              <w:jc w:val="center"/>
              <w:rPr>
                <w:rFonts w:ascii="Arial Narrow" w:hAnsi="Arial Narrow"/>
                <w:b/>
                <w:sz w:val="20"/>
              </w:rPr>
            </w:pPr>
            <w:r w:rsidRPr="00700585">
              <w:rPr>
                <w:rFonts w:ascii="Arial Narrow" w:hAnsi="Arial Narrow"/>
                <w:b/>
                <w:sz w:val="20"/>
              </w:rPr>
              <w:t>Year 5</w:t>
            </w:r>
          </w:p>
        </w:tc>
      </w:tr>
      <w:tr w:rsidR="00700585" w:rsidRPr="00700585" w:rsidTr="004A05F4">
        <w:tc>
          <w:tcPr>
            <w:tcW w:w="5000" w:type="pct"/>
            <w:gridSpan w:val="6"/>
            <w:tcBorders>
              <w:bottom w:val="single" w:sz="4" w:space="0" w:color="auto"/>
            </w:tcBorders>
            <w:shd w:val="clear" w:color="auto" w:fill="auto"/>
            <w:vAlign w:val="center"/>
          </w:tcPr>
          <w:p w:rsidR="008749DE" w:rsidRPr="00700585" w:rsidRDefault="008749DE" w:rsidP="00230BF2">
            <w:pPr>
              <w:keepNext/>
              <w:widowControl/>
              <w:rPr>
                <w:rFonts w:ascii="Arial Narrow" w:hAnsi="Arial Narrow"/>
                <w:b/>
                <w:bCs/>
                <w:sz w:val="20"/>
              </w:rPr>
            </w:pPr>
            <w:r w:rsidRPr="00700585">
              <w:rPr>
                <w:rFonts w:ascii="Arial Narrow" w:hAnsi="Arial Narrow"/>
                <w:b/>
                <w:bCs/>
                <w:sz w:val="20"/>
              </w:rPr>
              <w:t>Estimated extent of use</w:t>
            </w:r>
          </w:p>
        </w:tc>
      </w:tr>
      <w:tr w:rsidR="00700585" w:rsidRPr="00700585" w:rsidTr="009A333B">
        <w:tc>
          <w:tcPr>
            <w:tcW w:w="1949" w:type="pct"/>
            <w:tcBorders>
              <w:bottom w:val="nil"/>
            </w:tcBorders>
            <w:shd w:val="clear" w:color="auto" w:fill="auto"/>
            <w:vAlign w:val="center"/>
          </w:tcPr>
          <w:p w:rsidR="009A333B" w:rsidRPr="00700585" w:rsidRDefault="009A333B" w:rsidP="00230BF2">
            <w:pPr>
              <w:keepNext/>
              <w:widowControl/>
              <w:tabs>
                <w:tab w:val="left" w:pos="142"/>
              </w:tabs>
              <w:rPr>
                <w:rFonts w:ascii="Arial Narrow" w:hAnsi="Arial Narrow"/>
                <w:sz w:val="20"/>
              </w:rPr>
            </w:pPr>
            <w:r w:rsidRPr="00700585">
              <w:rPr>
                <w:rFonts w:ascii="Arial Narrow" w:hAnsi="Arial Narrow"/>
                <w:sz w:val="20"/>
              </w:rPr>
              <w:t xml:space="preserve">Non-Indigenous population aged 65 </w:t>
            </w:r>
            <w:proofErr w:type="spellStart"/>
            <w:r w:rsidRPr="00700585">
              <w:rPr>
                <w:rFonts w:ascii="Arial Narrow" w:hAnsi="Arial Narrow"/>
                <w:sz w:val="20"/>
              </w:rPr>
              <w:t>yrs</w:t>
            </w:r>
            <w:proofErr w:type="spellEnd"/>
          </w:p>
        </w:tc>
        <w:tc>
          <w:tcPr>
            <w:tcW w:w="610" w:type="pct"/>
            <w:tcBorders>
              <w:bottom w:val="nil"/>
            </w:tcBorders>
            <w:shd w:val="clear" w:color="auto" w:fill="auto"/>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0" w:type="pct"/>
            <w:tcBorders>
              <w:bottom w:val="nil"/>
            </w:tcBorders>
            <w:shd w:val="clear" w:color="auto" w:fill="auto"/>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0" w:type="pct"/>
            <w:tcBorders>
              <w:bottom w:val="nil"/>
            </w:tcBorders>
            <w:shd w:val="clear" w:color="auto" w:fill="auto"/>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0" w:type="pct"/>
            <w:tcBorders>
              <w:bottom w:val="nil"/>
            </w:tcBorders>
            <w:shd w:val="clear" w:color="auto" w:fill="auto"/>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1" w:type="pct"/>
            <w:tcBorders>
              <w:bottom w:val="nil"/>
            </w:tcBorders>
            <w:shd w:val="clear" w:color="auto" w:fill="auto"/>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r>
      <w:tr w:rsidR="00700585" w:rsidRPr="00700585" w:rsidTr="009A333B">
        <w:tc>
          <w:tcPr>
            <w:tcW w:w="1949" w:type="pct"/>
            <w:tcBorders>
              <w:top w:val="nil"/>
              <w:bottom w:val="single" w:sz="4" w:space="0" w:color="auto"/>
            </w:tcBorders>
            <w:shd w:val="clear" w:color="auto" w:fill="auto"/>
            <w:vAlign w:val="center"/>
          </w:tcPr>
          <w:p w:rsidR="009A333B" w:rsidRPr="00700585" w:rsidRDefault="009A333B" w:rsidP="00230BF2">
            <w:pPr>
              <w:keepNext/>
              <w:widowControl/>
              <w:tabs>
                <w:tab w:val="left" w:pos="142"/>
              </w:tabs>
              <w:rPr>
                <w:rFonts w:ascii="Arial Narrow" w:hAnsi="Arial Narrow"/>
                <w:sz w:val="20"/>
              </w:rPr>
            </w:pPr>
            <w:r w:rsidRPr="00700585">
              <w:rPr>
                <w:rFonts w:ascii="Arial Narrow" w:hAnsi="Arial Narrow"/>
                <w:sz w:val="20"/>
              </w:rPr>
              <w:t>Uptake</w:t>
            </w:r>
          </w:p>
        </w:tc>
        <w:tc>
          <w:tcPr>
            <w:tcW w:w="610" w:type="pct"/>
            <w:tcBorders>
              <w:top w:val="nil"/>
              <w:bottom w:val="single" w:sz="4" w:space="0" w:color="auto"/>
            </w:tcBorders>
            <w:shd w:val="clear" w:color="auto" w:fill="auto"/>
          </w:tcPr>
          <w:p w:rsidR="009A333B" w:rsidRPr="00700585" w:rsidRDefault="0091638E" w:rsidP="00230BF2">
            <w:pPr>
              <w:widowControl/>
              <w:ind w:left="-98"/>
              <w:jc w:val="center"/>
              <w:rPr>
                <w:rFonts w:ascii="Arial Narrow" w:hAnsi="Arial Narrow"/>
                <w:sz w:val="20"/>
              </w:rPr>
            </w:pPr>
            <w:r>
              <w:rPr>
                <w:rFonts w:ascii="Arial Narrow" w:hAnsi="Arial Narrow"/>
                <w:noProof/>
                <w:color w:val="000000"/>
                <w:sz w:val="20"/>
                <w:highlight w:val="black"/>
              </w:rPr>
              <w:t>''''''</w:t>
            </w:r>
            <w:r w:rsidR="009A333B" w:rsidRPr="00700585">
              <w:rPr>
                <w:rFonts w:ascii="Arial Narrow" w:hAnsi="Arial Narrow"/>
                <w:sz w:val="20"/>
              </w:rPr>
              <w:t>%</w:t>
            </w:r>
          </w:p>
        </w:tc>
        <w:tc>
          <w:tcPr>
            <w:tcW w:w="610" w:type="pct"/>
            <w:tcBorders>
              <w:top w:val="nil"/>
              <w:bottom w:val="single" w:sz="4" w:space="0" w:color="auto"/>
            </w:tcBorders>
            <w:shd w:val="clear" w:color="auto" w:fill="auto"/>
          </w:tcPr>
          <w:p w:rsidR="009A333B" w:rsidRPr="00700585" w:rsidRDefault="0091638E" w:rsidP="00230BF2">
            <w:pPr>
              <w:widowControl/>
              <w:ind w:left="-98"/>
              <w:jc w:val="center"/>
              <w:rPr>
                <w:rFonts w:ascii="Arial Narrow" w:hAnsi="Arial Narrow"/>
                <w:sz w:val="20"/>
              </w:rPr>
            </w:pPr>
            <w:r>
              <w:rPr>
                <w:rFonts w:ascii="Arial Narrow" w:hAnsi="Arial Narrow"/>
                <w:noProof/>
                <w:color w:val="000000"/>
                <w:sz w:val="20"/>
                <w:highlight w:val="black"/>
              </w:rPr>
              <w:t>'''''</w:t>
            </w:r>
            <w:r w:rsidR="009A333B" w:rsidRPr="00700585">
              <w:rPr>
                <w:rFonts w:ascii="Arial Narrow" w:hAnsi="Arial Narrow"/>
                <w:sz w:val="20"/>
              </w:rPr>
              <w:t>%</w:t>
            </w:r>
          </w:p>
        </w:tc>
        <w:tc>
          <w:tcPr>
            <w:tcW w:w="610" w:type="pct"/>
            <w:tcBorders>
              <w:top w:val="nil"/>
              <w:bottom w:val="single" w:sz="4" w:space="0" w:color="auto"/>
            </w:tcBorders>
            <w:shd w:val="clear" w:color="auto" w:fill="auto"/>
          </w:tcPr>
          <w:p w:rsidR="009A333B" w:rsidRPr="00700585" w:rsidRDefault="0091638E" w:rsidP="00230BF2">
            <w:pPr>
              <w:widowControl/>
              <w:ind w:left="-98"/>
              <w:jc w:val="center"/>
              <w:rPr>
                <w:rFonts w:ascii="Arial Narrow" w:hAnsi="Arial Narrow"/>
                <w:sz w:val="20"/>
              </w:rPr>
            </w:pPr>
            <w:r>
              <w:rPr>
                <w:rFonts w:ascii="Arial Narrow" w:hAnsi="Arial Narrow"/>
                <w:noProof/>
                <w:color w:val="000000"/>
                <w:sz w:val="20"/>
                <w:highlight w:val="black"/>
              </w:rPr>
              <w:t>''''''</w:t>
            </w:r>
            <w:r w:rsidR="009A333B" w:rsidRPr="00700585">
              <w:rPr>
                <w:rFonts w:ascii="Arial Narrow" w:hAnsi="Arial Narrow"/>
                <w:sz w:val="20"/>
              </w:rPr>
              <w:t>%</w:t>
            </w:r>
          </w:p>
        </w:tc>
        <w:tc>
          <w:tcPr>
            <w:tcW w:w="610" w:type="pct"/>
            <w:tcBorders>
              <w:top w:val="nil"/>
              <w:bottom w:val="single" w:sz="4" w:space="0" w:color="auto"/>
            </w:tcBorders>
            <w:shd w:val="clear" w:color="auto" w:fill="auto"/>
          </w:tcPr>
          <w:p w:rsidR="009A333B" w:rsidRPr="00700585" w:rsidRDefault="0091638E" w:rsidP="00230BF2">
            <w:pPr>
              <w:widowControl/>
              <w:ind w:left="-98"/>
              <w:jc w:val="center"/>
              <w:rPr>
                <w:rFonts w:ascii="Arial Narrow" w:hAnsi="Arial Narrow"/>
                <w:sz w:val="20"/>
              </w:rPr>
            </w:pPr>
            <w:r>
              <w:rPr>
                <w:rFonts w:ascii="Arial Narrow" w:hAnsi="Arial Narrow"/>
                <w:noProof/>
                <w:color w:val="000000"/>
                <w:sz w:val="20"/>
                <w:highlight w:val="black"/>
              </w:rPr>
              <w:t>''''''</w:t>
            </w:r>
            <w:r w:rsidR="009A333B" w:rsidRPr="00700585">
              <w:rPr>
                <w:rFonts w:ascii="Arial Narrow" w:hAnsi="Arial Narrow"/>
                <w:sz w:val="20"/>
              </w:rPr>
              <w:t>%</w:t>
            </w:r>
          </w:p>
        </w:tc>
        <w:tc>
          <w:tcPr>
            <w:tcW w:w="611" w:type="pct"/>
            <w:tcBorders>
              <w:top w:val="nil"/>
              <w:bottom w:val="single" w:sz="4" w:space="0" w:color="auto"/>
            </w:tcBorders>
            <w:shd w:val="clear" w:color="auto" w:fill="auto"/>
          </w:tcPr>
          <w:p w:rsidR="009A333B" w:rsidRPr="00700585" w:rsidRDefault="0091638E" w:rsidP="00230BF2">
            <w:pPr>
              <w:widowControl/>
              <w:ind w:left="-98"/>
              <w:jc w:val="center"/>
              <w:rPr>
                <w:rFonts w:ascii="Arial Narrow" w:hAnsi="Arial Narrow"/>
                <w:sz w:val="20"/>
              </w:rPr>
            </w:pPr>
            <w:r>
              <w:rPr>
                <w:rFonts w:ascii="Arial Narrow" w:hAnsi="Arial Narrow"/>
                <w:noProof/>
                <w:color w:val="000000"/>
                <w:sz w:val="20"/>
                <w:highlight w:val="black"/>
              </w:rPr>
              <w:t>'''''</w:t>
            </w:r>
            <w:r w:rsidR="009A333B" w:rsidRPr="00700585">
              <w:rPr>
                <w:rFonts w:ascii="Arial Narrow" w:hAnsi="Arial Narrow"/>
                <w:sz w:val="20"/>
              </w:rPr>
              <w:t>%</w:t>
            </w:r>
          </w:p>
        </w:tc>
      </w:tr>
      <w:tr w:rsidR="00700585" w:rsidRPr="00700585" w:rsidTr="009A333B">
        <w:tc>
          <w:tcPr>
            <w:tcW w:w="1949" w:type="pct"/>
            <w:tcBorders>
              <w:bottom w:val="nil"/>
            </w:tcBorders>
            <w:shd w:val="clear" w:color="auto" w:fill="auto"/>
            <w:vAlign w:val="center"/>
          </w:tcPr>
          <w:p w:rsidR="009A333B" w:rsidRPr="00700585" w:rsidRDefault="009A333B" w:rsidP="00230BF2">
            <w:pPr>
              <w:keepNext/>
              <w:widowControl/>
              <w:tabs>
                <w:tab w:val="left" w:pos="142"/>
              </w:tabs>
              <w:rPr>
                <w:rFonts w:ascii="Arial Narrow" w:hAnsi="Arial Narrow"/>
                <w:sz w:val="20"/>
              </w:rPr>
            </w:pPr>
            <w:r w:rsidRPr="00700585">
              <w:rPr>
                <w:rFonts w:ascii="Arial Narrow" w:hAnsi="Arial Narrow"/>
                <w:sz w:val="20"/>
              </w:rPr>
              <w:t xml:space="preserve">Non-Indigenous population aged 66-84 </w:t>
            </w:r>
            <w:proofErr w:type="spellStart"/>
            <w:r w:rsidRPr="00700585">
              <w:rPr>
                <w:rFonts w:ascii="Arial Narrow" w:hAnsi="Arial Narrow"/>
                <w:sz w:val="20"/>
              </w:rPr>
              <w:t>yrs</w:t>
            </w:r>
            <w:r w:rsidRPr="00700585">
              <w:rPr>
                <w:rFonts w:ascii="Arial Narrow" w:hAnsi="Arial Narrow"/>
                <w:sz w:val="20"/>
                <w:vertAlign w:val="superscript"/>
              </w:rPr>
              <w:t>a</w:t>
            </w:r>
            <w:proofErr w:type="spellEnd"/>
          </w:p>
        </w:tc>
        <w:tc>
          <w:tcPr>
            <w:tcW w:w="610" w:type="pct"/>
            <w:tcBorders>
              <w:bottom w:val="nil"/>
            </w:tcBorders>
            <w:shd w:val="clear" w:color="auto" w:fill="auto"/>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0" w:type="pct"/>
            <w:tcBorders>
              <w:bottom w:val="nil"/>
            </w:tcBorders>
            <w:shd w:val="clear" w:color="auto" w:fill="auto"/>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0" w:type="pct"/>
            <w:tcBorders>
              <w:bottom w:val="nil"/>
            </w:tcBorders>
            <w:shd w:val="clear" w:color="auto" w:fill="auto"/>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0" w:type="pct"/>
            <w:tcBorders>
              <w:bottom w:val="nil"/>
            </w:tcBorders>
            <w:shd w:val="clear" w:color="auto" w:fill="auto"/>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1" w:type="pct"/>
            <w:tcBorders>
              <w:bottom w:val="nil"/>
            </w:tcBorders>
            <w:shd w:val="clear" w:color="auto" w:fill="auto"/>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r>
      <w:tr w:rsidR="00700585" w:rsidRPr="00700585" w:rsidTr="009A333B">
        <w:tc>
          <w:tcPr>
            <w:tcW w:w="1949" w:type="pct"/>
            <w:tcBorders>
              <w:top w:val="nil"/>
              <w:bottom w:val="single" w:sz="4" w:space="0" w:color="auto"/>
            </w:tcBorders>
            <w:shd w:val="clear" w:color="auto" w:fill="auto"/>
            <w:vAlign w:val="center"/>
          </w:tcPr>
          <w:p w:rsidR="009A333B" w:rsidRPr="00700585" w:rsidRDefault="009A333B" w:rsidP="00230BF2">
            <w:pPr>
              <w:keepNext/>
              <w:widowControl/>
              <w:tabs>
                <w:tab w:val="left" w:pos="142"/>
              </w:tabs>
              <w:rPr>
                <w:rFonts w:ascii="Arial Narrow" w:hAnsi="Arial Narrow"/>
                <w:sz w:val="20"/>
              </w:rPr>
            </w:pPr>
            <w:r w:rsidRPr="00700585">
              <w:rPr>
                <w:rFonts w:ascii="Arial Narrow" w:hAnsi="Arial Narrow"/>
                <w:sz w:val="20"/>
              </w:rPr>
              <w:t>Uptake</w:t>
            </w:r>
          </w:p>
        </w:tc>
        <w:tc>
          <w:tcPr>
            <w:tcW w:w="610" w:type="pct"/>
            <w:tcBorders>
              <w:top w:val="nil"/>
              <w:bottom w:val="single" w:sz="4" w:space="0" w:color="auto"/>
            </w:tcBorders>
            <w:shd w:val="clear" w:color="auto" w:fill="auto"/>
          </w:tcPr>
          <w:p w:rsidR="009A333B" w:rsidRPr="00700585" w:rsidRDefault="0091638E" w:rsidP="00230BF2">
            <w:pPr>
              <w:widowControl/>
              <w:ind w:left="-98"/>
              <w:jc w:val="center"/>
              <w:rPr>
                <w:rFonts w:ascii="Arial Narrow" w:hAnsi="Arial Narrow"/>
                <w:sz w:val="20"/>
              </w:rPr>
            </w:pPr>
            <w:r>
              <w:rPr>
                <w:rFonts w:ascii="Arial Narrow" w:hAnsi="Arial Narrow"/>
                <w:noProof/>
                <w:color w:val="000000"/>
                <w:sz w:val="20"/>
                <w:highlight w:val="black"/>
              </w:rPr>
              <w:t>''''''</w:t>
            </w:r>
            <w:r w:rsidR="009A333B" w:rsidRPr="00700585">
              <w:rPr>
                <w:rFonts w:ascii="Arial Narrow" w:hAnsi="Arial Narrow"/>
                <w:sz w:val="20"/>
              </w:rPr>
              <w:t>%</w:t>
            </w:r>
          </w:p>
        </w:tc>
        <w:tc>
          <w:tcPr>
            <w:tcW w:w="610" w:type="pct"/>
            <w:tcBorders>
              <w:top w:val="nil"/>
              <w:bottom w:val="single" w:sz="4" w:space="0" w:color="auto"/>
            </w:tcBorders>
            <w:shd w:val="clear" w:color="auto" w:fill="auto"/>
          </w:tcPr>
          <w:p w:rsidR="009A333B" w:rsidRPr="00700585" w:rsidRDefault="0091638E" w:rsidP="00230BF2">
            <w:pPr>
              <w:widowControl/>
              <w:ind w:left="-98"/>
              <w:jc w:val="center"/>
              <w:rPr>
                <w:rFonts w:ascii="Arial Narrow" w:hAnsi="Arial Narrow"/>
                <w:sz w:val="20"/>
              </w:rPr>
            </w:pPr>
            <w:r>
              <w:rPr>
                <w:rFonts w:ascii="Arial Narrow" w:hAnsi="Arial Narrow"/>
                <w:noProof/>
                <w:color w:val="000000"/>
                <w:sz w:val="20"/>
                <w:highlight w:val="black"/>
              </w:rPr>
              <w:t>''''''</w:t>
            </w:r>
            <w:r w:rsidR="009A333B" w:rsidRPr="00700585">
              <w:rPr>
                <w:rFonts w:ascii="Arial Narrow" w:hAnsi="Arial Narrow"/>
                <w:sz w:val="20"/>
              </w:rPr>
              <w:t>%</w:t>
            </w:r>
          </w:p>
        </w:tc>
        <w:tc>
          <w:tcPr>
            <w:tcW w:w="610" w:type="pct"/>
            <w:tcBorders>
              <w:top w:val="nil"/>
              <w:bottom w:val="single" w:sz="4" w:space="0" w:color="auto"/>
            </w:tcBorders>
            <w:shd w:val="clear" w:color="auto" w:fill="auto"/>
          </w:tcPr>
          <w:p w:rsidR="009A333B" w:rsidRPr="00700585" w:rsidRDefault="0091638E" w:rsidP="00230BF2">
            <w:pPr>
              <w:widowControl/>
              <w:ind w:left="-98"/>
              <w:jc w:val="center"/>
              <w:rPr>
                <w:rFonts w:ascii="Arial Narrow" w:hAnsi="Arial Narrow"/>
                <w:sz w:val="20"/>
              </w:rPr>
            </w:pPr>
            <w:r>
              <w:rPr>
                <w:rFonts w:ascii="Arial Narrow" w:hAnsi="Arial Narrow"/>
                <w:noProof/>
                <w:color w:val="000000"/>
                <w:sz w:val="20"/>
                <w:highlight w:val="black"/>
              </w:rPr>
              <w:t>'''''''</w:t>
            </w:r>
            <w:r w:rsidR="009A333B" w:rsidRPr="00700585">
              <w:rPr>
                <w:rFonts w:ascii="Arial Narrow" w:hAnsi="Arial Narrow"/>
                <w:sz w:val="20"/>
              </w:rPr>
              <w:t>%</w:t>
            </w:r>
          </w:p>
        </w:tc>
        <w:tc>
          <w:tcPr>
            <w:tcW w:w="610" w:type="pct"/>
            <w:tcBorders>
              <w:top w:val="nil"/>
              <w:bottom w:val="single" w:sz="4" w:space="0" w:color="auto"/>
            </w:tcBorders>
            <w:shd w:val="clear" w:color="auto" w:fill="auto"/>
          </w:tcPr>
          <w:p w:rsidR="009A333B" w:rsidRPr="00700585" w:rsidRDefault="0091638E" w:rsidP="00230BF2">
            <w:pPr>
              <w:widowControl/>
              <w:ind w:left="-98"/>
              <w:jc w:val="center"/>
              <w:rPr>
                <w:rFonts w:ascii="Arial Narrow" w:hAnsi="Arial Narrow"/>
                <w:sz w:val="20"/>
              </w:rPr>
            </w:pPr>
            <w:r>
              <w:rPr>
                <w:rFonts w:ascii="Arial Narrow" w:hAnsi="Arial Narrow"/>
                <w:noProof/>
                <w:color w:val="000000"/>
                <w:sz w:val="20"/>
                <w:highlight w:val="black"/>
              </w:rPr>
              <w:t>'''''</w:t>
            </w:r>
            <w:r w:rsidR="009A333B" w:rsidRPr="00700585">
              <w:rPr>
                <w:rFonts w:ascii="Arial Narrow" w:hAnsi="Arial Narrow"/>
                <w:sz w:val="20"/>
              </w:rPr>
              <w:t>%</w:t>
            </w:r>
          </w:p>
        </w:tc>
        <w:tc>
          <w:tcPr>
            <w:tcW w:w="611" w:type="pct"/>
            <w:tcBorders>
              <w:top w:val="nil"/>
              <w:bottom w:val="single" w:sz="4" w:space="0" w:color="auto"/>
            </w:tcBorders>
            <w:shd w:val="clear" w:color="auto" w:fill="auto"/>
          </w:tcPr>
          <w:p w:rsidR="009A333B" w:rsidRPr="00700585" w:rsidRDefault="0091638E" w:rsidP="00230BF2">
            <w:pPr>
              <w:widowControl/>
              <w:ind w:left="-98"/>
              <w:jc w:val="center"/>
              <w:rPr>
                <w:rFonts w:ascii="Arial Narrow" w:hAnsi="Arial Narrow"/>
                <w:sz w:val="20"/>
              </w:rPr>
            </w:pPr>
            <w:r>
              <w:rPr>
                <w:rFonts w:ascii="Arial Narrow" w:hAnsi="Arial Narrow"/>
                <w:noProof/>
                <w:color w:val="000000"/>
                <w:sz w:val="20"/>
                <w:highlight w:val="black"/>
              </w:rPr>
              <w:t>''''''</w:t>
            </w:r>
            <w:r w:rsidR="009A333B" w:rsidRPr="00700585">
              <w:rPr>
                <w:rFonts w:ascii="Arial Narrow" w:hAnsi="Arial Narrow"/>
                <w:sz w:val="20"/>
              </w:rPr>
              <w:t>%</w:t>
            </w:r>
          </w:p>
        </w:tc>
      </w:tr>
      <w:tr w:rsidR="00700585" w:rsidRPr="00700585" w:rsidTr="009A333B">
        <w:tc>
          <w:tcPr>
            <w:tcW w:w="1949" w:type="pct"/>
            <w:tcBorders>
              <w:bottom w:val="nil"/>
            </w:tcBorders>
            <w:shd w:val="clear" w:color="auto" w:fill="auto"/>
            <w:vAlign w:val="center"/>
          </w:tcPr>
          <w:p w:rsidR="009A333B" w:rsidRPr="00700585" w:rsidRDefault="009A333B" w:rsidP="00230BF2">
            <w:pPr>
              <w:keepNext/>
              <w:widowControl/>
              <w:tabs>
                <w:tab w:val="left" w:pos="142"/>
              </w:tabs>
              <w:rPr>
                <w:rFonts w:ascii="Arial Narrow" w:hAnsi="Arial Narrow"/>
                <w:sz w:val="20"/>
              </w:rPr>
            </w:pPr>
            <w:r w:rsidRPr="00700585">
              <w:rPr>
                <w:rFonts w:ascii="Arial Narrow" w:hAnsi="Arial Narrow"/>
                <w:sz w:val="20"/>
              </w:rPr>
              <w:t xml:space="preserve">Indigenous population aged 50 </w:t>
            </w:r>
            <w:proofErr w:type="spellStart"/>
            <w:r w:rsidRPr="00700585">
              <w:rPr>
                <w:rFonts w:ascii="Arial Narrow" w:hAnsi="Arial Narrow"/>
                <w:sz w:val="20"/>
              </w:rPr>
              <w:t>yrs</w:t>
            </w:r>
            <w:proofErr w:type="spellEnd"/>
          </w:p>
        </w:tc>
        <w:tc>
          <w:tcPr>
            <w:tcW w:w="610" w:type="pct"/>
            <w:tcBorders>
              <w:bottom w:val="nil"/>
            </w:tcBorders>
            <w:shd w:val="clear" w:color="auto" w:fill="auto"/>
            <w:vAlign w:val="bottom"/>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0" w:type="pct"/>
            <w:tcBorders>
              <w:bottom w:val="nil"/>
            </w:tcBorders>
            <w:shd w:val="clear" w:color="auto" w:fill="auto"/>
            <w:vAlign w:val="bottom"/>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0" w:type="pct"/>
            <w:tcBorders>
              <w:bottom w:val="nil"/>
            </w:tcBorders>
            <w:shd w:val="clear" w:color="auto" w:fill="auto"/>
            <w:vAlign w:val="bottom"/>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0" w:type="pct"/>
            <w:tcBorders>
              <w:bottom w:val="nil"/>
            </w:tcBorders>
            <w:shd w:val="clear" w:color="auto" w:fill="auto"/>
            <w:vAlign w:val="bottom"/>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1" w:type="pct"/>
            <w:tcBorders>
              <w:bottom w:val="nil"/>
            </w:tcBorders>
            <w:shd w:val="clear" w:color="auto" w:fill="auto"/>
            <w:vAlign w:val="bottom"/>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r>
      <w:tr w:rsidR="00700585" w:rsidRPr="00700585" w:rsidTr="004A05F4">
        <w:tc>
          <w:tcPr>
            <w:tcW w:w="1949" w:type="pct"/>
            <w:tcBorders>
              <w:top w:val="nil"/>
              <w:bottom w:val="single" w:sz="4" w:space="0" w:color="auto"/>
            </w:tcBorders>
            <w:shd w:val="clear" w:color="auto" w:fill="auto"/>
            <w:vAlign w:val="center"/>
          </w:tcPr>
          <w:p w:rsidR="009A333B" w:rsidRPr="00700585" w:rsidRDefault="009A333B" w:rsidP="00230BF2">
            <w:pPr>
              <w:keepNext/>
              <w:widowControl/>
              <w:tabs>
                <w:tab w:val="left" w:pos="142"/>
              </w:tabs>
              <w:rPr>
                <w:rFonts w:ascii="Arial Narrow" w:hAnsi="Arial Narrow"/>
                <w:sz w:val="20"/>
              </w:rPr>
            </w:pPr>
            <w:r w:rsidRPr="00700585">
              <w:rPr>
                <w:rFonts w:ascii="Arial Narrow" w:hAnsi="Arial Narrow"/>
                <w:sz w:val="20"/>
              </w:rPr>
              <w:t>Uptake</w:t>
            </w:r>
          </w:p>
        </w:tc>
        <w:tc>
          <w:tcPr>
            <w:tcW w:w="610" w:type="pct"/>
            <w:tcBorders>
              <w:top w:val="nil"/>
              <w:bottom w:val="single" w:sz="4" w:space="0" w:color="auto"/>
            </w:tcBorders>
            <w:shd w:val="clear" w:color="auto" w:fill="auto"/>
            <w:vAlign w:val="center"/>
          </w:tcPr>
          <w:p w:rsidR="009A333B" w:rsidRPr="00700585" w:rsidRDefault="0091638E" w:rsidP="00230BF2">
            <w:pPr>
              <w:widowControl/>
              <w:ind w:left="-98"/>
              <w:jc w:val="center"/>
              <w:rPr>
                <w:rFonts w:ascii="Arial Narrow" w:hAnsi="Arial Narrow"/>
                <w:sz w:val="20"/>
              </w:rPr>
            </w:pPr>
            <w:r>
              <w:rPr>
                <w:rFonts w:ascii="Arial Narrow" w:hAnsi="Arial Narrow"/>
                <w:noProof/>
                <w:color w:val="000000"/>
                <w:sz w:val="20"/>
                <w:highlight w:val="black"/>
              </w:rPr>
              <w:t>''''''</w:t>
            </w:r>
            <w:r w:rsidR="009A333B" w:rsidRPr="00700585">
              <w:rPr>
                <w:rFonts w:ascii="Arial Narrow" w:hAnsi="Arial Narrow"/>
                <w:sz w:val="20"/>
              </w:rPr>
              <w:t>%</w:t>
            </w:r>
          </w:p>
        </w:tc>
        <w:tc>
          <w:tcPr>
            <w:tcW w:w="610" w:type="pct"/>
            <w:tcBorders>
              <w:top w:val="nil"/>
              <w:bottom w:val="single" w:sz="4" w:space="0" w:color="auto"/>
            </w:tcBorders>
            <w:shd w:val="clear" w:color="auto" w:fill="auto"/>
            <w:vAlign w:val="center"/>
          </w:tcPr>
          <w:p w:rsidR="009A333B" w:rsidRPr="00700585" w:rsidRDefault="0091638E" w:rsidP="00230BF2">
            <w:pPr>
              <w:widowControl/>
              <w:ind w:left="-98"/>
              <w:jc w:val="center"/>
              <w:rPr>
                <w:rFonts w:ascii="Arial Narrow" w:hAnsi="Arial Narrow"/>
                <w:sz w:val="20"/>
              </w:rPr>
            </w:pPr>
            <w:r>
              <w:rPr>
                <w:rFonts w:ascii="Arial Narrow" w:hAnsi="Arial Narrow"/>
                <w:noProof/>
                <w:color w:val="000000"/>
                <w:sz w:val="20"/>
                <w:highlight w:val="black"/>
              </w:rPr>
              <w:t>''''''</w:t>
            </w:r>
            <w:r w:rsidR="009A333B" w:rsidRPr="00700585">
              <w:rPr>
                <w:rFonts w:ascii="Arial Narrow" w:hAnsi="Arial Narrow"/>
                <w:sz w:val="20"/>
              </w:rPr>
              <w:t>%</w:t>
            </w:r>
          </w:p>
        </w:tc>
        <w:tc>
          <w:tcPr>
            <w:tcW w:w="610" w:type="pct"/>
            <w:tcBorders>
              <w:top w:val="nil"/>
              <w:bottom w:val="single" w:sz="4" w:space="0" w:color="auto"/>
            </w:tcBorders>
            <w:shd w:val="clear" w:color="auto" w:fill="auto"/>
            <w:vAlign w:val="center"/>
          </w:tcPr>
          <w:p w:rsidR="009A333B" w:rsidRPr="00700585" w:rsidRDefault="0091638E" w:rsidP="00230BF2">
            <w:pPr>
              <w:widowControl/>
              <w:ind w:left="-98"/>
              <w:jc w:val="center"/>
              <w:rPr>
                <w:rFonts w:ascii="Arial Narrow" w:hAnsi="Arial Narrow"/>
                <w:sz w:val="20"/>
              </w:rPr>
            </w:pPr>
            <w:r>
              <w:rPr>
                <w:rFonts w:ascii="Arial Narrow" w:hAnsi="Arial Narrow"/>
                <w:noProof/>
                <w:color w:val="000000"/>
                <w:sz w:val="20"/>
                <w:highlight w:val="black"/>
              </w:rPr>
              <w:t>'''''</w:t>
            </w:r>
            <w:r w:rsidR="009A333B" w:rsidRPr="00700585">
              <w:rPr>
                <w:rFonts w:ascii="Arial Narrow" w:hAnsi="Arial Narrow"/>
                <w:sz w:val="20"/>
              </w:rPr>
              <w:t>%</w:t>
            </w:r>
          </w:p>
        </w:tc>
        <w:tc>
          <w:tcPr>
            <w:tcW w:w="610" w:type="pct"/>
            <w:tcBorders>
              <w:top w:val="nil"/>
              <w:bottom w:val="single" w:sz="4" w:space="0" w:color="auto"/>
            </w:tcBorders>
            <w:shd w:val="clear" w:color="auto" w:fill="auto"/>
            <w:vAlign w:val="center"/>
          </w:tcPr>
          <w:p w:rsidR="009A333B" w:rsidRPr="00700585" w:rsidRDefault="0091638E" w:rsidP="00230BF2">
            <w:pPr>
              <w:widowControl/>
              <w:ind w:left="-98"/>
              <w:jc w:val="center"/>
              <w:rPr>
                <w:rFonts w:ascii="Arial Narrow" w:hAnsi="Arial Narrow"/>
                <w:sz w:val="20"/>
              </w:rPr>
            </w:pPr>
            <w:r>
              <w:rPr>
                <w:rFonts w:ascii="Arial Narrow" w:hAnsi="Arial Narrow"/>
                <w:noProof/>
                <w:color w:val="000000"/>
                <w:sz w:val="20"/>
                <w:highlight w:val="black"/>
              </w:rPr>
              <w:t>''''''</w:t>
            </w:r>
            <w:r w:rsidR="009A333B" w:rsidRPr="00700585">
              <w:rPr>
                <w:rFonts w:ascii="Arial Narrow" w:hAnsi="Arial Narrow"/>
                <w:sz w:val="20"/>
              </w:rPr>
              <w:t>%</w:t>
            </w:r>
          </w:p>
        </w:tc>
        <w:tc>
          <w:tcPr>
            <w:tcW w:w="611" w:type="pct"/>
            <w:tcBorders>
              <w:top w:val="nil"/>
              <w:bottom w:val="single" w:sz="4" w:space="0" w:color="auto"/>
            </w:tcBorders>
            <w:shd w:val="clear" w:color="auto" w:fill="auto"/>
            <w:vAlign w:val="center"/>
          </w:tcPr>
          <w:p w:rsidR="009A333B" w:rsidRPr="00700585" w:rsidRDefault="0091638E" w:rsidP="00230BF2">
            <w:pPr>
              <w:widowControl/>
              <w:ind w:left="-98"/>
              <w:jc w:val="center"/>
              <w:rPr>
                <w:rFonts w:ascii="Arial Narrow" w:hAnsi="Arial Narrow"/>
                <w:sz w:val="20"/>
              </w:rPr>
            </w:pPr>
            <w:r>
              <w:rPr>
                <w:rFonts w:ascii="Arial Narrow" w:hAnsi="Arial Narrow"/>
                <w:noProof/>
                <w:color w:val="000000"/>
                <w:sz w:val="20"/>
                <w:highlight w:val="black"/>
              </w:rPr>
              <w:t>'''''''</w:t>
            </w:r>
            <w:r w:rsidR="009A333B" w:rsidRPr="00700585">
              <w:rPr>
                <w:rFonts w:ascii="Arial Narrow" w:hAnsi="Arial Narrow"/>
                <w:sz w:val="20"/>
              </w:rPr>
              <w:t>%</w:t>
            </w:r>
          </w:p>
        </w:tc>
      </w:tr>
      <w:tr w:rsidR="00700585" w:rsidRPr="00700585" w:rsidTr="004A05F4">
        <w:tc>
          <w:tcPr>
            <w:tcW w:w="1949" w:type="pct"/>
            <w:tcBorders>
              <w:bottom w:val="nil"/>
            </w:tcBorders>
            <w:shd w:val="clear" w:color="auto" w:fill="auto"/>
            <w:vAlign w:val="center"/>
          </w:tcPr>
          <w:p w:rsidR="009A333B" w:rsidRPr="00700585" w:rsidRDefault="009A333B" w:rsidP="00230BF2">
            <w:pPr>
              <w:keepNext/>
              <w:widowControl/>
              <w:tabs>
                <w:tab w:val="left" w:pos="142"/>
              </w:tabs>
              <w:rPr>
                <w:rFonts w:ascii="Arial Narrow" w:hAnsi="Arial Narrow"/>
                <w:sz w:val="20"/>
              </w:rPr>
            </w:pPr>
            <w:r w:rsidRPr="00700585">
              <w:rPr>
                <w:rFonts w:ascii="Arial Narrow" w:hAnsi="Arial Narrow"/>
                <w:sz w:val="20"/>
              </w:rPr>
              <w:t xml:space="preserve">Indigenous population aged ≥51 </w:t>
            </w:r>
            <w:proofErr w:type="spellStart"/>
            <w:r w:rsidRPr="00700585">
              <w:rPr>
                <w:rFonts w:ascii="Arial Narrow" w:hAnsi="Arial Narrow"/>
                <w:sz w:val="20"/>
              </w:rPr>
              <w:t>yrs</w:t>
            </w:r>
            <w:r w:rsidRPr="00700585">
              <w:rPr>
                <w:rFonts w:ascii="Arial Narrow" w:hAnsi="Arial Narrow"/>
                <w:sz w:val="20"/>
                <w:vertAlign w:val="superscript"/>
              </w:rPr>
              <w:t>a</w:t>
            </w:r>
            <w:proofErr w:type="spellEnd"/>
          </w:p>
        </w:tc>
        <w:tc>
          <w:tcPr>
            <w:tcW w:w="610" w:type="pct"/>
            <w:tcBorders>
              <w:bottom w:val="nil"/>
            </w:tcBorders>
            <w:shd w:val="clear" w:color="auto" w:fill="auto"/>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0" w:type="pct"/>
            <w:tcBorders>
              <w:bottom w:val="nil"/>
            </w:tcBorders>
            <w:shd w:val="clear" w:color="auto" w:fill="auto"/>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0" w:type="pct"/>
            <w:tcBorders>
              <w:bottom w:val="nil"/>
            </w:tcBorders>
            <w:shd w:val="clear" w:color="auto" w:fill="auto"/>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0" w:type="pct"/>
            <w:tcBorders>
              <w:bottom w:val="nil"/>
            </w:tcBorders>
            <w:shd w:val="clear" w:color="auto" w:fill="auto"/>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1" w:type="pct"/>
            <w:tcBorders>
              <w:bottom w:val="nil"/>
            </w:tcBorders>
            <w:shd w:val="clear" w:color="auto" w:fill="auto"/>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r>
      <w:tr w:rsidR="00700585" w:rsidRPr="00700585" w:rsidTr="004A05F4">
        <w:tc>
          <w:tcPr>
            <w:tcW w:w="1949" w:type="pct"/>
            <w:tcBorders>
              <w:top w:val="nil"/>
            </w:tcBorders>
            <w:shd w:val="clear" w:color="auto" w:fill="auto"/>
            <w:vAlign w:val="center"/>
          </w:tcPr>
          <w:p w:rsidR="009A333B" w:rsidRPr="00700585" w:rsidRDefault="009A333B" w:rsidP="00230BF2">
            <w:pPr>
              <w:keepNext/>
              <w:widowControl/>
              <w:tabs>
                <w:tab w:val="left" w:pos="142"/>
              </w:tabs>
              <w:rPr>
                <w:rFonts w:ascii="Arial Narrow" w:hAnsi="Arial Narrow"/>
                <w:sz w:val="20"/>
              </w:rPr>
            </w:pPr>
            <w:r w:rsidRPr="00700585">
              <w:rPr>
                <w:rFonts w:ascii="Arial Narrow" w:hAnsi="Arial Narrow"/>
                <w:sz w:val="20"/>
              </w:rPr>
              <w:t>Uptake</w:t>
            </w:r>
          </w:p>
        </w:tc>
        <w:tc>
          <w:tcPr>
            <w:tcW w:w="610" w:type="pct"/>
            <w:tcBorders>
              <w:top w:val="nil"/>
            </w:tcBorders>
            <w:shd w:val="clear" w:color="auto" w:fill="auto"/>
          </w:tcPr>
          <w:p w:rsidR="009A333B" w:rsidRPr="00700585" w:rsidRDefault="0091638E" w:rsidP="00230BF2">
            <w:pPr>
              <w:widowControl/>
              <w:ind w:left="-98"/>
              <w:jc w:val="center"/>
              <w:rPr>
                <w:rFonts w:ascii="Arial Narrow" w:hAnsi="Arial Narrow"/>
                <w:sz w:val="20"/>
              </w:rPr>
            </w:pPr>
            <w:r>
              <w:rPr>
                <w:rFonts w:ascii="Arial Narrow" w:hAnsi="Arial Narrow"/>
                <w:noProof/>
                <w:color w:val="000000"/>
                <w:sz w:val="20"/>
                <w:highlight w:val="black"/>
              </w:rPr>
              <w:t>'''''</w:t>
            </w:r>
            <w:r w:rsidR="009A333B" w:rsidRPr="00700585">
              <w:rPr>
                <w:rFonts w:ascii="Arial Narrow" w:hAnsi="Arial Narrow"/>
                <w:sz w:val="20"/>
              </w:rPr>
              <w:t>%</w:t>
            </w:r>
          </w:p>
        </w:tc>
        <w:tc>
          <w:tcPr>
            <w:tcW w:w="610" w:type="pct"/>
            <w:tcBorders>
              <w:top w:val="nil"/>
            </w:tcBorders>
            <w:shd w:val="clear" w:color="auto" w:fill="auto"/>
          </w:tcPr>
          <w:p w:rsidR="009A333B" w:rsidRPr="00700585" w:rsidRDefault="0091638E" w:rsidP="00230BF2">
            <w:pPr>
              <w:widowControl/>
              <w:ind w:left="-98"/>
              <w:jc w:val="center"/>
              <w:rPr>
                <w:rFonts w:ascii="Arial Narrow" w:hAnsi="Arial Narrow"/>
                <w:sz w:val="20"/>
              </w:rPr>
            </w:pPr>
            <w:r>
              <w:rPr>
                <w:rFonts w:ascii="Arial Narrow" w:hAnsi="Arial Narrow"/>
                <w:noProof/>
                <w:color w:val="000000"/>
                <w:sz w:val="20"/>
                <w:highlight w:val="black"/>
              </w:rPr>
              <w:t>''''''</w:t>
            </w:r>
            <w:r w:rsidR="009A333B" w:rsidRPr="00700585">
              <w:rPr>
                <w:rFonts w:ascii="Arial Narrow" w:hAnsi="Arial Narrow"/>
                <w:sz w:val="20"/>
              </w:rPr>
              <w:t>%</w:t>
            </w:r>
          </w:p>
        </w:tc>
        <w:tc>
          <w:tcPr>
            <w:tcW w:w="610" w:type="pct"/>
            <w:tcBorders>
              <w:top w:val="nil"/>
            </w:tcBorders>
            <w:shd w:val="clear" w:color="auto" w:fill="auto"/>
          </w:tcPr>
          <w:p w:rsidR="009A333B" w:rsidRPr="00700585" w:rsidRDefault="0091638E" w:rsidP="00230BF2">
            <w:pPr>
              <w:widowControl/>
              <w:ind w:left="-98"/>
              <w:jc w:val="center"/>
              <w:rPr>
                <w:rFonts w:ascii="Arial Narrow" w:hAnsi="Arial Narrow"/>
                <w:sz w:val="20"/>
              </w:rPr>
            </w:pPr>
            <w:r>
              <w:rPr>
                <w:rFonts w:ascii="Arial Narrow" w:hAnsi="Arial Narrow"/>
                <w:noProof/>
                <w:color w:val="000000"/>
                <w:sz w:val="20"/>
                <w:highlight w:val="black"/>
              </w:rPr>
              <w:t>''''''</w:t>
            </w:r>
            <w:r w:rsidR="009A333B" w:rsidRPr="00700585">
              <w:rPr>
                <w:rFonts w:ascii="Arial Narrow" w:hAnsi="Arial Narrow"/>
                <w:sz w:val="20"/>
              </w:rPr>
              <w:t>%</w:t>
            </w:r>
          </w:p>
        </w:tc>
        <w:tc>
          <w:tcPr>
            <w:tcW w:w="610" w:type="pct"/>
            <w:tcBorders>
              <w:top w:val="nil"/>
            </w:tcBorders>
            <w:shd w:val="clear" w:color="auto" w:fill="auto"/>
          </w:tcPr>
          <w:p w:rsidR="009A333B" w:rsidRPr="00700585" w:rsidRDefault="0091638E" w:rsidP="00230BF2">
            <w:pPr>
              <w:widowControl/>
              <w:ind w:left="-98"/>
              <w:jc w:val="center"/>
              <w:rPr>
                <w:rFonts w:ascii="Arial Narrow" w:hAnsi="Arial Narrow"/>
                <w:sz w:val="20"/>
              </w:rPr>
            </w:pPr>
            <w:r>
              <w:rPr>
                <w:rFonts w:ascii="Arial Narrow" w:hAnsi="Arial Narrow"/>
                <w:noProof/>
                <w:color w:val="000000"/>
                <w:sz w:val="20"/>
                <w:highlight w:val="black"/>
              </w:rPr>
              <w:t>'''''</w:t>
            </w:r>
            <w:r w:rsidR="009A333B" w:rsidRPr="00700585">
              <w:rPr>
                <w:rFonts w:ascii="Arial Narrow" w:hAnsi="Arial Narrow"/>
                <w:sz w:val="20"/>
              </w:rPr>
              <w:t>%</w:t>
            </w:r>
          </w:p>
        </w:tc>
        <w:tc>
          <w:tcPr>
            <w:tcW w:w="611" w:type="pct"/>
            <w:tcBorders>
              <w:top w:val="nil"/>
            </w:tcBorders>
            <w:shd w:val="clear" w:color="auto" w:fill="auto"/>
          </w:tcPr>
          <w:p w:rsidR="009A333B" w:rsidRPr="00700585" w:rsidRDefault="0091638E" w:rsidP="00230BF2">
            <w:pPr>
              <w:widowControl/>
              <w:ind w:left="-98"/>
              <w:jc w:val="center"/>
              <w:rPr>
                <w:rFonts w:ascii="Arial Narrow" w:hAnsi="Arial Narrow"/>
                <w:sz w:val="20"/>
              </w:rPr>
            </w:pPr>
            <w:r>
              <w:rPr>
                <w:rFonts w:ascii="Arial Narrow" w:hAnsi="Arial Narrow"/>
                <w:noProof/>
                <w:color w:val="000000"/>
                <w:sz w:val="20"/>
                <w:highlight w:val="black"/>
              </w:rPr>
              <w:t>'''''''</w:t>
            </w:r>
            <w:r w:rsidR="009A333B" w:rsidRPr="00700585">
              <w:rPr>
                <w:rFonts w:ascii="Arial Narrow" w:hAnsi="Arial Narrow"/>
                <w:sz w:val="20"/>
              </w:rPr>
              <w:t>%</w:t>
            </w:r>
          </w:p>
        </w:tc>
      </w:tr>
      <w:tr w:rsidR="00700585" w:rsidRPr="00700585" w:rsidTr="004A05F4">
        <w:tc>
          <w:tcPr>
            <w:tcW w:w="1949" w:type="pct"/>
            <w:shd w:val="clear" w:color="auto" w:fill="auto"/>
            <w:vAlign w:val="center"/>
          </w:tcPr>
          <w:p w:rsidR="009A333B" w:rsidRPr="00700585" w:rsidRDefault="009A333B" w:rsidP="00230BF2">
            <w:pPr>
              <w:keepNext/>
              <w:widowControl/>
              <w:tabs>
                <w:tab w:val="left" w:pos="142"/>
              </w:tabs>
              <w:rPr>
                <w:rFonts w:ascii="Arial Narrow" w:hAnsi="Arial Narrow"/>
                <w:sz w:val="20"/>
              </w:rPr>
            </w:pPr>
            <w:r w:rsidRPr="00700585">
              <w:rPr>
                <w:rFonts w:ascii="Arial Narrow" w:hAnsi="Arial Narrow"/>
                <w:sz w:val="20"/>
              </w:rPr>
              <w:t>Total 13vPCV doses (current submission)</w:t>
            </w:r>
          </w:p>
        </w:tc>
        <w:tc>
          <w:tcPr>
            <w:tcW w:w="610" w:type="pct"/>
            <w:shd w:val="clear" w:color="auto" w:fill="auto"/>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0" w:type="pct"/>
            <w:shd w:val="clear" w:color="auto" w:fill="auto"/>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0" w:type="pct"/>
            <w:shd w:val="clear" w:color="auto" w:fill="auto"/>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0" w:type="pct"/>
            <w:shd w:val="clear" w:color="auto" w:fill="auto"/>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1" w:type="pct"/>
            <w:shd w:val="clear" w:color="auto" w:fill="auto"/>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r>
      <w:tr w:rsidR="00700585" w:rsidRPr="00700585" w:rsidTr="004A05F4">
        <w:tc>
          <w:tcPr>
            <w:tcW w:w="1949" w:type="pct"/>
            <w:shd w:val="clear" w:color="auto" w:fill="auto"/>
            <w:vAlign w:val="center"/>
          </w:tcPr>
          <w:p w:rsidR="009A333B" w:rsidRPr="00171E21" w:rsidRDefault="009A333B" w:rsidP="00230BF2">
            <w:pPr>
              <w:keepNext/>
              <w:widowControl/>
              <w:tabs>
                <w:tab w:val="left" w:pos="142"/>
              </w:tabs>
              <w:rPr>
                <w:rFonts w:ascii="Arial Narrow" w:hAnsi="Arial Narrow"/>
                <w:sz w:val="20"/>
              </w:rPr>
            </w:pPr>
            <w:r w:rsidRPr="00171E21">
              <w:rPr>
                <w:rFonts w:ascii="Arial Narrow" w:hAnsi="Arial Narrow"/>
                <w:sz w:val="20"/>
              </w:rPr>
              <w:t>Total 13vPCV doses (July 2015)</w:t>
            </w:r>
          </w:p>
        </w:tc>
        <w:tc>
          <w:tcPr>
            <w:tcW w:w="610" w:type="pct"/>
            <w:shd w:val="clear" w:color="auto" w:fill="auto"/>
            <w:vAlign w:val="bottom"/>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0" w:type="pct"/>
            <w:shd w:val="clear" w:color="auto" w:fill="auto"/>
            <w:vAlign w:val="bottom"/>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0" w:type="pct"/>
            <w:shd w:val="clear" w:color="auto" w:fill="auto"/>
            <w:vAlign w:val="bottom"/>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0" w:type="pct"/>
            <w:shd w:val="clear" w:color="auto" w:fill="auto"/>
            <w:vAlign w:val="bottom"/>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c>
          <w:tcPr>
            <w:tcW w:w="611" w:type="pct"/>
            <w:shd w:val="clear" w:color="auto" w:fill="auto"/>
            <w:vAlign w:val="bottom"/>
          </w:tcPr>
          <w:p w:rsidR="009A333B" w:rsidRPr="0091638E" w:rsidRDefault="0091638E" w:rsidP="00230BF2">
            <w:pPr>
              <w:widowControl/>
              <w:ind w:left="-98"/>
              <w:jc w:val="center"/>
              <w:rPr>
                <w:rFonts w:ascii="Arial Narrow" w:hAnsi="Arial Narrow"/>
                <w:sz w:val="20"/>
                <w:highlight w:val="black"/>
              </w:rPr>
            </w:pPr>
            <w:r>
              <w:rPr>
                <w:rFonts w:ascii="Arial Narrow" w:hAnsi="Arial Narrow"/>
                <w:noProof/>
                <w:color w:val="000000"/>
                <w:sz w:val="20"/>
                <w:highlight w:val="black"/>
              </w:rPr>
              <w:t>'''''''''''''''''''</w:t>
            </w:r>
          </w:p>
        </w:tc>
      </w:tr>
      <w:tr w:rsidR="00700585" w:rsidRPr="00700585" w:rsidTr="004A05F4">
        <w:tc>
          <w:tcPr>
            <w:tcW w:w="5000" w:type="pct"/>
            <w:gridSpan w:val="6"/>
            <w:shd w:val="clear" w:color="auto" w:fill="auto"/>
            <w:vAlign w:val="center"/>
          </w:tcPr>
          <w:p w:rsidR="008749DE" w:rsidRPr="00700585" w:rsidRDefault="008749DE" w:rsidP="00230BF2">
            <w:pPr>
              <w:keepNext/>
              <w:widowControl/>
              <w:rPr>
                <w:rFonts w:ascii="Arial Narrow" w:hAnsi="Arial Narrow"/>
                <w:b/>
                <w:bCs/>
                <w:sz w:val="20"/>
              </w:rPr>
            </w:pPr>
            <w:r w:rsidRPr="00700585">
              <w:rPr>
                <w:rFonts w:ascii="Arial Narrow" w:hAnsi="Arial Narrow"/>
                <w:b/>
                <w:bCs/>
                <w:sz w:val="20"/>
              </w:rPr>
              <w:t>Estimated net cost to NIP</w:t>
            </w:r>
          </w:p>
        </w:tc>
      </w:tr>
      <w:tr w:rsidR="00700585" w:rsidRPr="00700585" w:rsidTr="009A333B">
        <w:tc>
          <w:tcPr>
            <w:tcW w:w="1949" w:type="pct"/>
            <w:shd w:val="clear" w:color="auto" w:fill="auto"/>
            <w:vAlign w:val="center"/>
          </w:tcPr>
          <w:p w:rsidR="008749DE" w:rsidRPr="00700585" w:rsidRDefault="008749DE" w:rsidP="00230BF2">
            <w:pPr>
              <w:keepNext/>
              <w:widowControl/>
              <w:tabs>
                <w:tab w:val="left" w:pos="142"/>
              </w:tabs>
              <w:rPr>
                <w:rFonts w:ascii="Arial Narrow" w:hAnsi="Arial Narrow"/>
                <w:sz w:val="20"/>
              </w:rPr>
            </w:pPr>
            <w:r w:rsidRPr="00700585">
              <w:rPr>
                <w:rFonts w:ascii="Arial Narrow" w:hAnsi="Arial Narrow"/>
                <w:sz w:val="20"/>
              </w:rPr>
              <w:t>Total 13vPCV cost, including 5% wastage</w:t>
            </w:r>
          </w:p>
        </w:tc>
        <w:tc>
          <w:tcPr>
            <w:tcW w:w="610" w:type="pct"/>
            <w:shd w:val="clear" w:color="auto" w:fill="auto"/>
            <w:vAlign w:val="bottom"/>
          </w:tcPr>
          <w:p w:rsidR="008749DE" w:rsidRPr="00700585" w:rsidRDefault="008749DE" w:rsidP="00230BF2">
            <w:pPr>
              <w:widowControl/>
              <w:jc w:val="center"/>
              <w:rPr>
                <w:rFonts w:ascii="Arial Narrow" w:hAnsi="Arial Narrow"/>
                <w:sz w:val="20"/>
              </w:rPr>
            </w:pPr>
            <w:r w:rsidRPr="00700585">
              <w:rPr>
                <w:rFonts w:ascii="Arial Narrow" w:hAnsi="Arial Narrow"/>
                <w:sz w:val="20"/>
              </w:rPr>
              <w:t>$</w:t>
            </w:r>
            <w:r w:rsidR="0091638E">
              <w:rPr>
                <w:rFonts w:ascii="Arial Narrow" w:hAnsi="Arial Narrow"/>
                <w:noProof/>
                <w:color w:val="000000"/>
                <w:sz w:val="20"/>
                <w:highlight w:val="black"/>
              </w:rPr>
              <w:t>'''''''''''''''''''''''''</w:t>
            </w:r>
          </w:p>
        </w:tc>
        <w:tc>
          <w:tcPr>
            <w:tcW w:w="610" w:type="pct"/>
            <w:shd w:val="clear" w:color="auto" w:fill="auto"/>
            <w:vAlign w:val="bottom"/>
          </w:tcPr>
          <w:p w:rsidR="008749DE" w:rsidRPr="00700585" w:rsidRDefault="008749DE" w:rsidP="00230BF2">
            <w:pPr>
              <w:widowControl/>
              <w:jc w:val="center"/>
              <w:rPr>
                <w:rFonts w:ascii="Arial Narrow" w:hAnsi="Arial Narrow"/>
                <w:sz w:val="20"/>
              </w:rPr>
            </w:pPr>
            <w:r w:rsidRPr="00700585">
              <w:rPr>
                <w:rFonts w:ascii="Arial Narrow" w:hAnsi="Arial Narrow"/>
                <w:sz w:val="20"/>
              </w:rPr>
              <w:t>$</w:t>
            </w:r>
            <w:r w:rsidR="0091638E">
              <w:rPr>
                <w:rFonts w:ascii="Arial Narrow" w:hAnsi="Arial Narrow"/>
                <w:noProof/>
                <w:color w:val="000000"/>
                <w:sz w:val="20"/>
                <w:highlight w:val="black"/>
              </w:rPr>
              <w:t>'''''''''''''''''''''''''''''</w:t>
            </w:r>
          </w:p>
        </w:tc>
        <w:tc>
          <w:tcPr>
            <w:tcW w:w="610" w:type="pct"/>
            <w:shd w:val="clear" w:color="auto" w:fill="auto"/>
            <w:vAlign w:val="bottom"/>
          </w:tcPr>
          <w:p w:rsidR="008749DE" w:rsidRPr="00700585" w:rsidRDefault="008749DE" w:rsidP="00230BF2">
            <w:pPr>
              <w:widowControl/>
              <w:jc w:val="center"/>
              <w:rPr>
                <w:rFonts w:ascii="Arial Narrow" w:hAnsi="Arial Narrow"/>
                <w:sz w:val="20"/>
              </w:rPr>
            </w:pPr>
            <w:r w:rsidRPr="00700585">
              <w:rPr>
                <w:rFonts w:ascii="Arial Narrow" w:hAnsi="Arial Narrow"/>
                <w:sz w:val="20"/>
              </w:rPr>
              <w:t>$</w:t>
            </w:r>
            <w:r w:rsidR="0091638E">
              <w:rPr>
                <w:rFonts w:ascii="Arial Narrow" w:hAnsi="Arial Narrow"/>
                <w:noProof/>
                <w:color w:val="000000"/>
                <w:sz w:val="20"/>
                <w:highlight w:val="black"/>
              </w:rPr>
              <w:t>'''''''''''''''''''''''''</w:t>
            </w:r>
          </w:p>
        </w:tc>
        <w:tc>
          <w:tcPr>
            <w:tcW w:w="610" w:type="pct"/>
            <w:shd w:val="clear" w:color="auto" w:fill="auto"/>
            <w:vAlign w:val="bottom"/>
          </w:tcPr>
          <w:p w:rsidR="008749DE" w:rsidRPr="00700585" w:rsidRDefault="008749DE" w:rsidP="00230BF2">
            <w:pPr>
              <w:widowControl/>
              <w:jc w:val="center"/>
              <w:rPr>
                <w:rFonts w:ascii="Arial Narrow" w:hAnsi="Arial Narrow"/>
                <w:sz w:val="20"/>
              </w:rPr>
            </w:pPr>
            <w:r w:rsidRPr="00700585">
              <w:rPr>
                <w:rFonts w:ascii="Arial Narrow" w:hAnsi="Arial Narrow"/>
                <w:sz w:val="20"/>
              </w:rPr>
              <w:t>$</w:t>
            </w:r>
            <w:r w:rsidR="0091638E">
              <w:rPr>
                <w:rFonts w:ascii="Arial Narrow" w:hAnsi="Arial Narrow"/>
                <w:noProof/>
                <w:color w:val="000000"/>
                <w:sz w:val="20"/>
                <w:highlight w:val="black"/>
              </w:rPr>
              <w:t>''''''''''''''''''''''''''''</w:t>
            </w:r>
          </w:p>
        </w:tc>
        <w:tc>
          <w:tcPr>
            <w:tcW w:w="611" w:type="pct"/>
            <w:shd w:val="clear" w:color="auto" w:fill="auto"/>
            <w:vAlign w:val="bottom"/>
          </w:tcPr>
          <w:p w:rsidR="008749DE" w:rsidRPr="00700585" w:rsidRDefault="008749DE" w:rsidP="00230BF2">
            <w:pPr>
              <w:widowControl/>
              <w:jc w:val="center"/>
              <w:rPr>
                <w:rFonts w:ascii="Arial Narrow" w:hAnsi="Arial Narrow"/>
                <w:sz w:val="20"/>
              </w:rPr>
            </w:pPr>
            <w:r w:rsidRPr="00700585">
              <w:rPr>
                <w:rFonts w:ascii="Arial Narrow" w:hAnsi="Arial Narrow"/>
                <w:sz w:val="20"/>
              </w:rPr>
              <w:t>$</w:t>
            </w:r>
            <w:r w:rsidR="0091638E">
              <w:rPr>
                <w:rFonts w:ascii="Arial Narrow" w:hAnsi="Arial Narrow"/>
                <w:noProof/>
                <w:color w:val="000000"/>
                <w:sz w:val="20"/>
                <w:highlight w:val="black"/>
              </w:rPr>
              <w:t>''''''''''''''''''''''''''</w:t>
            </w:r>
          </w:p>
        </w:tc>
      </w:tr>
      <w:tr w:rsidR="00700585" w:rsidRPr="00700585" w:rsidTr="009A333B">
        <w:tc>
          <w:tcPr>
            <w:tcW w:w="1949" w:type="pct"/>
            <w:shd w:val="clear" w:color="auto" w:fill="auto"/>
            <w:vAlign w:val="center"/>
          </w:tcPr>
          <w:p w:rsidR="008749DE" w:rsidRPr="00700585" w:rsidRDefault="008749DE" w:rsidP="00230BF2">
            <w:pPr>
              <w:keepNext/>
              <w:widowControl/>
              <w:tabs>
                <w:tab w:val="left" w:pos="142"/>
              </w:tabs>
              <w:rPr>
                <w:rFonts w:ascii="Arial Narrow" w:hAnsi="Arial Narrow"/>
                <w:sz w:val="19"/>
                <w:szCs w:val="19"/>
              </w:rPr>
            </w:pPr>
            <w:r w:rsidRPr="00700585">
              <w:rPr>
                <w:rFonts w:ascii="Arial Narrow" w:hAnsi="Arial Narrow"/>
                <w:sz w:val="19"/>
                <w:szCs w:val="19"/>
              </w:rPr>
              <w:t>Cost of substituted 23vPPV</w:t>
            </w:r>
            <w:r w:rsidRPr="00700585">
              <w:rPr>
                <w:rFonts w:ascii="Arial Narrow" w:hAnsi="Arial Narrow"/>
                <w:sz w:val="19"/>
                <w:szCs w:val="19"/>
                <w:vertAlign w:val="superscript"/>
              </w:rPr>
              <w:t>b</w:t>
            </w:r>
          </w:p>
        </w:tc>
        <w:tc>
          <w:tcPr>
            <w:tcW w:w="610" w:type="pct"/>
            <w:shd w:val="clear" w:color="auto" w:fill="auto"/>
            <w:vAlign w:val="bottom"/>
          </w:tcPr>
          <w:p w:rsidR="008749DE" w:rsidRPr="00700585" w:rsidRDefault="008749DE" w:rsidP="00230BF2">
            <w:pPr>
              <w:widowControl/>
              <w:jc w:val="center"/>
              <w:rPr>
                <w:rFonts w:ascii="Arial Narrow" w:hAnsi="Arial Narrow"/>
                <w:sz w:val="20"/>
              </w:rPr>
            </w:pPr>
            <w:r w:rsidRPr="00700585">
              <w:rPr>
                <w:rFonts w:ascii="Arial Narrow" w:hAnsi="Arial Narrow"/>
                <w:sz w:val="20"/>
              </w:rPr>
              <w:t>$</w:t>
            </w:r>
            <w:r w:rsidR="0091638E">
              <w:rPr>
                <w:rFonts w:ascii="Arial Narrow" w:hAnsi="Arial Narrow"/>
                <w:noProof/>
                <w:color w:val="000000"/>
                <w:sz w:val="20"/>
                <w:highlight w:val="black"/>
              </w:rPr>
              <w:t>'''''''''''''''''''''''</w:t>
            </w:r>
          </w:p>
        </w:tc>
        <w:tc>
          <w:tcPr>
            <w:tcW w:w="610" w:type="pct"/>
            <w:shd w:val="clear" w:color="auto" w:fill="auto"/>
            <w:vAlign w:val="bottom"/>
          </w:tcPr>
          <w:p w:rsidR="008749DE" w:rsidRPr="00700585" w:rsidRDefault="008749DE" w:rsidP="00230BF2">
            <w:pPr>
              <w:widowControl/>
              <w:jc w:val="center"/>
              <w:rPr>
                <w:rFonts w:ascii="Arial Narrow" w:hAnsi="Arial Narrow"/>
                <w:sz w:val="20"/>
              </w:rPr>
            </w:pPr>
            <w:r w:rsidRPr="00700585">
              <w:rPr>
                <w:rFonts w:ascii="Arial Narrow" w:hAnsi="Arial Narrow"/>
                <w:sz w:val="20"/>
              </w:rPr>
              <w:t>$</w:t>
            </w:r>
            <w:r w:rsidR="0091638E">
              <w:rPr>
                <w:rFonts w:ascii="Arial Narrow" w:hAnsi="Arial Narrow"/>
                <w:noProof/>
                <w:color w:val="000000"/>
                <w:sz w:val="20"/>
                <w:highlight w:val="black"/>
              </w:rPr>
              <w:t>''''''''''''''''''''''''''</w:t>
            </w:r>
          </w:p>
        </w:tc>
        <w:tc>
          <w:tcPr>
            <w:tcW w:w="610" w:type="pct"/>
            <w:shd w:val="clear" w:color="auto" w:fill="auto"/>
            <w:vAlign w:val="bottom"/>
          </w:tcPr>
          <w:p w:rsidR="008749DE" w:rsidRPr="00700585" w:rsidRDefault="008749DE" w:rsidP="00230BF2">
            <w:pPr>
              <w:widowControl/>
              <w:jc w:val="center"/>
              <w:rPr>
                <w:rFonts w:ascii="Arial Narrow" w:hAnsi="Arial Narrow"/>
                <w:sz w:val="20"/>
              </w:rPr>
            </w:pPr>
            <w:r w:rsidRPr="00700585">
              <w:rPr>
                <w:rFonts w:ascii="Arial Narrow" w:hAnsi="Arial Narrow"/>
                <w:sz w:val="20"/>
              </w:rPr>
              <w:t>$</w:t>
            </w:r>
            <w:r w:rsidR="0091638E">
              <w:rPr>
                <w:rFonts w:ascii="Arial Narrow" w:hAnsi="Arial Narrow"/>
                <w:noProof/>
                <w:color w:val="000000"/>
                <w:sz w:val="20"/>
                <w:highlight w:val="black"/>
              </w:rPr>
              <w:t>''''''''''''''''''''''''</w:t>
            </w:r>
          </w:p>
        </w:tc>
        <w:tc>
          <w:tcPr>
            <w:tcW w:w="610" w:type="pct"/>
            <w:shd w:val="clear" w:color="auto" w:fill="auto"/>
            <w:vAlign w:val="bottom"/>
          </w:tcPr>
          <w:p w:rsidR="008749DE" w:rsidRPr="00700585" w:rsidRDefault="008749DE" w:rsidP="00230BF2">
            <w:pPr>
              <w:widowControl/>
              <w:jc w:val="center"/>
              <w:rPr>
                <w:rFonts w:ascii="Arial Narrow" w:hAnsi="Arial Narrow"/>
                <w:sz w:val="20"/>
              </w:rPr>
            </w:pPr>
            <w:r w:rsidRPr="00700585">
              <w:rPr>
                <w:rFonts w:ascii="Arial Narrow" w:hAnsi="Arial Narrow"/>
                <w:sz w:val="20"/>
              </w:rPr>
              <w:t>$</w:t>
            </w:r>
            <w:r w:rsidR="0091638E">
              <w:rPr>
                <w:rFonts w:ascii="Arial Narrow" w:hAnsi="Arial Narrow"/>
                <w:noProof/>
                <w:color w:val="000000"/>
                <w:sz w:val="20"/>
                <w:highlight w:val="black"/>
              </w:rPr>
              <w:t>'''''''''''''''''''''''</w:t>
            </w:r>
          </w:p>
        </w:tc>
        <w:tc>
          <w:tcPr>
            <w:tcW w:w="611" w:type="pct"/>
            <w:shd w:val="clear" w:color="auto" w:fill="auto"/>
            <w:vAlign w:val="bottom"/>
          </w:tcPr>
          <w:p w:rsidR="008749DE" w:rsidRPr="00700585" w:rsidRDefault="008749DE" w:rsidP="00230BF2">
            <w:pPr>
              <w:widowControl/>
              <w:jc w:val="center"/>
              <w:rPr>
                <w:rFonts w:ascii="Arial Narrow" w:hAnsi="Arial Narrow"/>
                <w:sz w:val="20"/>
              </w:rPr>
            </w:pPr>
            <w:r w:rsidRPr="00700585">
              <w:rPr>
                <w:rFonts w:ascii="Arial Narrow" w:hAnsi="Arial Narrow"/>
                <w:sz w:val="20"/>
              </w:rPr>
              <w:t>$</w:t>
            </w:r>
            <w:r w:rsidR="0091638E">
              <w:rPr>
                <w:rFonts w:ascii="Arial Narrow" w:hAnsi="Arial Narrow"/>
                <w:noProof/>
                <w:color w:val="000000"/>
                <w:sz w:val="20"/>
                <w:highlight w:val="black"/>
              </w:rPr>
              <w:t>'''''''''''''''''''''''''</w:t>
            </w:r>
          </w:p>
        </w:tc>
      </w:tr>
      <w:tr w:rsidR="00700585" w:rsidRPr="00700585" w:rsidTr="009A333B">
        <w:tc>
          <w:tcPr>
            <w:tcW w:w="1949" w:type="pct"/>
            <w:shd w:val="clear" w:color="auto" w:fill="auto"/>
            <w:vAlign w:val="center"/>
          </w:tcPr>
          <w:p w:rsidR="008749DE" w:rsidRPr="00700585" w:rsidRDefault="008749DE" w:rsidP="00230BF2">
            <w:pPr>
              <w:keepNext/>
              <w:widowControl/>
              <w:tabs>
                <w:tab w:val="left" w:pos="142"/>
              </w:tabs>
              <w:rPr>
                <w:rFonts w:ascii="Arial Narrow" w:hAnsi="Arial Narrow"/>
                <w:sz w:val="19"/>
                <w:szCs w:val="19"/>
              </w:rPr>
            </w:pPr>
            <w:r w:rsidRPr="00700585">
              <w:rPr>
                <w:rFonts w:ascii="Arial Narrow" w:hAnsi="Arial Narrow"/>
                <w:sz w:val="19"/>
                <w:szCs w:val="19"/>
              </w:rPr>
              <w:t>Net cost to NIP</w:t>
            </w:r>
            <w:r w:rsidR="009A333B" w:rsidRPr="00700585">
              <w:rPr>
                <w:rFonts w:ascii="Arial Narrow" w:hAnsi="Arial Narrow"/>
                <w:sz w:val="19"/>
                <w:szCs w:val="19"/>
              </w:rPr>
              <w:t xml:space="preserve"> (current submission)</w:t>
            </w:r>
          </w:p>
        </w:tc>
        <w:tc>
          <w:tcPr>
            <w:tcW w:w="610" w:type="pct"/>
            <w:shd w:val="clear" w:color="auto" w:fill="auto"/>
            <w:vAlign w:val="bottom"/>
          </w:tcPr>
          <w:p w:rsidR="008749DE" w:rsidRPr="00700585" w:rsidRDefault="008749DE" w:rsidP="00230BF2">
            <w:pPr>
              <w:widowControl/>
              <w:jc w:val="center"/>
              <w:rPr>
                <w:rFonts w:ascii="Arial Narrow" w:hAnsi="Arial Narrow"/>
                <w:sz w:val="20"/>
              </w:rPr>
            </w:pPr>
            <w:r w:rsidRPr="00700585">
              <w:rPr>
                <w:rFonts w:ascii="Arial Narrow" w:hAnsi="Arial Narrow"/>
                <w:sz w:val="20"/>
              </w:rPr>
              <w:t>$</w:t>
            </w:r>
            <w:r w:rsidR="0091638E">
              <w:rPr>
                <w:rFonts w:ascii="Arial Narrow" w:hAnsi="Arial Narrow"/>
                <w:noProof/>
                <w:color w:val="000000"/>
                <w:sz w:val="20"/>
                <w:highlight w:val="black"/>
              </w:rPr>
              <w:t>''''''''''''''''''''''''''''</w:t>
            </w:r>
          </w:p>
        </w:tc>
        <w:tc>
          <w:tcPr>
            <w:tcW w:w="610" w:type="pct"/>
            <w:shd w:val="clear" w:color="auto" w:fill="auto"/>
            <w:vAlign w:val="bottom"/>
          </w:tcPr>
          <w:p w:rsidR="008749DE" w:rsidRPr="00700585" w:rsidRDefault="008749DE" w:rsidP="00230BF2">
            <w:pPr>
              <w:widowControl/>
              <w:jc w:val="center"/>
              <w:rPr>
                <w:rFonts w:ascii="Arial Narrow" w:hAnsi="Arial Narrow"/>
                <w:sz w:val="20"/>
              </w:rPr>
            </w:pPr>
            <w:r w:rsidRPr="00700585">
              <w:rPr>
                <w:rFonts w:ascii="Arial Narrow" w:hAnsi="Arial Narrow"/>
                <w:sz w:val="20"/>
              </w:rPr>
              <w:t>$</w:t>
            </w:r>
            <w:r w:rsidR="0091638E">
              <w:rPr>
                <w:rFonts w:ascii="Arial Narrow" w:hAnsi="Arial Narrow"/>
                <w:noProof/>
                <w:color w:val="000000"/>
                <w:sz w:val="20"/>
                <w:highlight w:val="black"/>
              </w:rPr>
              <w:t>''''''''''''''''''''''</w:t>
            </w:r>
          </w:p>
        </w:tc>
        <w:tc>
          <w:tcPr>
            <w:tcW w:w="610" w:type="pct"/>
            <w:shd w:val="clear" w:color="auto" w:fill="auto"/>
            <w:vAlign w:val="bottom"/>
          </w:tcPr>
          <w:p w:rsidR="008749DE" w:rsidRPr="00700585" w:rsidRDefault="008749DE" w:rsidP="00230BF2">
            <w:pPr>
              <w:widowControl/>
              <w:jc w:val="center"/>
              <w:rPr>
                <w:rFonts w:ascii="Arial Narrow" w:hAnsi="Arial Narrow"/>
                <w:sz w:val="20"/>
              </w:rPr>
            </w:pPr>
            <w:r w:rsidRPr="00700585">
              <w:rPr>
                <w:rFonts w:ascii="Arial Narrow" w:hAnsi="Arial Narrow"/>
                <w:sz w:val="20"/>
              </w:rPr>
              <w:t>$</w:t>
            </w:r>
            <w:r w:rsidR="0091638E">
              <w:rPr>
                <w:rFonts w:ascii="Arial Narrow" w:hAnsi="Arial Narrow"/>
                <w:noProof/>
                <w:color w:val="000000"/>
                <w:sz w:val="20"/>
                <w:highlight w:val="black"/>
              </w:rPr>
              <w:t>'''''''''''''''''''''''''</w:t>
            </w:r>
          </w:p>
        </w:tc>
        <w:tc>
          <w:tcPr>
            <w:tcW w:w="610" w:type="pct"/>
            <w:shd w:val="clear" w:color="auto" w:fill="auto"/>
            <w:vAlign w:val="bottom"/>
          </w:tcPr>
          <w:p w:rsidR="008749DE" w:rsidRPr="00700585" w:rsidRDefault="008749DE" w:rsidP="00230BF2">
            <w:pPr>
              <w:widowControl/>
              <w:jc w:val="center"/>
              <w:rPr>
                <w:rFonts w:ascii="Arial Narrow" w:hAnsi="Arial Narrow"/>
                <w:sz w:val="20"/>
              </w:rPr>
            </w:pPr>
            <w:r w:rsidRPr="00700585">
              <w:rPr>
                <w:rFonts w:ascii="Arial Narrow" w:hAnsi="Arial Narrow"/>
                <w:sz w:val="20"/>
              </w:rPr>
              <w:t>$</w:t>
            </w:r>
            <w:r w:rsidR="0091638E">
              <w:rPr>
                <w:rFonts w:ascii="Arial Narrow" w:hAnsi="Arial Narrow"/>
                <w:noProof/>
                <w:color w:val="000000"/>
                <w:sz w:val="20"/>
                <w:highlight w:val="black"/>
              </w:rPr>
              <w:t>''''''''''''''''''''''''''</w:t>
            </w:r>
          </w:p>
        </w:tc>
        <w:tc>
          <w:tcPr>
            <w:tcW w:w="611" w:type="pct"/>
            <w:shd w:val="clear" w:color="auto" w:fill="auto"/>
            <w:vAlign w:val="bottom"/>
          </w:tcPr>
          <w:p w:rsidR="008749DE" w:rsidRPr="00700585" w:rsidRDefault="008749DE" w:rsidP="00230BF2">
            <w:pPr>
              <w:widowControl/>
              <w:jc w:val="center"/>
              <w:rPr>
                <w:rFonts w:ascii="Arial Narrow" w:hAnsi="Arial Narrow"/>
                <w:sz w:val="20"/>
              </w:rPr>
            </w:pPr>
            <w:r w:rsidRPr="00700585">
              <w:rPr>
                <w:rFonts w:ascii="Arial Narrow" w:hAnsi="Arial Narrow"/>
                <w:sz w:val="20"/>
              </w:rPr>
              <w:t>$</w:t>
            </w:r>
            <w:r w:rsidR="0091638E">
              <w:rPr>
                <w:rFonts w:ascii="Arial Narrow" w:hAnsi="Arial Narrow"/>
                <w:noProof/>
                <w:color w:val="000000"/>
                <w:sz w:val="20"/>
                <w:highlight w:val="black"/>
              </w:rPr>
              <w:t>'''''''''''''''''''''''</w:t>
            </w:r>
          </w:p>
        </w:tc>
      </w:tr>
      <w:tr w:rsidR="00700585" w:rsidRPr="00700585" w:rsidTr="009A333B">
        <w:tc>
          <w:tcPr>
            <w:tcW w:w="1949" w:type="pct"/>
            <w:shd w:val="clear" w:color="auto" w:fill="auto"/>
            <w:vAlign w:val="center"/>
          </w:tcPr>
          <w:p w:rsidR="009A333B" w:rsidRPr="00171E21" w:rsidRDefault="009A333B" w:rsidP="00230BF2">
            <w:pPr>
              <w:keepNext/>
              <w:widowControl/>
              <w:tabs>
                <w:tab w:val="left" w:pos="142"/>
              </w:tabs>
              <w:rPr>
                <w:rFonts w:ascii="Arial Narrow" w:hAnsi="Arial Narrow"/>
                <w:sz w:val="19"/>
                <w:szCs w:val="19"/>
              </w:rPr>
            </w:pPr>
            <w:r w:rsidRPr="00171E21">
              <w:rPr>
                <w:rFonts w:ascii="Arial Narrow" w:hAnsi="Arial Narrow"/>
                <w:sz w:val="19"/>
                <w:szCs w:val="19"/>
              </w:rPr>
              <w:t>Net cost to NIP (July 2015)</w:t>
            </w:r>
          </w:p>
        </w:tc>
        <w:tc>
          <w:tcPr>
            <w:tcW w:w="610" w:type="pct"/>
            <w:shd w:val="clear" w:color="auto" w:fill="auto"/>
            <w:vAlign w:val="bottom"/>
          </w:tcPr>
          <w:p w:rsidR="009A333B" w:rsidRPr="00171E21" w:rsidRDefault="009A333B" w:rsidP="00230BF2">
            <w:pPr>
              <w:keepNext/>
              <w:widowControl/>
              <w:snapToGrid w:val="0"/>
              <w:jc w:val="center"/>
              <w:rPr>
                <w:rFonts w:ascii="Arial Narrow" w:hAnsi="Arial Narrow"/>
                <w:sz w:val="20"/>
              </w:rPr>
            </w:pPr>
            <w:r w:rsidRPr="00171E21">
              <w:rPr>
                <w:rFonts w:ascii="Arial Narrow" w:hAnsi="Arial Narrow"/>
                <w:sz w:val="20"/>
              </w:rPr>
              <w:t>$</w:t>
            </w:r>
            <w:r w:rsidR="0091638E">
              <w:rPr>
                <w:rFonts w:ascii="Arial Narrow" w:hAnsi="Arial Narrow"/>
                <w:noProof/>
                <w:color w:val="000000"/>
                <w:sz w:val="20"/>
                <w:highlight w:val="black"/>
              </w:rPr>
              <w:t>'''''''''''''''''''''''''</w:t>
            </w:r>
          </w:p>
        </w:tc>
        <w:tc>
          <w:tcPr>
            <w:tcW w:w="610" w:type="pct"/>
            <w:shd w:val="clear" w:color="auto" w:fill="auto"/>
            <w:vAlign w:val="bottom"/>
          </w:tcPr>
          <w:p w:rsidR="009A333B" w:rsidRPr="00171E21" w:rsidRDefault="009A333B" w:rsidP="00230BF2">
            <w:pPr>
              <w:keepNext/>
              <w:widowControl/>
              <w:snapToGrid w:val="0"/>
              <w:jc w:val="center"/>
              <w:rPr>
                <w:rFonts w:ascii="Arial Narrow" w:hAnsi="Arial Narrow"/>
                <w:sz w:val="20"/>
              </w:rPr>
            </w:pPr>
            <w:r w:rsidRPr="00171E21">
              <w:rPr>
                <w:rFonts w:ascii="Arial Narrow" w:hAnsi="Arial Narrow"/>
                <w:sz w:val="20"/>
              </w:rPr>
              <w:t>$</w:t>
            </w:r>
            <w:r w:rsidR="0091638E">
              <w:rPr>
                <w:rFonts w:ascii="Arial Narrow" w:hAnsi="Arial Narrow"/>
                <w:noProof/>
                <w:color w:val="000000"/>
                <w:sz w:val="20"/>
                <w:highlight w:val="black"/>
              </w:rPr>
              <w:t>''''''''''''''''''''''''''''</w:t>
            </w:r>
          </w:p>
        </w:tc>
        <w:tc>
          <w:tcPr>
            <w:tcW w:w="610" w:type="pct"/>
            <w:shd w:val="clear" w:color="auto" w:fill="auto"/>
            <w:vAlign w:val="bottom"/>
          </w:tcPr>
          <w:p w:rsidR="009A333B" w:rsidRPr="00171E21" w:rsidRDefault="009A333B" w:rsidP="00230BF2">
            <w:pPr>
              <w:keepNext/>
              <w:widowControl/>
              <w:snapToGrid w:val="0"/>
              <w:jc w:val="center"/>
              <w:rPr>
                <w:rFonts w:ascii="Arial Narrow" w:hAnsi="Arial Narrow"/>
                <w:sz w:val="20"/>
              </w:rPr>
            </w:pPr>
            <w:r w:rsidRPr="00171E21">
              <w:rPr>
                <w:rFonts w:ascii="Arial Narrow" w:hAnsi="Arial Narrow"/>
                <w:sz w:val="20"/>
              </w:rPr>
              <w:t>$</w:t>
            </w:r>
            <w:r w:rsidR="0091638E">
              <w:rPr>
                <w:rFonts w:ascii="Arial Narrow" w:hAnsi="Arial Narrow"/>
                <w:noProof/>
                <w:color w:val="000000"/>
                <w:sz w:val="20"/>
                <w:highlight w:val="black"/>
              </w:rPr>
              <w:t>''''''''''''''''''''''''''</w:t>
            </w:r>
          </w:p>
        </w:tc>
        <w:tc>
          <w:tcPr>
            <w:tcW w:w="610" w:type="pct"/>
            <w:shd w:val="clear" w:color="auto" w:fill="auto"/>
            <w:vAlign w:val="bottom"/>
          </w:tcPr>
          <w:p w:rsidR="009A333B" w:rsidRPr="00171E21" w:rsidRDefault="009A333B" w:rsidP="00230BF2">
            <w:pPr>
              <w:keepNext/>
              <w:widowControl/>
              <w:snapToGrid w:val="0"/>
              <w:jc w:val="center"/>
              <w:rPr>
                <w:rFonts w:ascii="Arial Narrow" w:hAnsi="Arial Narrow"/>
                <w:sz w:val="20"/>
              </w:rPr>
            </w:pPr>
            <w:r w:rsidRPr="00171E21">
              <w:rPr>
                <w:rFonts w:ascii="Arial Narrow" w:hAnsi="Arial Narrow"/>
                <w:sz w:val="20"/>
              </w:rPr>
              <w:t>$</w:t>
            </w:r>
            <w:r w:rsidR="0091638E">
              <w:rPr>
                <w:rFonts w:ascii="Arial Narrow" w:hAnsi="Arial Narrow"/>
                <w:noProof/>
                <w:color w:val="000000"/>
                <w:sz w:val="20"/>
                <w:highlight w:val="black"/>
              </w:rPr>
              <w:t>''''''''''''''''''''''''''</w:t>
            </w:r>
          </w:p>
        </w:tc>
        <w:tc>
          <w:tcPr>
            <w:tcW w:w="611" w:type="pct"/>
            <w:shd w:val="clear" w:color="auto" w:fill="auto"/>
            <w:vAlign w:val="bottom"/>
          </w:tcPr>
          <w:p w:rsidR="009A333B" w:rsidRPr="00171E21" w:rsidRDefault="009A333B" w:rsidP="00230BF2">
            <w:pPr>
              <w:keepNext/>
              <w:widowControl/>
              <w:snapToGrid w:val="0"/>
              <w:jc w:val="center"/>
              <w:rPr>
                <w:rFonts w:ascii="Arial Narrow" w:hAnsi="Arial Narrow"/>
                <w:sz w:val="20"/>
              </w:rPr>
            </w:pPr>
            <w:r w:rsidRPr="00171E21">
              <w:rPr>
                <w:rFonts w:ascii="Arial Narrow" w:hAnsi="Arial Narrow"/>
                <w:sz w:val="20"/>
              </w:rPr>
              <w:t>$</w:t>
            </w:r>
            <w:r w:rsidR="0091638E">
              <w:rPr>
                <w:rFonts w:ascii="Arial Narrow" w:hAnsi="Arial Narrow"/>
                <w:noProof/>
                <w:color w:val="000000"/>
                <w:sz w:val="20"/>
                <w:highlight w:val="black"/>
              </w:rPr>
              <w:t>''''''''''''''''''''''''''''</w:t>
            </w:r>
          </w:p>
        </w:tc>
      </w:tr>
    </w:tbl>
    <w:p w:rsidR="008749DE" w:rsidRPr="00700585" w:rsidRDefault="008749DE" w:rsidP="00230BF2">
      <w:pPr>
        <w:pStyle w:val="ListParagraph"/>
        <w:widowControl/>
        <w:rPr>
          <w:rFonts w:ascii="Arial Narrow" w:hAnsi="Arial Narrow"/>
          <w:sz w:val="18"/>
        </w:rPr>
      </w:pPr>
      <w:proofErr w:type="spellStart"/>
      <w:proofErr w:type="gramStart"/>
      <w:r w:rsidRPr="00700585">
        <w:rPr>
          <w:rFonts w:ascii="Arial Narrow" w:hAnsi="Arial Narrow"/>
          <w:sz w:val="18"/>
          <w:vertAlign w:val="superscript"/>
        </w:rPr>
        <w:t>a</w:t>
      </w:r>
      <w:proofErr w:type="spellEnd"/>
      <w:proofErr w:type="gramEnd"/>
      <w:r w:rsidRPr="00700585">
        <w:rPr>
          <w:rFonts w:ascii="Arial Narrow" w:hAnsi="Arial Narrow"/>
          <w:sz w:val="18"/>
        </w:rPr>
        <w:t xml:space="preserve"> individuals previously vaccinated with 23vPPV or 13vPCV removed from population</w:t>
      </w:r>
    </w:p>
    <w:p w:rsidR="008749DE" w:rsidRPr="00700585" w:rsidRDefault="008749DE" w:rsidP="00230BF2">
      <w:pPr>
        <w:pStyle w:val="ListParagraph"/>
        <w:widowControl/>
        <w:rPr>
          <w:rFonts w:ascii="Arial Narrow" w:hAnsi="Arial Narrow"/>
          <w:sz w:val="18"/>
        </w:rPr>
      </w:pPr>
      <w:proofErr w:type="gramStart"/>
      <w:r w:rsidRPr="00700585">
        <w:rPr>
          <w:rFonts w:ascii="Arial Narrow" w:hAnsi="Arial Narrow"/>
          <w:sz w:val="18"/>
          <w:vertAlign w:val="superscript"/>
        </w:rPr>
        <w:t>b</w:t>
      </w:r>
      <w:proofErr w:type="gramEnd"/>
      <w:r w:rsidRPr="00700585">
        <w:rPr>
          <w:rFonts w:ascii="Arial Narrow" w:hAnsi="Arial Narrow"/>
          <w:sz w:val="18"/>
        </w:rPr>
        <w:t xml:space="preserve"> assumes 75% of 13vPCV doses replace 23vPPV doses</w:t>
      </w:r>
    </w:p>
    <w:p w:rsidR="008749DE" w:rsidRPr="00700585" w:rsidRDefault="008749DE" w:rsidP="00230BF2">
      <w:pPr>
        <w:pStyle w:val="ListParagraph"/>
        <w:widowControl/>
        <w:rPr>
          <w:rFonts w:ascii="Arial Narrow" w:hAnsi="Arial Narrow"/>
          <w:i/>
          <w:sz w:val="18"/>
        </w:rPr>
      </w:pPr>
      <w:r w:rsidRPr="00171E21">
        <w:rPr>
          <w:rFonts w:ascii="Arial Narrow" w:hAnsi="Arial Narrow"/>
          <w:sz w:val="18"/>
        </w:rPr>
        <w:t>Source:</w:t>
      </w:r>
      <w:r w:rsidR="00B269C1" w:rsidRPr="00171E21">
        <w:rPr>
          <w:rFonts w:ascii="Arial Narrow" w:hAnsi="Arial Narrow"/>
          <w:sz w:val="18"/>
        </w:rPr>
        <w:t xml:space="preserve"> Table</w:t>
      </w:r>
      <w:r w:rsidR="00DD489F" w:rsidRPr="00171E21">
        <w:rPr>
          <w:rFonts w:ascii="Arial Narrow" w:hAnsi="Arial Narrow"/>
          <w:sz w:val="18"/>
        </w:rPr>
        <w:t>s</w:t>
      </w:r>
      <w:r w:rsidR="00B269C1" w:rsidRPr="00171E21">
        <w:rPr>
          <w:rFonts w:ascii="Arial Narrow" w:hAnsi="Arial Narrow"/>
          <w:sz w:val="18"/>
        </w:rPr>
        <w:t xml:space="preserve"> 101</w:t>
      </w:r>
      <w:r w:rsidR="00DD489F" w:rsidRPr="00171E21">
        <w:rPr>
          <w:rFonts w:ascii="Arial Narrow" w:hAnsi="Arial Narrow"/>
          <w:sz w:val="18"/>
        </w:rPr>
        <w:t xml:space="preserve">, 102 and 103 </w:t>
      </w:r>
      <w:r w:rsidR="00B269C1" w:rsidRPr="00171E21">
        <w:rPr>
          <w:rFonts w:ascii="Arial Narrow" w:hAnsi="Arial Narrow"/>
          <w:sz w:val="18"/>
        </w:rPr>
        <w:t>p189</w:t>
      </w:r>
      <w:r w:rsidR="00DD489F" w:rsidRPr="00171E21">
        <w:rPr>
          <w:rFonts w:ascii="Arial Narrow" w:hAnsi="Arial Narrow"/>
          <w:sz w:val="18"/>
        </w:rPr>
        <w:t xml:space="preserve"> and 190</w:t>
      </w:r>
      <w:r w:rsidR="00B31997" w:rsidRPr="00171E21">
        <w:rPr>
          <w:rFonts w:ascii="Arial Narrow" w:hAnsi="Arial Narrow"/>
          <w:sz w:val="18"/>
        </w:rPr>
        <w:t xml:space="preserve"> of the submission</w:t>
      </w:r>
      <w:r w:rsidR="00DD489F" w:rsidRPr="00171E21">
        <w:rPr>
          <w:rFonts w:ascii="Arial Narrow" w:hAnsi="Arial Narrow"/>
          <w:sz w:val="18"/>
        </w:rPr>
        <w:t>;</w:t>
      </w:r>
      <w:r w:rsidR="00DD489F" w:rsidRPr="00700585">
        <w:rPr>
          <w:rFonts w:ascii="Arial Narrow" w:hAnsi="Arial Narrow"/>
          <w:sz w:val="18"/>
        </w:rPr>
        <w:t xml:space="preserve"> </w:t>
      </w:r>
      <w:r w:rsidR="00DD489F" w:rsidRPr="00171E21">
        <w:rPr>
          <w:rFonts w:ascii="Arial Narrow" w:hAnsi="Arial Narrow"/>
          <w:sz w:val="18"/>
        </w:rPr>
        <w:t>Tables 7, 8 and 9</w:t>
      </w:r>
      <w:r w:rsidR="00115EDC" w:rsidRPr="00171E21">
        <w:rPr>
          <w:rFonts w:ascii="Arial Narrow" w:hAnsi="Arial Narrow"/>
          <w:sz w:val="18"/>
        </w:rPr>
        <w:t xml:space="preserve"> p10-11 of the July 2015 submission</w:t>
      </w:r>
      <w:r w:rsidR="009F07AC" w:rsidRPr="00171E21">
        <w:rPr>
          <w:rFonts w:ascii="Arial Narrow" w:hAnsi="Arial Narrow"/>
          <w:sz w:val="18"/>
        </w:rPr>
        <w:t xml:space="preserve">; 7.08 PBAC </w:t>
      </w:r>
      <w:r w:rsidR="005E29FD">
        <w:rPr>
          <w:rFonts w:ascii="Arial Narrow" w:hAnsi="Arial Narrow"/>
          <w:sz w:val="18"/>
        </w:rPr>
        <w:t>Public Summary Document</w:t>
      </w:r>
      <w:r w:rsidR="005E29FD" w:rsidRPr="00171E21">
        <w:rPr>
          <w:rFonts w:ascii="Arial Narrow" w:hAnsi="Arial Narrow"/>
          <w:sz w:val="18"/>
        </w:rPr>
        <w:t xml:space="preserve"> </w:t>
      </w:r>
      <w:r w:rsidR="009F07AC" w:rsidRPr="00171E21">
        <w:rPr>
          <w:rFonts w:ascii="Arial Narrow" w:hAnsi="Arial Narrow"/>
          <w:sz w:val="18"/>
        </w:rPr>
        <w:t xml:space="preserve">Table 6 </w:t>
      </w:r>
      <w:proofErr w:type="gramStart"/>
      <w:r w:rsidR="009F07AC" w:rsidRPr="00171E21">
        <w:rPr>
          <w:rFonts w:ascii="Arial Narrow" w:hAnsi="Arial Narrow"/>
          <w:sz w:val="18"/>
        </w:rPr>
        <w:t>paragraph</w:t>
      </w:r>
      <w:proofErr w:type="gramEnd"/>
      <w:r w:rsidR="009F07AC" w:rsidRPr="00171E21">
        <w:rPr>
          <w:rFonts w:ascii="Arial Narrow" w:hAnsi="Arial Narrow"/>
          <w:sz w:val="18"/>
        </w:rPr>
        <w:t xml:space="preserve"> 6.26</w:t>
      </w:r>
      <w:r w:rsidR="00115EDC" w:rsidRPr="00700585">
        <w:rPr>
          <w:rFonts w:ascii="Arial Narrow" w:hAnsi="Arial Narrow"/>
          <w:i/>
          <w:sz w:val="18"/>
        </w:rPr>
        <w:t>.</w:t>
      </w:r>
    </w:p>
    <w:p w:rsidR="007B2484" w:rsidRPr="00700585" w:rsidRDefault="007B2484" w:rsidP="00230BF2">
      <w:pPr>
        <w:widowControl/>
        <w:ind w:firstLine="709"/>
        <w:rPr>
          <w:rStyle w:val="CommentReference"/>
        </w:rPr>
      </w:pPr>
    </w:p>
    <w:p w:rsidR="009A333B" w:rsidRPr="00C52B69" w:rsidRDefault="00DC3904" w:rsidP="00230BF2">
      <w:pPr>
        <w:pStyle w:val="ListParagraph"/>
        <w:widowControl/>
        <w:numPr>
          <w:ilvl w:val="1"/>
          <w:numId w:val="3"/>
        </w:numPr>
        <w:snapToGrid w:val="0"/>
      </w:pPr>
      <w:r w:rsidRPr="00C52B69">
        <w:t xml:space="preserve">The </w:t>
      </w:r>
      <w:r w:rsidR="009A333B" w:rsidRPr="00C52B69">
        <w:t xml:space="preserve">July 2015 submission estimated that </w:t>
      </w:r>
      <w:r w:rsidR="009A333B" w:rsidRPr="00441D4D">
        <w:t>65.5</w:t>
      </w:r>
      <w:r w:rsidR="009A333B" w:rsidRPr="00C52B69">
        <w:t xml:space="preserve">% of 13vPCV doses would replace a dose of 23vPPV although the source for this estimate was not clear. In the current submission it was estimated that </w:t>
      </w:r>
      <w:r w:rsidR="009A333B" w:rsidRPr="00441D4D">
        <w:t>75</w:t>
      </w:r>
      <w:r w:rsidR="009A333B" w:rsidRPr="00C52B69">
        <w:t xml:space="preserve">% of 13vPCV doses would replace a dose of 23vPPV based on the estimate included in the March 2015 </w:t>
      </w:r>
      <w:r w:rsidR="0050269C">
        <w:t>Public Summary Document</w:t>
      </w:r>
      <w:r w:rsidR="009A333B" w:rsidRPr="00C52B69">
        <w:t>.</w:t>
      </w:r>
    </w:p>
    <w:p w:rsidR="00DC3904" w:rsidRPr="00C52B69" w:rsidRDefault="00DC3904" w:rsidP="00230BF2">
      <w:pPr>
        <w:pStyle w:val="ListParagraph"/>
        <w:widowControl/>
        <w:snapToGrid w:val="0"/>
      </w:pPr>
    </w:p>
    <w:p w:rsidR="00C25D9C" w:rsidRPr="00C52B69" w:rsidRDefault="00945B83" w:rsidP="00230BF2">
      <w:pPr>
        <w:pStyle w:val="ListParagraph"/>
        <w:widowControl/>
        <w:numPr>
          <w:ilvl w:val="1"/>
          <w:numId w:val="3"/>
        </w:numPr>
        <w:snapToGrid w:val="0"/>
        <w:rPr>
          <w:szCs w:val="22"/>
        </w:rPr>
      </w:pPr>
      <w:r w:rsidRPr="00C52B69">
        <w:t xml:space="preserve">For the </w:t>
      </w:r>
      <w:r w:rsidRPr="00441D4D">
        <w:t>25</w:t>
      </w:r>
      <w:r w:rsidRPr="00C52B69">
        <w:t>% of 13vPCV doses that do not replace 23vPPV, there may be an additional administration cost.</w:t>
      </w:r>
      <w:r w:rsidR="009A333B" w:rsidRPr="00C52B69">
        <w:t xml:space="preserve"> Assuming </w:t>
      </w:r>
      <w:r w:rsidR="009A333B" w:rsidRPr="00441D4D">
        <w:t>25</w:t>
      </w:r>
      <w:r w:rsidR="009A333B" w:rsidRPr="00C52B69">
        <w:t xml:space="preserve">% of patients require an additional GP visit for vaccine administration, the MBS </w:t>
      </w:r>
      <w:r w:rsidRPr="00C52B69">
        <w:t>cost (</w:t>
      </w:r>
      <w:r w:rsidR="00A003C3" w:rsidRPr="00C52B69">
        <w:t>based on</w:t>
      </w:r>
      <w:r w:rsidRPr="00C52B69">
        <w:t xml:space="preserve"> a level A consult) </w:t>
      </w:r>
      <w:r w:rsidR="009A333B" w:rsidRPr="00C52B69">
        <w:t xml:space="preserve">over </w:t>
      </w:r>
      <w:r w:rsidRPr="00C52B69">
        <w:t xml:space="preserve">the </w:t>
      </w:r>
      <w:r w:rsidR="009A333B" w:rsidRPr="00C52B69">
        <w:t>5</w:t>
      </w:r>
      <w:r w:rsidR="00171E21" w:rsidRPr="00C52B69">
        <w:t> </w:t>
      </w:r>
      <w:r w:rsidR="009A333B" w:rsidRPr="00C52B69">
        <w:t>years</w:t>
      </w:r>
      <w:r w:rsidRPr="00C52B69">
        <w:t xml:space="preserve"> </w:t>
      </w:r>
      <w:r w:rsidR="00DC3904" w:rsidRPr="00C52B69">
        <w:t xml:space="preserve">would be </w:t>
      </w:r>
      <w:r w:rsidR="001B2C4F">
        <w:t>less than $10 millio</w:t>
      </w:r>
      <w:r w:rsidR="0086405B">
        <w:t>n</w:t>
      </w:r>
      <w:r w:rsidR="009A333B" w:rsidRPr="00C52B69">
        <w:t xml:space="preserve">. </w:t>
      </w:r>
      <w:r w:rsidR="00DC3904" w:rsidRPr="00C52B69">
        <w:t>The PSCR argued that</w:t>
      </w:r>
      <w:r w:rsidR="00CC5622" w:rsidRPr="00C52B69">
        <w:t xml:space="preserve"> ATAGI’s understanding is that </w:t>
      </w:r>
      <w:r w:rsidR="00DC3904" w:rsidRPr="00C52B69">
        <w:t xml:space="preserve">100% of projected 13vPCV doses would serve as replacement doses of 23vPPV as used in the current program and </w:t>
      </w:r>
      <w:r w:rsidR="00E52DF7" w:rsidRPr="00C52B69">
        <w:t xml:space="preserve">therefore there are no additional administration costs. </w:t>
      </w:r>
      <w:r w:rsidR="00CC5622" w:rsidRPr="00C52B69">
        <w:t xml:space="preserve">However, despite this advice from ATAGI, the ESC noted that the submission assumed that </w:t>
      </w:r>
      <w:r w:rsidR="001C4485" w:rsidRPr="00C52B69">
        <w:t>only</w:t>
      </w:r>
      <w:r w:rsidR="001C4485" w:rsidRPr="00441D4D">
        <w:t xml:space="preserve"> </w:t>
      </w:r>
      <w:r w:rsidR="00CC5622" w:rsidRPr="00441D4D">
        <w:t>75</w:t>
      </w:r>
      <w:r w:rsidR="00CC5622" w:rsidRPr="00C52B69">
        <w:t xml:space="preserve">% of 13vPCV doses would replace a dose of 23vPPV. </w:t>
      </w:r>
    </w:p>
    <w:p w:rsidR="004B578E" w:rsidRPr="00C52B69" w:rsidRDefault="004B578E" w:rsidP="00230BF2">
      <w:pPr>
        <w:pStyle w:val="ListParagraph"/>
        <w:widowControl/>
        <w:rPr>
          <w:szCs w:val="22"/>
        </w:rPr>
      </w:pPr>
    </w:p>
    <w:p w:rsidR="004B578E" w:rsidRPr="00C52B69" w:rsidRDefault="006C2618" w:rsidP="00230BF2">
      <w:pPr>
        <w:pStyle w:val="ListParagraph"/>
        <w:widowControl/>
        <w:numPr>
          <w:ilvl w:val="1"/>
          <w:numId w:val="3"/>
        </w:numPr>
        <w:snapToGrid w:val="0"/>
        <w:rPr>
          <w:szCs w:val="22"/>
        </w:rPr>
      </w:pPr>
      <w:r w:rsidRPr="00C52B69">
        <w:t xml:space="preserve">The submission did not consider the risk of adults previously vaccinated with 23vPPV being vaccinated with 13vPCV. </w:t>
      </w:r>
      <w:r w:rsidR="00954B8B" w:rsidRPr="00C52B69">
        <w:t>The proposed listing is for a single dose of 13vPCV for pneumococcal vaccine naïve adults</w:t>
      </w:r>
      <w:r w:rsidR="001C4485" w:rsidRPr="00C52B69">
        <w:t>;</w:t>
      </w:r>
      <w:r w:rsidR="00954B8B" w:rsidRPr="00C52B69">
        <w:t xml:space="preserve"> however, ATAGI considered that it is clinically appropriate for all adults previously vaccinated with 23vPPV to receive a single dose of 13vPCV (ATAGI pre-</w:t>
      </w:r>
      <w:r w:rsidR="00171E21" w:rsidRPr="00C52B69">
        <w:t>submission advice</w:t>
      </w:r>
      <w:r w:rsidR="00954B8B" w:rsidRPr="00C52B69">
        <w:t>).</w:t>
      </w:r>
      <w:r w:rsidR="00171E21" w:rsidRPr="00C52B69">
        <w:t xml:space="preserve"> The PSCR stated that a catch-up program for adults previously vaccinated with 23vPPV has not been requested</w:t>
      </w:r>
      <w:r w:rsidR="00661301" w:rsidRPr="00C52B69">
        <w:t xml:space="preserve"> and indicated that the sponsor would seek assistance from the National Prescribing Service to ensure usage of 13vPCV is consistent with the NIP listing</w:t>
      </w:r>
      <w:r w:rsidR="00171E21" w:rsidRPr="00C52B69">
        <w:t>.</w:t>
      </w:r>
    </w:p>
    <w:p w:rsidR="00D93FD5" w:rsidRPr="00C52B69" w:rsidRDefault="00D93FD5" w:rsidP="00230BF2">
      <w:pPr>
        <w:pStyle w:val="ListParagraph"/>
        <w:widowControl/>
        <w:rPr>
          <w:szCs w:val="22"/>
        </w:rPr>
      </w:pPr>
    </w:p>
    <w:p w:rsidR="00D93FD5" w:rsidRPr="00C52B69" w:rsidRDefault="00AE6D2E" w:rsidP="00230BF2">
      <w:pPr>
        <w:pStyle w:val="ListParagraph"/>
        <w:widowControl/>
        <w:numPr>
          <w:ilvl w:val="1"/>
          <w:numId w:val="3"/>
        </w:numPr>
        <w:rPr>
          <w:szCs w:val="22"/>
        </w:rPr>
      </w:pPr>
      <w:r w:rsidRPr="00C52B69">
        <w:rPr>
          <w:szCs w:val="22"/>
        </w:rPr>
        <w:t xml:space="preserve">The submission did not consider the risk of </w:t>
      </w:r>
      <w:r w:rsidR="00987398" w:rsidRPr="00C52B69">
        <w:rPr>
          <w:szCs w:val="22"/>
        </w:rPr>
        <w:t xml:space="preserve">adults being vaccinated </w:t>
      </w:r>
      <w:r w:rsidRPr="00C52B69">
        <w:rPr>
          <w:szCs w:val="22"/>
        </w:rPr>
        <w:t xml:space="preserve">with </w:t>
      </w:r>
      <w:r w:rsidR="00987398" w:rsidRPr="00C52B69">
        <w:rPr>
          <w:szCs w:val="22"/>
        </w:rPr>
        <w:t xml:space="preserve">both </w:t>
      </w:r>
      <w:r w:rsidRPr="00C52B69">
        <w:rPr>
          <w:szCs w:val="22"/>
        </w:rPr>
        <w:t xml:space="preserve">13vPCV and 23vPCV. </w:t>
      </w:r>
      <w:r w:rsidR="00D93FD5" w:rsidRPr="00C52B69">
        <w:rPr>
          <w:szCs w:val="22"/>
        </w:rPr>
        <w:t xml:space="preserve">Given the reduced serotype coverage with 13vPCV compared with 23vPPV there </w:t>
      </w:r>
      <w:r w:rsidR="00D244C9">
        <w:rPr>
          <w:szCs w:val="22"/>
        </w:rPr>
        <w:t>is</w:t>
      </w:r>
      <w:r w:rsidR="00D93FD5" w:rsidRPr="00C52B69">
        <w:rPr>
          <w:szCs w:val="22"/>
        </w:rPr>
        <w:t xml:space="preserve"> the potential for vaccination with both 13vPCV and 23vPPV, especially in adults with risk factors for pneumococcal </w:t>
      </w:r>
      <w:r w:rsidR="001426E3" w:rsidRPr="00C52B69">
        <w:rPr>
          <w:szCs w:val="22"/>
        </w:rPr>
        <w:t>infections.</w:t>
      </w:r>
      <w:r w:rsidR="00987398" w:rsidRPr="00C52B69">
        <w:rPr>
          <w:szCs w:val="22"/>
        </w:rPr>
        <w:t xml:space="preserve"> In the March 2015 submission </w:t>
      </w:r>
      <w:r w:rsidR="00987398" w:rsidRPr="00C52B69">
        <w:t xml:space="preserve">it was estimated that more than </w:t>
      </w:r>
      <w:r w:rsidR="00987398" w:rsidRPr="00441D4D">
        <w:t>half</w:t>
      </w:r>
      <w:r w:rsidR="00987398" w:rsidRPr="00C52B69">
        <w:t xml:space="preserve"> (</w:t>
      </w:r>
      <w:r w:rsidR="00987398" w:rsidRPr="00441D4D">
        <w:t>52.4</w:t>
      </w:r>
      <w:r w:rsidR="00987398" w:rsidRPr="00C52B69">
        <w:t>%) of people aged 65 years and above are classified as “at risk” and hence would be eligible for re</w:t>
      </w:r>
      <w:r w:rsidR="00987398" w:rsidRPr="00C52B69">
        <w:noBreakHyphen/>
        <w:t>vaccination after 5 years.</w:t>
      </w:r>
      <w:r w:rsidR="001426E3" w:rsidRPr="00C52B69">
        <w:rPr>
          <w:szCs w:val="22"/>
        </w:rPr>
        <w:t xml:space="preserve"> </w:t>
      </w:r>
      <w:r w:rsidR="00DC3904" w:rsidRPr="00C52B69">
        <w:rPr>
          <w:szCs w:val="22"/>
        </w:rPr>
        <w:t xml:space="preserve">The PSCR noted that if 13vPCV </w:t>
      </w:r>
      <w:r w:rsidR="00D14785" w:rsidRPr="00C52B69">
        <w:rPr>
          <w:szCs w:val="22"/>
        </w:rPr>
        <w:t>was</w:t>
      </w:r>
      <w:r w:rsidR="00DC3904" w:rsidRPr="00C52B69">
        <w:rPr>
          <w:szCs w:val="22"/>
        </w:rPr>
        <w:t xml:space="preserve"> included on the NIP for adults, then individuals in specified at-risk groups would continue to receive a 23vPPV dose 5 years following 13vPCV </w:t>
      </w:r>
      <w:r w:rsidR="007A7D2E" w:rsidRPr="00C52B69">
        <w:rPr>
          <w:szCs w:val="22"/>
        </w:rPr>
        <w:t>(</w:t>
      </w:r>
      <w:r w:rsidR="00DC3904" w:rsidRPr="00C52B69">
        <w:rPr>
          <w:szCs w:val="22"/>
        </w:rPr>
        <w:t>with 13vPCV only replacing the initial 23vPPV dose</w:t>
      </w:r>
      <w:r w:rsidR="007A7D2E" w:rsidRPr="00C52B69">
        <w:rPr>
          <w:szCs w:val="22"/>
        </w:rPr>
        <w:t>)</w:t>
      </w:r>
      <w:r w:rsidR="00DC3904" w:rsidRPr="00C52B69">
        <w:rPr>
          <w:szCs w:val="22"/>
        </w:rPr>
        <w:t xml:space="preserve">. </w:t>
      </w:r>
      <w:r w:rsidR="001426E3" w:rsidRPr="00C52B69">
        <w:rPr>
          <w:szCs w:val="22"/>
        </w:rPr>
        <w:t xml:space="preserve">The ESC noted that </w:t>
      </w:r>
      <w:r w:rsidR="00D14785" w:rsidRPr="00C52B69">
        <w:rPr>
          <w:szCs w:val="22"/>
        </w:rPr>
        <w:t>ATAGI</w:t>
      </w:r>
      <w:r w:rsidR="001426E3" w:rsidRPr="00C52B69">
        <w:rPr>
          <w:szCs w:val="22"/>
        </w:rPr>
        <w:t xml:space="preserve"> stated that the interval between 13vPCV and a subsequent 23vPPV dose may</w:t>
      </w:r>
      <w:r w:rsidR="001C4485" w:rsidRPr="00C52B69">
        <w:rPr>
          <w:szCs w:val="22"/>
        </w:rPr>
        <w:t xml:space="preserve"> </w:t>
      </w:r>
      <w:r w:rsidR="001426E3" w:rsidRPr="00C52B69">
        <w:rPr>
          <w:szCs w:val="22"/>
        </w:rPr>
        <w:t>be shorter than 5 yea</w:t>
      </w:r>
      <w:r w:rsidR="00661301" w:rsidRPr="00C52B69">
        <w:rPr>
          <w:szCs w:val="22"/>
        </w:rPr>
        <w:t xml:space="preserve">rs but the exact interval is under deliberation </w:t>
      </w:r>
      <w:r w:rsidR="00C506BD" w:rsidRPr="00C52B69">
        <w:rPr>
          <w:szCs w:val="22"/>
        </w:rPr>
        <w:t>(post-submission advice)</w:t>
      </w:r>
      <w:r w:rsidR="00987398" w:rsidRPr="00C52B69">
        <w:rPr>
          <w:szCs w:val="22"/>
        </w:rPr>
        <w:t>.</w:t>
      </w:r>
    </w:p>
    <w:p w:rsidR="0010252F" w:rsidRPr="00C52B69" w:rsidRDefault="0010252F" w:rsidP="00230BF2">
      <w:pPr>
        <w:pStyle w:val="ListParagraph"/>
        <w:widowControl/>
        <w:rPr>
          <w:szCs w:val="22"/>
        </w:rPr>
      </w:pPr>
    </w:p>
    <w:p w:rsidR="0010252F" w:rsidRPr="00C52B69" w:rsidRDefault="0010252F" w:rsidP="00230BF2">
      <w:pPr>
        <w:pStyle w:val="ListParagraph"/>
        <w:widowControl/>
        <w:numPr>
          <w:ilvl w:val="1"/>
          <w:numId w:val="3"/>
        </w:numPr>
        <w:snapToGrid w:val="0"/>
        <w:rPr>
          <w:szCs w:val="22"/>
        </w:rPr>
      </w:pPr>
      <w:r w:rsidRPr="00C52B69">
        <w:rPr>
          <w:szCs w:val="24"/>
        </w:rPr>
        <w:t>The uptake in adults not vaccinated with 13vPCV in their 65</w:t>
      </w:r>
      <w:r w:rsidRPr="00C52B69">
        <w:rPr>
          <w:szCs w:val="24"/>
          <w:vertAlign w:val="superscript"/>
        </w:rPr>
        <w:t>th</w:t>
      </w:r>
      <w:r w:rsidRPr="00C52B69">
        <w:rPr>
          <w:szCs w:val="24"/>
        </w:rPr>
        <w:t xml:space="preserve"> year is </w:t>
      </w:r>
      <w:r w:rsidR="0091638E">
        <w:rPr>
          <w:noProof/>
          <w:color w:val="000000"/>
          <w:szCs w:val="24"/>
          <w:highlight w:val="black"/>
        </w:rPr>
        <w:t>'''''''</w:t>
      </w:r>
      <w:r w:rsidRPr="00C52B69">
        <w:rPr>
          <w:szCs w:val="24"/>
        </w:rPr>
        <w:t xml:space="preserve">% for each future year. Thus over time uptake approaches </w:t>
      </w:r>
      <w:r w:rsidR="0091638E">
        <w:rPr>
          <w:noProof/>
          <w:color w:val="000000"/>
          <w:szCs w:val="24"/>
          <w:highlight w:val="black"/>
        </w:rPr>
        <w:t>'''''''''</w:t>
      </w:r>
      <w:r w:rsidRPr="00C52B69">
        <w:rPr>
          <w:szCs w:val="24"/>
        </w:rPr>
        <w:t>%. Assuming adults not vaccinated in their 65</w:t>
      </w:r>
      <w:r w:rsidRPr="00C52B69">
        <w:rPr>
          <w:szCs w:val="24"/>
          <w:vertAlign w:val="superscript"/>
        </w:rPr>
        <w:t>th</w:t>
      </w:r>
      <w:r w:rsidRPr="00C52B69">
        <w:rPr>
          <w:szCs w:val="24"/>
        </w:rPr>
        <w:t xml:space="preserve"> are not vaccinated in subsequent years decreases the NIP cost from </w:t>
      </w:r>
      <w:r w:rsidR="005E5AD5">
        <w:rPr>
          <w:szCs w:val="24"/>
        </w:rPr>
        <w:t xml:space="preserve">$30 - $60 million </w:t>
      </w:r>
      <w:r w:rsidRPr="00C52B69">
        <w:rPr>
          <w:szCs w:val="24"/>
        </w:rPr>
        <w:t xml:space="preserve">to </w:t>
      </w:r>
      <w:r w:rsidR="005E5AD5">
        <w:rPr>
          <w:szCs w:val="24"/>
        </w:rPr>
        <w:t xml:space="preserve">$30 - $60 million </w:t>
      </w:r>
      <w:r w:rsidRPr="00C52B69">
        <w:t>over 5 years.</w:t>
      </w:r>
    </w:p>
    <w:p w:rsidR="00BB75C3" w:rsidRPr="00C52B69" w:rsidRDefault="00BB75C3" w:rsidP="00230BF2">
      <w:pPr>
        <w:widowControl/>
        <w:rPr>
          <w:szCs w:val="22"/>
        </w:rPr>
      </w:pPr>
    </w:p>
    <w:p w:rsidR="00576972" w:rsidRPr="00CB0FEA" w:rsidRDefault="00576972" w:rsidP="0091638E">
      <w:pPr>
        <w:pStyle w:val="Heading2"/>
      </w:pPr>
      <w:bookmarkStart w:id="18" w:name="_Toc450632538"/>
      <w:r w:rsidRPr="00CB0FEA">
        <w:t>Quality Use of Medicines</w:t>
      </w:r>
      <w:bookmarkEnd w:id="18"/>
    </w:p>
    <w:p w:rsidR="00576972" w:rsidRPr="00C52B69" w:rsidRDefault="00576972" w:rsidP="00230BF2">
      <w:pPr>
        <w:widowControl/>
        <w:rPr>
          <w:szCs w:val="22"/>
        </w:rPr>
      </w:pPr>
    </w:p>
    <w:p w:rsidR="00576972" w:rsidRPr="00C52B69" w:rsidRDefault="00A003C3" w:rsidP="00230BF2">
      <w:pPr>
        <w:pStyle w:val="ListParagraph"/>
        <w:widowControl/>
        <w:numPr>
          <w:ilvl w:val="1"/>
          <w:numId w:val="3"/>
        </w:numPr>
        <w:rPr>
          <w:szCs w:val="22"/>
        </w:rPr>
      </w:pPr>
      <w:r w:rsidRPr="00C52B69">
        <w:t>The Sponsor proposed to provide education to healthcare professionals and information for patients to help ensure appropriate use of 13vPCV</w:t>
      </w:r>
      <w:r w:rsidR="003D2819" w:rsidRPr="00C52B69">
        <w:rPr>
          <w:szCs w:val="22"/>
        </w:rPr>
        <w:t xml:space="preserve">. </w:t>
      </w:r>
    </w:p>
    <w:p w:rsidR="00576972" w:rsidRPr="00C52B69" w:rsidRDefault="00576972" w:rsidP="00230BF2">
      <w:pPr>
        <w:widowControl/>
        <w:rPr>
          <w:szCs w:val="22"/>
        </w:rPr>
      </w:pPr>
    </w:p>
    <w:p w:rsidR="00576972" w:rsidRPr="00CB0FEA" w:rsidRDefault="00576972" w:rsidP="0091638E">
      <w:pPr>
        <w:pStyle w:val="Heading2"/>
      </w:pPr>
      <w:bookmarkStart w:id="19" w:name="_Toc450632539"/>
      <w:r w:rsidRPr="00CB0FEA">
        <w:t>Financial Management – Risk Sharing Arrangements</w:t>
      </w:r>
      <w:bookmarkEnd w:id="19"/>
    </w:p>
    <w:p w:rsidR="004D4661" w:rsidRPr="00C52B69" w:rsidRDefault="004D4661" w:rsidP="00926753">
      <w:pPr>
        <w:keepNext/>
        <w:widowControl/>
        <w:rPr>
          <w:szCs w:val="22"/>
        </w:rPr>
      </w:pPr>
    </w:p>
    <w:p w:rsidR="003D2819" w:rsidRDefault="003D2819" w:rsidP="00230BF2">
      <w:pPr>
        <w:pStyle w:val="ListParagraph"/>
        <w:widowControl/>
        <w:numPr>
          <w:ilvl w:val="1"/>
          <w:numId w:val="3"/>
        </w:numPr>
        <w:rPr>
          <w:szCs w:val="22"/>
        </w:rPr>
      </w:pPr>
      <w:r w:rsidRPr="00C52B69">
        <w:rPr>
          <w:szCs w:val="22"/>
        </w:rPr>
        <w:t xml:space="preserve">The submission acknowledged that a </w:t>
      </w:r>
      <w:r w:rsidR="005A266A">
        <w:rPr>
          <w:szCs w:val="22"/>
        </w:rPr>
        <w:t>R</w:t>
      </w:r>
      <w:r w:rsidR="005A266A" w:rsidRPr="00C52B69">
        <w:rPr>
          <w:szCs w:val="22"/>
        </w:rPr>
        <w:t xml:space="preserve">isk </w:t>
      </w:r>
      <w:r w:rsidR="005A266A">
        <w:rPr>
          <w:szCs w:val="22"/>
        </w:rPr>
        <w:t>S</w:t>
      </w:r>
      <w:r w:rsidR="005A266A" w:rsidRPr="00C52B69">
        <w:rPr>
          <w:szCs w:val="22"/>
        </w:rPr>
        <w:t xml:space="preserve">hare </w:t>
      </w:r>
      <w:r w:rsidR="005A266A">
        <w:rPr>
          <w:szCs w:val="22"/>
        </w:rPr>
        <w:t>A</w:t>
      </w:r>
      <w:r w:rsidR="005A266A" w:rsidRPr="00C52B69">
        <w:rPr>
          <w:szCs w:val="22"/>
        </w:rPr>
        <w:t xml:space="preserve">rrangement </w:t>
      </w:r>
      <w:r w:rsidRPr="00C52B69">
        <w:rPr>
          <w:szCs w:val="22"/>
        </w:rPr>
        <w:t>may be required</w:t>
      </w:r>
      <w:r w:rsidR="00033CC8" w:rsidRPr="00C52B69">
        <w:rPr>
          <w:szCs w:val="22"/>
        </w:rPr>
        <w:t>;</w:t>
      </w:r>
      <w:r w:rsidR="00E35C23" w:rsidRPr="00C52B69">
        <w:rPr>
          <w:szCs w:val="22"/>
        </w:rPr>
        <w:t xml:space="preserve"> however</w:t>
      </w:r>
      <w:r w:rsidR="00033CC8" w:rsidRPr="00C52B69">
        <w:rPr>
          <w:szCs w:val="22"/>
        </w:rPr>
        <w:t>,</w:t>
      </w:r>
      <w:r w:rsidR="00E35C23" w:rsidRPr="00C52B69">
        <w:rPr>
          <w:szCs w:val="22"/>
        </w:rPr>
        <w:t xml:space="preserve"> </w:t>
      </w:r>
      <w:r w:rsidRPr="00C52B69">
        <w:rPr>
          <w:szCs w:val="22"/>
        </w:rPr>
        <w:t xml:space="preserve">no specific details </w:t>
      </w:r>
      <w:r w:rsidR="00D5683A" w:rsidRPr="00C52B69">
        <w:rPr>
          <w:szCs w:val="22"/>
        </w:rPr>
        <w:t>were</w:t>
      </w:r>
      <w:r w:rsidRPr="00C52B69">
        <w:rPr>
          <w:szCs w:val="22"/>
        </w:rPr>
        <w:t xml:space="preserve"> provided. </w:t>
      </w:r>
    </w:p>
    <w:p w:rsidR="00F749C8" w:rsidRDefault="00F749C8" w:rsidP="00F749C8">
      <w:pPr>
        <w:widowControl/>
        <w:rPr>
          <w:szCs w:val="22"/>
        </w:rPr>
      </w:pPr>
    </w:p>
    <w:p w:rsidR="00F749C8" w:rsidRPr="0005234D" w:rsidRDefault="00F749C8" w:rsidP="00F749C8">
      <w:pPr>
        <w:ind w:firstLine="720"/>
        <w:rPr>
          <w:bCs/>
          <w:szCs w:val="22"/>
        </w:rPr>
      </w:pPr>
      <w:r w:rsidRPr="0030746F">
        <w:rPr>
          <w:bCs/>
          <w:i/>
          <w:szCs w:val="22"/>
        </w:rPr>
        <w:t>For more detail on PBAC’s view, see section 7 “PBAC outcome”</w:t>
      </w:r>
    </w:p>
    <w:p w:rsidR="00F749C8" w:rsidRDefault="00F749C8" w:rsidP="00F749C8">
      <w:pPr>
        <w:widowControl/>
        <w:rPr>
          <w:szCs w:val="22"/>
        </w:rPr>
      </w:pPr>
    </w:p>
    <w:p w:rsidR="005219AC" w:rsidRPr="00F749C8" w:rsidRDefault="005219AC" w:rsidP="00F749C8">
      <w:pPr>
        <w:widowControl/>
        <w:rPr>
          <w:szCs w:val="22"/>
        </w:rPr>
      </w:pPr>
    </w:p>
    <w:p w:rsidR="00F749C8" w:rsidRPr="0030746F" w:rsidRDefault="00F749C8" w:rsidP="0091638E">
      <w:pPr>
        <w:pStyle w:val="Heading1"/>
      </w:pPr>
      <w:r w:rsidRPr="0030746F">
        <w:t>PBAC Outcome</w:t>
      </w:r>
    </w:p>
    <w:p w:rsidR="00F749C8" w:rsidRPr="0069654D" w:rsidRDefault="00F749C8" w:rsidP="00F749C8">
      <w:pPr>
        <w:rPr>
          <w:bCs/>
          <w:highlight w:val="yellow"/>
          <w:lang w:val="en-GB"/>
        </w:rPr>
      </w:pPr>
    </w:p>
    <w:p w:rsidR="0030746F" w:rsidRDefault="0030746F" w:rsidP="0030746F">
      <w:pPr>
        <w:pStyle w:val="ListParagraph"/>
        <w:widowControl/>
        <w:numPr>
          <w:ilvl w:val="1"/>
          <w:numId w:val="3"/>
        </w:numPr>
        <w:rPr>
          <w:bCs/>
          <w:szCs w:val="22"/>
        </w:rPr>
      </w:pPr>
      <w:r w:rsidRPr="00E76999">
        <w:rPr>
          <w:bCs/>
          <w:szCs w:val="22"/>
        </w:rPr>
        <w:t xml:space="preserve">The PBAC recommended </w:t>
      </w:r>
      <w:r w:rsidR="00DD0C0B">
        <w:rPr>
          <w:bCs/>
          <w:szCs w:val="22"/>
        </w:rPr>
        <w:t xml:space="preserve">a change to the </w:t>
      </w:r>
      <w:r w:rsidR="005D31F5">
        <w:rPr>
          <w:bCs/>
          <w:szCs w:val="22"/>
        </w:rPr>
        <w:t xml:space="preserve">circumstances </w:t>
      </w:r>
      <w:r w:rsidR="00DD0C0B">
        <w:rPr>
          <w:bCs/>
          <w:szCs w:val="22"/>
        </w:rPr>
        <w:t xml:space="preserve">under which </w:t>
      </w:r>
      <w:r>
        <w:rPr>
          <w:bCs/>
          <w:szCs w:val="22"/>
        </w:rPr>
        <w:t>13vPCV</w:t>
      </w:r>
      <w:r w:rsidRPr="00E76999">
        <w:rPr>
          <w:bCs/>
          <w:szCs w:val="22"/>
        </w:rPr>
        <w:t xml:space="preserve"> </w:t>
      </w:r>
      <w:r w:rsidR="00DD0C0B">
        <w:rPr>
          <w:bCs/>
          <w:szCs w:val="22"/>
        </w:rPr>
        <w:t xml:space="preserve">is made available as a designated vaccine for </w:t>
      </w:r>
      <w:r>
        <w:rPr>
          <w:bCs/>
          <w:szCs w:val="22"/>
        </w:rPr>
        <w:t xml:space="preserve">the NIP for the prevention of pneumococcal pneumonia and IPD in adults on </w:t>
      </w:r>
      <w:r w:rsidR="00DD0C0B">
        <w:rPr>
          <w:bCs/>
          <w:szCs w:val="22"/>
        </w:rPr>
        <w:t>the basis of cost-</w:t>
      </w:r>
      <w:r>
        <w:rPr>
          <w:bCs/>
          <w:szCs w:val="22"/>
        </w:rPr>
        <w:t xml:space="preserve">effectiveness </w:t>
      </w:r>
      <w:r w:rsidR="00DD0C0B">
        <w:rPr>
          <w:bCs/>
          <w:szCs w:val="22"/>
        </w:rPr>
        <w:t xml:space="preserve">compared with </w:t>
      </w:r>
      <w:r w:rsidRPr="00E76999">
        <w:rPr>
          <w:bCs/>
          <w:szCs w:val="22"/>
        </w:rPr>
        <w:t>23</w:t>
      </w:r>
      <w:r>
        <w:rPr>
          <w:bCs/>
          <w:szCs w:val="22"/>
        </w:rPr>
        <w:t>vPPV</w:t>
      </w:r>
      <w:r w:rsidR="00DD0C0B">
        <w:rPr>
          <w:bCs/>
          <w:szCs w:val="22"/>
        </w:rPr>
        <w:t>.</w:t>
      </w:r>
      <w:r w:rsidR="000A7A48">
        <w:rPr>
          <w:bCs/>
          <w:szCs w:val="22"/>
        </w:rPr>
        <w:t xml:space="preserve"> </w:t>
      </w:r>
    </w:p>
    <w:p w:rsidR="0030746F" w:rsidRDefault="0030746F" w:rsidP="0030746F">
      <w:pPr>
        <w:pStyle w:val="ListParagraph"/>
        <w:widowControl/>
        <w:rPr>
          <w:bCs/>
          <w:szCs w:val="22"/>
        </w:rPr>
      </w:pPr>
    </w:p>
    <w:p w:rsidR="0030746F" w:rsidRDefault="0030746F" w:rsidP="0030746F">
      <w:pPr>
        <w:pStyle w:val="ListParagraph"/>
        <w:widowControl/>
        <w:numPr>
          <w:ilvl w:val="1"/>
          <w:numId w:val="3"/>
        </w:numPr>
        <w:rPr>
          <w:bCs/>
          <w:szCs w:val="22"/>
        </w:rPr>
      </w:pPr>
      <w:r>
        <w:rPr>
          <w:bCs/>
          <w:szCs w:val="22"/>
        </w:rPr>
        <w:t xml:space="preserve">The PBAC recalled that it previously recommended 13vPCV on a cost minimisation basis to 23vPPV. At that time it recommended that a single dose of 13vPCV be made available to pneumococcal vaccine naïve non-Indigenous adults aged 65 years and over and to pneumococcal vaccine naïve Indigenous adults aged 50 years and over. The PBAC recommended that this dose of 13vPCV should replace the single dose (or the first dose for those adults with risk factors) of 23vPPV that is currently provided to these populations. </w:t>
      </w:r>
      <w:r w:rsidRPr="0030746F">
        <w:rPr>
          <w:bCs/>
          <w:szCs w:val="22"/>
        </w:rPr>
        <w:t xml:space="preserve">The PBAC noted that if 13vPCV </w:t>
      </w:r>
      <w:r w:rsidR="005D31F5">
        <w:rPr>
          <w:bCs/>
          <w:szCs w:val="22"/>
        </w:rPr>
        <w:t>was</w:t>
      </w:r>
      <w:r w:rsidR="005D31F5" w:rsidRPr="0030746F">
        <w:rPr>
          <w:bCs/>
          <w:szCs w:val="22"/>
        </w:rPr>
        <w:t xml:space="preserve"> </w:t>
      </w:r>
      <w:r w:rsidRPr="0030746F">
        <w:rPr>
          <w:bCs/>
          <w:szCs w:val="22"/>
        </w:rPr>
        <w:t>included on the NIP for adults, then individuals in specified at-risk groups would continue to receive 23vPPV five years following the primary dose of 13vPCV.</w:t>
      </w:r>
    </w:p>
    <w:p w:rsidR="00441D4D" w:rsidRPr="00441D4D" w:rsidRDefault="00441D4D" w:rsidP="00441D4D">
      <w:pPr>
        <w:widowControl/>
        <w:rPr>
          <w:bCs/>
          <w:szCs w:val="22"/>
        </w:rPr>
      </w:pPr>
    </w:p>
    <w:p w:rsidR="00F749C8" w:rsidRPr="000A7A48" w:rsidRDefault="000A7A48" w:rsidP="00F749C8">
      <w:pPr>
        <w:numPr>
          <w:ilvl w:val="1"/>
          <w:numId w:val="3"/>
        </w:numPr>
        <w:rPr>
          <w:bCs/>
          <w:lang w:val="en-GB"/>
        </w:rPr>
      </w:pPr>
      <w:r w:rsidRPr="000A7A48">
        <w:rPr>
          <w:bCs/>
          <w:lang w:val="en-GB"/>
        </w:rPr>
        <w:t>The PBAC recalled that it previously accepted that 23vPPV was the appropriate comparator.</w:t>
      </w:r>
    </w:p>
    <w:p w:rsidR="00F749C8" w:rsidRPr="0069654D" w:rsidRDefault="00F749C8" w:rsidP="00F749C8">
      <w:pPr>
        <w:rPr>
          <w:bCs/>
          <w:highlight w:val="yellow"/>
          <w:lang w:val="en-GB"/>
        </w:rPr>
      </w:pPr>
    </w:p>
    <w:p w:rsidR="00F749C8" w:rsidRDefault="000A7A48" w:rsidP="0030330D">
      <w:pPr>
        <w:widowControl/>
        <w:numPr>
          <w:ilvl w:val="1"/>
          <w:numId w:val="3"/>
        </w:numPr>
        <w:contextualSpacing/>
        <w:rPr>
          <w:bCs/>
          <w:szCs w:val="22"/>
          <w:lang w:val="en-GB"/>
        </w:rPr>
      </w:pPr>
      <w:r w:rsidRPr="000A7A48">
        <w:rPr>
          <w:bCs/>
          <w:szCs w:val="22"/>
        </w:rPr>
        <w:t xml:space="preserve">The PBAC </w:t>
      </w:r>
      <w:r w:rsidR="0030330D">
        <w:rPr>
          <w:bCs/>
          <w:szCs w:val="22"/>
        </w:rPr>
        <w:t xml:space="preserve">recalled it previously </w:t>
      </w:r>
      <w:r w:rsidRPr="000A7A48">
        <w:rPr>
          <w:bCs/>
          <w:szCs w:val="22"/>
        </w:rPr>
        <w:t>noted that the evidence for 13vPCV over no vaccination was of higher quality than for 23vPPV over no vaccination. In the absence of direct comparative evidence between 13vPCV and 23vPPV, the PBAC accepted that the effectiveness of 13vPCV against CAP is likely to be superior to that of 23vPPV, whereas effectiveness against IPD was likely to be at least equivalent to that of 23vPPV where IPD was caused by serotypes common to both vaccines</w:t>
      </w:r>
      <w:r w:rsidR="00887986">
        <w:rPr>
          <w:bCs/>
          <w:szCs w:val="22"/>
        </w:rPr>
        <w:t>,</w:t>
      </w:r>
      <w:r w:rsidRPr="000A7A48">
        <w:rPr>
          <w:bCs/>
          <w:szCs w:val="22"/>
        </w:rPr>
        <w:t xml:space="preserve"> but not where IPD was caused by serotypes contained only within 23vPPV.</w:t>
      </w:r>
      <w:r w:rsidR="0030330D">
        <w:rPr>
          <w:bCs/>
          <w:szCs w:val="22"/>
        </w:rPr>
        <w:t xml:space="preserve"> Although the PBAC considered that 13vPCV was likely to be superior to 23vPPV in terms of prevention of VT pneumonia, the PBAC previously considered that the submission had not provided sufficient evidence to allow the PBAC to be confident that recommending 13vPCV at the requested price would be cost effective.</w:t>
      </w:r>
    </w:p>
    <w:p w:rsidR="0030330D" w:rsidRDefault="0030330D" w:rsidP="0030330D">
      <w:pPr>
        <w:pStyle w:val="ListParagraph"/>
        <w:rPr>
          <w:bCs/>
          <w:szCs w:val="22"/>
          <w:lang w:val="en-GB"/>
        </w:rPr>
      </w:pPr>
    </w:p>
    <w:p w:rsidR="0030330D" w:rsidRDefault="0030330D" w:rsidP="0030330D">
      <w:pPr>
        <w:widowControl/>
        <w:numPr>
          <w:ilvl w:val="1"/>
          <w:numId w:val="3"/>
        </w:numPr>
        <w:contextualSpacing/>
        <w:rPr>
          <w:bCs/>
          <w:szCs w:val="22"/>
          <w:lang w:val="en-GB"/>
        </w:rPr>
      </w:pPr>
      <w:r>
        <w:rPr>
          <w:bCs/>
          <w:szCs w:val="22"/>
          <w:lang w:val="en-GB"/>
        </w:rPr>
        <w:t xml:space="preserve">In its consideration of the current submission, the PBAC noted that no new evidence on the comparative effectiveness of 13vPCV and 23vPPV was presented and </w:t>
      </w:r>
      <w:r w:rsidR="005D31F5">
        <w:rPr>
          <w:bCs/>
          <w:szCs w:val="22"/>
          <w:lang w:val="en-GB"/>
        </w:rPr>
        <w:t>did not change its previous consideration of the clinical claims.</w:t>
      </w:r>
    </w:p>
    <w:p w:rsidR="0030330D" w:rsidRDefault="0030330D" w:rsidP="0030330D">
      <w:pPr>
        <w:pStyle w:val="ListParagraph"/>
        <w:rPr>
          <w:bCs/>
          <w:szCs w:val="22"/>
          <w:lang w:val="en-GB"/>
        </w:rPr>
      </w:pPr>
    </w:p>
    <w:p w:rsidR="0030330D" w:rsidRDefault="0030330D" w:rsidP="0030330D">
      <w:pPr>
        <w:widowControl/>
        <w:numPr>
          <w:ilvl w:val="1"/>
          <w:numId w:val="3"/>
        </w:numPr>
        <w:contextualSpacing/>
        <w:rPr>
          <w:bCs/>
          <w:szCs w:val="22"/>
          <w:lang w:val="en-GB"/>
        </w:rPr>
      </w:pPr>
      <w:r>
        <w:rPr>
          <w:bCs/>
          <w:szCs w:val="22"/>
          <w:lang w:val="en-GB"/>
        </w:rPr>
        <w:t xml:space="preserve">The PBAC recalled that in July 2015 it </w:t>
      </w:r>
      <w:r w:rsidRPr="00E76999">
        <w:rPr>
          <w:bCs/>
          <w:szCs w:val="22"/>
          <w:lang w:val="en-GB"/>
        </w:rPr>
        <w:t>rejected the</w:t>
      </w:r>
      <w:r w:rsidR="007B42A1">
        <w:rPr>
          <w:bCs/>
          <w:szCs w:val="22"/>
          <w:lang w:val="en-GB"/>
        </w:rPr>
        <w:t xml:space="preserve"> minor re-submission’s</w:t>
      </w:r>
      <w:r w:rsidRPr="00E76999">
        <w:rPr>
          <w:bCs/>
          <w:szCs w:val="22"/>
          <w:lang w:val="en-GB"/>
        </w:rPr>
        <w:t xml:space="preserve"> assumption</w:t>
      </w:r>
      <w:r w:rsidR="007B42A1">
        <w:rPr>
          <w:bCs/>
          <w:szCs w:val="22"/>
          <w:lang w:val="en-GB"/>
        </w:rPr>
        <w:t xml:space="preserve"> </w:t>
      </w:r>
      <w:r w:rsidRPr="00E76999">
        <w:rPr>
          <w:bCs/>
          <w:szCs w:val="22"/>
          <w:lang w:val="en-GB"/>
        </w:rPr>
        <w:t xml:space="preserve">that there would be no </w:t>
      </w:r>
      <w:r>
        <w:rPr>
          <w:bCs/>
          <w:szCs w:val="22"/>
          <w:lang w:val="en-GB"/>
        </w:rPr>
        <w:t xml:space="preserve">additional </w:t>
      </w:r>
      <w:r w:rsidRPr="00E76999">
        <w:rPr>
          <w:bCs/>
          <w:szCs w:val="22"/>
          <w:lang w:val="en-GB"/>
        </w:rPr>
        <w:t>herd immunity</w:t>
      </w:r>
      <w:r>
        <w:rPr>
          <w:bCs/>
          <w:szCs w:val="22"/>
          <w:lang w:val="en-GB"/>
        </w:rPr>
        <w:t xml:space="preserve"> </w:t>
      </w:r>
      <w:r w:rsidRPr="00E76999">
        <w:rPr>
          <w:bCs/>
          <w:szCs w:val="22"/>
          <w:lang w:val="en-GB"/>
        </w:rPr>
        <w:t>from the 13vPCV infant programme</w:t>
      </w:r>
      <w:r>
        <w:rPr>
          <w:bCs/>
          <w:szCs w:val="22"/>
          <w:lang w:val="en-GB"/>
        </w:rPr>
        <w:t xml:space="preserve"> for pneumococcal CAP</w:t>
      </w:r>
      <w:r w:rsidRPr="00E76999">
        <w:rPr>
          <w:bCs/>
          <w:szCs w:val="22"/>
          <w:lang w:val="en-GB"/>
        </w:rPr>
        <w:t xml:space="preserve">. </w:t>
      </w:r>
      <w:r>
        <w:rPr>
          <w:bCs/>
          <w:szCs w:val="22"/>
          <w:lang w:val="en-GB"/>
        </w:rPr>
        <w:t xml:space="preserve">The PBAC recalled </w:t>
      </w:r>
      <w:r w:rsidRPr="00952D37">
        <w:rPr>
          <w:bCs/>
          <w:szCs w:val="22"/>
          <w:lang w:val="en-GB"/>
        </w:rPr>
        <w:t>that</w:t>
      </w:r>
      <w:r>
        <w:rPr>
          <w:bCs/>
          <w:szCs w:val="22"/>
          <w:lang w:val="en-GB"/>
        </w:rPr>
        <w:t xml:space="preserve"> a 13vPCV infant program was only introduced in Australia in 2011, and </w:t>
      </w:r>
      <w:r w:rsidRPr="00952D37">
        <w:rPr>
          <w:bCs/>
          <w:szCs w:val="22"/>
          <w:lang w:val="en-GB"/>
        </w:rPr>
        <w:t xml:space="preserve">considered that </w:t>
      </w:r>
      <w:r>
        <w:rPr>
          <w:bCs/>
          <w:szCs w:val="22"/>
          <w:lang w:val="en-GB"/>
        </w:rPr>
        <w:t>further</w:t>
      </w:r>
      <w:r w:rsidRPr="00952D37">
        <w:rPr>
          <w:bCs/>
          <w:szCs w:val="22"/>
          <w:lang w:val="en-GB"/>
        </w:rPr>
        <w:t xml:space="preserve"> reduction</w:t>
      </w:r>
      <w:r>
        <w:rPr>
          <w:bCs/>
          <w:szCs w:val="22"/>
          <w:lang w:val="en-GB"/>
        </w:rPr>
        <w:t>s</w:t>
      </w:r>
      <w:r w:rsidRPr="00952D37">
        <w:rPr>
          <w:bCs/>
          <w:szCs w:val="22"/>
          <w:lang w:val="en-GB"/>
        </w:rPr>
        <w:t xml:space="preserve"> in </w:t>
      </w:r>
      <w:r>
        <w:rPr>
          <w:bCs/>
          <w:szCs w:val="22"/>
          <w:lang w:val="en-GB"/>
        </w:rPr>
        <w:t xml:space="preserve">the </w:t>
      </w:r>
      <w:r w:rsidRPr="00952D37">
        <w:rPr>
          <w:bCs/>
          <w:szCs w:val="22"/>
          <w:lang w:val="en-GB"/>
        </w:rPr>
        <w:t>prevalence of the 13 serotype</w:t>
      </w:r>
      <w:r>
        <w:rPr>
          <w:bCs/>
          <w:szCs w:val="22"/>
          <w:lang w:val="en-GB"/>
        </w:rPr>
        <w:t>s</w:t>
      </w:r>
      <w:r w:rsidRPr="00952D37">
        <w:rPr>
          <w:bCs/>
          <w:szCs w:val="22"/>
          <w:lang w:val="en-GB"/>
        </w:rPr>
        <w:t xml:space="preserve"> in</w:t>
      </w:r>
      <w:r>
        <w:rPr>
          <w:bCs/>
          <w:szCs w:val="22"/>
          <w:lang w:val="en-GB"/>
        </w:rPr>
        <w:t xml:space="preserve"> age groups other than those vaccinated (including the</w:t>
      </w:r>
      <w:r w:rsidRPr="00952D37">
        <w:rPr>
          <w:bCs/>
          <w:szCs w:val="22"/>
          <w:lang w:val="en-GB"/>
        </w:rPr>
        <w:t xml:space="preserve"> </w:t>
      </w:r>
      <w:r>
        <w:rPr>
          <w:bCs/>
          <w:szCs w:val="22"/>
          <w:lang w:val="en-GB"/>
        </w:rPr>
        <w:t>≥</w:t>
      </w:r>
      <w:r w:rsidRPr="00952D37">
        <w:rPr>
          <w:bCs/>
          <w:szCs w:val="22"/>
          <w:lang w:val="en-GB"/>
        </w:rPr>
        <w:t>65 year old population</w:t>
      </w:r>
      <w:r>
        <w:rPr>
          <w:bCs/>
          <w:szCs w:val="22"/>
          <w:lang w:val="en-GB"/>
        </w:rPr>
        <w:t>)</w:t>
      </w:r>
      <w:r w:rsidRPr="00952D37">
        <w:rPr>
          <w:bCs/>
          <w:szCs w:val="22"/>
          <w:lang w:val="en-GB"/>
        </w:rPr>
        <w:t xml:space="preserve"> would </w:t>
      </w:r>
      <w:r>
        <w:rPr>
          <w:bCs/>
          <w:szCs w:val="22"/>
          <w:lang w:val="en-GB"/>
        </w:rPr>
        <w:t xml:space="preserve">be likely to occur. </w:t>
      </w:r>
      <w:r w:rsidRPr="007B42A1">
        <w:rPr>
          <w:bCs/>
          <w:szCs w:val="22"/>
          <w:lang w:val="en-GB"/>
        </w:rPr>
        <w:t>The PBAC noted that the current submission</w:t>
      </w:r>
      <w:r w:rsidR="007B42A1">
        <w:rPr>
          <w:bCs/>
          <w:szCs w:val="22"/>
          <w:lang w:val="en-GB"/>
        </w:rPr>
        <w:t xml:space="preserve"> included a reduction </w:t>
      </w:r>
      <w:r w:rsidR="00F60F79">
        <w:rPr>
          <w:bCs/>
          <w:szCs w:val="22"/>
          <w:lang w:val="en-GB"/>
        </w:rPr>
        <w:t>in the incidence of VT</w:t>
      </w:r>
      <w:r w:rsidR="00F60F79">
        <w:rPr>
          <w:bCs/>
          <w:szCs w:val="22"/>
          <w:lang w:val="en-GB"/>
        </w:rPr>
        <w:noBreakHyphen/>
      </w:r>
      <w:r w:rsidR="007B42A1">
        <w:rPr>
          <w:bCs/>
          <w:szCs w:val="22"/>
          <w:lang w:val="en-GB"/>
        </w:rPr>
        <w:t>CAP over time to account for herd effects from the 13vPCV infant program (the methodology for which was corrected during the evaluation and accepted by the sponsor in the pre-PB</w:t>
      </w:r>
      <w:r w:rsidR="005D31F5">
        <w:rPr>
          <w:bCs/>
          <w:szCs w:val="22"/>
          <w:lang w:val="en-GB"/>
        </w:rPr>
        <w:t>A</w:t>
      </w:r>
      <w:r w:rsidR="007B42A1">
        <w:rPr>
          <w:bCs/>
          <w:szCs w:val="22"/>
          <w:lang w:val="en-GB"/>
        </w:rPr>
        <w:t>C response).</w:t>
      </w:r>
    </w:p>
    <w:p w:rsidR="0030330D" w:rsidRDefault="0030330D" w:rsidP="0030330D">
      <w:pPr>
        <w:pStyle w:val="ListParagraph"/>
        <w:rPr>
          <w:bCs/>
          <w:szCs w:val="22"/>
          <w:lang w:val="en-GB"/>
        </w:rPr>
      </w:pPr>
    </w:p>
    <w:p w:rsidR="0030330D" w:rsidRDefault="0030330D" w:rsidP="0030330D">
      <w:pPr>
        <w:widowControl/>
        <w:numPr>
          <w:ilvl w:val="1"/>
          <w:numId w:val="3"/>
        </w:numPr>
        <w:contextualSpacing/>
        <w:rPr>
          <w:bCs/>
          <w:szCs w:val="22"/>
          <w:lang w:val="en-GB"/>
        </w:rPr>
      </w:pPr>
      <w:r>
        <w:rPr>
          <w:bCs/>
          <w:szCs w:val="22"/>
          <w:lang w:val="en-GB"/>
        </w:rPr>
        <w:t xml:space="preserve">The PBAC </w:t>
      </w:r>
      <w:r w:rsidR="007B42A1">
        <w:rPr>
          <w:bCs/>
          <w:szCs w:val="22"/>
          <w:lang w:val="en-GB"/>
        </w:rPr>
        <w:t>accepted</w:t>
      </w:r>
      <w:r w:rsidR="006F188F">
        <w:rPr>
          <w:bCs/>
          <w:szCs w:val="22"/>
          <w:lang w:val="en-GB"/>
        </w:rPr>
        <w:t xml:space="preserve"> the base case </w:t>
      </w:r>
      <w:r w:rsidR="005D31F5">
        <w:rPr>
          <w:bCs/>
          <w:szCs w:val="22"/>
          <w:lang w:val="en-GB"/>
        </w:rPr>
        <w:t xml:space="preserve">for the economic model </w:t>
      </w:r>
      <w:r w:rsidR="007B42A1">
        <w:rPr>
          <w:bCs/>
          <w:szCs w:val="22"/>
          <w:lang w:val="en-GB"/>
        </w:rPr>
        <w:t>in the pre-PBAC response which resulted</w:t>
      </w:r>
      <w:r w:rsidR="006F188F">
        <w:rPr>
          <w:bCs/>
          <w:szCs w:val="22"/>
          <w:lang w:val="en-GB"/>
        </w:rPr>
        <w:t xml:space="preserve"> in an ICER of </w:t>
      </w:r>
      <w:r w:rsidR="00747BF6">
        <w:rPr>
          <w:bCs/>
          <w:szCs w:val="22"/>
          <w:lang w:val="en-GB"/>
        </w:rPr>
        <w:t>less than $15,000</w:t>
      </w:r>
      <w:r w:rsidR="003D53DA">
        <w:rPr>
          <w:bCs/>
          <w:szCs w:val="22"/>
          <w:lang w:val="en-GB"/>
        </w:rPr>
        <w:t>/</w:t>
      </w:r>
      <w:r w:rsidR="006F188F">
        <w:rPr>
          <w:bCs/>
          <w:szCs w:val="22"/>
          <w:lang w:val="en-GB"/>
        </w:rPr>
        <w:t>QALY and</w:t>
      </w:r>
      <w:r w:rsidR="007B42A1">
        <w:rPr>
          <w:bCs/>
          <w:szCs w:val="22"/>
          <w:lang w:val="en-GB"/>
        </w:rPr>
        <w:t xml:space="preserve"> noted</w:t>
      </w:r>
      <w:r w:rsidR="006F188F">
        <w:rPr>
          <w:bCs/>
          <w:szCs w:val="22"/>
          <w:lang w:val="en-GB"/>
        </w:rPr>
        <w:t xml:space="preserve"> that </w:t>
      </w:r>
      <w:r w:rsidR="00F72B13">
        <w:rPr>
          <w:bCs/>
          <w:szCs w:val="22"/>
          <w:lang w:val="en-GB"/>
        </w:rPr>
        <w:t>the ICER</w:t>
      </w:r>
      <w:r w:rsidR="006F188F">
        <w:rPr>
          <w:bCs/>
          <w:szCs w:val="22"/>
          <w:lang w:val="en-GB"/>
        </w:rPr>
        <w:t xml:space="preserve"> remained </w:t>
      </w:r>
      <w:r w:rsidR="00174A7A">
        <w:rPr>
          <w:bCs/>
          <w:szCs w:val="22"/>
          <w:lang w:val="en-GB"/>
        </w:rPr>
        <w:t>between $15,000/QALY - $45,000/</w:t>
      </w:r>
      <w:r w:rsidR="00F72B13">
        <w:rPr>
          <w:bCs/>
          <w:szCs w:val="22"/>
          <w:lang w:val="en-GB"/>
        </w:rPr>
        <w:t xml:space="preserve">QALY under a range of scenarios. The PBAC </w:t>
      </w:r>
      <w:r>
        <w:rPr>
          <w:bCs/>
          <w:szCs w:val="22"/>
          <w:lang w:val="en-GB"/>
        </w:rPr>
        <w:t xml:space="preserve">considered that </w:t>
      </w:r>
      <w:r w:rsidR="00F72B13">
        <w:rPr>
          <w:bCs/>
          <w:szCs w:val="22"/>
          <w:lang w:val="en-GB"/>
        </w:rPr>
        <w:t>the</w:t>
      </w:r>
      <w:r>
        <w:rPr>
          <w:bCs/>
          <w:szCs w:val="22"/>
          <w:lang w:val="en-GB"/>
        </w:rPr>
        <w:t xml:space="preserve"> </w:t>
      </w:r>
      <w:r w:rsidR="00F72B13">
        <w:rPr>
          <w:bCs/>
          <w:szCs w:val="22"/>
          <w:lang w:val="en-GB"/>
        </w:rPr>
        <w:t xml:space="preserve">revised </w:t>
      </w:r>
      <w:r>
        <w:rPr>
          <w:bCs/>
          <w:szCs w:val="22"/>
          <w:lang w:val="en-GB"/>
        </w:rPr>
        <w:t>model</w:t>
      </w:r>
      <w:r w:rsidR="00F25505">
        <w:rPr>
          <w:bCs/>
          <w:szCs w:val="22"/>
          <w:lang w:val="en-GB"/>
        </w:rPr>
        <w:t>,</w:t>
      </w:r>
      <w:r w:rsidR="005D31F5">
        <w:rPr>
          <w:bCs/>
          <w:szCs w:val="22"/>
          <w:lang w:val="en-GB"/>
        </w:rPr>
        <w:t xml:space="preserve"> and </w:t>
      </w:r>
      <w:r w:rsidR="00C4741D">
        <w:rPr>
          <w:bCs/>
          <w:szCs w:val="22"/>
          <w:lang w:val="en-GB"/>
        </w:rPr>
        <w:t xml:space="preserve">the </w:t>
      </w:r>
      <w:r w:rsidR="0091638E">
        <w:rPr>
          <w:bCs/>
          <w:noProof/>
          <w:color w:val="000000"/>
          <w:szCs w:val="22"/>
          <w:highlight w:val="black"/>
          <w:lang w:val="en-GB"/>
        </w:rPr>
        <w:t>''''''''''''''''''''''</w:t>
      </w:r>
      <w:r w:rsidR="00D1797A">
        <w:rPr>
          <w:bCs/>
          <w:szCs w:val="22"/>
          <w:lang w:val="en-GB"/>
        </w:rPr>
        <w:t xml:space="preserve"> price reduction offered in the submission</w:t>
      </w:r>
      <w:r w:rsidR="00F25505">
        <w:rPr>
          <w:bCs/>
          <w:szCs w:val="22"/>
          <w:lang w:val="en-GB"/>
        </w:rPr>
        <w:t>,</w:t>
      </w:r>
      <w:r>
        <w:rPr>
          <w:bCs/>
          <w:szCs w:val="22"/>
          <w:lang w:val="en-GB"/>
        </w:rPr>
        <w:t xml:space="preserve"> </w:t>
      </w:r>
      <w:r w:rsidR="00403C6C">
        <w:rPr>
          <w:bCs/>
          <w:szCs w:val="22"/>
          <w:lang w:val="en-GB"/>
        </w:rPr>
        <w:t>enabled</w:t>
      </w:r>
      <w:r w:rsidR="00337052">
        <w:rPr>
          <w:bCs/>
          <w:szCs w:val="22"/>
          <w:lang w:val="en-GB"/>
        </w:rPr>
        <w:t xml:space="preserve"> </w:t>
      </w:r>
      <w:r w:rsidR="00020B16">
        <w:rPr>
          <w:bCs/>
          <w:szCs w:val="22"/>
          <w:lang w:val="en-GB"/>
        </w:rPr>
        <w:t xml:space="preserve">it to have greater confidence that </w:t>
      </w:r>
      <w:r w:rsidR="005D31F5">
        <w:rPr>
          <w:bCs/>
          <w:szCs w:val="22"/>
          <w:lang w:val="en-GB"/>
        </w:rPr>
        <w:t xml:space="preserve">the requested listing of </w:t>
      </w:r>
      <w:r w:rsidR="00020B16">
        <w:rPr>
          <w:bCs/>
          <w:szCs w:val="22"/>
          <w:lang w:val="en-GB"/>
        </w:rPr>
        <w:t>would be cost effective compared with 23vPPV</w:t>
      </w:r>
      <w:r w:rsidR="00C4741D">
        <w:rPr>
          <w:bCs/>
          <w:szCs w:val="22"/>
          <w:lang w:val="en-GB"/>
        </w:rPr>
        <w:t>.</w:t>
      </w:r>
    </w:p>
    <w:p w:rsidR="007D1F0D" w:rsidRDefault="007D1F0D" w:rsidP="007D1F0D">
      <w:pPr>
        <w:pStyle w:val="ListParagraph"/>
        <w:rPr>
          <w:bCs/>
          <w:szCs w:val="22"/>
          <w:lang w:val="en-GB"/>
        </w:rPr>
      </w:pPr>
    </w:p>
    <w:p w:rsidR="00020B16" w:rsidRPr="008557C2" w:rsidRDefault="006D0EAB" w:rsidP="00020B16">
      <w:pPr>
        <w:widowControl/>
        <w:numPr>
          <w:ilvl w:val="1"/>
          <w:numId w:val="3"/>
        </w:numPr>
        <w:contextualSpacing/>
        <w:rPr>
          <w:bCs/>
          <w:szCs w:val="22"/>
          <w:lang w:val="en-GB"/>
        </w:rPr>
      </w:pPr>
      <w:r w:rsidRPr="00020B16">
        <w:rPr>
          <w:bCs/>
          <w:szCs w:val="22"/>
          <w:lang w:val="en-GB"/>
        </w:rPr>
        <w:t xml:space="preserve">The PBAC noted that the </w:t>
      </w:r>
      <w:r w:rsidR="00FD6003">
        <w:rPr>
          <w:bCs/>
          <w:szCs w:val="22"/>
          <w:lang w:val="en-GB"/>
        </w:rPr>
        <w:t>cost-effectiveness of 23vPPV had</w:t>
      </w:r>
      <w:r w:rsidRPr="00020B16">
        <w:rPr>
          <w:bCs/>
          <w:szCs w:val="22"/>
          <w:lang w:val="en-GB"/>
        </w:rPr>
        <w:t xml:space="preserve"> not been previously reviewed. It was further noted that the information provided i</w:t>
      </w:r>
      <w:r w:rsidR="00FD6003">
        <w:rPr>
          <w:bCs/>
          <w:szCs w:val="22"/>
          <w:lang w:val="en-GB"/>
        </w:rPr>
        <w:t>n the 13vPCV submission suggested</w:t>
      </w:r>
      <w:r w:rsidRPr="00020B16">
        <w:rPr>
          <w:bCs/>
          <w:szCs w:val="22"/>
          <w:lang w:val="en-GB"/>
        </w:rPr>
        <w:t xml:space="preserve"> that 23vPPV </w:t>
      </w:r>
      <w:r w:rsidR="007854F6">
        <w:rPr>
          <w:bCs/>
          <w:szCs w:val="22"/>
          <w:lang w:val="en-GB"/>
        </w:rPr>
        <w:t>is unlikely to</w:t>
      </w:r>
      <w:r w:rsidRPr="00020B16">
        <w:rPr>
          <w:bCs/>
          <w:szCs w:val="22"/>
          <w:lang w:val="en-GB"/>
        </w:rPr>
        <w:t xml:space="preserve"> prevent CAP, and the impact on the incidence of IPD may be minimal because of the short duration of protect</w:t>
      </w:r>
      <w:r w:rsidR="00FD6003">
        <w:rPr>
          <w:bCs/>
          <w:szCs w:val="22"/>
          <w:lang w:val="en-GB"/>
        </w:rPr>
        <w:t>ion and the reduction in 13vPCV-</w:t>
      </w:r>
      <w:r w:rsidRPr="00020B16">
        <w:rPr>
          <w:bCs/>
          <w:szCs w:val="22"/>
          <w:lang w:val="en-GB"/>
        </w:rPr>
        <w:t xml:space="preserve">serotypes due to the infant programme. The PBAC </w:t>
      </w:r>
      <w:r w:rsidR="00FD6003">
        <w:rPr>
          <w:bCs/>
          <w:szCs w:val="22"/>
          <w:lang w:val="en-GB"/>
        </w:rPr>
        <w:t xml:space="preserve">requested advice from ATAGI on the clinical place and effectiveness of 23vPPV on the NIP with a view to potentially informing </w:t>
      </w:r>
      <w:r w:rsidRPr="00020B16">
        <w:rPr>
          <w:bCs/>
          <w:szCs w:val="22"/>
          <w:lang w:val="en-GB"/>
        </w:rPr>
        <w:t xml:space="preserve">a review of the cost-effectiveness of </w:t>
      </w:r>
      <w:r w:rsidR="00FD6003">
        <w:rPr>
          <w:bCs/>
          <w:szCs w:val="22"/>
          <w:lang w:val="en-GB"/>
        </w:rPr>
        <w:t xml:space="preserve">23vPPV compared with no vaccine. </w:t>
      </w:r>
      <w:r w:rsidR="00D57121">
        <w:t>The PBAC noted that any outcomes of the review of 23vPPV may have implications for the 13vPCV listing</w:t>
      </w:r>
      <w:r w:rsidRPr="00020B16">
        <w:rPr>
          <w:bCs/>
          <w:szCs w:val="22"/>
          <w:lang w:val="en-GB"/>
        </w:rPr>
        <w:t>.</w:t>
      </w:r>
      <w:r w:rsidR="00020B16" w:rsidRPr="00020B16">
        <w:rPr>
          <w:bCs/>
          <w:szCs w:val="22"/>
          <w:lang w:val="en-GB"/>
        </w:rPr>
        <w:t xml:space="preserve"> This review should include the use of 23vPPV as</w:t>
      </w:r>
      <w:r w:rsidR="00FD6003">
        <w:rPr>
          <w:bCs/>
          <w:szCs w:val="22"/>
          <w:lang w:val="en-GB"/>
        </w:rPr>
        <w:t xml:space="preserve"> currently</w:t>
      </w:r>
      <w:r w:rsidR="00020B16" w:rsidRPr="00020B16">
        <w:rPr>
          <w:bCs/>
          <w:szCs w:val="22"/>
          <w:lang w:val="en-GB"/>
        </w:rPr>
        <w:t xml:space="preserve"> specified in the NIP schedule (i.e. in children </w:t>
      </w:r>
      <w:r w:rsidR="00D57121">
        <w:rPr>
          <w:bCs/>
          <w:szCs w:val="22"/>
          <w:lang w:val="en-GB"/>
        </w:rPr>
        <w:t xml:space="preserve">and </w:t>
      </w:r>
      <w:r w:rsidR="00D57121" w:rsidRPr="008557C2">
        <w:rPr>
          <w:bCs/>
          <w:szCs w:val="22"/>
          <w:lang w:val="en-GB"/>
        </w:rPr>
        <w:t xml:space="preserve">Aboriginal and Torres Strait Islander adolescents </w:t>
      </w:r>
      <w:r w:rsidR="00020B16" w:rsidRPr="008557C2">
        <w:rPr>
          <w:bCs/>
          <w:szCs w:val="22"/>
          <w:lang w:val="en-GB"/>
        </w:rPr>
        <w:t>medically at risk and in adults with and without risk factors).</w:t>
      </w:r>
    </w:p>
    <w:p w:rsidR="006B71CD" w:rsidRPr="00F6712F" w:rsidRDefault="006B71CD" w:rsidP="006B71CD">
      <w:pPr>
        <w:pStyle w:val="ListParagraph"/>
      </w:pPr>
    </w:p>
    <w:p w:rsidR="00F749C8" w:rsidRPr="00F6712F" w:rsidRDefault="005D4C2C" w:rsidP="008557C2">
      <w:pPr>
        <w:pStyle w:val="ListParagraph"/>
        <w:widowControl/>
        <w:numPr>
          <w:ilvl w:val="1"/>
          <w:numId w:val="3"/>
        </w:numPr>
      </w:pPr>
      <w:r w:rsidRPr="00F6712F">
        <w:t>T</w:t>
      </w:r>
      <w:r w:rsidR="007C540C" w:rsidRPr="00F6712F">
        <w:t>he financial estimates assume</w:t>
      </w:r>
      <w:r w:rsidRPr="00F6712F">
        <w:t>d</w:t>
      </w:r>
      <w:r w:rsidR="007C540C" w:rsidRPr="00F6712F">
        <w:t xml:space="preserve"> that 13vPCV will replace 23vPPV in pneumococcal naïve adults (or the first dose of 23vPPV in high risk individuals), as per the requested listing. The PBAC noted that the sponsor proposed to provide education to healthcare professionals and information for patients to help ensure appropriate use of 13vPCV. The PBAC </w:t>
      </w:r>
      <w:r w:rsidRPr="00F6712F">
        <w:t xml:space="preserve">further </w:t>
      </w:r>
      <w:r w:rsidR="007C540C" w:rsidRPr="00F6712F">
        <w:t xml:space="preserve">noted that from September 2016, the Australian Immunisation Register will capture all vaccines administered throughout a person’s life given through general practice and community clinics. Accordingly, the PBAC accepted the utilisation and financial estimates. </w:t>
      </w:r>
    </w:p>
    <w:p w:rsidR="00F749C8" w:rsidRPr="0069654D" w:rsidRDefault="00F749C8" w:rsidP="00F749C8">
      <w:pPr>
        <w:rPr>
          <w:b/>
          <w:highlight w:val="yellow"/>
          <w:lang w:val="en-GB"/>
        </w:rPr>
      </w:pPr>
    </w:p>
    <w:p w:rsidR="00F749C8" w:rsidRPr="0030330D" w:rsidRDefault="00F749C8" w:rsidP="006D0EAB">
      <w:pPr>
        <w:keepNext/>
        <w:rPr>
          <w:b/>
          <w:bCs/>
          <w:lang w:val="en-GB"/>
        </w:rPr>
      </w:pPr>
      <w:r w:rsidRPr="0030330D">
        <w:rPr>
          <w:b/>
          <w:bCs/>
          <w:lang w:val="en-GB"/>
        </w:rPr>
        <w:t>Outcome:</w:t>
      </w:r>
    </w:p>
    <w:p w:rsidR="00F749C8" w:rsidRPr="0030330D" w:rsidRDefault="0030330D" w:rsidP="00F749C8">
      <w:pPr>
        <w:rPr>
          <w:bCs/>
          <w:lang w:val="en-GB"/>
        </w:rPr>
      </w:pPr>
      <w:r w:rsidRPr="0030330D">
        <w:rPr>
          <w:bCs/>
          <w:lang w:val="en-GB"/>
        </w:rPr>
        <w:t>Recommended</w:t>
      </w:r>
      <w:bookmarkStart w:id="20" w:name="_GoBack"/>
      <w:bookmarkEnd w:id="20"/>
    </w:p>
    <w:p w:rsidR="00F749C8" w:rsidRDefault="00F749C8" w:rsidP="00F749C8">
      <w:pPr>
        <w:rPr>
          <w:bCs/>
          <w:highlight w:val="yellow"/>
        </w:rPr>
      </w:pPr>
    </w:p>
    <w:p w:rsidR="000F57EF" w:rsidRPr="0069654D" w:rsidRDefault="000F57EF" w:rsidP="00F749C8">
      <w:pPr>
        <w:rPr>
          <w:bCs/>
          <w:highlight w:val="yellow"/>
        </w:rPr>
      </w:pPr>
    </w:p>
    <w:p w:rsidR="00F749C8" w:rsidRPr="001D57B4" w:rsidRDefault="00F749C8" w:rsidP="0091638E">
      <w:pPr>
        <w:pStyle w:val="Heading1"/>
        <w:rPr>
          <w:i/>
          <w:lang w:val="en-GB"/>
        </w:rPr>
      </w:pPr>
      <w:r w:rsidRPr="001D57B4">
        <w:rPr>
          <w:lang w:val="en-GB"/>
        </w:rPr>
        <w:t>Recommended listing</w:t>
      </w:r>
    </w:p>
    <w:p w:rsidR="00F749C8" w:rsidRPr="0069654D" w:rsidRDefault="00F749C8" w:rsidP="001D57B4">
      <w:pPr>
        <w:keepNext/>
        <w:rPr>
          <w:b/>
          <w:bCs/>
          <w:i/>
          <w:highlight w:val="yellow"/>
          <w:lang w:val="en-GB"/>
        </w:rPr>
      </w:pPr>
    </w:p>
    <w:p w:rsidR="00F749C8" w:rsidRPr="001D57B4" w:rsidRDefault="001D57B4" w:rsidP="001D57B4">
      <w:pPr>
        <w:keepNext/>
        <w:widowControl/>
        <w:numPr>
          <w:ilvl w:val="1"/>
          <w:numId w:val="3"/>
        </w:numPr>
        <w:contextualSpacing/>
        <w:rPr>
          <w:bCs/>
          <w:szCs w:val="22"/>
          <w:lang w:val="en-GB"/>
        </w:rPr>
      </w:pPr>
      <w:r w:rsidRPr="001D57B4">
        <w:rPr>
          <w:bCs/>
          <w:szCs w:val="22"/>
          <w:lang w:val="en-GB"/>
        </w:rPr>
        <w:t>Add new indication as follows:</w:t>
      </w:r>
    </w:p>
    <w:p w:rsidR="00F749C8" w:rsidRPr="0069654D" w:rsidRDefault="00F749C8" w:rsidP="001D57B4">
      <w:pPr>
        <w:keepNext/>
        <w:rPr>
          <w:b/>
          <w:bCs/>
          <w:highlight w:val="yellow"/>
        </w:rPr>
      </w:pPr>
    </w:p>
    <w:tbl>
      <w:tblPr>
        <w:tblW w:w="4604" w:type="pct"/>
        <w:tblInd w:w="737" w:type="dxa"/>
        <w:tblLayout w:type="fixed"/>
        <w:tblCellMar>
          <w:left w:w="28" w:type="dxa"/>
          <w:right w:w="28" w:type="dxa"/>
        </w:tblCellMar>
        <w:tblLook w:val="0000" w:firstRow="0" w:lastRow="0" w:firstColumn="0" w:lastColumn="0" w:noHBand="0" w:noVBand="0"/>
      </w:tblPr>
      <w:tblGrid>
        <w:gridCol w:w="4254"/>
        <w:gridCol w:w="502"/>
        <w:gridCol w:w="915"/>
        <w:gridCol w:w="1132"/>
        <w:gridCol w:w="1561"/>
      </w:tblGrid>
      <w:tr w:rsidR="007C540C" w:rsidRPr="00700585" w:rsidTr="001D57B4">
        <w:trPr>
          <w:cantSplit/>
          <w:trHeight w:val="471"/>
        </w:trPr>
        <w:tc>
          <w:tcPr>
            <w:tcW w:w="2543" w:type="pct"/>
            <w:tcBorders>
              <w:bottom w:val="single" w:sz="4" w:space="0" w:color="auto"/>
            </w:tcBorders>
          </w:tcPr>
          <w:p w:rsidR="007C540C" w:rsidRPr="00700585" w:rsidRDefault="007C540C" w:rsidP="000C0EFC">
            <w:pPr>
              <w:keepNext/>
              <w:widowControl/>
              <w:rPr>
                <w:rFonts w:ascii="Arial Narrow" w:hAnsi="Arial Narrow"/>
                <w:sz w:val="20"/>
              </w:rPr>
            </w:pPr>
            <w:r w:rsidRPr="00700585">
              <w:rPr>
                <w:rFonts w:ascii="Arial Narrow" w:hAnsi="Arial Narrow"/>
                <w:sz w:val="20"/>
              </w:rPr>
              <w:t>Name, Restriction,</w:t>
            </w:r>
          </w:p>
          <w:p w:rsidR="007C540C" w:rsidRPr="00700585" w:rsidRDefault="007C540C" w:rsidP="000C0EFC">
            <w:pPr>
              <w:keepNext/>
              <w:widowControl/>
              <w:rPr>
                <w:rFonts w:ascii="Arial Narrow" w:hAnsi="Arial Narrow"/>
                <w:sz w:val="20"/>
              </w:rPr>
            </w:pPr>
            <w:r w:rsidRPr="00700585">
              <w:rPr>
                <w:rFonts w:ascii="Arial Narrow" w:hAnsi="Arial Narrow"/>
                <w:sz w:val="20"/>
              </w:rPr>
              <w:t>Manner of administration and form</w:t>
            </w:r>
          </w:p>
        </w:tc>
        <w:tc>
          <w:tcPr>
            <w:tcW w:w="300" w:type="pct"/>
            <w:tcBorders>
              <w:bottom w:val="single" w:sz="4" w:space="0" w:color="auto"/>
            </w:tcBorders>
          </w:tcPr>
          <w:p w:rsidR="007C540C" w:rsidRPr="00700585" w:rsidRDefault="007C540C" w:rsidP="000C0EFC">
            <w:pPr>
              <w:keepNext/>
              <w:widowControl/>
              <w:jc w:val="center"/>
              <w:rPr>
                <w:rFonts w:ascii="Arial Narrow" w:hAnsi="Arial Narrow"/>
                <w:sz w:val="20"/>
              </w:rPr>
            </w:pPr>
            <w:r w:rsidRPr="00700585">
              <w:rPr>
                <w:rFonts w:ascii="Arial Narrow" w:hAnsi="Arial Narrow"/>
                <w:sz w:val="20"/>
              </w:rPr>
              <w:t>Max.</w:t>
            </w:r>
          </w:p>
          <w:p w:rsidR="007C540C" w:rsidRPr="00700585" w:rsidRDefault="007C540C" w:rsidP="000C0EFC">
            <w:pPr>
              <w:keepNext/>
              <w:widowControl/>
              <w:jc w:val="center"/>
              <w:rPr>
                <w:rFonts w:ascii="Arial Narrow" w:hAnsi="Arial Narrow"/>
                <w:sz w:val="20"/>
              </w:rPr>
            </w:pPr>
            <w:proofErr w:type="spellStart"/>
            <w:r w:rsidRPr="00700585">
              <w:rPr>
                <w:rFonts w:ascii="Arial Narrow" w:hAnsi="Arial Narrow"/>
                <w:sz w:val="20"/>
              </w:rPr>
              <w:t>Qty</w:t>
            </w:r>
            <w:proofErr w:type="spellEnd"/>
          </w:p>
        </w:tc>
        <w:tc>
          <w:tcPr>
            <w:tcW w:w="547" w:type="pct"/>
            <w:tcBorders>
              <w:bottom w:val="single" w:sz="4" w:space="0" w:color="auto"/>
            </w:tcBorders>
          </w:tcPr>
          <w:p w:rsidR="007C540C" w:rsidRPr="00700585" w:rsidRDefault="007C540C" w:rsidP="000C0EFC">
            <w:pPr>
              <w:keepNext/>
              <w:widowControl/>
              <w:jc w:val="center"/>
              <w:rPr>
                <w:rFonts w:ascii="Arial Narrow" w:hAnsi="Arial Narrow"/>
                <w:sz w:val="20"/>
              </w:rPr>
            </w:pPr>
            <w:r w:rsidRPr="00700585">
              <w:rPr>
                <w:rFonts w:ascii="Arial Narrow" w:hAnsi="Arial Narrow"/>
                <w:sz w:val="20"/>
              </w:rPr>
              <w:t>№.of</w:t>
            </w:r>
          </w:p>
          <w:p w:rsidR="007C540C" w:rsidRPr="00700585" w:rsidRDefault="007C540C" w:rsidP="000C0EFC">
            <w:pPr>
              <w:keepNext/>
              <w:widowControl/>
              <w:jc w:val="center"/>
              <w:rPr>
                <w:rFonts w:ascii="Arial Narrow" w:hAnsi="Arial Narrow"/>
                <w:sz w:val="20"/>
              </w:rPr>
            </w:pPr>
            <w:proofErr w:type="spellStart"/>
            <w:r w:rsidRPr="00700585">
              <w:rPr>
                <w:rFonts w:ascii="Arial Narrow" w:hAnsi="Arial Narrow"/>
                <w:sz w:val="20"/>
              </w:rPr>
              <w:t>Rpts</w:t>
            </w:r>
            <w:proofErr w:type="spellEnd"/>
          </w:p>
        </w:tc>
        <w:tc>
          <w:tcPr>
            <w:tcW w:w="1610" w:type="pct"/>
            <w:gridSpan w:val="2"/>
            <w:tcBorders>
              <w:bottom w:val="single" w:sz="4" w:space="0" w:color="auto"/>
            </w:tcBorders>
          </w:tcPr>
          <w:p w:rsidR="007C540C" w:rsidRPr="00700585" w:rsidRDefault="007C540C" w:rsidP="000C0EFC">
            <w:pPr>
              <w:keepNext/>
              <w:widowControl/>
              <w:jc w:val="center"/>
              <w:rPr>
                <w:rFonts w:ascii="Arial Narrow" w:hAnsi="Arial Narrow"/>
                <w:sz w:val="20"/>
                <w:lang w:val="fr-FR"/>
              </w:rPr>
            </w:pPr>
            <w:r w:rsidRPr="00700585">
              <w:rPr>
                <w:rFonts w:ascii="Arial Narrow" w:hAnsi="Arial Narrow"/>
                <w:sz w:val="20"/>
              </w:rPr>
              <w:t>Proprietary Name and Manufacturer</w:t>
            </w:r>
          </w:p>
        </w:tc>
      </w:tr>
      <w:tr w:rsidR="007C540C" w:rsidRPr="00700585" w:rsidTr="001D57B4">
        <w:trPr>
          <w:cantSplit/>
          <w:trHeight w:val="577"/>
        </w:trPr>
        <w:tc>
          <w:tcPr>
            <w:tcW w:w="2543" w:type="pct"/>
          </w:tcPr>
          <w:p w:rsidR="007C540C" w:rsidRPr="00700585" w:rsidRDefault="007C540C" w:rsidP="000C0EFC">
            <w:pPr>
              <w:keepNext/>
              <w:widowControl/>
              <w:jc w:val="left"/>
              <w:rPr>
                <w:rFonts w:ascii="Arial Narrow" w:hAnsi="Arial Narrow"/>
                <w:sz w:val="20"/>
              </w:rPr>
            </w:pPr>
            <w:r w:rsidRPr="00700585">
              <w:rPr>
                <w:rFonts w:ascii="Arial Narrow" w:hAnsi="Arial Narrow"/>
                <w:smallCaps/>
                <w:sz w:val="20"/>
              </w:rPr>
              <w:t>pneumococcal polys</w:t>
            </w:r>
            <w:r w:rsidR="001D57B4">
              <w:rPr>
                <w:rFonts w:ascii="Arial Narrow" w:hAnsi="Arial Narrow"/>
                <w:smallCaps/>
                <w:sz w:val="20"/>
              </w:rPr>
              <w:t>accharide conjugate vaccine, 13</w:t>
            </w:r>
            <w:r w:rsidR="001D57B4">
              <w:rPr>
                <w:rFonts w:ascii="Arial Narrow" w:hAnsi="Arial Narrow"/>
                <w:smallCaps/>
                <w:sz w:val="20"/>
              </w:rPr>
              <w:noBreakHyphen/>
            </w:r>
            <w:r w:rsidRPr="00700585">
              <w:rPr>
                <w:rFonts w:ascii="Arial Narrow" w:hAnsi="Arial Narrow"/>
                <w:smallCaps/>
                <w:sz w:val="20"/>
              </w:rPr>
              <w:t>valent adsorbed</w:t>
            </w:r>
          </w:p>
          <w:p w:rsidR="007C540C" w:rsidRPr="00700585" w:rsidRDefault="007C540C" w:rsidP="000C0EFC">
            <w:pPr>
              <w:keepNext/>
              <w:widowControl/>
              <w:rPr>
                <w:rFonts w:ascii="Arial Narrow" w:hAnsi="Arial Narrow"/>
                <w:sz w:val="20"/>
              </w:rPr>
            </w:pPr>
            <w:r w:rsidRPr="00700585">
              <w:rPr>
                <w:rFonts w:ascii="Arial Narrow" w:hAnsi="Arial Narrow"/>
                <w:sz w:val="20"/>
              </w:rPr>
              <w:t>Pre-filled syringe, 0.5 mL</w:t>
            </w:r>
          </w:p>
        </w:tc>
        <w:tc>
          <w:tcPr>
            <w:tcW w:w="300" w:type="pct"/>
          </w:tcPr>
          <w:p w:rsidR="007C540C" w:rsidRPr="00700585" w:rsidRDefault="007C540C" w:rsidP="000C0EFC">
            <w:pPr>
              <w:keepNext/>
              <w:widowControl/>
              <w:jc w:val="center"/>
              <w:rPr>
                <w:rFonts w:ascii="Arial Narrow" w:hAnsi="Arial Narrow"/>
                <w:sz w:val="20"/>
              </w:rPr>
            </w:pPr>
          </w:p>
          <w:p w:rsidR="007C540C" w:rsidRPr="00700585" w:rsidRDefault="007C540C" w:rsidP="000C0EFC">
            <w:pPr>
              <w:keepNext/>
              <w:widowControl/>
              <w:jc w:val="center"/>
              <w:rPr>
                <w:rFonts w:ascii="Arial Narrow" w:hAnsi="Arial Narrow"/>
                <w:sz w:val="20"/>
              </w:rPr>
            </w:pPr>
            <w:r w:rsidRPr="00700585">
              <w:rPr>
                <w:rFonts w:ascii="Arial Narrow" w:hAnsi="Arial Narrow"/>
                <w:sz w:val="20"/>
              </w:rPr>
              <w:t>1</w:t>
            </w:r>
          </w:p>
        </w:tc>
        <w:tc>
          <w:tcPr>
            <w:tcW w:w="547" w:type="pct"/>
          </w:tcPr>
          <w:p w:rsidR="007C540C" w:rsidRPr="00700585" w:rsidRDefault="007C540C" w:rsidP="000C0EFC">
            <w:pPr>
              <w:keepNext/>
              <w:widowControl/>
              <w:jc w:val="center"/>
              <w:rPr>
                <w:rFonts w:ascii="Arial Narrow" w:hAnsi="Arial Narrow"/>
                <w:sz w:val="20"/>
              </w:rPr>
            </w:pPr>
          </w:p>
          <w:p w:rsidR="007C540C" w:rsidRPr="00700585" w:rsidRDefault="007C540C" w:rsidP="000C0EFC">
            <w:pPr>
              <w:keepNext/>
              <w:widowControl/>
              <w:jc w:val="center"/>
              <w:rPr>
                <w:rFonts w:ascii="Arial Narrow" w:hAnsi="Arial Narrow"/>
                <w:sz w:val="20"/>
              </w:rPr>
            </w:pPr>
            <w:r w:rsidRPr="00700585">
              <w:rPr>
                <w:rFonts w:ascii="Arial Narrow" w:hAnsi="Arial Narrow"/>
                <w:sz w:val="20"/>
              </w:rPr>
              <w:t>0</w:t>
            </w:r>
          </w:p>
        </w:tc>
        <w:tc>
          <w:tcPr>
            <w:tcW w:w="677" w:type="pct"/>
            <w:vAlign w:val="center"/>
          </w:tcPr>
          <w:p w:rsidR="007C540C" w:rsidRPr="00700585" w:rsidRDefault="007C540C" w:rsidP="000C0EFC">
            <w:pPr>
              <w:keepNext/>
              <w:widowControl/>
              <w:jc w:val="center"/>
              <w:rPr>
                <w:rFonts w:ascii="Arial Narrow" w:hAnsi="Arial Narrow"/>
                <w:sz w:val="20"/>
              </w:rPr>
            </w:pPr>
            <w:proofErr w:type="spellStart"/>
            <w:r w:rsidRPr="00700585">
              <w:rPr>
                <w:rFonts w:ascii="Arial Narrow" w:hAnsi="Arial Narrow"/>
                <w:sz w:val="20"/>
              </w:rPr>
              <w:t>Prevenar</w:t>
            </w:r>
            <w:proofErr w:type="spellEnd"/>
            <w:r w:rsidRPr="00700585">
              <w:rPr>
                <w:rFonts w:ascii="Arial Narrow" w:hAnsi="Arial Narrow"/>
                <w:sz w:val="20"/>
              </w:rPr>
              <w:t xml:space="preserve"> 13</w:t>
            </w:r>
          </w:p>
        </w:tc>
        <w:tc>
          <w:tcPr>
            <w:tcW w:w="933" w:type="pct"/>
            <w:vAlign w:val="center"/>
          </w:tcPr>
          <w:p w:rsidR="007C540C" w:rsidRPr="00700585" w:rsidRDefault="007C540C" w:rsidP="000C0EFC">
            <w:pPr>
              <w:keepNext/>
              <w:widowControl/>
              <w:jc w:val="center"/>
              <w:rPr>
                <w:rFonts w:ascii="Arial Narrow" w:hAnsi="Arial Narrow"/>
                <w:sz w:val="20"/>
              </w:rPr>
            </w:pPr>
            <w:r w:rsidRPr="00700585">
              <w:rPr>
                <w:rFonts w:ascii="Arial Narrow" w:hAnsi="Arial Narrow"/>
                <w:sz w:val="20"/>
              </w:rPr>
              <w:t>Pfizer</w:t>
            </w:r>
          </w:p>
        </w:tc>
      </w:tr>
    </w:tbl>
    <w:p w:rsidR="00F60F79" w:rsidRDefault="00F60F79" w:rsidP="00F60F79">
      <w:pPr>
        <w:widowControl/>
        <w:ind w:firstLine="709"/>
        <w:rPr>
          <w:rFonts w:ascii="Arial Narrow" w:hAnsi="Arial Narrow"/>
          <w:sz w:val="20"/>
          <w:u w:val="single"/>
        </w:rPr>
      </w:pPr>
    </w:p>
    <w:p w:rsidR="00F60F79" w:rsidRPr="00F60F79" w:rsidRDefault="00F60F79" w:rsidP="00F60F79">
      <w:pPr>
        <w:pStyle w:val="ListParagraph"/>
        <w:widowControl/>
        <w:rPr>
          <w:rFonts w:ascii="Arial Narrow" w:hAnsi="Arial Narrow"/>
          <w:sz w:val="20"/>
        </w:rPr>
      </w:pPr>
      <w:r w:rsidRPr="00F60F79">
        <w:rPr>
          <w:rFonts w:ascii="Arial Narrow" w:hAnsi="Arial Narrow"/>
          <w:b/>
          <w:sz w:val="20"/>
        </w:rPr>
        <w:t>National Immunisation Program</w:t>
      </w:r>
    </w:p>
    <w:p w:rsidR="00F60F79" w:rsidRDefault="00F60F79" w:rsidP="00F60F79">
      <w:pPr>
        <w:pStyle w:val="ListParagraph"/>
        <w:keepNext/>
        <w:widowControl/>
        <w:numPr>
          <w:ilvl w:val="0"/>
          <w:numId w:val="12"/>
        </w:numPr>
        <w:ind w:left="993" w:hanging="284"/>
        <w:rPr>
          <w:rFonts w:ascii="Arial Narrow" w:hAnsi="Arial Narrow"/>
          <w:sz w:val="20"/>
        </w:rPr>
      </w:pPr>
      <w:r w:rsidRPr="00700585">
        <w:rPr>
          <w:rFonts w:ascii="Arial Narrow" w:hAnsi="Arial Narrow"/>
          <w:sz w:val="20"/>
        </w:rPr>
        <w:t>A single 13vPCV dose for pneumococcal vaccine naïve non-Indigenous adults aged 65 years and over</w:t>
      </w:r>
    </w:p>
    <w:p w:rsidR="00F749C8" w:rsidRPr="00F60F79" w:rsidRDefault="00F60F79" w:rsidP="00F60F79">
      <w:pPr>
        <w:pStyle w:val="ListParagraph"/>
        <w:keepNext/>
        <w:widowControl/>
        <w:numPr>
          <w:ilvl w:val="0"/>
          <w:numId w:val="12"/>
        </w:numPr>
        <w:ind w:left="993" w:hanging="284"/>
        <w:rPr>
          <w:rFonts w:ascii="Arial Narrow" w:hAnsi="Arial Narrow"/>
          <w:sz w:val="20"/>
        </w:rPr>
      </w:pPr>
      <w:r w:rsidRPr="00F60F79">
        <w:rPr>
          <w:rFonts w:ascii="Arial Narrow" w:hAnsi="Arial Narrow"/>
          <w:sz w:val="20"/>
        </w:rPr>
        <w:t>A single 13vPCV dose for pneumococcal vaccine naïve Indigenous adults aged 50 years and over</w:t>
      </w:r>
    </w:p>
    <w:p w:rsidR="001D57B4" w:rsidRDefault="001D57B4" w:rsidP="00F749C8"/>
    <w:p w:rsidR="00D74E51" w:rsidRDefault="00D74E51" w:rsidP="00F749C8"/>
    <w:p w:rsidR="00D74E51" w:rsidRPr="00485DD3" w:rsidRDefault="00D74E51" w:rsidP="0091638E">
      <w:pPr>
        <w:pStyle w:val="Heading1"/>
      </w:pPr>
      <w:r w:rsidRPr="00485DD3">
        <w:t>Context for Decision</w:t>
      </w:r>
    </w:p>
    <w:p w:rsidR="00D74E51" w:rsidRDefault="00D74E51" w:rsidP="00D74E51">
      <w:pPr>
        <w:ind w:left="426"/>
      </w:pPr>
    </w:p>
    <w:p w:rsidR="00D74E51" w:rsidRDefault="00D74E51" w:rsidP="00D74E51">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74E51" w:rsidRDefault="00D74E51" w:rsidP="00D74E51">
      <w:pPr>
        <w:ind w:left="426"/>
      </w:pPr>
    </w:p>
    <w:p w:rsidR="00F70B4F" w:rsidRDefault="00F70B4F" w:rsidP="00D74E51">
      <w:pPr>
        <w:ind w:left="426"/>
      </w:pPr>
    </w:p>
    <w:p w:rsidR="00D74E51" w:rsidRPr="00485DD3" w:rsidRDefault="00D74E51" w:rsidP="0091638E">
      <w:pPr>
        <w:pStyle w:val="Heading1"/>
      </w:pPr>
      <w:r w:rsidRPr="00485DD3">
        <w:t>Sponsor’s Comment</w:t>
      </w:r>
    </w:p>
    <w:p w:rsidR="00D74E51" w:rsidRDefault="00D74E51" w:rsidP="00D74E51">
      <w:pPr>
        <w:ind w:left="426"/>
        <w:rPr>
          <w:bCs/>
          <w:highlight w:val="yellow"/>
          <w:lang w:val="en-GB"/>
        </w:rPr>
      </w:pPr>
    </w:p>
    <w:p w:rsidR="008324FD" w:rsidRPr="0091638E" w:rsidRDefault="008324FD" w:rsidP="008324FD">
      <w:pPr>
        <w:ind w:left="709"/>
        <w:rPr>
          <w:iCs/>
        </w:rPr>
      </w:pPr>
      <w:r w:rsidRPr="0091638E">
        <w:rPr>
          <w:iCs/>
        </w:rPr>
        <w:t xml:space="preserve">Pfizer Australia is pleased that the PBAC recognise the cost effectiveness of </w:t>
      </w:r>
      <w:proofErr w:type="spellStart"/>
      <w:r w:rsidRPr="0091638E">
        <w:rPr>
          <w:iCs/>
        </w:rPr>
        <w:t>Prevenar</w:t>
      </w:r>
      <w:proofErr w:type="spellEnd"/>
      <w:r w:rsidRPr="0091638E">
        <w:rPr>
          <w:iCs/>
        </w:rPr>
        <w:t xml:space="preserve"> 13 for the prevention of pneumococcal pneumonia and invasive pneumococcal disease in adults compared with </w:t>
      </w:r>
      <w:proofErr w:type="spellStart"/>
      <w:r w:rsidRPr="0091638E">
        <w:rPr>
          <w:iCs/>
        </w:rPr>
        <w:t>Pneumovax</w:t>
      </w:r>
      <w:proofErr w:type="spellEnd"/>
      <w:r w:rsidRPr="0091638E">
        <w:rPr>
          <w:iCs/>
        </w:rPr>
        <w:t xml:space="preserve">. Pfizer is committed to working with the PBAC and the Office of Health Protection to ensure the timely and equitable access of </w:t>
      </w:r>
      <w:proofErr w:type="spellStart"/>
      <w:r w:rsidRPr="0091638E">
        <w:rPr>
          <w:iCs/>
        </w:rPr>
        <w:t>Prevenar</w:t>
      </w:r>
      <w:proofErr w:type="spellEnd"/>
      <w:r w:rsidRPr="0091638E">
        <w:rPr>
          <w:iCs/>
        </w:rPr>
        <w:t xml:space="preserve"> 13 to adults given the significant burden of pneumococcal pneumonia in older Australians.</w:t>
      </w:r>
    </w:p>
    <w:p w:rsidR="00D8253A" w:rsidRPr="00C52B69" w:rsidRDefault="00D8253A" w:rsidP="00230BF2">
      <w:pPr>
        <w:widowControl/>
        <w:rPr>
          <w:bCs/>
          <w:szCs w:val="22"/>
        </w:rPr>
      </w:pPr>
    </w:p>
    <w:sectPr w:rsidR="00D8253A" w:rsidRPr="00C52B69" w:rsidSect="002B3E14">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260E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7C2" w:rsidRDefault="008557C2" w:rsidP="00124A51">
      <w:r>
        <w:separator/>
      </w:r>
    </w:p>
  </w:endnote>
  <w:endnote w:type="continuationSeparator" w:id="0">
    <w:p w:rsidR="008557C2" w:rsidRDefault="008557C2"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C2" w:rsidRDefault="008557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178885"/>
      <w:docPartObj>
        <w:docPartGallery w:val="Page Numbers (Bottom of Page)"/>
        <w:docPartUnique/>
      </w:docPartObj>
    </w:sdtPr>
    <w:sdtEndPr>
      <w:rPr>
        <w:noProof/>
      </w:rPr>
    </w:sdtEndPr>
    <w:sdtContent>
      <w:p w:rsidR="008557C2" w:rsidRDefault="008557C2">
        <w:pPr>
          <w:pStyle w:val="Footer"/>
          <w:jc w:val="center"/>
        </w:pPr>
        <w:r>
          <w:fldChar w:fldCharType="begin"/>
        </w:r>
        <w:r>
          <w:instrText xml:space="preserve"> PAGE   \* MERGEFORMAT </w:instrText>
        </w:r>
        <w:r>
          <w:fldChar w:fldCharType="separate"/>
        </w:r>
        <w:r w:rsidR="00F6712F">
          <w:rPr>
            <w:noProof/>
          </w:rPr>
          <w:t>18</w:t>
        </w:r>
        <w:r>
          <w:rPr>
            <w:noProof/>
          </w:rPr>
          <w:fldChar w:fldCharType="end"/>
        </w:r>
      </w:p>
    </w:sdtContent>
  </w:sdt>
  <w:p w:rsidR="008557C2" w:rsidRPr="00942296" w:rsidRDefault="008557C2" w:rsidP="00942296">
    <w:pPr>
      <w:ind w:left="709"/>
      <w:contextualSpacing/>
      <w:jc w:val="center"/>
      <w:rPr>
        <w:b/>
        <w:bCs/>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C2" w:rsidRDefault="00855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7C2" w:rsidRDefault="008557C2" w:rsidP="00124A51">
      <w:r>
        <w:separator/>
      </w:r>
    </w:p>
  </w:footnote>
  <w:footnote w:type="continuationSeparator" w:id="0">
    <w:p w:rsidR="008557C2" w:rsidRDefault="008557C2" w:rsidP="00124A51">
      <w:r>
        <w:continuationSeparator/>
      </w:r>
    </w:p>
  </w:footnote>
  <w:footnote w:id="1">
    <w:p w:rsidR="008557C2" w:rsidRPr="00C35A58" w:rsidRDefault="008557C2" w:rsidP="0056664A">
      <w:pPr>
        <w:pStyle w:val="FootnoteText"/>
        <w:rPr>
          <w:rFonts w:ascii="Arial Narrow" w:hAnsi="Arial Narrow"/>
          <w:i/>
          <w:sz w:val="20"/>
          <w:szCs w:val="20"/>
        </w:rPr>
      </w:pPr>
      <w:r w:rsidRPr="00C35A58">
        <w:rPr>
          <w:rStyle w:val="FootnoteReference"/>
          <w:rFonts w:ascii="Arial Narrow" w:hAnsi="Arial Narrow"/>
          <w:sz w:val="20"/>
          <w:szCs w:val="20"/>
        </w:rPr>
        <w:footnoteRef/>
      </w:r>
      <w:r w:rsidRPr="00C35A58">
        <w:rPr>
          <w:rFonts w:ascii="Arial Narrow" w:hAnsi="Arial Narrow"/>
          <w:sz w:val="20"/>
          <w:szCs w:val="20"/>
        </w:rPr>
        <w:t xml:space="preserve"> Patterson S, Webber C, Patton M, et al. A post hoc assessment of duration of protection in CAPiTA (Community Acquired Pneumonia immunization Trial in Adults). Trials </w:t>
      </w:r>
      <w:r>
        <w:rPr>
          <w:rFonts w:ascii="Arial Narrow" w:hAnsi="Arial Narrow"/>
          <w:sz w:val="20"/>
          <w:szCs w:val="20"/>
        </w:rPr>
        <w:t xml:space="preserve">in </w:t>
      </w:r>
      <w:r w:rsidRPr="00C35A58">
        <w:rPr>
          <w:rFonts w:ascii="Arial Narrow" w:hAnsi="Arial Narrow"/>
          <w:sz w:val="20"/>
          <w:szCs w:val="20"/>
        </w:rPr>
        <w:t>Vaccinol</w:t>
      </w:r>
      <w:r>
        <w:rPr>
          <w:rFonts w:ascii="Arial Narrow" w:hAnsi="Arial Narrow"/>
          <w:sz w:val="20"/>
          <w:szCs w:val="20"/>
        </w:rPr>
        <w:t>ogy</w:t>
      </w:r>
      <w:r w:rsidRPr="00C35A58">
        <w:rPr>
          <w:rFonts w:ascii="Arial Narrow" w:hAnsi="Arial Narrow"/>
          <w:sz w:val="20"/>
          <w:szCs w:val="20"/>
        </w:rPr>
        <w:t xml:space="preserve"> 2016; 5:92–6.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C2" w:rsidRDefault="008557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C2" w:rsidRPr="00DF217D" w:rsidRDefault="008557C2" w:rsidP="00C52B69">
    <w:pPr>
      <w:pStyle w:val="Header"/>
      <w:ind w:left="360"/>
      <w:jc w:val="center"/>
      <w:rPr>
        <w:i/>
        <w:color w:val="808080"/>
      </w:rPr>
    </w:pPr>
    <w:r w:rsidRPr="007F3410">
      <w:rPr>
        <w:i/>
        <w:color w:val="808080"/>
      </w:rPr>
      <w:t xml:space="preserve">Public Summary Document </w:t>
    </w:r>
    <w:r w:rsidRPr="00DF217D">
      <w:rPr>
        <w:i/>
        <w:color w:val="808080"/>
      </w:rPr>
      <w:t xml:space="preserve">– </w:t>
    </w:r>
    <w:r>
      <w:rPr>
        <w:i/>
        <w:color w:val="808080"/>
      </w:rPr>
      <w:t xml:space="preserve">July 2016 </w:t>
    </w:r>
    <w:r w:rsidRPr="00DF217D">
      <w:rPr>
        <w:i/>
        <w:color w:val="808080"/>
      </w:rPr>
      <w:t>PBAC</w:t>
    </w:r>
    <w:r>
      <w:rPr>
        <w:i/>
        <w:color w:val="808080"/>
      </w:rPr>
      <w:t xml:space="preserve"> </w:t>
    </w:r>
    <w:r w:rsidRPr="00DF217D">
      <w:rPr>
        <w:i/>
        <w:color w:val="808080"/>
      </w:rPr>
      <w:t>Meeting</w:t>
    </w:r>
  </w:p>
  <w:p w:rsidR="008557C2" w:rsidRPr="008C7ECB" w:rsidRDefault="008557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C2" w:rsidRDefault="00855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B6C4F"/>
    <w:multiLevelType w:val="multilevel"/>
    <w:tmpl w:val="5B961AAA"/>
    <w:lvl w:ilvl="0">
      <w:start w:val="1"/>
      <w:numFmt w:val="bullet"/>
      <w:lvlText w:val=""/>
      <w:lvlJc w:val="left"/>
      <w:pPr>
        <w:ind w:left="1440" w:hanging="720"/>
      </w:pPr>
      <w:rPr>
        <w:rFonts w:ascii="Symbol" w:hAnsi="Symbol" w:hint="default"/>
        <w:b/>
      </w:rPr>
    </w:lvl>
    <w:lvl w:ilvl="1">
      <w:start w:val="1"/>
      <w:numFmt w:val="decimal"/>
      <w:lvlText w:val="%1.%2"/>
      <w:lvlJc w:val="left"/>
      <w:pPr>
        <w:ind w:left="1440" w:hanging="720"/>
      </w:pPr>
      <w:rPr>
        <w:rFonts w:hint="default"/>
        <w:i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020F98"/>
    <w:multiLevelType w:val="hybridMultilevel"/>
    <w:tmpl w:val="D480E00C"/>
    <w:lvl w:ilvl="0" w:tplc="0C090003">
      <w:start w:val="1"/>
      <w:numFmt w:val="bullet"/>
      <w:lvlText w:val="o"/>
      <w:lvlJc w:val="left"/>
      <w:pPr>
        <w:ind w:left="1440" w:hanging="360"/>
      </w:pPr>
      <w:rPr>
        <w:rFonts w:ascii="Courier New" w:hAnsi="Courier New" w:cs="Courier New" w:hint="default"/>
      </w:rPr>
    </w:lvl>
    <w:lvl w:ilvl="1" w:tplc="086A39DE">
      <w:start w:val="1"/>
      <w:numFmt w:val="bullet"/>
      <w:lvlText w:val="-"/>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221A7A93"/>
    <w:multiLevelType w:val="hybridMultilevel"/>
    <w:tmpl w:val="788E6F4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A606799"/>
    <w:multiLevelType w:val="hybridMultilevel"/>
    <w:tmpl w:val="AC5A8EC0"/>
    <w:lvl w:ilvl="0" w:tplc="DEEA797A">
      <w:start w:val="1"/>
      <w:numFmt w:val="decimal"/>
      <w:pStyle w:val="Numberedtex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E081B9A"/>
    <w:multiLevelType w:val="hybridMultilevel"/>
    <w:tmpl w:val="46106992"/>
    <w:lvl w:ilvl="0" w:tplc="C92ADED4">
      <w:start w:val="1"/>
      <w:numFmt w:val="bullet"/>
      <w:pStyle w:val="ListNumber"/>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55F4A5B"/>
    <w:multiLevelType w:val="multilevel"/>
    <w:tmpl w:val="E9868068"/>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71E64"/>
    <w:multiLevelType w:val="hybridMultilevel"/>
    <w:tmpl w:val="2CF64A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4413A01"/>
    <w:multiLevelType w:val="hybridMultilevel"/>
    <w:tmpl w:val="41DE4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3CB6388"/>
    <w:multiLevelType w:val="hybridMultilevel"/>
    <w:tmpl w:val="2468236C"/>
    <w:lvl w:ilvl="0" w:tplc="6DDC2AB4">
      <w:start w:val="1"/>
      <w:numFmt w:val="decimal"/>
      <w:pStyle w:val="TableListNumber"/>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19C72D6"/>
    <w:multiLevelType w:val="hybridMultilevel"/>
    <w:tmpl w:val="8F52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2C86979"/>
    <w:multiLevelType w:val="hybridMultilevel"/>
    <w:tmpl w:val="255829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67655CC8"/>
    <w:multiLevelType w:val="hybridMultilevel"/>
    <w:tmpl w:val="D42C25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C444638"/>
    <w:multiLevelType w:val="hybridMultilevel"/>
    <w:tmpl w:val="226E6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E481ED5"/>
    <w:multiLevelType w:val="hybridMultilevel"/>
    <w:tmpl w:val="13807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EE63257"/>
    <w:multiLevelType w:val="hybridMultilevel"/>
    <w:tmpl w:val="D3BC5E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F0D199F"/>
    <w:multiLevelType w:val="multilevel"/>
    <w:tmpl w:val="18BC5E04"/>
    <w:lvl w:ilvl="0">
      <w:start w:val="1"/>
      <w:numFmt w:val="decimal"/>
      <w:pStyle w:val="NumberedText0"/>
      <w:lvlText w:val="%1."/>
      <w:lvlJc w:val="left"/>
      <w:pPr>
        <w:tabs>
          <w:tab w:val="num" w:pos="720"/>
        </w:tabs>
        <w:ind w:left="720" w:hanging="720"/>
      </w:pPr>
      <w:rPr>
        <w:rFonts w:hint="default"/>
      </w:rPr>
    </w:lvl>
    <w:lvl w:ilvl="1">
      <w:start w:val="1"/>
      <w:numFmt w:val="lowerLetter"/>
      <w:lvlText w:val="%2"/>
      <w:lvlJc w:val="left"/>
      <w:pPr>
        <w:tabs>
          <w:tab w:val="num" w:pos="1276"/>
        </w:tabs>
        <w:ind w:left="1276" w:hanging="556"/>
      </w:pPr>
      <w:rPr>
        <w:rFonts w:hint="default"/>
      </w:rPr>
    </w:lvl>
    <w:lvl w:ilvl="2">
      <w:start w:val="1"/>
      <w:numFmt w:val="lowerLetter"/>
      <w:lvlText w:val="%3"/>
      <w:lvlJc w:val="left"/>
      <w:pPr>
        <w:tabs>
          <w:tab w:val="num" w:pos="1276"/>
        </w:tabs>
        <w:ind w:left="1276" w:hanging="12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B13952"/>
    <w:multiLevelType w:val="hybridMultilevel"/>
    <w:tmpl w:val="4D2E3B9C"/>
    <w:lvl w:ilvl="0" w:tplc="3BBE5BC6">
      <w:start w:val="1"/>
      <w:numFmt w:val="bullet"/>
      <w:pStyle w:val="TableList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70A246F7"/>
    <w:multiLevelType w:val="hybridMultilevel"/>
    <w:tmpl w:val="74402CFC"/>
    <w:lvl w:ilvl="0" w:tplc="086A39D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4F64A59"/>
    <w:multiLevelType w:val="hybridMultilevel"/>
    <w:tmpl w:val="240A0C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76A026D0"/>
    <w:multiLevelType w:val="hybridMultilevel"/>
    <w:tmpl w:val="974A856E"/>
    <w:lvl w:ilvl="0" w:tplc="6CC4F894">
      <w:start w:val="1"/>
      <w:numFmt w:val="bullet"/>
      <w:pStyle w:val="BulletedText"/>
      <w:lvlText w:val=""/>
      <w:lvlJc w:val="left"/>
      <w:pPr>
        <w:ind w:left="717"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84D033C"/>
    <w:multiLevelType w:val="multilevel"/>
    <w:tmpl w:val="3CBC5D6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8C31F20"/>
    <w:multiLevelType w:val="singleLevel"/>
    <w:tmpl w:val="9C5CE944"/>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num w:numId="1">
    <w:abstractNumId w:val="10"/>
  </w:num>
  <w:num w:numId="2">
    <w:abstractNumId w:val="1"/>
  </w:num>
  <w:num w:numId="3">
    <w:abstractNumId w:val="26"/>
  </w:num>
  <w:num w:numId="4">
    <w:abstractNumId w:val="9"/>
  </w:num>
  <w:num w:numId="5">
    <w:abstractNumId w:val="27"/>
  </w:num>
  <w:num w:numId="6">
    <w:abstractNumId w:val="21"/>
  </w:num>
  <w:num w:numId="7">
    <w:abstractNumId w:val="22"/>
  </w:num>
  <w:num w:numId="8">
    <w:abstractNumId w:val="13"/>
  </w:num>
  <w:num w:numId="9">
    <w:abstractNumId w:val="7"/>
  </w:num>
  <w:num w:numId="10">
    <w:abstractNumId w:val="25"/>
  </w:num>
  <w:num w:numId="11">
    <w:abstractNumId w:val="8"/>
  </w:num>
  <w:num w:numId="12">
    <w:abstractNumId w:val="19"/>
  </w:num>
  <w:num w:numId="13">
    <w:abstractNumId w:val="5"/>
  </w:num>
  <w:num w:numId="14">
    <w:abstractNumId w:val="11"/>
  </w:num>
  <w:num w:numId="15">
    <w:abstractNumId w:val="17"/>
  </w:num>
  <w:num w:numId="16">
    <w:abstractNumId w:val="15"/>
  </w:num>
  <w:num w:numId="17">
    <w:abstractNumId w:val="18"/>
  </w:num>
  <w:num w:numId="18">
    <w:abstractNumId w:val="12"/>
  </w:num>
  <w:num w:numId="19">
    <w:abstractNumId w:val="20"/>
  </w:num>
  <w:num w:numId="20">
    <w:abstractNumId w:val="16"/>
  </w:num>
  <w:num w:numId="21">
    <w:abstractNumId w:val="4"/>
  </w:num>
  <w:num w:numId="22">
    <w:abstractNumId w:val="23"/>
  </w:num>
  <w:num w:numId="23">
    <w:abstractNumId w:val="24"/>
  </w:num>
  <w:num w:numId="24">
    <w:abstractNumId w:val="2"/>
  </w:num>
  <w:num w:numId="25">
    <w:abstractNumId w:val="14"/>
  </w:num>
  <w:num w:numId="26">
    <w:abstractNumId w:val="3"/>
  </w:num>
  <w:num w:numId="27">
    <w:abstractNumId w:val="0"/>
  </w:num>
  <w:num w:numId="28">
    <w:abstractNumId w:val="6"/>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Snelling">
    <w15:presenceInfo w15:providerId="AD" w15:userId="S-1-5-21-1982029612-917206853-945835055-19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31"/>
    <w:rsid w:val="00000790"/>
    <w:rsid w:val="00000C73"/>
    <w:rsid w:val="0000110B"/>
    <w:rsid w:val="00001201"/>
    <w:rsid w:val="0000165B"/>
    <w:rsid w:val="00002194"/>
    <w:rsid w:val="000023F1"/>
    <w:rsid w:val="000035ED"/>
    <w:rsid w:val="000036EC"/>
    <w:rsid w:val="00003D65"/>
    <w:rsid w:val="000052AA"/>
    <w:rsid w:val="0000656D"/>
    <w:rsid w:val="00010204"/>
    <w:rsid w:val="00011626"/>
    <w:rsid w:val="000116FB"/>
    <w:rsid w:val="00013247"/>
    <w:rsid w:val="00014C5F"/>
    <w:rsid w:val="000157AC"/>
    <w:rsid w:val="00015886"/>
    <w:rsid w:val="00015DF5"/>
    <w:rsid w:val="000162EF"/>
    <w:rsid w:val="000165E9"/>
    <w:rsid w:val="00016C18"/>
    <w:rsid w:val="00016E8A"/>
    <w:rsid w:val="00020B16"/>
    <w:rsid w:val="0002225F"/>
    <w:rsid w:val="00022FC9"/>
    <w:rsid w:val="00023763"/>
    <w:rsid w:val="000237EF"/>
    <w:rsid w:val="000237FA"/>
    <w:rsid w:val="00023F41"/>
    <w:rsid w:val="000248CF"/>
    <w:rsid w:val="00024ECF"/>
    <w:rsid w:val="00026136"/>
    <w:rsid w:val="000263E5"/>
    <w:rsid w:val="00026487"/>
    <w:rsid w:val="00026590"/>
    <w:rsid w:val="0002701E"/>
    <w:rsid w:val="00027284"/>
    <w:rsid w:val="00027782"/>
    <w:rsid w:val="0003088F"/>
    <w:rsid w:val="00030929"/>
    <w:rsid w:val="000319CC"/>
    <w:rsid w:val="00032070"/>
    <w:rsid w:val="00033B6F"/>
    <w:rsid w:val="00033CC8"/>
    <w:rsid w:val="00034946"/>
    <w:rsid w:val="00034C09"/>
    <w:rsid w:val="00034F87"/>
    <w:rsid w:val="0003527C"/>
    <w:rsid w:val="000357EA"/>
    <w:rsid w:val="000377AC"/>
    <w:rsid w:val="00037C04"/>
    <w:rsid w:val="00040895"/>
    <w:rsid w:val="00040A0C"/>
    <w:rsid w:val="00041575"/>
    <w:rsid w:val="0004231D"/>
    <w:rsid w:val="000427A1"/>
    <w:rsid w:val="00042FE4"/>
    <w:rsid w:val="000431BF"/>
    <w:rsid w:val="00043C37"/>
    <w:rsid w:val="00045144"/>
    <w:rsid w:val="00045387"/>
    <w:rsid w:val="00045958"/>
    <w:rsid w:val="00046A34"/>
    <w:rsid w:val="00051546"/>
    <w:rsid w:val="00051C40"/>
    <w:rsid w:val="00051E53"/>
    <w:rsid w:val="00052592"/>
    <w:rsid w:val="000526CC"/>
    <w:rsid w:val="00052880"/>
    <w:rsid w:val="000546D7"/>
    <w:rsid w:val="00054C55"/>
    <w:rsid w:val="0005548E"/>
    <w:rsid w:val="000555D1"/>
    <w:rsid w:val="00055B0E"/>
    <w:rsid w:val="00055BD6"/>
    <w:rsid w:val="000579CB"/>
    <w:rsid w:val="00057AB7"/>
    <w:rsid w:val="00057E0F"/>
    <w:rsid w:val="0006049D"/>
    <w:rsid w:val="000604CD"/>
    <w:rsid w:val="000613B0"/>
    <w:rsid w:val="00062DD2"/>
    <w:rsid w:val="00062E2A"/>
    <w:rsid w:val="00063F7C"/>
    <w:rsid w:val="00064772"/>
    <w:rsid w:val="00064BF6"/>
    <w:rsid w:val="000652F6"/>
    <w:rsid w:val="00065655"/>
    <w:rsid w:val="00065F89"/>
    <w:rsid w:val="00066B5E"/>
    <w:rsid w:val="00067C4B"/>
    <w:rsid w:val="0007015C"/>
    <w:rsid w:val="00070779"/>
    <w:rsid w:val="00070BA7"/>
    <w:rsid w:val="0007119C"/>
    <w:rsid w:val="00071248"/>
    <w:rsid w:val="000712C8"/>
    <w:rsid w:val="000715F9"/>
    <w:rsid w:val="000720B9"/>
    <w:rsid w:val="000734CB"/>
    <w:rsid w:val="000737C2"/>
    <w:rsid w:val="000743EA"/>
    <w:rsid w:val="000747D3"/>
    <w:rsid w:val="000761CE"/>
    <w:rsid w:val="0008081F"/>
    <w:rsid w:val="00081026"/>
    <w:rsid w:val="000812CA"/>
    <w:rsid w:val="0008202D"/>
    <w:rsid w:val="00083D08"/>
    <w:rsid w:val="00083D1B"/>
    <w:rsid w:val="00084B52"/>
    <w:rsid w:val="00084DC9"/>
    <w:rsid w:val="0008503C"/>
    <w:rsid w:val="000856E2"/>
    <w:rsid w:val="00085810"/>
    <w:rsid w:val="00085A04"/>
    <w:rsid w:val="00085F7B"/>
    <w:rsid w:val="00086146"/>
    <w:rsid w:val="00087086"/>
    <w:rsid w:val="000871E1"/>
    <w:rsid w:val="000874EE"/>
    <w:rsid w:val="0008789F"/>
    <w:rsid w:val="000901E7"/>
    <w:rsid w:val="00090374"/>
    <w:rsid w:val="00090C7E"/>
    <w:rsid w:val="00093410"/>
    <w:rsid w:val="0009353A"/>
    <w:rsid w:val="00095273"/>
    <w:rsid w:val="000953D0"/>
    <w:rsid w:val="0009599C"/>
    <w:rsid w:val="00095ADE"/>
    <w:rsid w:val="00095B95"/>
    <w:rsid w:val="00096DA7"/>
    <w:rsid w:val="000972CE"/>
    <w:rsid w:val="000A12CE"/>
    <w:rsid w:val="000A13EA"/>
    <w:rsid w:val="000A1B98"/>
    <w:rsid w:val="000A2176"/>
    <w:rsid w:val="000A2EDC"/>
    <w:rsid w:val="000A3C7C"/>
    <w:rsid w:val="000A3DC1"/>
    <w:rsid w:val="000A5252"/>
    <w:rsid w:val="000A5FB6"/>
    <w:rsid w:val="000A6C5C"/>
    <w:rsid w:val="000A76D1"/>
    <w:rsid w:val="000A7A48"/>
    <w:rsid w:val="000B077A"/>
    <w:rsid w:val="000B139D"/>
    <w:rsid w:val="000B20E9"/>
    <w:rsid w:val="000B2E9D"/>
    <w:rsid w:val="000B478D"/>
    <w:rsid w:val="000B5E87"/>
    <w:rsid w:val="000B5EC1"/>
    <w:rsid w:val="000B645A"/>
    <w:rsid w:val="000B680D"/>
    <w:rsid w:val="000B6BDA"/>
    <w:rsid w:val="000B727C"/>
    <w:rsid w:val="000B7430"/>
    <w:rsid w:val="000B79CE"/>
    <w:rsid w:val="000C00E8"/>
    <w:rsid w:val="000C013C"/>
    <w:rsid w:val="000C0617"/>
    <w:rsid w:val="000C0EFC"/>
    <w:rsid w:val="000C1D19"/>
    <w:rsid w:val="000C203D"/>
    <w:rsid w:val="000C2637"/>
    <w:rsid w:val="000C38B1"/>
    <w:rsid w:val="000C3A0C"/>
    <w:rsid w:val="000C4B9E"/>
    <w:rsid w:val="000C4F85"/>
    <w:rsid w:val="000C5190"/>
    <w:rsid w:val="000C5390"/>
    <w:rsid w:val="000C78AA"/>
    <w:rsid w:val="000C7E64"/>
    <w:rsid w:val="000D16CE"/>
    <w:rsid w:val="000D1A50"/>
    <w:rsid w:val="000D1BFC"/>
    <w:rsid w:val="000D1C11"/>
    <w:rsid w:val="000D22A4"/>
    <w:rsid w:val="000D27F2"/>
    <w:rsid w:val="000D38CE"/>
    <w:rsid w:val="000D3BDB"/>
    <w:rsid w:val="000D4545"/>
    <w:rsid w:val="000D4C30"/>
    <w:rsid w:val="000D4E94"/>
    <w:rsid w:val="000D5354"/>
    <w:rsid w:val="000D59D3"/>
    <w:rsid w:val="000D5ACF"/>
    <w:rsid w:val="000D68EC"/>
    <w:rsid w:val="000D7206"/>
    <w:rsid w:val="000D795B"/>
    <w:rsid w:val="000D7A08"/>
    <w:rsid w:val="000D7AC8"/>
    <w:rsid w:val="000D7C82"/>
    <w:rsid w:val="000E0BB4"/>
    <w:rsid w:val="000E0F6E"/>
    <w:rsid w:val="000E1BFB"/>
    <w:rsid w:val="000E2DC3"/>
    <w:rsid w:val="000E3210"/>
    <w:rsid w:val="000E3434"/>
    <w:rsid w:val="000E3F17"/>
    <w:rsid w:val="000E58B8"/>
    <w:rsid w:val="000E63DB"/>
    <w:rsid w:val="000F0B7F"/>
    <w:rsid w:val="000F0F03"/>
    <w:rsid w:val="000F15C3"/>
    <w:rsid w:val="000F1AF8"/>
    <w:rsid w:val="000F1C30"/>
    <w:rsid w:val="000F1E49"/>
    <w:rsid w:val="000F28F4"/>
    <w:rsid w:val="000F2C08"/>
    <w:rsid w:val="000F33FC"/>
    <w:rsid w:val="000F37E0"/>
    <w:rsid w:val="000F3881"/>
    <w:rsid w:val="000F3B98"/>
    <w:rsid w:val="000F57EF"/>
    <w:rsid w:val="000F6B4D"/>
    <w:rsid w:val="000F6F17"/>
    <w:rsid w:val="000F727F"/>
    <w:rsid w:val="000F75FE"/>
    <w:rsid w:val="000F7737"/>
    <w:rsid w:val="000F7C64"/>
    <w:rsid w:val="000F7DA5"/>
    <w:rsid w:val="0010000D"/>
    <w:rsid w:val="00100F8A"/>
    <w:rsid w:val="0010252F"/>
    <w:rsid w:val="00103201"/>
    <w:rsid w:val="00103F66"/>
    <w:rsid w:val="001043E1"/>
    <w:rsid w:val="00107A90"/>
    <w:rsid w:val="0011032E"/>
    <w:rsid w:val="0011076A"/>
    <w:rsid w:val="00112386"/>
    <w:rsid w:val="0011310D"/>
    <w:rsid w:val="0011393B"/>
    <w:rsid w:val="00113C02"/>
    <w:rsid w:val="00113FFD"/>
    <w:rsid w:val="00114325"/>
    <w:rsid w:val="001155AA"/>
    <w:rsid w:val="00115EDC"/>
    <w:rsid w:val="00115F71"/>
    <w:rsid w:val="001160E3"/>
    <w:rsid w:val="00116CD1"/>
    <w:rsid w:val="00121120"/>
    <w:rsid w:val="001213E1"/>
    <w:rsid w:val="00121799"/>
    <w:rsid w:val="001222FC"/>
    <w:rsid w:val="00122B8D"/>
    <w:rsid w:val="00123B6D"/>
    <w:rsid w:val="00124A51"/>
    <w:rsid w:val="00124AF8"/>
    <w:rsid w:val="00124CA5"/>
    <w:rsid w:val="00125668"/>
    <w:rsid w:val="00125D37"/>
    <w:rsid w:val="0012601B"/>
    <w:rsid w:val="001260CB"/>
    <w:rsid w:val="00126621"/>
    <w:rsid w:val="001273E1"/>
    <w:rsid w:val="00127DFB"/>
    <w:rsid w:val="00130193"/>
    <w:rsid w:val="001301E9"/>
    <w:rsid w:val="00131A70"/>
    <w:rsid w:val="00133449"/>
    <w:rsid w:val="00134853"/>
    <w:rsid w:val="00134A44"/>
    <w:rsid w:val="00134C11"/>
    <w:rsid w:val="00134D80"/>
    <w:rsid w:val="00135512"/>
    <w:rsid w:val="001372DF"/>
    <w:rsid w:val="00137645"/>
    <w:rsid w:val="00137779"/>
    <w:rsid w:val="0014015A"/>
    <w:rsid w:val="00140E99"/>
    <w:rsid w:val="00141933"/>
    <w:rsid w:val="00141F60"/>
    <w:rsid w:val="00142048"/>
    <w:rsid w:val="001426E3"/>
    <w:rsid w:val="00144997"/>
    <w:rsid w:val="00144D42"/>
    <w:rsid w:val="00144F44"/>
    <w:rsid w:val="001456B0"/>
    <w:rsid w:val="0014666C"/>
    <w:rsid w:val="00146E4B"/>
    <w:rsid w:val="00147AA2"/>
    <w:rsid w:val="00150167"/>
    <w:rsid w:val="00150655"/>
    <w:rsid w:val="001515D2"/>
    <w:rsid w:val="001516FA"/>
    <w:rsid w:val="00151865"/>
    <w:rsid w:val="00151CAB"/>
    <w:rsid w:val="001522C0"/>
    <w:rsid w:val="00152A2F"/>
    <w:rsid w:val="00152F61"/>
    <w:rsid w:val="001533A9"/>
    <w:rsid w:val="00153928"/>
    <w:rsid w:val="00153956"/>
    <w:rsid w:val="001542E4"/>
    <w:rsid w:val="001553D6"/>
    <w:rsid w:val="001556EC"/>
    <w:rsid w:val="00155A18"/>
    <w:rsid w:val="00155E7E"/>
    <w:rsid w:val="00156297"/>
    <w:rsid w:val="00157130"/>
    <w:rsid w:val="001577BC"/>
    <w:rsid w:val="00157DB2"/>
    <w:rsid w:val="001608F8"/>
    <w:rsid w:val="001609BB"/>
    <w:rsid w:val="00160F40"/>
    <w:rsid w:val="001611BF"/>
    <w:rsid w:val="0016145C"/>
    <w:rsid w:val="00161D19"/>
    <w:rsid w:val="00162913"/>
    <w:rsid w:val="00163EFF"/>
    <w:rsid w:val="001647D4"/>
    <w:rsid w:val="001661FB"/>
    <w:rsid w:val="00171E21"/>
    <w:rsid w:val="00172BA4"/>
    <w:rsid w:val="0017353B"/>
    <w:rsid w:val="00174A7A"/>
    <w:rsid w:val="0017640E"/>
    <w:rsid w:val="001769B2"/>
    <w:rsid w:val="00176AF2"/>
    <w:rsid w:val="0017703D"/>
    <w:rsid w:val="00177C47"/>
    <w:rsid w:val="00177FF1"/>
    <w:rsid w:val="00180B2B"/>
    <w:rsid w:val="00181908"/>
    <w:rsid w:val="00183E09"/>
    <w:rsid w:val="0018413D"/>
    <w:rsid w:val="0018439E"/>
    <w:rsid w:val="0018482D"/>
    <w:rsid w:val="0018590D"/>
    <w:rsid w:val="00185E1D"/>
    <w:rsid w:val="00186CA6"/>
    <w:rsid w:val="00186E44"/>
    <w:rsid w:val="001876B3"/>
    <w:rsid w:val="00187B9D"/>
    <w:rsid w:val="00187F6F"/>
    <w:rsid w:val="00190A8E"/>
    <w:rsid w:val="00192432"/>
    <w:rsid w:val="00193DBA"/>
    <w:rsid w:val="0019428E"/>
    <w:rsid w:val="0019435E"/>
    <w:rsid w:val="001948F9"/>
    <w:rsid w:val="0019496E"/>
    <w:rsid w:val="00195222"/>
    <w:rsid w:val="001952F5"/>
    <w:rsid w:val="00195BF1"/>
    <w:rsid w:val="0019667C"/>
    <w:rsid w:val="001971A6"/>
    <w:rsid w:val="001971FD"/>
    <w:rsid w:val="001975D8"/>
    <w:rsid w:val="00197644"/>
    <w:rsid w:val="00197BE1"/>
    <w:rsid w:val="001A1D2F"/>
    <w:rsid w:val="001A2CB7"/>
    <w:rsid w:val="001A2EE4"/>
    <w:rsid w:val="001A3080"/>
    <w:rsid w:val="001A3CB6"/>
    <w:rsid w:val="001A4E8A"/>
    <w:rsid w:val="001A746A"/>
    <w:rsid w:val="001A783F"/>
    <w:rsid w:val="001A791F"/>
    <w:rsid w:val="001B0511"/>
    <w:rsid w:val="001B07F9"/>
    <w:rsid w:val="001B1385"/>
    <w:rsid w:val="001B199C"/>
    <w:rsid w:val="001B2C38"/>
    <w:rsid w:val="001B2C4F"/>
    <w:rsid w:val="001B2D68"/>
    <w:rsid w:val="001B3443"/>
    <w:rsid w:val="001B355D"/>
    <w:rsid w:val="001B498D"/>
    <w:rsid w:val="001B520A"/>
    <w:rsid w:val="001B6188"/>
    <w:rsid w:val="001B6213"/>
    <w:rsid w:val="001B7824"/>
    <w:rsid w:val="001B7A27"/>
    <w:rsid w:val="001B7CBA"/>
    <w:rsid w:val="001C07B1"/>
    <w:rsid w:val="001C1030"/>
    <w:rsid w:val="001C1199"/>
    <w:rsid w:val="001C1FCB"/>
    <w:rsid w:val="001C323C"/>
    <w:rsid w:val="001C3D81"/>
    <w:rsid w:val="001C4185"/>
    <w:rsid w:val="001C4485"/>
    <w:rsid w:val="001C4518"/>
    <w:rsid w:val="001C53F8"/>
    <w:rsid w:val="001C60C4"/>
    <w:rsid w:val="001C6E66"/>
    <w:rsid w:val="001C6F5A"/>
    <w:rsid w:val="001D0BC7"/>
    <w:rsid w:val="001D0CC2"/>
    <w:rsid w:val="001D0D6D"/>
    <w:rsid w:val="001D0DF3"/>
    <w:rsid w:val="001D112E"/>
    <w:rsid w:val="001D204F"/>
    <w:rsid w:val="001D2157"/>
    <w:rsid w:val="001D2E7B"/>
    <w:rsid w:val="001D3897"/>
    <w:rsid w:val="001D41CD"/>
    <w:rsid w:val="001D48D3"/>
    <w:rsid w:val="001D57B4"/>
    <w:rsid w:val="001D67E9"/>
    <w:rsid w:val="001D72DC"/>
    <w:rsid w:val="001D7C49"/>
    <w:rsid w:val="001E04C4"/>
    <w:rsid w:val="001E06CD"/>
    <w:rsid w:val="001E200D"/>
    <w:rsid w:val="001E2078"/>
    <w:rsid w:val="001E221E"/>
    <w:rsid w:val="001E222C"/>
    <w:rsid w:val="001E238E"/>
    <w:rsid w:val="001E2390"/>
    <w:rsid w:val="001E2900"/>
    <w:rsid w:val="001E3F75"/>
    <w:rsid w:val="001E52EB"/>
    <w:rsid w:val="001E6EAA"/>
    <w:rsid w:val="001E740C"/>
    <w:rsid w:val="001F0451"/>
    <w:rsid w:val="001F0BEA"/>
    <w:rsid w:val="001F1235"/>
    <w:rsid w:val="001F1CB3"/>
    <w:rsid w:val="001F1D14"/>
    <w:rsid w:val="001F2699"/>
    <w:rsid w:val="001F291A"/>
    <w:rsid w:val="001F294D"/>
    <w:rsid w:val="001F299B"/>
    <w:rsid w:val="001F3054"/>
    <w:rsid w:val="001F45F6"/>
    <w:rsid w:val="001F4EA3"/>
    <w:rsid w:val="001F5E8D"/>
    <w:rsid w:val="001F6AE2"/>
    <w:rsid w:val="001F7361"/>
    <w:rsid w:val="00200A42"/>
    <w:rsid w:val="00201456"/>
    <w:rsid w:val="00201F7C"/>
    <w:rsid w:val="002024FD"/>
    <w:rsid w:val="002025FE"/>
    <w:rsid w:val="00202DDE"/>
    <w:rsid w:val="002035B5"/>
    <w:rsid w:val="00203D73"/>
    <w:rsid w:val="00204011"/>
    <w:rsid w:val="00204853"/>
    <w:rsid w:val="00205209"/>
    <w:rsid w:val="0020598D"/>
    <w:rsid w:val="00205A93"/>
    <w:rsid w:val="00205AD6"/>
    <w:rsid w:val="00206CA0"/>
    <w:rsid w:val="002073C9"/>
    <w:rsid w:val="0021004E"/>
    <w:rsid w:val="002105C1"/>
    <w:rsid w:val="00210E5E"/>
    <w:rsid w:val="00211099"/>
    <w:rsid w:val="002115F4"/>
    <w:rsid w:val="0021220E"/>
    <w:rsid w:val="0021490B"/>
    <w:rsid w:val="00214C77"/>
    <w:rsid w:val="00214CDD"/>
    <w:rsid w:val="002151F4"/>
    <w:rsid w:val="00215430"/>
    <w:rsid w:val="002156B7"/>
    <w:rsid w:val="00215C79"/>
    <w:rsid w:val="00216572"/>
    <w:rsid w:val="0021772C"/>
    <w:rsid w:val="002206A7"/>
    <w:rsid w:val="00220726"/>
    <w:rsid w:val="00220BA4"/>
    <w:rsid w:val="00221BB6"/>
    <w:rsid w:val="00222411"/>
    <w:rsid w:val="00222E8F"/>
    <w:rsid w:val="002234F1"/>
    <w:rsid w:val="00223B49"/>
    <w:rsid w:val="00224067"/>
    <w:rsid w:val="00224DD4"/>
    <w:rsid w:val="002250E3"/>
    <w:rsid w:val="002256E9"/>
    <w:rsid w:val="00225760"/>
    <w:rsid w:val="00227027"/>
    <w:rsid w:val="00227B76"/>
    <w:rsid w:val="0023070C"/>
    <w:rsid w:val="0023079D"/>
    <w:rsid w:val="002309CC"/>
    <w:rsid w:val="00230BF2"/>
    <w:rsid w:val="0023113A"/>
    <w:rsid w:val="00231AE3"/>
    <w:rsid w:val="00232163"/>
    <w:rsid w:val="0023397C"/>
    <w:rsid w:val="00235FA7"/>
    <w:rsid w:val="002402A2"/>
    <w:rsid w:val="002416A9"/>
    <w:rsid w:val="00242112"/>
    <w:rsid w:val="002425A7"/>
    <w:rsid w:val="00242955"/>
    <w:rsid w:val="00243026"/>
    <w:rsid w:val="002434E3"/>
    <w:rsid w:val="002437D5"/>
    <w:rsid w:val="00244102"/>
    <w:rsid w:val="002446D4"/>
    <w:rsid w:val="00245081"/>
    <w:rsid w:val="0024542D"/>
    <w:rsid w:val="00245610"/>
    <w:rsid w:val="00245730"/>
    <w:rsid w:val="00245F71"/>
    <w:rsid w:val="0024607A"/>
    <w:rsid w:val="00246800"/>
    <w:rsid w:val="00246B08"/>
    <w:rsid w:val="00246D0E"/>
    <w:rsid w:val="00246D37"/>
    <w:rsid w:val="00250195"/>
    <w:rsid w:val="0025023F"/>
    <w:rsid w:val="002505F0"/>
    <w:rsid w:val="00250DC9"/>
    <w:rsid w:val="0025105E"/>
    <w:rsid w:val="00251332"/>
    <w:rsid w:val="002513E3"/>
    <w:rsid w:val="0025370B"/>
    <w:rsid w:val="00253E27"/>
    <w:rsid w:val="00254367"/>
    <w:rsid w:val="00254766"/>
    <w:rsid w:val="00254806"/>
    <w:rsid w:val="00254C39"/>
    <w:rsid w:val="002552DF"/>
    <w:rsid w:val="0025534B"/>
    <w:rsid w:val="00255BB7"/>
    <w:rsid w:val="00256A23"/>
    <w:rsid w:val="002570C5"/>
    <w:rsid w:val="00257418"/>
    <w:rsid w:val="0026076A"/>
    <w:rsid w:val="00260869"/>
    <w:rsid w:val="00260A89"/>
    <w:rsid w:val="00260BEE"/>
    <w:rsid w:val="0026100E"/>
    <w:rsid w:val="00261776"/>
    <w:rsid w:val="002619C8"/>
    <w:rsid w:val="00262A87"/>
    <w:rsid w:val="002643A3"/>
    <w:rsid w:val="00265C49"/>
    <w:rsid w:val="00265CD6"/>
    <w:rsid w:val="0026612D"/>
    <w:rsid w:val="00266DC8"/>
    <w:rsid w:val="00270CD5"/>
    <w:rsid w:val="002712A2"/>
    <w:rsid w:val="0027175D"/>
    <w:rsid w:val="00271A40"/>
    <w:rsid w:val="00271F90"/>
    <w:rsid w:val="00272209"/>
    <w:rsid w:val="002733BC"/>
    <w:rsid w:val="00273B7D"/>
    <w:rsid w:val="00274DE8"/>
    <w:rsid w:val="00275185"/>
    <w:rsid w:val="002753EF"/>
    <w:rsid w:val="002758F8"/>
    <w:rsid w:val="00275C5A"/>
    <w:rsid w:val="0027681A"/>
    <w:rsid w:val="00276B3F"/>
    <w:rsid w:val="00276FB2"/>
    <w:rsid w:val="00277445"/>
    <w:rsid w:val="002775D6"/>
    <w:rsid w:val="00277C22"/>
    <w:rsid w:val="002801DF"/>
    <w:rsid w:val="00280FB3"/>
    <w:rsid w:val="00281EE1"/>
    <w:rsid w:val="00282051"/>
    <w:rsid w:val="002826DA"/>
    <w:rsid w:val="002827F2"/>
    <w:rsid w:val="00282DB9"/>
    <w:rsid w:val="00283013"/>
    <w:rsid w:val="0028315E"/>
    <w:rsid w:val="0028371F"/>
    <w:rsid w:val="002863F3"/>
    <w:rsid w:val="00286531"/>
    <w:rsid w:val="0028713B"/>
    <w:rsid w:val="00287A1B"/>
    <w:rsid w:val="00287AE2"/>
    <w:rsid w:val="00287C21"/>
    <w:rsid w:val="0029065E"/>
    <w:rsid w:val="00290D9E"/>
    <w:rsid w:val="00291360"/>
    <w:rsid w:val="00291E19"/>
    <w:rsid w:val="002920D7"/>
    <w:rsid w:val="00295126"/>
    <w:rsid w:val="00295477"/>
    <w:rsid w:val="00295E77"/>
    <w:rsid w:val="00296ED6"/>
    <w:rsid w:val="002A14AB"/>
    <w:rsid w:val="002A1693"/>
    <w:rsid w:val="002A2F08"/>
    <w:rsid w:val="002A32DD"/>
    <w:rsid w:val="002A53F2"/>
    <w:rsid w:val="002A5D79"/>
    <w:rsid w:val="002A631E"/>
    <w:rsid w:val="002A6A0B"/>
    <w:rsid w:val="002A746A"/>
    <w:rsid w:val="002A7688"/>
    <w:rsid w:val="002B021D"/>
    <w:rsid w:val="002B0A8B"/>
    <w:rsid w:val="002B0E62"/>
    <w:rsid w:val="002B12FD"/>
    <w:rsid w:val="002B19ED"/>
    <w:rsid w:val="002B1C1F"/>
    <w:rsid w:val="002B239F"/>
    <w:rsid w:val="002B36DE"/>
    <w:rsid w:val="002B3BE2"/>
    <w:rsid w:val="002B3E14"/>
    <w:rsid w:val="002B432F"/>
    <w:rsid w:val="002B489B"/>
    <w:rsid w:val="002B4C11"/>
    <w:rsid w:val="002B5106"/>
    <w:rsid w:val="002B523A"/>
    <w:rsid w:val="002B538B"/>
    <w:rsid w:val="002B5F92"/>
    <w:rsid w:val="002B6497"/>
    <w:rsid w:val="002B6CCE"/>
    <w:rsid w:val="002B78C0"/>
    <w:rsid w:val="002C10B0"/>
    <w:rsid w:val="002C117C"/>
    <w:rsid w:val="002C27C1"/>
    <w:rsid w:val="002C3B03"/>
    <w:rsid w:val="002C3B69"/>
    <w:rsid w:val="002C48B6"/>
    <w:rsid w:val="002C5133"/>
    <w:rsid w:val="002C5453"/>
    <w:rsid w:val="002C5ADD"/>
    <w:rsid w:val="002C6451"/>
    <w:rsid w:val="002C6491"/>
    <w:rsid w:val="002C6F30"/>
    <w:rsid w:val="002C72D4"/>
    <w:rsid w:val="002C762F"/>
    <w:rsid w:val="002D0661"/>
    <w:rsid w:val="002D1F8E"/>
    <w:rsid w:val="002D2ACD"/>
    <w:rsid w:val="002D3200"/>
    <w:rsid w:val="002D3B21"/>
    <w:rsid w:val="002D5BE0"/>
    <w:rsid w:val="002D5D93"/>
    <w:rsid w:val="002D647D"/>
    <w:rsid w:val="002D72EB"/>
    <w:rsid w:val="002D7510"/>
    <w:rsid w:val="002D7B72"/>
    <w:rsid w:val="002E0865"/>
    <w:rsid w:val="002E18C6"/>
    <w:rsid w:val="002E313B"/>
    <w:rsid w:val="002E3C94"/>
    <w:rsid w:val="002E41F8"/>
    <w:rsid w:val="002E4479"/>
    <w:rsid w:val="002E4CBD"/>
    <w:rsid w:val="002F15D3"/>
    <w:rsid w:val="002F27B5"/>
    <w:rsid w:val="002F2C36"/>
    <w:rsid w:val="002F3AFC"/>
    <w:rsid w:val="002F4272"/>
    <w:rsid w:val="002F46DF"/>
    <w:rsid w:val="002F4E86"/>
    <w:rsid w:val="002F50EC"/>
    <w:rsid w:val="002F58AE"/>
    <w:rsid w:val="002F5A37"/>
    <w:rsid w:val="002F7D37"/>
    <w:rsid w:val="002F7D62"/>
    <w:rsid w:val="00301017"/>
    <w:rsid w:val="00301532"/>
    <w:rsid w:val="00301798"/>
    <w:rsid w:val="003022BA"/>
    <w:rsid w:val="003023E6"/>
    <w:rsid w:val="0030276D"/>
    <w:rsid w:val="00302DB3"/>
    <w:rsid w:val="0030330D"/>
    <w:rsid w:val="003043F2"/>
    <w:rsid w:val="003046CB"/>
    <w:rsid w:val="00305580"/>
    <w:rsid w:val="003067A7"/>
    <w:rsid w:val="003071B7"/>
    <w:rsid w:val="0030741C"/>
    <w:rsid w:val="0030746F"/>
    <w:rsid w:val="00307711"/>
    <w:rsid w:val="0030786C"/>
    <w:rsid w:val="0031031A"/>
    <w:rsid w:val="00311636"/>
    <w:rsid w:val="003121FC"/>
    <w:rsid w:val="00312683"/>
    <w:rsid w:val="003130DC"/>
    <w:rsid w:val="00313456"/>
    <w:rsid w:val="00314C40"/>
    <w:rsid w:val="00315498"/>
    <w:rsid w:val="003166B7"/>
    <w:rsid w:val="00316B23"/>
    <w:rsid w:val="003175FE"/>
    <w:rsid w:val="0032038A"/>
    <w:rsid w:val="00320596"/>
    <w:rsid w:val="00321443"/>
    <w:rsid w:val="00322215"/>
    <w:rsid w:val="003224F6"/>
    <w:rsid w:val="00322B3F"/>
    <w:rsid w:val="0032310D"/>
    <w:rsid w:val="003247A8"/>
    <w:rsid w:val="003253E8"/>
    <w:rsid w:val="00325ECA"/>
    <w:rsid w:val="00326C10"/>
    <w:rsid w:val="00327EBD"/>
    <w:rsid w:val="00331130"/>
    <w:rsid w:val="0033338C"/>
    <w:rsid w:val="003339AD"/>
    <w:rsid w:val="00334395"/>
    <w:rsid w:val="00334AFD"/>
    <w:rsid w:val="0033551B"/>
    <w:rsid w:val="0033565F"/>
    <w:rsid w:val="00335911"/>
    <w:rsid w:val="003366C9"/>
    <w:rsid w:val="00336B12"/>
    <w:rsid w:val="00337052"/>
    <w:rsid w:val="0033759C"/>
    <w:rsid w:val="00340FDC"/>
    <w:rsid w:val="00342A2F"/>
    <w:rsid w:val="00344216"/>
    <w:rsid w:val="003443A5"/>
    <w:rsid w:val="00344C79"/>
    <w:rsid w:val="00346C14"/>
    <w:rsid w:val="003479B5"/>
    <w:rsid w:val="00350007"/>
    <w:rsid w:val="003515BC"/>
    <w:rsid w:val="00351C56"/>
    <w:rsid w:val="003526E4"/>
    <w:rsid w:val="003527F5"/>
    <w:rsid w:val="00352F9B"/>
    <w:rsid w:val="00353968"/>
    <w:rsid w:val="00354196"/>
    <w:rsid w:val="003541A6"/>
    <w:rsid w:val="003550E2"/>
    <w:rsid w:val="0035620E"/>
    <w:rsid w:val="00357DCF"/>
    <w:rsid w:val="003609F3"/>
    <w:rsid w:val="003617C8"/>
    <w:rsid w:val="003618E1"/>
    <w:rsid w:val="00361F8B"/>
    <w:rsid w:val="00362070"/>
    <w:rsid w:val="0036283D"/>
    <w:rsid w:val="00362C4A"/>
    <w:rsid w:val="00362DFD"/>
    <w:rsid w:val="003640A1"/>
    <w:rsid w:val="00365314"/>
    <w:rsid w:val="0036689E"/>
    <w:rsid w:val="00366A4E"/>
    <w:rsid w:val="003679BB"/>
    <w:rsid w:val="00370B19"/>
    <w:rsid w:val="00370B7B"/>
    <w:rsid w:val="00370BE0"/>
    <w:rsid w:val="003712CA"/>
    <w:rsid w:val="003719EC"/>
    <w:rsid w:val="00371AE9"/>
    <w:rsid w:val="003738E8"/>
    <w:rsid w:val="00373A90"/>
    <w:rsid w:val="003742E8"/>
    <w:rsid w:val="00374466"/>
    <w:rsid w:val="0037619B"/>
    <w:rsid w:val="003770A5"/>
    <w:rsid w:val="00377E17"/>
    <w:rsid w:val="00380B0B"/>
    <w:rsid w:val="0038104D"/>
    <w:rsid w:val="00381052"/>
    <w:rsid w:val="00382821"/>
    <w:rsid w:val="00382F8B"/>
    <w:rsid w:val="0038365C"/>
    <w:rsid w:val="00383CD5"/>
    <w:rsid w:val="00383EFB"/>
    <w:rsid w:val="00384935"/>
    <w:rsid w:val="003855C0"/>
    <w:rsid w:val="00385AE1"/>
    <w:rsid w:val="00386295"/>
    <w:rsid w:val="00386D9D"/>
    <w:rsid w:val="00387E86"/>
    <w:rsid w:val="00390613"/>
    <w:rsid w:val="00390F61"/>
    <w:rsid w:val="0039207E"/>
    <w:rsid w:val="003928BF"/>
    <w:rsid w:val="003933A0"/>
    <w:rsid w:val="00393F75"/>
    <w:rsid w:val="00394121"/>
    <w:rsid w:val="003955CE"/>
    <w:rsid w:val="003957B0"/>
    <w:rsid w:val="00395C0B"/>
    <w:rsid w:val="00395DAF"/>
    <w:rsid w:val="003966BE"/>
    <w:rsid w:val="00396FD0"/>
    <w:rsid w:val="00397957"/>
    <w:rsid w:val="00397A28"/>
    <w:rsid w:val="003A1492"/>
    <w:rsid w:val="003A17A0"/>
    <w:rsid w:val="003A1A7A"/>
    <w:rsid w:val="003A249F"/>
    <w:rsid w:val="003A2C74"/>
    <w:rsid w:val="003A4AFE"/>
    <w:rsid w:val="003A4BAE"/>
    <w:rsid w:val="003A60AD"/>
    <w:rsid w:val="003A65BE"/>
    <w:rsid w:val="003A6C9A"/>
    <w:rsid w:val="003B0857"/>
    <w:rsid w:val="003B1389"/>
    <w:rsid w:val="003B16DE"/>
    <w:rsid w:val="003B18A3"/>
    <w:rsid w:val="003B2872"/>
    <w:rsid w:val="003B28E9"/>
    <w:rsid w:val="003B2A5C"/>
    <w:rsid w:val="003B2FF0"/>
    <w:rsid w:val="003B38EF"/>
    <w:rsid w:val="003B468E"/>
    <w:rsid w:val="003B53CA"/>
    <w:rsid w:val="003B5ED8"/>
    <w:rsid w:val="003B665D"/>
    <w:rsid w:val="003B6B68"/>
    <w:rsid w:val="003B728A"/>
    <w:rsid w:val="003B7D79"/>
    <w:rsid w:val="003C12BA"/>
    <w:rsid w:val="003C1C74"/>
    <w:rsid w:val="003C2F87"/>
    <w:rsid w:val="003C31C8"/>
    <w:rsid w:val="003C351D"/>
    <w:rsid w:val="003C39FE"/>
    <w:rsid w:val="003C5229"/>
    <w:rsid w:val="003C59BA"/>
    <w:rsid w:val="003C63D3"/>
    <w:rsid w:val="003C6579"/>
    <w:rsid w:val="003C6995"/>
    <w:rsid w:val="003C7BAC"/>
    <w:rsid w:val="003D0DFA"/>
    <w:rsid w:val="003D176A"/>
    <w:rsid w:val="003D1828"/>
    <w:rsid w:val="003D1F8D"/>
    <w:rsid w:val="003D21CC"/>
    <w:rsid w:val="003D2422"/>
    <w:rsid w:val="003D260C"/>
    <w:rsid w:val="003D2819"/>
    <w:rsid w:val="003D2B92"/>
    <w:rsid w:val="003D34D8"/>
    <w:rsid w:val="003D35A0"/>
    <w:rsid w:val="003D3ACF"/>
    <w:rsid w:val="003D4547"/>
    <w:rsid w:val="003D531A"/>
    <w:rsid w:val="003D53DA"/>
    <w:rsid w:val="003D638A"/>
    <w:rsid w:val="003E1B4A"/>
    <w:rsid w:val="003E26C1"/>
    <w:rsid w:val="003E29C3"/>
    <w:rsid w:val="003E2DAD"/>
    <w:rsid w:val="003E4178"/>
    <w:rsid w:val="003E673E"/>
    <w:rsid w:val="003E7E92"/>
    <w:rsid w:val="003F0A80"/>
    <w:rsid w:val="003F1D5B"/>
    <w:rsid w:val="003F2914"/>
    <w:rsid w:val="003F3397"/>
    <w:rsid w:val="003F4156"/>
    <w:rsid w:val="003F4C52"/>
    <w:rsid w:val="003F5E62"/>
    <w:rsid w:val="003F6965"/>
    <w:rsid w:val="003F7624"/>
    <w:rsid w:val="003F7DE1"/>
    <w:rsid w:val="004006FB"/>
    <w:rsid w:val="004018CC"/>
    <w:rsid w:val="00401B9C"/>
    <w:rsid w:val="00401CDF"/>
    <w:rsid w:val="0040226D"/>
    <w:rsid w:val="00403C6C"/>
    <w:rsid w:val="00403E9F"/>
    <w:rsid w:val="0040478E"/>
    <w:rsid w:val="004051AB"/>
    <w:rsid w:val="004067C8"/>
    <w:rsid w:val="00407A57"/>
    <w:rsid w:val="004102AF"/>
    <w:rsid w:val="00410652"/>
    <w:rsid w:val="00410AE9"/>
    <w:rsid w:val="00410B03"/>
    <w:rsid w:val="00410DFB"/>
    <w:rsid w:val="00410EC7"/>
    <w:rsid w:val="00411B23"/>
    <w:rsid w:val="00411C91"/>
    <w:rsid w:val="00411F91"/>
    <w:rsid w:val="00412EC6"/>
    <w:rsid w:val="004130CC"/>
    <w:rsid w:val="004135F0"/>
    <w:rsid w:val="00413749"/>
    <w:rsid w:val="00413998"/>
    <w:rsid w:val="00414476"/>
    <w:rsid w:val="00415665"/>
    <w:rsid w:val="00415A80"/>
    <w:rsid w:val="00415DEC"/>
    <w:rsid w:val="00416D25"/>
    <w:rsid w:val="00417564"/>
    <w:rsid w:val="00417599"/>
    <w:rsid w:val="0042009B"/>
    <w:rsid w:val="004203CF"/>
    <w:rsid w:val="00420B9F"/>
    <w:rsid w:val="00421314"/>
    <w:rsid w:val="00421BE4"/>
    <w:rsid w:val="004240EA"/>
    <w:rsid w:val="00425032"/>
    <w:rsid w:val="00425B14"/>
    <w:rsid w:val="00425B7B"/>
    <w:rsid w:val="00425CB2"/>
    <w:rsid w:val="00425DBA"/>
    <w:rsid w:val="00426610"/>
    <w:rsid w:val="00430AC8"/>
    <w:rsid w:val="004319F8"/>
    <w:rsid w:val="0043259E"/>
    <w:rsid w:val="00432865"/>
    <w:rsid w:val="004329A5"/>
    <w:rsid w:val="0043352D"/>
    <w:rsid w:val="00433C74"/>
    <w:rsid w:val="00433F30"/>
    <w:rsid w:val="004340C6"/>
    <w:rsid w:val="00435009"/>
    <w:rsid w:val="004369AC"/>
    <w:rsid w:val="00436E39"/>
    <w:rsid w:val="00437074"/>
    <w:rsid w:val="00437258"/>
    <w:rsid w:val="00440B86"/>
    <w:rsid w:val="00441D4D"/>
    <w:rsid w:val="0044269A"/>
    <w:rsid w:val="00443957"/>
    <w:rsid w:val="00443A1F"/>
    <w:rsid w:val="004443A7"/>
    <w:rsid w:val="004444DB"/>
    <w:rsid w:val="00444D90"/>
    <w:rsid w:val="00444F48"/>
    <w:rsid w:val="004455A8"/>
    <w:rsid w:val="004464EB"/>
    <w:rsid w:val="0044674B"/>
    <w:rsid w:val="004471BF"/>
    <w:rsid w:val="0044796D"/>
    <w:rsid w:val="00447C31"/>
    <w:rsid w:val="00447C37"/>
    <w:rsid w:val="004503D0"/>
    <w:rsid w:val="00450B49"/>
    <w:rsid w:val="0045125A"/>
    <w:rsid w:val="0045132E"/>
    <w:rsid w:val="00452743"/>
    <w:rsid w:val="00452DFE"/>
    <w:rsid w:val="00453B41"/>
    <w:rsid w:val="00454048"/>
    <w:rsid w:val="004543D4"/>
    <w:rsid w:val="00455822"/>
    <w:rsid w:val="00455D45"/>
    <w:rsid w:val="0045638B"/>
    <w:rsid w:val="00456688"/>
    <w:rsid w:val="004601FA"/>
    <w:rsid w:val="00460260"/>
    <w:rsid w:val="00460FB3"/>
    <w:rsid w:val="0046112B"/>
    <w:rsid w:val="00462448"/>
    <w:rsid w:val="0046340F"/>
    <w:rsid w:val="004637C7"/>
    <w:rsid w:val="0046421D"/>
    <w:rsid w:val="00464241"/>
    <w:rsid w:val="00464532"/>
    <w:rsid w:val="00464595"/>
    <w:rsid w:val="00464B7C"/>
    <w:rsid w:val="00465380"/>
    <w:rsid w:val="004666C9"/>
    <w:rsid w:val="004667A9"/>
    <w:rsid w:val="00466CE9"/>
    <w:rsid w:val="004675CE"/>
    <w:rsid w:val="004677A6"/>
    <w:rsid w:val="004706D1"/>
    <w:rsid w:val="004714A6"/>
    <w:rsid w:val="0047227A"/>
    <w:rsid w:val="004722AC"/>
    <w:rsid w:val="00472359"/>
    <w:rsid w:val="0047456A"/>
    <w:rsid w:val="0047475B"/>
    <w:rsid w:val="004759DF"/>
    <w:rsid w:val="00475CDB"/>
    <w:rsid w:val="00475E3F"/>
    <w:rsid w:val="004765F1"/>
    <w:rsid w:val="00477C76"/>
    <w:rsid w:val="004801B8"/>
    <w:rsid w:val="00480793"/>
    <w:rsid w:val="004835E2"/>
    <w:rsid w:val="00483932"/>
    <w:rsid w:val="00483972"/>
    <w:rsid w:val="004843E9"/>
    <w:rsid w:val="00484EC1"/>
    <w:rsid w:val="0048537D"/>
    <w:rsid w:val="004867A8"/>
    <w:rsid w:val="004867E2"/>
    <w:rsid w:val="0048693F"/>
    <w:rsid w:val="0049001A"/>
    <w:rsid w:val="0049192E"/>
    <w:rsid w:val="00491B3A"/>
    <w:rsid w:val="00491D0C"/>
    <w:rsid w:val="0049274D"/>
    <w:rsid w:val="00492B9C"/>
    <w:rsid w:val="004931C4"/>
    <w:rsid w:val="004939FE"/>
    <w:rsid w:val="00493BAA"/>
    <w:rsid w:val="004942AE"/>
    <w:rsid w:val="00494B4D"/>
    <w:rsid w:val="00495BC3"/>
    <w:rsid w:val="00495BD9"/>
    <w:rsid w:val="004965EE"/>
    <w:rsid w:val="004968B4"/>
    <w:rsid w:val="00496A69"/>
    <w:rsid w:val="00496D49"/>
    <w:rsid w:val="004972DC"/>
    <w:rsid w:val="004974C8"/>
    <w:rsid w:val="004976CD"/>
    <w:rsid w:val="00497F10"/>
    <w:rsid w:val="004A039F"/>
    <w:rsid w:val="004A05F4"/>
    <w:rsid w:val="004A078B"/>
    <w:rsid w:val="004A0DA1"/>
    <w:rsid w:val="004A12A3"/>
    <w:rsid w:val="004A13E2"/>
    <w:rsid w:val="004A1600"/>
    <w:rsid w:val="004A1F63"/>
    <w:rsid w:val="004A2EA2"/>
    <w:rsid w:val="004A4CB0"/>
    <w:rsid w:val="004A5C3A"/>
    <w:rsid w:val="004A6597"/>
    <w:rsid w:val="004A670F"/>
    <w:rsid w:val="004A7338"/>
    <w:rsid w:val="004A73B2"/>
    <w:rsid w:val="004A7D35"/>
    <w:rsid w:val="004B0E3C"/>
    <w:rsid w:val="004B11C0"/>
    <w:rsid w:val="004B1954"/>
    <w:rsid w:val="004B1BFD"/>
    <w:rsid w:val="004B282D"/>
    <w:rsid w:val="004B2F18"/>
    <w:rsid w:val="004B3A1B"/>
    <w:rsid w:val="004B3DDB"/>
    <w:rsid w:val="004B3E93"/>
    <w:rsid w:val="004B4229"/>
    <w:rsid w:val="004B44FD"/>
    <w:rsid w:val="004B5089"/>
    <w:rsid w:val="004B578E"/>
    <w:rsid w:val="004B5CFC"/>
    <w:rsid w:val="004B64E6"/>
    <w:rsid w:val="004B76C4"/>
    <w:rsid w:val="004C04D5"/>
    <w:rsid w:val="004C0C85"/>
    <w:rsid w:val="004C0E19"/>
    <w:rsid w:val="004C1043"/>
    <w:rsid w:val="004C16DB"/>
    <w:rsid w:val="004C1C2A"/>
    <w:rsid w:val="004C205D"/>
    <w:rsid w:val="004C2547"/>
    <w:rsid w:val="004C3E56"/>
    <w:rsid w:val="004C4AED"/>
    <w:rsid w:val="004C5B5A"/>
    <w:rsid w:val="004C5D6C"/>
    <w:rsid w:val="004C66FC"/>
    <w:rsid w:val="004C6D93"/>
    <w:rsid w:val="004D1E81"/>
    <w:rsid w:val="004D268B"/>
    <w:rsid w:val="004D317A"/>
    <w:rsid w:val="004D37B5"/>
    <w:rsid w:val="004D4661"/>
    <w:rsid w:val="004D4AD3"/>
    <w:rsid w:val="004D4E54"/>
    <w:rsid w:val="004D566F"/>
    <w:rsid w:val="004D5A97"/>
    <w:rsid w:val="004D67C2"/>
    <w:rsid w:val="004D6AB2"/>
    <w:rsid w:val="004E0EB8"/>
    <w:rsid w:val="004E2836"/>
    <w:rsid w:val="004E2ADC"/>
    <w:rsid w:val="004E2D7B"/>
    <w:rsid w:val="004E66E1"/>
    <w:rsid w:val="004E72CD"/>
    <w:rsid w:val="004E7F89"/>
    <w:rsid w:val="004F08D2"/>
    <w:rsid w:val="004F09BD"/>
    <w:rsid w:val="004F0B0C"/>
    <w:rsid w:val="004F10CB"/>
    <w:rsid w:val="004F11CF"/>
    <w:rsid w:val="004F157C"/>
    <w:rsid w:val="004F1D02"/>
    <w:rsid w:val="004F222A"/>
    <w:rsid w:val="004F237F"/>
    <w:rsid w:val="004F2679"/>
    <w:rsid w:val="004F2A8E"/>
    <w:rsid w:val="004F343C"/>
    <w:rsid w:val="004F359A"/>
    <w:rsid w:val="004F35A6"/>
    <w:rsid w:val="004F4169"/>
    <w:rsid w:val="004F4CF6"/>
    <w:rsid w:val="004F535A"/>
    <w:rsid w:val="004F6AE2"/>
    <w:rsid w:val="004F767E"/>
    <w:rsid w:val="0050019F"/>
    <w:rsid w:val="00500352"/>
    <w:rsid w:val="005008F4"/>
    <w:rsid w:val="00500BBB"/>
    <w:rsid w:val="0050101E"/>
    <w:rsid w:val="005017D9"/>
    <w:rsid w:val="00501913"/>
    <w:rsid w:val="00501DCC"/>
    <w:rsid w:val="0050269C"/>
    <w:rsid w:val="005030A9"/>
    <w:rsid w:val="00503854"/>
    <w:rsid w:val="0050429B"/>
    <w:rsid w:val="0050541C"/>
    <w:rsid w:val="00506A54"/>
    <w:rsid w:val="00506E16"/>
    <w:rsid w:val="00507A62"/>
    <w:rsid w:val="00511DDA"/>
    <w:rsid w:val="005120AB"/>
    <w:rsid w:val="005122EB"/>
    <w:rsid w:val="00512C69"/>
    <w:rsid w:val="00514B6C"/>
    <w:rsid w:val="005152B5"/>
    <w:rsid w:val="00515DC6"/>
    <w:rsid w:val="00520322"/>
    <w:rsid w:val="00521319"/>
    <w:rsid w:val="005217E3"/>
    <w:rsid w:val="005219AC"/>
    <w:rsid w:val="00521EDD"/>
    <w:rsid w:val="00521FF6"/>
    <w:rsid w:val="00523C28"/>
    <w:rsid w:val="00523DAD"/>
    <w:rsid w:val="00524385"/>
    <w:rsid w:val="005246A8"/>
    <w:rsid w:val="005246C8"/>
    <w:rsid w:val="00525EDE"/>
    <w:rsid w:val="005270A2"/>
    <w:rsid w:val="00527276"/>
    <w:rsid w:val="00530547"/>
    <w:rsid w:val="00532B85"/>
    <w:rsid w:val="00533221"/>
    <w:rsid w:val="0053475F"/>
    <w:rsid w:val="00535901"/>
    <w:rsid w:val="00536007"/>
    <w:rsid w:val="0053661B"/>
    <w:rsid w:val="005375E6"/>
    <w:rsid w:val="00537A2C"/>
    <w:rsid w:val="00540433"/>
    <w:rsid w:val="0054103C"/>
    <w:rsid w:val="005446A3"/>
    <w:rsid w:val="00544FF5"/>
    <w:rsid w:val="005452BD"/>
    <w:rsid w:val="00545964"/>
    <w:rsid w:val="0055098F"/>
    <w:rsid w:val="00550CAC"/>
    <w:rsid w:val="00551B01"/>
    <w:rsid w:val="00552243"/>
    <w:rsid w:val="00552330"/>
    <w:rsid w:val="00552F01"/>
    <w:rsid w:val="0055332D"/>
    <w:rsid w:val="00553D8F"/>
    <w:rsid w:val="005540E7"/>
    <w:rsid w:val="00555109"/>
    <w:rsid w:val="00556915"/>
    <w:rsid w:val="00556BF4"/>
    <w:rsid w:val="0055707D"/>
    <w:rsid w:val="00557957"/>
    <w:rsid w:val="00561195"/>
    <w:rsid w:val="00561C52"/>
    <w:rsid w:val="00561F95"/>
    <w:rsid w:val="0056276A"/>
    <w:rsid w:val="005628EE"/>
    <w:rsid w:val="0056333D"/>
    <w:rsid w:val="00563568"/>
    <w:rsid w:val="005645EC"/>
    <w:rsid w:val="00565230"/>
    <w:rsid w:val="005654EA"/>
    <w:rsid w:val="0056634F"/>
    <w:rsid w:val="0056664A"/>
    <w:rsid w:val="0056696F"/>
    <w:rsid w:val="00566C74"/>
    <w:rsid w:val="005678DF"/>
    <w:rsid w:val="00570A72"/>
    <w:rsid w:val="00572247"/>
    <w:rsid w:val="0057492F"/>
    <w:rsid w:val="00574CCD"/>
    <w:rsid w:val="00575024"/>
    <w:rsid w:val="005754AC"/>
    <w:rsid w:val="005755D8"/>
    <w:rsid w:val="00575761"/>
    <w:rsid w:val="00576972"/>
    <w:rsid w:val="0057705F"/>
    <w:rsid w:val="0057729E"/>
    <w:rsid w:val="00577717"/>
    <w:rsid w:val="00580101"/>
    <w:rsid w:val="005801E9"/>
    <w:rsid w:val="005809B6"/>
    <w:rsid w:val="00580F71"/>
    <w:rsid w:val="0058175D"/>
    <w:rsid w:val="00583516"/>
    <w:rsid w:val="00583699"/>
    <w:rsid w:val="005836A7"/>
    <w:rsid w:val="00583DFE"/>
    <w:rsid w:val="00584CE4"/>
    <w:rsid w:val="00585498"/>
    <w:rsid w:val="00590DEC"/>
    <w:rsid w:val="005911FA"/>
    <w:rsid w:val="005918A7"/>
    <w:rsid w:val="00591B3E"/>
    <w:rsid w:val="00591B7A"/>
    <w:rsid w:val="005935FF"/>
    <w:rsid w:val="00595CCC"/>
    <w:rsid w:val="00595DA8"/>
    <w:rsid w:val="0059685C"/>
    <w:rsid w:val="005A0511"/>
    <w:rsid w:val="005A05B7"/>
    <w:rsid w:val="005A0ABD"/>
    <w:rsid w:val="005A10F0"/>
    <w:rsid w:val="005A266A"/>
    <w:rsid w:val="005A29CC"/>
    <w:rsid w:val="005A2A92"/>
    <w:rsid w:val="005A3DD2"/>
    <w:rsid w:val="005A4C36"/>
    <w:rsid w:val="005A4DA6"/>
    <w:rsid w:val="005A68A7"/>
    <w:rsid w:val="005B0DC7"/>
    <w:rsid w:val="005B2489"/>
    <w:rsid w:val="005B2981"/>
    <w:rsid w:val="005B4AAA"/>
    <w:rsid w:val="005B5857"/>
    <w:rsid w:val="005B6CB9"/>
    <w:rsid w:val="005B7036"/>
    <w:rsid w:val="005B7563"/>
    <w:rsid w:val="005B7AB3"/>
    <w:rsid w:val="005B7B18"/>
    <w:rsid w:val="005C03DA"/>
    <w:rsid w:val="005C050A"/>
    <w:rsid w:val="005C0C5A"/>
    <w:rsid w:val="005C1B83"/>
    <w:rsid w:val="005C2D7F"/>
    <w:rsid w:val="005C346B"/>
    <w:rsid w:val="005C47BA"/>
    <w:rsid w:val="005C53A7"/>
    <w:rsid w:val="005C7498"/>
    <w:rsid w:val="005C7CCE"/>
    <w:rsid w:val="005D0914"/>
    <w:rsid w:val="005D18AD"/>
    <w:rsid w:val="005D1B4B"/>
    <w:rsid w:val="005D2334"/>
    <w:rsid w:val="005D25CF"/>
    <w:rsid w:val="005D31F5"/>
    <w:rsid w:val="005D3771"/>
    <w:rsid w:val="005D40C0"/>
    <w:rsid w:val="005D47E4"/>
    <w:rsid w:val="005D4A9E"/>
    <w:rsid w:val="005D4C2C"/>
    <w:rsid w:val="005D59B1"/>
    <w:rsid w:val="005D6A18"/>
    <w:rsid w:val="005D797F"/>
    <w:rsid w:val="005D7E3E"/>
    <w:rsid w:val="005E0088"/>
    <w:rsid w:val="005E05F6"/>
    <w:rsid w:val="005E099C"/>
    <w:rsid w:val="005E1EFD"/>
    <w:rsid w:val="005E29FD"/>
    <w:rsid w:val="005E3D68"/>
    <w:rsid w:val="005E5193"/>
    <w:rsid w:val="005E5AD5"/>
    <w:rsid w:val="005E64AE"/>
    <w:rsid w:val="005E6684"/>
    <w:rsid w:val="005E6E1B"/>
    <w:rsid w:val="005E7269"/>
    <w:rsid w:val="005E73CB"/>
    <w:rsid w:val="005E79FB"/>
    <w:rsid w:val="005E7C3B"/>
    <w:rsid w:val="005F0672"/>
    <w:rsid w:val="005F0794"/>
    <w:rsid w:val="005F1D3A"/>
    <w:rsid w:val="005F2706"/>
    <w:rsid w:val="005F4713"/>
    <w:rsid w:val="005F4764"/>
    <w:rsid w:val="005F5405"/>
    <w:rsid w:val="005F6A8F"/>
    <w:rsid w:val="005F7933"/>
    <w:rsid w:val="0060009F"/>
    <w:rsid w:val="006004DC"/>
    <w:rsid w:val="0060061D"/>
    <w:rsid w:val="006013CE"/>
    <w:rsid w:val="00602114"/>
    <w:rsid w:val="0060222A"/>
    <w:rsid w:val="0060230A"/>
    <w:rsid w:val="006025B9"/>
    <w:rsid w:val="00602C0D"/>
    <w:rsid w:val="00602D52"/>
    <w:rsid w:val="006030FE"/>
    <w:rsid w:val="0060336F"/>
    <w:rsid w:val="00605A51"/>
    <w:rsid w:val="00605F7B"/>
    <w:rsid w:val="00606D3E"/>
    <w:rsid w:val="00607112"/>
    <w:rsid w:val="00607669"/>
    <w:rsid w:val="0060797D"/>
    <w:rsid w:val="00610075"/>
    <w:rsid w:val="00610428"/>
    <w:rsid w:val="00610B57"/>
    <w:rsid w:val="00610F59"/>
    <w:rsid w:val="00611409"/>
    <w:rsid w:val="00611D0B"/>
    <w:rsid w:val="00612232"/>
    <w:rsid w:val="00612B0D"/>
    <w:rsid w:val="00612F97"/>
    <w:rsid w:val="0061345F"/>
    <w:rsid w:val="00614A9C"/>
    <w:rsid w:val="0061522A"/>
    <w:rsid w:val="00615323"/>
    <w:rsid w:val="006157A0"/>
    <w:rsid w:val="00615D5F"/>
    <w:rsid w:val="00616035"/>
    <w:rsid w:val="00616298"/>
    <w:rsid w:val="00616802"/>
    <w:rsid w:val="00616D1A"/>
    <w:rsid w:val="00617CE1"/>
    <w:rsid w:val="00617E12"/>
    <w:rsid w:val="006205AE"/>
    <w:rsid w:val="00621477"/>
    <w:rsid w:val="00621BCF"/>
    <w:rsid w:val="00622941"/>
    <w:rsid w:val="00623361"/>
    <w:rsid w:val="00623E6C"/>
    <w:rsid w:val="00624874"/>
    <w:rsid w:val="006252E2"/>
    <w:rsid w:val="006253D8"/>
    <w:rsid w:val="00625A62"/>
    <w:rsid w:val="00625B3D"/>
    <w:rsid w:val="00625EEB"/>
    <w:rsid w:val="0062734C"/>
    <w:rsid w:val="0062795E"/>
    <w:rsid w:val="00627C45"/>
    <w:rsid w:val="00627FD9"/>
    <w:rsid w:val="00631D6B"/>
    <w:rsid w:val="00632F52"/>
    <w:rsid w:val="00633CCD"/>
    <w:rsid w:val="0063479F"/>
    <w:rsid w:val="00634A44"/>
    <w:rsid w:val="0063535C"/>
    <w:rsid w:val="006358CB"/>
    <w:rsid w:val="0063608C"/>
    <w:rsid w:val="006364A1"/>
    <w:rsid w:val="00636690"/>
    <w:rsid w:val="0063679E"/>
    <w:rsid w:val="00636CB9"/>
    <w:rsid w:val="00636DBF"/>
    <w:rsid w:val="00637BFD"/>
    <w:rsid w:val="00637DCE"/>
    <w:rsid w:val="006407CE"/>
    <w:rsid w:val="006412E6"/>
    <w:rsid w:val="00641642"/>
    <w:rsid w:val="00641C3E"/>
    <w:rsid w:val="00642491"/>
    <w:rsid w:val="00642BBB"/>
    <w:rsid w:val="00642FE9"/>
    <w:rsid w:val="00643E13"/>
    <w:rsid w:val="00646089"/>
    <w:rsid w:val="006471CC"/>
    <w:rsid w:val="006501C9"/>
    <w:rsid w:val="0065079F"/>
    <w:rsid w:val="006508F1"/>
    <w:rsid w:val="00650F9A"/>
    <w:rsid w:val="00651822"/>
    <w:rsid w:val="00651870"/>
    <w:rsid w:val="006523AA"/>
    <w:rsid w:val="00654145"/>
    <w:rsid w:val="00654482"/>
    <w:rsid w:val="00655C60"/>
    <w:rsid w:val="00656299"/>
    <w:rsid w:val="00657482"/>
    <w:rsid w:val="00660423"/>
    <w:rsid w:val="00660716"/>
    <w:rsid w:val="0066084E"/>
    <w:rsid w:val="00661301"/>
    <w:rsid w:val="00661AE2"/>
    <w:rsid w:val="00661BA3"/>
    <w:rsid w:val="0066298A"/>
    <w:rsid w:val="00662A83"/>
    <w:rsid w:val="00663241"/>
    <w:rsid w:val="00663C03"/>
    <w:rsid w:val="00663C57"/>
    <w:rsid w:val="00663C9F"/>
    <w:rsid w:val="00665AB2"/>
    <w:rsid w:val="006665FC"/>
    <w:rsid w:val="0066695F"/>
    <w:rsid w:val="00667AC0"/>
    <w:rsid w:val="00667BD2"/>
    <w:rsid w:val="00670EF6"/>
    <w:rsid w:val="00671427"/>
    <w:rsid w:val="006716AF"/>
    <w:rsid w:val="0067230A"/>
    <w:rsid w:val="00672391"/>
    <w:rsid w:val="006724D2"/>
    <w:rsid w:val="00672CFC"/>
    <w:rsid w:val="006732A4"/>
    <w:rsid w:val="00673412"/>
    <w:rsid w:val="00673510"/>
    <w:rsid w:val="00674816"/>
    <w:rsid w:val="00674C95"/>
    <w:rsid w:val="00674E42"/>
    <w:rsid w:val="0067710A"/>
    <w:rsid w:val="0067758D"/>
    <w:rsid w:val="00677904"/>
    <w:rsid w:val="0068052A"/>
    <w:rsid w:val="00680EB0"/>
    <w:rsid w:val="00681C7C"/>
    <w:rsid w:val="00682112"/>
    <w:rsid w:val="00683739"/>
    <w:rsid w:val="006839A5"/>
    <w:rsid w:val="00683C21"/>
    <w:rsid w:val="006845B4"/>
    <w:rsid w:val="0068473A"/>
    <w:rsid w:val="00685EA1"/>
    <w:rsid w:val="00686091"/>
    <w:rsid w:val="00686371"/>
    <w:rsid w:val="006875B1"/>
    <w:rsid w:val="006902E3"/>
    <w:rsid w:val="00690435"/>
    <w:rsid w:val="00690CC8"/>
    <w:rsid w:val="00691152"/>
    <w:rsid w:val="00692274"/>
    <w:rsid w:val="006928E7"/>
    <w:rsid w:val="0069349A"/>
    <w:rsid w:val="00694F44"/>
    <w:rsid w:val="00695CBB"/>
    <w:rsid w:val="00696CB6"/>
    <w:rsid w:val="00696DD0"/>
    <w:rsid w:val="006A1201"/>
    <w:rsid w:val="006A27A5"/>
    <w:rsid w:val="006A27FE"/>
    <w:rsid w:val="006A280F"/>
    <w:rsid w:val="006A3144"/>
    <w:rsid w:val="006A40C1"/>
    <w:rsid w:val="006A64A4"/>
    <w:rsid w:val="006A6F80"/>
    <w:rsid w:val="006A78D6"/>
    <w:rsid w:val="006B063B"/>
    <w:rsid w:val="006B0BA1"/>
    <w:rsid w:val="006B1FAE"/>
    <w:rsid w:val="006B2F03"/>
    <w:rsid w:val="006B3662"/>
    <w:rsid w:val="006B418D"/>
    <w:rsid w:val="006B4437"/>
    <w:rsid w:val="006B5363"/>
    <w:rsid w:val="006B57A0"/>
    <w:rsid w:val="006B5B11"/>
    <w:rsid w:val="006B71CD"/>
    <w:rsid w:val="006B74DD"/>
    <w:rsid w:val="006B7578"/>
    <w:rsid w:val="006B7F22"/>
    <w:rsid w:val="006C03C5"/>
    <w:rsid w:val="006C0D76"/>
    <w:rsid w:val="006C0DA1"/>
    <w:rsid w:val="006C0F0E"/>
    <w:rsid w:val="006C1CA3"/>
    <w:rsid w:val="006C1F0B"/>
    <w:rsid w:val="006C2618"/>
    <w:rsid w:val="006C291F"/>
    <w:rsid w:val="006C2A8E"/>
    <w:rsid w:val="006C3A5B"/>
    <w:rsid w:val="006C3AA7"/>
    <w:rsid w:val="006C592C"/>
    <w:rsid w:val="006C596B"/>
    <w:rsid w:val="006C7421"/>
    <w:rsid w:val="006D00A5"/>
    <w:rsid w:val="006D0EAB"/>
    <w:rsid w:val="006D107A"/>
    <w:rsid w:val="006D122D"/>
    <w:rsid w:val="006D1B78"/>
    <w:rsid w:val="006D28D9"/>
    <w:rsid w:val="006D29B0"/>
    <w:rsid w:val="006D3C7D"/>
    <w:rsid w:val="006D3DDA"/>
    <w:rsid w:val="006D5C4B"/>
    <w:rsid w:val="006D67AD"/>
    <w:rsid w:val="006D68D5"/>
    <w:rsid w:val="006E19B6"/>
    <w:rsid w:val="006E1B45"/>
    <w:rsid w:val="006E1C1B"/>
    <w:rsid w:val="006E204F"/>
    <w:rsid w:val="006E286B"/>
    <w:rsid w:val="006E29F2"/>
    <w:rsid w:val="006E2D42"/>
    <w:rsid w:val="006E55CE"/>
    <w:rsid w:val="006E6109"/>
    <w:rsid w:val="006E66D9"/>
    <w:rsid w:val="006E76C0"/>
    <w:rsid w:val="006F02F1"/>
    <w:rsid w:val="006F1834"/>
    <w:rsid w:val="006F188F"/>
    <w:rsid w:val="006F1E00"/>
    <w:rsid w:val="006F2179"/>
    <w:rsid w:val="006F2829"/>
    <w:rsid w:val="006F3045"/>
    <w:rsid w:val="006F3296"/>
    <w:rsid w:val="006F366F"/>
    <w:rsid w:val="006F40DA"/>
    <w:rsid w:val="006F60C6"/>
    <w:rsid w:val="006F63A5"/>
    <w:rsid w:val="006F7A7C"/>
    <w:rsid w:val="00700585"/>
    <w:rsid w:val="00701522"/>
    <w:rsid w:val="007016F6"/>
    <w:rsid w:val="0070203F"/>
    <w:rsid w:val="00702080"/>
    <w:rsid w:val="0070259A"/>
    <w:rsid w:val="0070276E"/>
    <w:rsid w:val="007031E2"/>
    <w:rsid w:val="0070335C"/>
    <w:rsid w:val="00703408"/>
    <w:rsid w:val="007037F1"/>
    <w:rsid w:val="007042DE"/>
    <w:rsid w:val="00704A8E"/>
    <w:rsid w:val="007051F5"/>
    <w:rsid w:val="007056F6"/>
    <w:rsid w:val="0070642B"/>
    <w:rsid w:val="007067A9"/>
    <w:rsid w:val="00707C87"/>
    <w:rsid w:val="007108BE"/>
    <w:rsid w:val="00711A36"/>
    <w:rsid w:val="007126E3"/>
    <w:rsid w:val="00712BF9"/>
    <w:rsid w:val="00713AB4"/>
    <w:rsid w:val="00714A3D"/>
    <w:rsid w:val="00715309"/>
    <w:rsid w:val="00715E2C"/>
    <w:rsid w:val="0071680E"/>
    <w:rsid w:val="007169EC"/>
    <w:rsid w:val="00716C84"/>
    <w:rsid w:val="00716E07"/>
    <w:rsid w:val="00716E5B"/>
    <w:rsid w:val="00716FCD"/>
    <w:rsid w:val="007172AD"/>
    <w:rsid w:val="007174ED"/>
    <w:rsid w:val="0071780B"/>
    <w:rsid w:val="00721109"/>
    <w:rsid w:val="007218E2"/>
    <w:rsid w:val="00721D7E"/>
    <w:rsid w:val="00721FEC"/>
    <w:rsid w:val="007225C6"/>
    <w:rsid w:val="00722A2C"/>
    <w:rsid w:val="007234DF"/>
    <w:rsid w:val="00724189"/>
    <w:rsid w:val="00724630"/>
    <w:rsid w:val="007265FB"/>
    <w:rsid w:val="00726815"/>
    <w:rsid w:val="00731492"/>
    <w:rsid w:val="007317EA"/>
    <w:rsid w:val="00731AA9"/>
    <w:rsid w:val="00733106"/>
    <w:rsid w:val="007335B7"/>
    <w:rsid w:val="00733AC6"/>
    <w:rsid w:val="007344EA"/>
    <w:rsid w:val="007350AF"/>
    <w:rsid w:val="0073511F"/>
    <w:rsid w:val="00735328"/>
    <w:rsid w:val="00735822"/>
    <w:rsid w:val="0073685B"/>
    <w:rsid w:val="00736FE9"/>
    <w:rsid w:val="00740645"/>
    <w:rsid w:val="0074131E"/>
    <w:rsid w:val="007420D6"/>
    <w:rsid w:val="00742207"/>
    <w:rsid w:val="00742BBB"/>
    <w:rsid w:val="00742DB0"/>
    <w:rsid w:val="00742E5D"/>
    <w:rsid w:val="00743305"/>
    <w:rsid w:val="007458AA"/>
    <w:rsid w:val="007465A0"/>
    <w:rsid w:val="007474AD"/>
    <w:rsid w:val="0074760C"/>
    <w:rsid w:val="00747A85"/>
    <w:rsid w:val="00747BF6"/>
    <w:rsid w:val="00750135"/>
    <w:rsid w:val="00750274"/>
    <w:rsid w:val="00750566"/>
    <w:rsid w:val="0075091D"/>
    <w:rsid w:val="0075099C"/>
    <w:rsid w:val="007515EB"/>
    <w:rsid w:val="00751B55"/>
    <w:rsid w:val="0075275E"/>
    <w:rsid w:val="00753BAD"/>
    <w:rsid w:val="007558E7"/>
    <w:rsid w:val="00755E98"/>
    <w:rsid w:val="00760568"/>
    <w:rsid w:val="00762045"/>
    <w:rsid w:val="0076233A"/>
    <w:rsid w:val="00762F07"/>
    <w:rsid w:val="007644EC"/>
    <w:rsid w:val="00766B94"/>
    <w:rsid w:val="00766BCF"/>
    <w:rsid w:val="00767012"/>
    <w:rsid w:val="00767EEE"/>
    <w:rsid w:val="0077091E"/>
    <w:rsid w:val="00770BD6"/>
    <w:rsid w:val="00770DC1"/>
    <w:rsid w:val="007713DD"/>
    <w:rsid w:val="00771411"/>
    <w:rsid w:val="007720B7"/>
    <w:rsid w:val="00772B17"/>
    <w:rsid w:val="00772BDE"/>
    <w:rsid w:val="00773241"/>
    <w:rsid w:val="0077447E"/>
    <w:rsid w:val="00774E19"/>
    <w:rsid w:val="00775C2C"/>
    <w:rsid w:val="0077722A"/>
    <w:rsid w:val="007775FF"/>
    <w:rsid w:val="00777783"/>
    <w:rsid w:val="007810C9"/>
    <w:rsid w:val="00781374"/>
    <w:rsid w:val="007822A2"/>
    <w:rsid w:val="007828E7"/>
    <w:rsid w:val="00782B99"/>
    <w:rsid w:val="00784796"/>
    <w:rsid w:val="007850C5"/>
    <w:rsid w:val="007854F6"/>
    <w:rsid w:val="0078695A"/>
    <w:rsid w:val="00787228"/>
    <w:rsid w:val="0078732C"/>
    <w:rsid w:val="00787517"/>
    <w:rsid w:val="00787768"/>
    <w:rsid w:val="00787BF0"/>
    <w:rsid w:val="00787DE0"/>
    <w:rsid w:val="0079074F"/>
    <w:rsid w:val="00790E66"/>
    <w:rsid w:val="007918A8"/>
    <w:rsid w:val="00791DAE"/>
    <w:rsid w:val="0079364B"/>
    <w:rsid w:val="00794ECF"/>
    <w:rsid w:val="00794EF7"/>
    <w:rsid w:val="00795405"/>
    <w:rsid w:val="00795BDC"/>
    <w:rsid w:val="00796F52"/>
    <w:rsid w:val="00797520"/>
    <w:rsid w:val="00797FD9"/>
    <w:rsid w:val="007A0225"/>
    <w:rsid w:val="007A1A18"/>
    <w:rsid w:val="007A1CCE"/>
    <w:rsid w:val="007A1F22"/>
    <w:rsid w:val="007A297B"/>
    <w:rsid w:val="007A30D5"/>
    <w:rsid w:val="007A37E8"/>
    <w:rsid w:val="007A3816"/>
    <w:rsid w:val="007A5D8C"/>
    <w:rsid w:val="007A6273"/>
    <w:rsid w:val="007A6BCC"/>
    <w:rsid w:val="007A761C"/>
    <w:rsid w:val="007A7D2E"/>
    <w:rsid w:val="007B11E0"/>
    <w:rsid w:val="007B1209"/>
    <w:rsid w:val="007B136E"/>
    <w:rsid w:val="007B2484"/>
    <w:rsid w:val="007B251D"/>
    <w:rsid w:val="007B42A1"/>
    <w:rsid w:val="007B475F"/>
    <w:rsid w:val="007B4F93"/>
    <w:rsid w:val="007B725F"/>
    <w:rsid w:val="007B72E3"/>
    <w:rsid w:val="007B7652"/>
    <w:rsid w:val="007B77D1"/>
    <w:rsid w:val="007C0ACD"/>
    <w:rsid w:val="007C193D"/>
    <w:rsid w:val="007C2903"/>
    <w:rsid w:val="007C2BC6"/>
    <w:rsid w:val="007C2EEC"/>
    <w:rsid w:val="007C375A"/>
    <w:rsid w:val="007C3914"/>
    <w:rsid w:val="007C3B1C"/>
    <w:rsid w:val="007C3F45"/>
    <w:rsid w:val="007C48F0"/>
    <w:rsid w:val="007C4EAC"/>
    <w:rsid w:val="007C5203"/>
    <w:rsid w:val="007C536C"/>
    <w:rsid w:val="007C540C"/>
    <w:rsid w:val="007C57B1"/>
    <w:rsid w:val="007C5892"/>
    <w:rsid w:val="007C7038"/>
    <w:rsid w:val="007C7402"/>
    <w:rsid w:val="007C7D68"/>
    <w:rsid w:val="007D06EB"/>
    <w:rsid w:val="007D0B38"/>
    <w:rsid w:val="007D1F0D"/>
    <w:rsid w:val="007D3258"/>
    <w:rsid w:val="007D413D"/>
    <w:rsid w:val="007D50CF"/>
    <w:rsid w:val="007D5408"/>
    <w:rsid w:val="007D5498"/>
    <w:rsid w:val="007D5A28"/>
    <w:rsid w:val="007D6C6A"/>
    <w:rsid w:val="007D6D39"/>
    <w:rsid w:val="007D7287"/>
    <w:rsid w:val="007D7A1C"/>
    <w:rsid w:val="007E02D2"/>
    <w:rsid w:val="007E073A"/>
    <w:rsid w:val="007E16A1"/>
    <w:rsid w:val="007E226B"/>
    <w:rsid w:val="007E36A7"/>
    <w:rsid w:val="007E5017"/>
    <w:rsid w:val="007E56C4"/>
    <w:rsid w:val="007E578B"/>
    <w:rsid w:val="007E6803"/>
    <w:rsid w:val="007E687D"/>
    <w:rsid w:val="007E6EA6"/>
    <w:rsid w:val="007F0371"/>
    <w:rsid w:val="007F1017"/>
    <w:rsid w:val="007F10A6"/>
    <w:rsid w:val="007F289B"/>
    <w:rsid w:val="007F3410"/>
    <w:rsid w:val="007F3960"/>
    <w:rsid w:val="007F3B84"/>
    <w:rsid w:val="007F3BF8"/>
    <w:rsid w:val="007F4A3F"/>
    <w:rsid w:val="007F4A7D"/>
    <w:rsid w:val="007F4CF1"/>
    <w:rsid w:val="007F5C61"/>
    <w:rsid w:val="007F66AC"/>
    <w:rsid w:val="007F7330"/>
    <w:rsid w:val="007F7333"/>
    <w:rsid w:val="007F7415"/>
    <w:rsid w:val="008003E1"/>
    <w:rsid w:val="00800AC3"/>
    <w:rsid w:val="00802356"/>
    <w:rsid w:val="00802D37"/>
    <w:rsid w:val="00802E50"/>
    <w:rsid w:val="00803792"/>
    <w:rsid w:val="00803B3D"/>
    <w:rsid w:val="00804808"/>
    <w:rsid w:val="00805142"/>
    <w:rsid w:val="008057E6"/>
    <w:rsid w:val="00806A5F"/>
    <w:rsid w:val="00806BCA"/>
    <w:rsid w:val="00806C61"/>
    <w:rsid w:val="00807A8B"/>
    <w:rsid w:val="00807BDB"/>
    <w:rsid w:val="00810EFC"/>
    <w:rsid w:val="008112FB"/>
    <w:rsid w:val="0081147D"/>
    <w:rsid w:val="00811D92"/>
    <w:rsid w:val="00812149"/>
    <w:rsid w:val="0081274D"/>
    <w:rsid w:val="00813FAB"/>
    <w:rsid w:val="00814226"/>
    <w:rsid w:val="00815E65"/>
    <w:rsid w:val="008166EF"/>
    <w:rsid w:val="00817F50"/>
    <w:rsid w:val="008206F6"/>
    <w:rsid w:val="0082074F"/>
    <w:rsid w:val="00821658"/>
    <w:rsid w:val="00821DED"/>
    <w:rsid w:val="00821EF2"/>
    <w:rsid w:val="00822D68"/>
    <w:rsid w:val="0082365E"/>
    <w:rsid w:val="00823673"/>
    <w:rsid w:val="0082446D"/>
    <w:rsid w:val="008264EB"/>
    <w:rsid w:val="0082671C"/>
    <w:rsid w:val="00826799"/>
    <w:rsid w:val="008310EF"/>
    <w:rsid w:val="00831596"/>
    <w:rsid w:val="008324FD"/>
    <w:rsid w:val="00833BA6"/>
    <w:rsid w:val="00834399"/>
    <w:rsid w:val="00835C4B"/>
    <w:rsid w:val="00836608"/>
    <w:rsid w:val="00836ED0"/>
    <w:rsid w:val="008372C8"/>
    <w:rsid w:val="008373C4"/>
    <w:rsid w:val="0083783F"/>
    <w:rsid w:val="00837CD2"/>
    <w:rsid w:val="00840758"/>
    <w:rsid w:val="00840827"/>
    <w:rsid w:val="00840CA2"/>
    <w:rsid w:val="00840D4D"/>
    <w:rsid w:val="00840D6D"/>
    <w:rsid w:val="00842512"/>
    <w:rsid w:val="00842DEE"/>
    <w:rsid w:val="00842DF5"/>
    <w:rsid w:val="008439E5"/>
    <w:rsid w:val="00843A54"/>
    <w:rsid w:val="00843C16"/>
    <w:rsid w:val="00844135"/>
    <w:rsid w:val="008441E8"/>
    <w:rsid w:val="0084502D"/>
    <w:rsid w:val="00845695"/>
    <w:rsid w:val="00845D75"/>
    <w:rsid w:val="0084664B"/>
    <w:rsid w:val="00846F39"/>
    <w:rsid w:val="00846FCE"/>
    <w:rsid w:val="008472D1"/>
    <w:rsid w:val="00850113"/>
    <w:rsid w:val="008507D6"/>
    <w:rsid w:val="008508E0"/>
    <w:rsid w:val="008509B1"/>
    <w:rsid w:val="00850C18"/>
    <w:rsid w:val="00850C2F"/>
    <w:rsid w:val="008514B8"/>
    <w:rsid w:val="00851C5D"/>
    <w:rsid w:val="00851ED0"/>
    <w:rsid w:val="0085203F"/>
    <w:rsid w:val="00852A78"/>
    <w:rsid w:val="00852BBF"/>
    <w:rsid w:val="00853535"/>
    <w:rsid w:val="00855389"/>
    <w:rsid w:val="008557C2"/>
    <w:rsid w:val="00856E9A"/>
    <w:rsid w:val="0085712A"/>
    <w:rsid w:val="0085748D"/>
    <w:rsid w:val="00857CB0"/>
    <w:rsid w:val="00861141"/>
    <w:rsid w:val="00862CE7"/>
    <w:rsid w:val="00862FC4"/>
    <w:rsid w:val="008634DA"/>
    <w:rsid w:val="00863736"/>
    <w:rsid w:val="0086405B"/>
    <w:rsid w:val="008640E1"/>
    <w:rsid w:val="00864787"/>
    <w:rsid w:val="0086570D"/>
    <w:rsid w:val="00866056"/>
    <w:rsid w:val="008664EA"/>
    <w:rsid w:val="0086677E"/>
    <w:rsid w:val="008667AC"/>
    <w:rsid w:val="008668BE"/>
    <w:rsid w:val="00866B6C"/>
    <w:rsid w:val="00866BCE"/>
    <w:rsid w:val="008713B5"/>
    <w:rsid w:val="0087142C"/>
    <w:rsid w:val="00871AF0"/>
    <w:rsid w:val="008736A9"/>
    <w:rsid w:val="00873921"/>
    <w:rsid w:val="008749DE"/>
    <w:rsid w:val="00874B3F"/>
    <w:rsid w:val="008752EB"/>
    <w:rsid w:val="00876764"/>
    <w:rsid w:val="00877D7E"/>
    <w:rsid w:val="0088049D"/>
    <w:rsid w:val="00880E4F"/>
    <w:rsid w:val="008810B8"/>
    <w:rsid w:val="00881F8B"/>
    <w:rsid w:val="00882479"/>
    <w:rsid w:val="00882874"/>
    <w:rsid w:val="00882EE7"/>
    <w:rsid w:val="00883787"/>
    <w:rsid w:val="00883BDA"/>
    <w:rsid w:val="00885009"/>
    <w:rsid w:val="00886C4C"/>
    <w:rsid w:val="00887986"/>
    <w:rsid w:val="00887AC8"/>
    <w:rsid w:val="00891203"/>
    <w:rsid w:val="00892042"/>
    <w:rsid w:val="008924D1"/>
    <w:rsid w:val="00892649"/>
    <w:rsid w:val="008927BB"/>
    <w:rsid w:val="00893623"/>
    <w:rsid w:val="008936ED"/>
    <w:rsid w:val="00893A34"/>
    <w:rsid w:val="008963A5"/>
    <w:rsid w:val="008A10AB"/>
    <w:rsid w:val="008A21EC"/>
    <w:rsid w:val="008A27E8"/>
    <w:rsid w:val="008A3280"/>
    <w:rsid w:val="008A3847"/>
    <w:rsid w:val="008A3C3E"/>
    <w:rsid w:val="008A4D51"/>
    <w:rsid w:val="008A56D6"/>
    <w:rsid w:val="008A722B"/>
    <w:rsid w:val="008A79DE"/>
    <w:rsid w:val="008B2290"/>
    <w:rsid w:val="008B25D7"/>
    <w:rsid w:val="008B5AAC"/>
    <w:rsid w:val="008B5C32"/>
    <w:rsid w:val="008B6CD1"/>
    <w:rsid w:val="008B7D7E"/>
    <w:rsid w:val="008C109D"/>
    <w:rsid w:val="008C130A"/>
    <w:rsid w:val="008C1D0F"/>
    <w:rsid w:val="008C1F64"/>
    <w:rsid w:val="008C236C"/>
    <w:rsid w:val="008C29B4"/>
    <w:rsid w:val="008C4B47"/>
    <w:rsid w:val="008C5930"/>
    <w:rsid w:val="008C6683"/>
    <w:rsid w:val="008C66A8"/>
    <w:rsid w:val="008C7ECB"/>
    <w:rsid w:val="008D3318"/>
    <w:rsid w:val="008D475E"/>
    <w:rsid w:val="008D4E07"/>
    <w:rsid w:val="008D5733"/>
    <w:rsid w:val="008D5B73"/>
    <w:rsid w:val="008D5E21"/>
    <w:rsid w:val="008D6302"/>
    <w:rsid w:val="008D702F"/>
    <w:rsid w:val="008D74CC"/>
    <w:rsid w:val="008E1882"/>
    <w:rsid w:val="008E1B9E"/>
    <w:rsid w:val="008E2FBA"/>
    <w:rsid w:val="008E4ED6"/>
    <w:rsid w:val="008E5A39"/>
    <w:rsid w:val="008E5B78"/>
    <w:rsid w:val="008E6B16"/>
    <w:rsid w:val="008E7E19"/>
    <w:rsid w:val="008F078C"/>
    <w:rsid w:val="008F1242"/>
    <w:rsid w:val="008F1A24"/>
    <w:rsid w:val="008F1C32"/>
    <w:rsid w:val="008F26BE"/>
    <w:rsid w:val="008F2B95"/>
    <w:rsid w:val="008F48EB"/>
    <w:rsid w:val="008F4F0B"/>
    <w:rsid w:val="008F5CB3"/>
    <w:rsid w:val="008F6A8C"/>
    <w:rsid w:val="009017A2"/>
    <w:rsid w:val="009022A3"/>
    <w:rsid w:val="009029C7"/>
    <w:rsid w:val="00902E78"/>
    <w:rsid w:val="00903044"/>
    <w:rsid w:val="00903FE8"/>
    <w:rsid w:val="00904882"/>
    <w:rsid w:val="0090511E"/>
    <w:rsid w:val="00905A13"/>
    <w:rsid w:val="009062A5"/>
    <w:rsid w:val="00906957"/>
    <w:rsid w:val="00906AD0"/>
    <w:rsid w:val="0090706B"/>
    <w:rsid w:val="00907AFC"/>
    <w:rsid w:val="00910290"/>
    <w:rsid w:val="0091072D"/>
    <w:rsid w:val="00911272"/>
    <w:rsid w:val="00912F2B"/>
    <w:rsid w:val="00913489"/>
    <w:rsid w:val="00914011"/>
    <w:rsid w:val="009141FD"/>
    <w:rsid w:val="00914912"/>
    <w:rsid w:val="009158B0"/>
    <w:rsid w:val="00915F93"/>
    <w:rsid w:val="0091638E"/>
    <w:rsid w:val="009168F2"/>
    <w:rsid w:val="00916D16"/>
    <w:rsid w:val="0091758C"/>
    <w:rsid w:val="009179A8"/>
    <w:rsid w:val="00921961"/>
    <w:rsid w:val="0092200D"/>
    <w:rsid w:val="00922186"/>
    <w:rsid w:val="00923A84"/>
    <w:rsid w:val="00924E3C"/>
    <w:rsid w:val="00925680"/>
    <w:rsid w:val="00926753"/>
    <w:rsid w:val="009267C1"/>
    <w:rsid w:val="00926D6B"/>
    <w:rsid w:val="0092713D"/>
    <w:rsid w:val="0092719D"/>
    <w:rsid w:val="009274A9"/>
    <w:rsid w:val="00932B39"/>
    <w:rsid w:val="00933028"/>
    <w:rsid w:val="00933D4C"/>
    <w:rsid w:val="00934E12"/>
    <w:rsid w:val="00934EDB"/>
    <w:rsid w:val="00934F57"/>
    <w:rsid w:val="00935C84"/>
    <w:rsid w:val="00935DCE"/>
    <w:rsid w:val="0093610F"/>
    <w:rsid w:val="00936402"/>
    <w:rsid w:val="00936452"/>
    <w:rsid w:val="009365B4"/>
    <w:rsid w:val="00936A87"/>
    <w:rsid w:val="00936D5C"/>
    <w:rsid w:val="00937533"/>
    <w:rsid w:val="00937CBC"/>
    <w:rsid w:val="00937F13"/>
    <w:rsid w:val="00937F65"/>
    <w:rsid w:val="009412EC"/>
    <w:rsid w:val="00942296"/>
    <w:rsid w:val="009423A7"/>
    <w:rsid w:val="009425CC"/>
    <w:rsid w:val="00943B0A"/>
    <w:rsid w:val="00943DFA"/>
    <w:rsid w:val="00945133"/>
    <w:rsid w:val="00945B83"/>
    <w:rsid w:val="00946280"/>
    <w:rsid w:val="0094674E"/>
    <w:rsid w:val="009469A2"/>
    <w:rsid w:val="00946BBD"/>
    <w:rsid w:val="009472AA"/>
    <w:rsid w:val="009476CC"/>
    <w:rsid w:val="00947CBF"/>
    <w:rsid w:val="009503A1"/>
    <w:rsid w:val="00950A64"/>
    <w:rsid w:val="00950AA3"/>
    <w:rsid w:val="00950C59"/>
    <w:rsid w:val="00950CDD"/>
    <w:rsid w:val="00951FF8"/>
    <w:rsid w:val="009542FA"/>
    <w:rsid w:val="00954B8B"/>
    <w:rsid w:val="00955000"/>
    <w:rsid w:val="009561C0"/>
    <w:rsid w:val="00956618"/>
    <w:rsid w:val="009579E8"/>
    <w:rsid w:val="00961193"/>
    <w:rsid w:val="00961AF9"/>
    <w:rsid w:val="00961D5B"/>
    <w:rsid w:val="0096213B"/>
    <w:rsid w:val="00962CB9"/>
    <w:rsid w:val="00963891"/>
    <w:rsid w:val="00963BFF"/>
    <w:rsid w:val="00964312"/>
    <w:rsid w:val="00965B64"/>
    <w:rsid w:val="00966DB2"/>
    <w:rsid w:val="00967374"/>
    <w:rsid w:val="00970B52"/>
    <w:rsid w:val="00970B67"/>
    <w:rsid w:val="00970B78"/>
    <w:rsid w:val="009710CD"/>
    <w:rsid w:val="00971369"/>
    <w:rsid w:val="00972D34"/>
    <w:rsid w:val="009734F3"/>
    <w:rsid w:val="00974AA0"/>
    <w:rsid w:val="00975BD4"/>
    <w:rsid w:val="00976117"/>
    <w:rsid w:val="009772B2"/>
    <w:rsid w:val="0098002F"/>
    <w:rsid w:val="0098013C"/>
    <w:rsid w:val="009803FD"/>
    <w:rsid w:val="009814CE"/>
    <w:rsid w:val="009827B6"/>
    <w:rsid w:val="00982F56"/>
    <w:rsid w:val="00983E57"/>
    <w:rsid w:val="009868C4"/>
    <w:rsid w:val="00986A25"/>
    <w:rsid w:val="00987398"/>
    <w:rsid w:val="009878AC"/>
    <w:rsid w:val="00987AFD"/>
    <w:rsid w:val="009926DD"/>
    <w:rsid w:val="009928CF"/>
    <w:rsid w:val="00993090"/>
    <w:rsid w:val="00993E3E"/>
    <w:rsid w:val="009943D3"/>
    <w:rsid w:val="00994AC1"/>
    <w:rsid w:val="00994D97"/>
    <w:rsid w:val="00994E75"/>
    <w:rsid w:val="00994F2D"/>
    <w:rsid w:val="00995D13"/>
    <w:rsid w:val="009960F4"/>
    <w:rsid w:val="00996B1A"/>
    <w:rsid w:val="00996FF7"/>
    <w:rsid w:val="009A088C"/>
    <w:rsid w:val="009A0B8E"/>
    <w:rsid w:val="009A119A"/>
    <w:rsid w:val="009A2139"/>
    <w:rsid w:val="009A333B"/>
    <w:rsid w:val="009A3E82"/>
    <w:rsid w:val="009A5106"/>
    <w:rsid w:val="009A5259"/>
    <w:rsid w:val="009A556C"/>
    <w:rsid w:val="009A57A9"/>
    <w:rsid w:val="009A5934"/>
    <w:rsid w:val="009A5EE3"/>
    <w:rsid w:val="009A67E5"/>
    <w:rsid w:val="009A68FC"/>
    <w:rsid w:val="009A6F56"/>
    <w:rsid w:val="009B1A8F"/>
    <w:rsid w:val="009B2D6A"/>
    <w:rsid w:val="009B2F61"/>
    <w:rsid w:val="009B3155"/>
    <w:rsid w:val="009B31B4"/>
    <w:rsid w:val="009B3565"/>
    <w:rsid w:val="009B3E26"/>
    <w:rsid w:val="009B4253"/>
    <w:rsid w:val="009B475D"/>
    <w:rsid w:val="009B69E1"/>
    <w:rsid w:val="009B6D7C"/>
    <w:rsid w:val="009B6DA2"/>
    <w:rsid w:val="009B74A5"/>
    <w:rsid w:val="009B7E4F"/>
    <w:rsid w:val="009C1D26"/>
    <w:rsid w:val="009C249F"/>
    <w:rsid w:val="009C2563"/>
    <w:rsid w:val="009C2ABA"/>
    <w:rsid w:val="009C2B08"/>
    <w:rsid w:val="009C3042"/>
    <w:rsid w:val="009C35DA"/>
    <w:rsid w:val="009C438E"/>
    <w:rsid w:val="009C4B5D"/>
    <w:rsid w:val="009C4FAC"/>
    <w:rsid w:val="009C5F27"/>
    <w:rsid w:val="009C67CB"/>
    <w:rsid w:val="009D1620"/>
    <w:rsid w:val="009D17B8"/>
    <w:rsid w:val="009D1956"/>
    <w:rsid w:val="009D24A1"/>
    <w:rsid w:val="009D35B4"/>
    <w:rsid w:val="009D450E"/>
    <w:rsid w:val="009D46ED"/>
    <w:rsid w:val="009D5B91"/>
    <w:rsid w:val="009D5D31"/>
    <w:rsid w:val="009D6726"/>
    <w:rsid w:val="009D732B"/>
    <w:rsid w:val="009E0246"/>
    <w:rsid w:val="009E0371"/>
    <w:rsid w:val="009E08C3"/>
    <w:rsid w:val="009E0ABF"/>
    <w:rsid w:val="009E191E"/>
    <w:rsid w:val="009E240C"/>
    <w:rsid w:val="009E2710"/>
    <w:rsid w:val="009E2DFC"/>
    <w:rsid w:val="009E4597"/>
    <w:rsid w:val="009E47D6"/>
    <w:rsid w:val="009E4C07"/>
    <w:rsid w:val="009E4C41"/>
    <w:rsid w:val="009E4C50"/>
    <w:rsid w:val="009E6472"/>
    <w:rsid w:val="009E65BA"/>
    <w:rsid w:val="009E6D0F"/>
    <w:rsid w:val="009E6EB0"/>
    <w:rsid w:val="009E79E3"/>
    <w:rsid w:val="009F0147"/>
    <w:rsid w:val="009F0518"/>
    <w:rsid w:val="009F07AC"/>
    <w:rsid w:val="009F2B96"/>
    <w:rsid w:val="009F3A25"/>
    <w:rsid w:val="009F4100"/>
    <w:rsid w:val="009F49A9"/>
    <w:rsid w:val="009F4A81"/>
    <w:rsid w:val="009F4ED3"/>
    <w:rsid w:val="009F58D7"/>
    <w:rsid w:val="009F5E8C"/>
    <w:rsid w:val="009F619F"/>
    <w:rsid w:val="009F75CC"/>
    <w:rsid w:val="009F7886"/>
    <w:rsid w:val="009F79A0"/>
    <w:rsid w:val="00A003C3"/>
    <w:rsid w:val="00A004D8"/>
    <w:rsid w:val="00A00D3E"/>
    <w:rsid w:val="00A0101B"/>
    <w:rsid w:val="00A02472"/>
    <w:rsid w:val="00A02D49"/>
    <w:rsid w:val="00A02DB1"/>
    <w:rsid w:val="00A03024"/>
    <w:rsid w:val="00A03D43"/>
    <w:rsid w:val="00A04380"/>
    <w:rsid w:val="00A065F5"/>
    <w:rsid w:val="00A06D14"/>
    <w:rsid w:val="00A06EDB"/>
    <w:rsid w:val="00A07D69"/>
    <w:rsid w:val="00A10178"/>
    <w:rsid w:val="00A10502"/>
    <w:rsid w:val="00A110AB"/>
    <w:rsid w:val="00A11773"/>
    <w:rsid w:val="00A118E8"/>
    <w:rsid w:val="00A121AE"/>
    <w:rsid w:val="00A12844"/>
    <w:rsid w:val="00A12A0E"/>
    <w:rsid w:val="00A1351E"/>
    <w:rsid w:val="00A13948"/>
    <w:rsid w:val="00A13BDE"/>
    <w:rsid w:val="00A145BB"/>
    <w:rsid w:val="00A14643"/>
    <w:rsid w:val="00A15140"/>
    <w:rsid w:val="00A15543"/>
    <w:rsid w:val="00A1562B"/>
    <w:rsid w:val="00A15823"/>
    <w:rsid w:val="00A15CEF"/>
    <w:rsid w:val="00A16699"/>
    <w:rsid w:val="00A169D2"/>
    <w:rsid w:val="00A16A23"/>
    <w:rsid w:val="00A172EF"/>
    <w:rsid w:val="00A17733"/>
    <w:rsid w:val="00A17BF7"/>
    <w:rsid w:val="00A17D78"/>
    <w:rsid w:val="00A208D7"/>
    <w:rsid w:val="00A20D09"/>
    <w:rsid w:val="00A22FFD"/>
    <w:rsid w:val="00A24351"/>
    <w:rsid w:val="00A25183"/>
    <w:rsid w:val="00A2619B"/>
    <w:rsid w:val="00A2697F"/>
    <w:rsid w:val="00A26EA5"/>
    <w:rsid w:val="00A27AEC"/>
    <w:rsid w:val="00A27D0F"/>
    <w:rsid w:val="00A27DDD"/>
    <w:rsid w:val="00A300CF"/>
    <w:rsid w:val="00A301A7"/>
    <w:rsid w:val="00A30B27"/>
    <w:rsid w:val="00A30F13"/>
    <w:rsid w:val="00A31A0C"/>
    <w:rsid w:val="00A31B4A"/>
    <w:rsid w:val="00A32B8E"/>
    <w:rsid w:val="00A33DD6"/>
    <w:rsid w:val="00A341FB"/>
    <w:rsid w:val="00A35D16"/>
    <w:rsid w:val="00A37F43"/>
    <w:rsid w:val="00A40380"/>
    <w:rsid w:val="00A40F1C"/>
    <w:rsid w:val="00A41127"/>
    <w:rsid w:val="00A4135C"/>
    <w:rsid w:val="00A417F0"/>
    <w:rsid w:val="00A41D1F"/>
    <w:rsid w:val="00A41D62"/>
    <w:rsid w:val="00A43172"/>
    <w:rsid w:val="00A43C59"/>
    <w:rsid w:val="00A4731D"/>
    <w:rsid w:val="00A47FD7"/>
    <w:rsid w:val="00A502F4"/>
    <w:rsid w:val="00A50ECD"/>
    <w:rsid w:val="00A51069"/>
    <w:rsid w:val="00A517A6"/>
    <w:rsid w:val="00A51A1D"/>
    <w:rsid w:val="00A520AB"/>
    <w:rsid w:val="00A52729"/>
    <w:rsid w:val="00A52B35"/>
    <w:rsid w:val="00A5316B"/>
    <w:rsid w:val="00A53675"/>
    <w:rsid w:val="00A566E7"/>
    <w:rsid w:val="00A568FD"/>
    <w:rsid w:val="00A569FF"/>
    <w:rsid w:val="00A56B6A"/>
    <w:rsid w:val="00A56F37"/>
    <w:rsid w:val="00A56FF4"/>
    <w:rsid w:val="00A578DC"/>
    <w:rsid w:val="00A57B70"/>
    <w:rsid w:val="00A602DD"/>
    <w:rsid w:val="00A60C51"/>
    <w:rsid w:val="00A61D41"/>
    <w:rsid w:val="00A62C3A"/>
    <w:rsid w:val="00A63704"/>
    <w:rsid w:val="00A6486E"/>
    <w:rsid w:val="00A64AD9"/>
    <w:rsid w:val="00A64DF6"/>
    <w:rsid w:val="00A6502D"/>
    <w:rsid w:val="00A653B3"/>
    <w:rsid w:val="00A6725B"/>
    <w:rsid w:val="00A7072A"/>
    <w:rsid w:val="00A76213"/>
    <w:rsid w:val="00A76B24"/>
    <w:rsid w:val="00A76ED4"/>
    <w:rsid w:val="00A7722C"/>
    <w:rsid w:val="00A77B14"/>
    <w:rsid w:val="00A8077E"/>
    <w:rsid w:val="00A8133A"/>
    <w:rsid w:val="00A82092"/>
    <w:rsid w:val="00A8309C"/>
    <w:rsid w:val="00A83283"/>
    <w:rsid w:val="00A83632"/>
    <w:rsid w:val="00A83B34"/>
    <w:rsid w:val="00A83E69"/>
    <w:rsid w:val="00A8425E"/>
    <w:rsid w:val="00A8437D"/>
    <w:rsid w:val="00A849DC"/>
    <w:rsid w:val="00A851E9"/>
    <w:rsid w:val="00A85252"/>
    <w:rsid w:val="00A853B6"/>
    <w:rsid w:val="00A86779"/>
    <w:rsid w:val="00A86E8B"/>
    <w:rsid w:val="00A87A76"/>
    <w:rsid w:val="00A87F30"/>
    <w:rsid w:val="00A90817"/>
    <w:rsid w:val="00A91C9E"/>
    <w:rsid w:val="00A93072"/>
    <w:rsid w:val="00A93810"/>
    <w:rsid w:val="00A9421F"/>
    <w:rsid w:val="00A94DD7"/>
    <w:rsid w:val="00A95E55"/>
    <w:rsid w:val="00A965C5"/>
    <w:rsid w:val="00A9660E"/>
    <w:rsid w:val="00A96A12"/>
    <w:rsid w:val="00A96D0C"/>
    <w:rsid w:val="00AA0A07"/>
    <w:rsid w:val="00AA0E69"/>
    <w:rsid w:val="00AA1177"/>
    <w:rsid w:val="00AA1942"/>
    <w:rsid w:val="00AA1A36"/>
    <w:rsid w:val="00AA1AC7"/>
    <w:rsid w:val="00AA24BA"/>
    <w:rsid w:val="00AA268A"/>
    <w:rsid w:val="00AA37D6"/>
    <w:rsid w:val="00AA42B7"/>
    <w:rsid w:val="00AA43E2"/>
    <w:rsid w:val="00AA5176"/>
    <w:rsid w:val="00AA52A2"/>
    <w:rsid w:val="00AA5C04"/>
    <w:rsid w:val="00AA60C7"/>
    <w:rsid w:val="00AA6C4C"/>
    <w:rsid w:val="00AA7147"/>
    <w:rsid w:val="00AA7264"/>
    <w:rsid w:val="00AA7C64"/>
    <w:rsid w:val="00AB042A"/>
    <w:rsid w:val="00AB06D3"/>
    <w:rsid w:val="00AB0CA4"/>
    <w:rsid w:val="00AB0DD9"/>
    <w:rsid w:val="00AB0E9B"/>
    <w:rsid w:val="00AB0F3A"/>
    <w:rsid w:val="00AB195D"/>
    <w:rsid w:val="00AB1ADE"/>
    <w:rsid w:val="00AB27F5"/>
    <w:rsid w:val="00AB2E4D"/>
    <w:rsid w:val="00AB3430"/>
    <w:rsid w:val="00AB44B5"/>
    <w:rsid w:val="00AB4517"/>
    <w:rsid w:val="00AB45DB"/>
    <w:rsid w:val="00AB59AF"/>
    <w:rsid w:val="00AB6003"/>
    <w:rsid w:val="00AB63E9"/>
    <w:rsid w:val="00AB6B13"/>
    <w:rsid w:val="00AB6BAD"/>
    <w:rsid w:val="00AB6FD9"/>
    <w:rsid w:val="00AB78B3"/>
    <w:rsid w:val="00AB7CFA"/>
    <w:rsid w:val="00AC1278"/>
    <w:rsid w:val="00AC1417"/>
    <w:rsid w:val="00AC1BE4"/>
    <w:rsid w:val="00AC32C1"/>
    <w:rsid w:val="00AC4690"/>
    <w:rsid w:val="00AC47E0"/>
    <w:rsid w:val="00AC4DAF"/>
    <w:rsid w:val="00AC6273"/>
    <w:rsid w:val="00AC679A"/>
    <w:rsid w:val="00AC7C22"/>
    <w:rsid w:val="00AC7E2F"/>
    <w:rsid w:val="00AD02B5"/>
    <w:rsid w:val="00AD06AB"/>
    <w:rsid w:val="00AD09BE"/>
    <w:rsid w:val="00AD10C6"/>
    <w:rsid w:val="00AD1A0C"/>
    <w:rsid w:val="00AD1D8E"/>
    <w:rsid w:val="00AD2417"/>
    <w:rsid w:val="00AD2623"/>
    <w:rsid w:val="00AD2F51"/>
    <w:rsid w:val="00AD39F4"/>
    <w:rsid w:val="00AD4BAB"/>
    <w:rsid w:val="00AD4C0E"/>
    <w:rsid w:val="00AD54EB"/>
    <w:rsid w:val="00AD5B6B"/>
    <w:rsid w:val="00AD66EB"/>
    <w:rsid w:val="00AD680D"/>
    <w:rsid w:val="00AD7863"/>
    <w:rsid w:val="00AE0216"/>
    <w:rsid w:val="00AE06F6"/>
    <w:rsid w:val="00AE0B8B"/>
    <w:rsid w:val="00AE0C47"/>
    <w:rsid w:val="00AE1182"/>
    <w:rsid w:val="00AE200A"/>
    <w:rsid w:val="00AE265C"/>
    <w:rsid w:val="00AE28B8"/>
    <w:rsid w:val="00AE2943"/>
    <w:rsid w:val="00AE2F80"/>
    <w:rsid w:val="00AE2FB4"/>
    <w:rsid w:val="00AE3707"/>
    <w:rsid w:val="00AE4085"/>
    <w:rsid w:val="00AE4564"/>
    <w:rsid w:val="00AE4B38"/>
    <w:rsid w:val="00AE6D2E"/>
    <w:rsid w:val="00AE7006"/>
    <w:rsid w:val="00AE71AE"/>
    <w:rsid w:val="00AF0A36"/>
    <w:rsid w:val="00AF20B4"/>
    <w:rsid w:val="00AF2E3F"/>
    <w:rsid w:val="00AF42AB"/>
    <w:rsid w:val="00AF4F86"/>
    <w:rsid w:val="00AF5130"/>
    <w:rsid w:val="00AF522D"/>
    <w:rsid w:val="00AF5AE7"/>
    <w:rsid w:val="00AF63DD"/>
    <w:rsid w:val="00B00166"/>
    <w:rsid w:val="00B0048E"/>
    <w:rsid w:val="00B0244D"/>
    <w:rsid w:val="00B02A65"/>
    <w:rsid w:val="00B03335"/>
    <w:rsid w:val="00B035DD"/>
    <w:rsid w:val="00B0511A"/>
    <w:rsid w:val="00B05757"/>
    <w:rsid w:val="00B06EC4"/>
    <w:rsid w:val="00B075E3"/>
    <w:rsid w:val="00B075F5"/>
    <w:rsid w:val="00B07846"/>
    <w:rsid w:val="00B10BCA"/>
    <w:rsid w:val="00B10D5A"/>
    <w:rsid w:val="00B11192"/>
    <w:rsid w:val="00B11258"/>
    <w:rsid w:val="00B1270D"/>
    <w:rsid w:val="00B12A35"/>
    <w:rsid w:val="00B14B66"/>
    <w:rsid w:val="00B159B2"/>
    <w:rsid w:val="00B16E9C"/>
    <w:rsid w:val="00B171D6"/>
    <w:rsid w:val="00B17472"/>
    <w:rsid w:val="00B1748B"/>
    <w:rsid w:val="00B20316"/>
    <w:rsid w:val="00B2058D"/>
    <w:rsid w:val="00B20661"/>
    <w:rsid w:val="00B207A8"/>
    <w:rsid w:val="00B210E8"/>
    <w:rsid w:val="00B22BDF"/>
    <w:rsid w:val="00B23492"/>
    <w:rsid w:val="00B2391D"/>
    <w:rsid w:val="00B23A1E"/>
    <w:rsid w:val="00B24565"/>
    <w:rsid w:val="00B24768"/>
    <w:rsid w:val="00B2501F"/>
    <w:rsid w:val="00B25806"/>
    <w:rsid w:val="00B269C1"/>
    <w:rsid w:val="00B26AFF"/>
    <w:rsid w:val="00B302A1"/>
    <w:rsid w:val="00B3042E"/>
    <w:rsid w:val="00B306E0"/>
    <w:rsid w:val="00B31997"/>
    <w:rsid w:val="00B3203D"/>
    <w:rsid w:val="00B32278"/>
    <w:rsid w:val="00B32EAE"/>
    <w:rsid w:val="00B32EB1"/>
    <w:rsid w:val="00B33D7D"/>
    <w:rsid w:val="00B346F9"/>
    <w:rsid w:val="00B34A15"/>
    <w:rsid w:val="00B3581E"/>
    <w:rsid w:val="00B363D2"/>
    <w:rsid w:val="00B3754F"/>
    <w:rsid w:val="00B37578"/>
    <w:rsid w:val="00B37FB0"/>
    <w:rsid w:val="00B40CF8"/>
    <w:rsid w:val="00B41414"/>
    <w:rsid w:val="00B42851"/>
    <w:rsid w:val="00B42D5E"/>
    <w:rsid w:val="00B4385E"/>
    <w:rsid w:val="00B44CCA"/>
    <w:rsid w:val="00B458E0"/>
    <w:rsid w:val="00B4621D"/>
    <w:rsid w:val="00B46A0A"/>
    <w:rsid w:val="00B4737C"/>
    <w:rsid w:val="00B473CC"/>
    <w:rsid w:val="00B477DF"/>
    <w:rsid w:val="00B47CD2"/>
    <w:rsid w:val="00B50287"/>
    <w:rsid w:val="00B50876"/>
    <w:rsid w:val="00B5127C"/>
    <w:rsid w:val="00B517DF"/>
    <w:rsid w:val="00B5222A"/>
    <w:rsid w:val="00B52527"/>
    <w:rsid w:val="00B527F4"/>
    <w:rsid w:val="00B52D87"/>
    <w:rsid w:val="00B53C6D"/>
    <w:rsid w:val="00B53E32"/>
    <w:rsid w:val="00B541D8"/>
    <w:rsid w:val="00B54959"/>
    <w:rsid w:val="00B54B5B"/>
    <w:rsid w:val="00B554ED"/>
    <w:rsid w:val="00B5562E"/>
    <w:rsid w:val="00B55859"/>
    <w:rsid w:val="00B55B91"/>
    <w:rsid w:val="00B57000"/>
    <w:rsid w:val="00B578DA"/>
    <w:rsid w:val="00B5795A"/>
    <w:rsid w:val="00B60079"/>
    <w:rsid w:val="00B60601"/>
    <w:rsid w:val="00B608C4"/>
    <w:rsid w:val="00B608CF"/>
    <w:rsid w:val="00B60939"/>
    <w:rsid w:val="00B6097C"/>
    <w:rsid w:val="00B60AFD"/>
    <w:rsid w:val="00B60DD3"/>
    <w:rsid w:val="00B6134C"/>
    <w:rsid w:val="00B62715"/>
    <w:rsid w:val="00B62E85"/>
    <w:rsid w:val="00B63EF1"/>
    <w:rsid w:val="00B646A8"/>
    <w:rsid w:val="00B64BC0"/>
    <w:rsid w:val="00B64F2C"/>
    <w:rsid w:val="00B652C7"/>
    <w:rsid w:val="00B652EE"/>
    <w:rsid w:val="00B653FE"/>
    <w:rsid w:val="00B65EB3"/>
    <w:rsid w:val="00B66318"/>
    <w:rsid w:val="00B66413"/>
    <w:rsid w:val="00B667AD"/>
    <w:rsid w:val="00B700F9"/>
    <w:rsid w:val="00B7019F"/>
    <w:rsid w:val="00B71D1B"/>
    <w:rsid w:val="00B71ED1"/>
    <w:rsid w:val="00B72D57"/>
    <w:rsid w:val="00B73118"/>
    <w:rsid w:val="00B73AD9"/>
    <w:rsid w:val="00B73AEB"/>
    <w:rsid w:val="00B74246"/>
    <w:rsid w:val="00B74DBA"/>
    <w:rsid w:val="00B750A3"/>
    <w:rsid w:val="00B750D3"/>
    <w:rsid w:val="00B75B66"/>
    <w:rsid w:val="00B762BC"/>
    <w:rsid w:val="00B77154"/>
    <w:rsid w:val="00B778BD"/>
    <w:rsid w:val="00B77A3A"/>
    <w:rsid w:val="00B77F6F"/>
    <w:rsid w:val="00B818A4"/>
    <w:rsid w:val="00B81D06"/>
    <w:rsid w:val="00B82099"/>
    <w:rsid w:val="00B821C8"/>
    <w:rsid w:val="00B82264"/>
    <w:rsid w:val="00B82428"/>
    <w:rsid w:val="00B824B2"/>
    <w:rsid w:val="00B825A5"/>
    <w:rsid w:val="00B82DE5"/>
    <w:rsid w:val="00B8334D"/>
    <w:rsid w:val="00B83DAE"/>
    <w:rsid w:val="00B846CF"/>
    <w:rsid w:val="00B84CD2"/>
    <w:rsid w:val="00B85A3A"/>
    <w:rsid w:val="00B85E10"/>
    <w:rsid w:val="00B8649C"/>
    <w:rsid w:val="00B86F43"/>
    <w:rsid w:val="00B87BCE"/>
    <w:rsid w:val="00B903AA"/>
    <w:rsid w:val="00B906F3"/>
    <w:rsid w:val="00B9153F"/>
    <w:rsid w:val="00B91DBC"/>
    <w:rsid w:val="00B928EE"/>
    <w:rsid w:val="00B929C7"/>
    <w:rsid w:val="00B92D0B"/>
    <w:rsid w:val="00B92F0D"/>
    <w:rsid w:val="00B94945"/>
    <w:rsid w:val="00B94A48"/>
    <w:rsid w:val="00B94D40"/>
    <w:rsid w:val="00B97137"/>
    <w:rsid w:val="00B97268"/>
    <w:rsid w:val="00BA0548"/>
    <w:rsid w:val="00BA1AB9"/>
    <w:rsid w:val="00BA1FBD"/>
    <w:rsid w:val="00BA2A8E"/>
    <w:rsid w:val="00BA2B97"/>
    <w:rsid w:val="00BA2DD0"/>
    <w:rsid w:val="00BA2FE7"/>
    <w:rsid w:val="00BA3569"/>
    <w:rsid w:val="00BA3863"/>
    <w:rsid w:val="00BA4BA7"/>
    <w:rsid w:val="00BA53A1"/>
    <w:rsid w:val="00BA6AD8"/>
    <w:rsid w:val="00BA7041"/>
    <w:rsid w:val="00BA7491"/>
    <w:rsid w:val="00BB00F2"/>
    <w:rsid w:val="00BB0B92"/>
    <w:rsid w:val="00BB0CE1"/>
    <w:rsid w:val="00BB2479"/>
    <w:rsid w:val="00BB47C9"/>
    <w:rsid w:val="00BB490C"/>
    <w:rsid w:val="00BB4A85"/>
    <w:rsid w:val="00BB4CE8"/>
    <w:rsid w:val="00BB53A1"/>
    <w:rsid w:val="00BB5609"/>
    <w:rsid w:val="00BB5E4E"/>
    <w:rsid w:val="00BB6D4C"/>
    <w:rsid w:val="00BB75C3"/>
    <w:rsid w:val="00BB7666"/>
    <w:rsid w:val="00BB785B"/>
    <w:rsid w:val="00BC1515"/>
    <w:rsid w:val="00BC1C27"/>
    <w:rsid w:val="00BC21DE"/>
    <w:rsid w:val="00BC225C"/>
    <w:rsid w:val="00BC2636"/>
    <w:rsid w:val="00BC3219"/>
    <w:rsid w:val="00BC4B7D"/>
    <w:rsid w:val="00BC6513"/>
    <w:rsid w:val="00BC68B2"/>
    <w:rsid w:val="00BC69B5"/>
    <w:rsid w:val="00BD10EE"/>
    <w:rsid w:val="00BD21DA"/>
    <w:rsid w:val="00BD26FB"/>
    <w:rsid w:val="00BD313B"/>
    <w:rsid w:val="00BD3B4D"/>
    <w:rsid w:val="00BD5165"/>
    <w:rsid w:val="00BD7B6C"/>
    <w:rsid w:val="00BE0252"/>
    <w:rsid w:val="00BE0AB8"/>
    <w:rsid w:val="00BE0C1E"/>
    <w:rsid w:val="00BE0C71"/>
    <w:rsid w:val="00BE2180"/>
    <w:rsid w:val="00BE2C77"/>
    <w:rsid w:val="00BE31C8"/>
    <w:rsid w:val="00BE37EA"/>
    <w:rsid w:val="00BE3A16"/>
    <w:rsid w:val="00BE4275"/>
    <w:rsid w:val="00BE4866"/>
    <w:rsid w:val="00BE4B81"/>
    <w:rsid w:val="00BF0465"/>
    <w:rsid w:val="00BF0D12"/>
    <w:rsid w:val="00BF14D3"/>
    <w:rsid w:val="00BF1948"/>
    <w:rsid w:val="00BF1D6A"/>
    <w:rsid w:val="00BF2274"/>
    <w:rsid w:val="00BF23ED"/>
    <w:rsid w:val="00BF2433"/>
    <w:rsid w:val="00BF3044"/>
    <w:rsid w:val="00BF3091"/>
    <w:rsid w:val="00BF340E"/>
    <w:rsid w:val="00BF4C13"/>
    <w:rsid w:val="00BF4D7B"/>
    <w:rsid w:val="00BF59BB"/>
    <w:rsid w:val="00BF5A29"/>
    <w:rsid w:val="00BF61C9"/>
    <w:rsid w:val="00BF6558"/>
    <w:rsid w:val="00BF6B25"/>
    <w:rsid w:val="00BF7204"/>
    <w:rsid w:val="00BF7473"/>
    <w:rsid w:val="00BF75F9"/>
    <w:rsid w:val="00BF79F9"/>
    <w:rsid w:val="00C006F5"/>
    <w:rsid w:val="00C01E5D"/>
    <w:rsid w:val="00C02243"/>
    <w:rsid w:val="00C02844"/>
    <w:rsid w:val="00C034F3"/>
    <w:rsid w:val="00C03D65"/>
    <w:rsid w:val="00C04F4D"/>
    <w:rsid w:val="00C05970"/>
    <w:rsid w:val="00C066A6"/>
    <w:rsid w:val="00C070D7"/>
    <w:rsid w:val="00C0762F"/>
    <w:rsid w:val="00C0763B"/>
    <w:rsid w:val="00C07F9B"/>
    <w:rsid w:val="00C10B30"/>
    <w:rsid w:val="00C11009"/>
    <w:rsid w:val="00C1236E"/>
    <w:rsid w:val="00C14295"/>
    <w:rsid w:val="00C158C1"/>
    <w:rsid w:val="00C164BD"/>
    <w:rsid w:val="00C16D7A"/>
    <w:rsid w:val="00C16E55"/>
    <w:rsid w:val="00C1787C"/>
    <w:rsid w:val="00C17F67"/>
    <w:rsid w:val="00C2245D"/>
    <w:rsid w:val="00C22865"/>
    <w:rsid w:val="00C234A7"/>
    <w:rsid w:val="00C24586"/>
    <w:rsid w:val="00C24627"/>
    <w:rsid w:val="00C24973"/>
    <w:rsid w:val="00C25418"/>
    <w:rsid w:val="00C2548C"/>
    <w:rsid w:val="00C25BF1"/>
    <w:rsid w:val="00C25D9C"/>
    <w:rsid w:val="00C2700D"/>
    <w:rsid w:val="00C27687"/>
    <w:rsid w:val="00C27AA5"/>
    <w:rsid w:val="00C3104E"/>
    <w:rsid w:val="00C310D9"/>
    <w:rsid w:val="00C31649"/>
    <w:rsid w:val="00C31C5E"/>
    <w:rsid w:val="00C334C5"/>
    <w:rsid w:val="00C33EAD"/>
    <w:rsid w:val="00C3430D"/>
    <w:rsid w:val="00C34BCF"/>
    <w:rsid w:val="00C34BD6"/>
    <w:rsid w:val="00C355E6"/>
    <w:rsid w:val="00C35A58"/>
    <w:rsid w:val="00C36251"/>
    <w:rsid w:val="00C36C11"/>
    <w:rsid w:val="00C36C54"/>
    <w:rsid w:val="00C373C9"/>
    <w:rsid w:val="00C37D26"/>
    <w:rsid w:val="00C40385"/>
    <w:rsid w:val="00C4063D"/>
    <w:rsid w:val="00C4064D"/>
    <w:rsid w:val="00C40765"/>
    <w:rsid w:val="00C40F83"/>
    <w:rsid w:val="00C4118E"/>
    <w:rsid w:val="00C41413"/>
    <w:rsid w:val="00C41BD8"/>
    <w:rsid w:val="00C4201E"/>
    <w:rsid w:val="00C4309B"/>
    <w:rsid w:val="00C447E5"/>
    <w:rsid w:val="00C4548A"/>
    <w:rsid w:val="00C461B9"/>
    <w:rsid w:val="00C4691D"/>
    <w:rsid w:val="00C471AF"/>
    <w:rsid w:val="00C4741D"/>
    <w:rsid w:val="00C47D84"/>
    <w:rsid w:val="00C505EB"/>
    <w:rsid w:val="00C506BD"/>
    <w:rsid w:val="00C50B84"/>
    <w:rsid w:val="00C50CCC"/>
    <w:rsid w:val="00C516DF"/>
    <w:rsid w:val="00C52074"/>
    <w:rsid w:val="00C52B69"/>
    <w:rsid w:val="00C5323A"/>
    <w:rsid w:val="00C53392"/>
    <w:rsid w:val="00C53753"/>
    <w:rsid w:val="00C5518F"/>
    <w:rsid w:val="00C5525C"/>
    <w:rsid w:val="00C56092"/>
    <w:rsid w:val="00C56D92"/>
    <w:rsid w:val="00C6059C"/>
    <w:rsid w:val="00C60C8C"/>
    <w:rsid w:val="00C6102C"/>
    <w:rsid w:val="00C61C88"/>
    <w:rsid w:val="00C625A6"/>
    <w:rsid w:val="00C6292E"/>
    <w:rsid w:val="00C63562"/>
    <w:rsid w:val="00C643D7"/>
    <w:rsid w:val="00C64B2C"/>
    <w:rsid w:val="00C64D9C"/>
    <w:rsid w:val="00C65576"/>
    <w:rsid w:val="00C655D1"/>
    <w:rsid w:val="00C66165"/>
    <w:rsid w:val="00C70700"/>
    <w:rsid w:val="00C717CD"/>
    <w:rsid w:val="00C71B0B"/>
    <w:rsid w:val="00C71BC4"/>
    <w:rsid w:val="00C722A4"/>
    <w:rsid w:val="00C723FB"/>
    <w:rsid w:val="00C725D4"/>
    <w:rsid w:val="00C72C56"/>
    <w:rsid w:val="00C72CA5"/>
    <w:rsid w:val="00C72DBB"/>
    <w:rsid w:val="00C730AB"/>
    <w:rsid w:val="00C747B7"/>
    <w:rsid w:val="00C7514E"/>
    <w:rsid w:val="00C75191"/>
    <w:rsid w:val="00C75477"/>
    <w:rsid w:val="00C76199"/>
    <w:rsid w:val="00C7779F"/>
    <w:rsid w:val="00C81109"/>
    <w:rsid w:val="00C81383"/>
    <w:rsid w:val="00C81906"/>
    <w:rsid w:val="00C8213F"/>
    <w:rsid w:val="00C82D0B"/>
    <w:rsid w:val="00C848AA"/>
    <w:rsid w:val="00C84E39"/>
    <w:rsid w:val="00C85B92"/>
    <w:rsid w:val="00C86E0B"/>
    <w:rsid w:val="00C8729A"/>
    <w:rsid w:val="00C8797A"/>
    <w:rsid w:val="00C87DD9"/>
    <w:rsid w:val="00C87E46"/>
    <w:rsid w:val="00C90DAC"/>
    <w:rsid w:val="00C90E70"/>
    <w:rsid w:val="00C9106F"/>
    <w:rsid w:val="00C9131B"/>
    <w:rsid w:val="00C914E6"/>
    <w:rsid w:val="00C9364C"/>
    <w:rsid w:val="00C93655"/>
    <w:rsid w:val="00C93697"/>
    <w:rsid w:val="00C938CF"/>
    <w:rsid w:val="00C93DDA"/>
    <w:rsid w:val="00C942FB"/>
    <w:rsid w:val="00C95BCF"/>
    <w:rsid w:val="00C96272"/>
    <w:rsid w:val="00C962A0"/>
    <w:rsid w:val="00C96D9A"/>
    <w:rsid w:val="00CA008F"/>
    <w:rsid w:val="00CA150F"/>
    <w:rsid w:val="00CA1727"/>
    <w:rsid w:val="00CA1D49"/>
    <w:rsid w:val="00CA21F7"/>
    <w:rsid w:val="00CA2FA4"/>
    <w:rsid w:val="00CA3510"/>
    <w:rsid w:val="00CA3CC7"/>
    <w:rsid w:val="00CA5245"/>
    <w:rsid w:val="00CA5845"/>
    <w:rsid w:val="00CA59AD"/>
    <w:rsid w:val="00CA5B90"/>
    <w:rsid w:val="00CA6A94"/>
    <w:rsid w:val="00CA7B09"/>
    <w:rsid w:val="00CB0FEA"/>
    <w:rsid w:val="00CB1021"/>
    <w:rsid w:val="00CB11BC"/>
    <w:rsid w:val="00CB18C9"/>
    <w:rsid w:val="00CB1A9D"/>
    <w:rsid w:val="00CB1FF7"/>
    <w:rsid w:val="00CB271B"/>
    <w:rsid w:val="00CB415E"/>
    <w:rsid w:val="00CB4B85"/>
    <w:rsid w:val="00CB5B1A"/>
    <w:rsid w:val="00CB64CC"/>
    <w:rsid w:val="00CB6AC1"/>
    <w:rsid w:val="00CB7080"/>
    <w:rsid w:val="00CC08B4"/>
    <w:rsid w:val="00CC238E"/>
    <w:rsid w:val="00CC3C0C"/>
    <w:rsid w:val="00CC4A8D"/>
    <w:rsid w:val="00CC4BAF"/>
    <w:rsid w:val="00CC55FE"/>
    <w:rsid w:val="00CC5622"/>
    <w:rsid w:val="00CC6056"/>
    <w:rsid w:val="00CC707E"/>
    <w:rsid w:val="00CC78F9"/>
    <w:rsid w:val="00CC7971"/>
    <w:rsid w:val="00CC7D20"/>
    <w:rsid w:val="00CD0640"/>
    <w:rsid w:val="00CD1164"/>
    <w:rsid w:val="00CD25A1"/>
    <w:rsid w:val="00CD2771"/>
    <w:rsid w:val="00CD3257"/>
    <w:rsid w:val="00CD4237"/>
    <w:rsid w:val="00CD506C"/>
    <w:rsid w:val="00CD68D9"/>
    <w:rsid w:val="00CD6ADC"/>
    <w:rsid w:val="00CD6FBC"/>
    <w:rsid w:val="00CE0247"/>
    <w:rsid w:val="00CE09E5"/>
    <w:rsid w:val="00CE102A"/>
    <w:rsid w:val="00CE1D4A"/>
    <w:rsid w:val="00CE35E0"/>
    <w:rsid w:val="00CE38C1"/>
    <w:rsid w:val="00CE398F"/>
    <w:rsid w:val="00CE3F10"/>
    <w:rsid w:val="00CE619E"/>
    <w:rsid w:val="00CE6274"/>
    <w:rsid w:val="00CE6895"/>
    <w:rsid w:val="00CE734A"/>
    <w:rsid w:val="00CE739F"/>
    <w:rsid w:val="00CE7E78"/>
    <w:rsid w:val="00CF0064"/>
    <w:rsid w:val="00CF04DC"/>
    <w:rsid w:val="00CF084E"/>
    <w:rsid w:val="00CF0C64"/>
    <w:rsid w:val="00CF0EAF"/>
    <w:rsid w:val="00CF1055"/>
    <w:rsid w:val="00CF13ED"/>
    <w:rsid w:val="00CF1532"/>
    <w:rsid w:val="00CF1813"/>
    <w:rsid w:val="00CF2AEE"/>
    <w:rsid w:val="00CF3230"/>
    <w:rsid w:val="00CF3B26"/>
    <w:rsid w:val="00CF456B"/>
    <w:rsid w:val="00CF4C38"/>
    <w:rsid w:val="00CF527E"/>
    <w:rsid w:val="00CF5A22"/>
    <w:rsid w:val="00D01FCC"/>
    <w:rsid w:val="00D0262E"/>
    <w:rsid w:val="00D03985"/>
    <w:rsid w:val="00D0433B"/>
    <w:rsid w:val="00D04C42"/>
    <w:rsid w:val="00D05888"/>
    <w:rsid w:val="00D06FD4"/>
    <w:rsid w:val="00D07167"/>
    <w:rsid w:val="00D10C68"/>
    <w:rsid w:val="00D110BD"/>
    <w:rsid w:val="00D11A01"/>
    <w:rsid w:val="00D11F59"/>
    <w:rsid w:val="00D1281D"/>
    <w:rsid w:val="00D12AF5"/>
    <w:rsid w:val="00D14785"/>
    <w:rsid w:val="00D167F7"/>
    <w:rsid w:val="00D17311"/>
    <w:rsid w:val="00D1797A"/>
    <w:rsid w:val="00D17D6C"/>
    <w:rsid w:val="00D2034C"/>
    <w:rsid w:val="00D20A6E"/>
    <w:rsid w:val="00D21500"/>
    <w:rsid w:val="00D21648"/>
    <w:rsid w:val="00D219C8"/>
    <w:rsid w:val="00D21D2B"/>
    <w:rsid w:val="00D21D55"/>
    <w:rsid w:val="00D2236C"/>
    <w:rsid w:val="00D2313C"/>
    <w:rsid w:val="00D244C9"/>
    <w:rsid w:val="00D276FF"/>
    <w:rsid w:val="00D31787"/>
    <w:rsid w:val="00D325F1"/>
    <w:rsid w:val="00D32672"/>
    <w:rsid w:val="00D344EB"/>
    <w:rsid w:val="00D3496B"/>
    <w:rsid w:val="00D34DA4"/>
    <w:rsid w:val="00D352D6"/>
    <w:rsid w:val="00D3553F"/>
    <w:rsid w:val="00D35689"/>
    <w:rsid w:val="00D35C4A"/>
    <w:rsid w:val="00D36FE8"/>
    <w:rsid w:val="00D374B7"/>
    <w:rsid w:val="00D3754E"/>
    <w:rsid w:val="00D37E9E"/>
    <w:rsid w:val="00D409C6"/>
    <w:rsid w:val="00D40B3B"/>
    <w:rsid w:val="00D40E17"/>
    <w:rsid w:val="00D41B8D"/>
    <w:rsid w:val="00D43021"/>
    <w:rsid w:val="00D43993"/>
    <w:rsid w:val="00D45FEA"/>
    <w:rsid w:val="00D466F2"/>
    <w:rsid w:val="00D46A99"/>
    <w:rsid w:val="00D46AA8"/>
    <w:rsid w:val="00D47F99"/>
    <w:rsid w:val="00D50234"/>
    <w:rsid w:val="00D50E86"/>
    <w:rsid w:val="00D538AD"/>
    <w:rsid w:val="00D53A0D"/>
    <w:rsid w:val="00D567AB"/>
    <w:rsid w:val="00D5683A"/>
    <w:rsid w:val="00D56FB3"/>
    <w:rsid w:val="00D57121"/>
    <w:rsid w:val="00D6045D"/>
    <w:rsid w:val="00D6142A"/>
    <w:rsid w:val="00D61B6A"/>
    <w:rsid w:val="00D61EFE"/>
    <w:rsid w:val="00D63800"/>
    <w:rsid w:val="00D64F91"/>
    <w:rsid w:val="00D65D15"/>
    <w:rsid w:val="00D66B9B"/>
    <w:rsid w:val="00D66F9E"/>
    <w:rsid w:val="00D66FE0"/>
    <w:rsid w:val="00D67672"/>
    <w:rsid w:val="00D707A9"/>
    <w:rsid w:val="00D71155"/>
    <w:rsid w:val="00D71324"/>
    <w:rsid w:val="00D71553"/>
    <w:rsid w:val="00D7274F"/>
    <w:rsid w:val="00D74029"/>
    <w:rsid w:val="00D74036"/>
    <w:rsid w:val="00D7412E"/>
    <w:rsid w:val="00D74E51"/>
    <w:rsid w:val="00D75C52"/>
    <w:rsid w:val="00D76A44"/>
    <w:rsid w:val="00D7713A"/>
    <w:rsid w:val="00D7717F"/>
    <w:rsid w:val="00D772EC"/>
    <w:rsid w:val="00D77A5A"/>
    <w:rsid w:val="00D80E9F"/>
    <w:rsid w:val="00D80EF7"/>
    <w:rsid w:val="00D80FA6"/>
    <w:rsid w:val="00D81485"/>
    <w:rsid w:val="00D8253A"/>
    <w:rsid w:val="00D8346D"/>
    <w:rsid w:val="00D837BD"/>
    <w:rsid w:val="00D84CD8"/>
    <w:rsid w:val="00D859B3"/>
    <w:rsid w:val="00D85B14"/>
    <w:rsid w:val="00D876A2"/>
    <w:rsid w:val="00D87A0C"/>
    <w:rsid w:val="00D87EB0"/>
    <w:rsid w:val="00D90384"/>
    <w:rsid w:val="00D90850"/>
    <w:rsid w:val="00D90E81"/>
    <w:rsid w:val="00D90F32"/>
    <w:rsid w:val="00D910CF"/>
    <w:rsid w:val="00D91200"/>
    <w:rsid w:val="00D923DD"/>
    <w:rsid w:val="00D93753"/>
    <w:rsid w:val="00D93FD5"/>
    <w:rsid w:val="00D94C25"/>
    <w:rsid w:val="00D9570B"/>
    <w:rsid w:val="00D959BF"/>
    <w:rsid w:val="00D961B2"/>
    <w:rsid w:val="00D9636D"/>
    <w:rsid w:val="00D96423"/>
    <w:rsid w:val="00D96709"/>
    <w:rsid w:val="00DA2C4A"/>
    <w:rsid w:val="00DA2C61"/>
    <w:rsid w:val="00DA31E7"/>
    <w:rsid w:val="00DA3CB6"/>
    <w:rsid w:val="00DA3ED8"/>
    <w:rsid w:val="00DA4B84"/>
    <w:rsid w:val="00DA4E61"/>
    <w:rsid w:val="00DA4FE6"/>
    <w:rsid w:val="00DA597F"/>
    <w:rsid w:val="00DA6A7A"/>
    <w:rsid w:val="00DA77A5"/>
    <w:rsid w:val="00DA7A88"/>
    <w:rsid w:val="00DB0152"/>
    <w:rsid w:val="00DB0D1E"/>
    <w:rsid w:val="00DB17FA"/>
    <w:rsid w:val="00DB1A8B"/>
    <w:rsid w:val="00DB1D9C"/>
    <w:rsid w:val="00DB2F0C"/>
    <w:rsid w:val="00DB4E64"/>
    <w:rsid w:val="00DB545A"/>
    <w:rsid w:val="00DB5E5A"/>
    <w:rsid w:val="00DB5EC1"/>
    <w:rsid w:val="00DB6450"/>
    <w:rsid w:val="00DB73A9"/>
    <w:rsid w:val="00DB7AAB"/>
    <w:rsid w:val="00DB7D5C"/>
    <w:rsid w:val="00DC1871"/>
    <w:rsid w:val="00DC3904"/>
    <w:rsid w:val="00DC5501"/>
    <w:rsid w:val="00DC64A3"/>
    <w:rsid w:val="00DC7C37"/>
    <w:rsid w:val="00DD0C0B"/>
    <w:rsid w:val="00DD0FCB"/>
    <w:rsid w:val="00DD206D"/>
    <w:rsid w:val="00DD2072"/>
    <w:rsid w:val="00DD25FB"/>
    <w:rsid w:val="00DD2D66"/>
    <w:rsid w:val="00DD369C"/>
    <w:rsid w:val="00DD3DD3"/>
    <w:rsid w:val="00DD3F28"/>
    <w:rsid w:val="00DD44C4"/>
    <w:rsid w:val="00DD4537"/>
    <w:rsid w:val="00DD489F"/>
    <w:rsid w:val="00DD4E15"/>
    <w:rsid w:val="00DD5222"/>
    <w:rsid w:val="00DD5300"/>
    <w:rsid w:val="00DD54B0"/>
    <w:rsid w:val="00DE03A7"/>
    <w:rsid w:val="00DE081D"/>
    <w:rsid w:val="00DE0A83"/>
    <w:rsid w:val="00DE1E82"/>
    <w:rsid w:val="00DE2033"/>
    <w:rsid w:val="00DE29A0"/>
    <w:rsid w:val="00DE4FCB"/>
    <w:rsid w:val="00DE52FE"/>
    <w:rsid w:val="00DE56D1"/>
    <w:rsid w:val="00DE65D2"/>
    <w:rsid w:val="00DE715C"/>
    <w:rsid w:val="00DE7206"/>
    <w:rsid w:val="00DE7267"/>
    <w:rsid w:val="00DE79CA"/>
    <w:rsid w:val="00DE7A40"/>
    <w:rsid w:val="00DE7F4C"/>
    <w:rsid w:val="00DF11FB"/>
    <w:rsid w:val="00DF18B9"/>
    <w:rsid w:val="00DF21F2"/>
    <w:rsid w:val="00DF2475"/>
    <w:rsid w:val="00DF2553"/>
    <w:rsid w:val="00DF2D49"/>
    <w:rsid w:val="00DF4337"/>
    <w:rsid w:val="00DF45DD"/>
    <w:rsid w:val="00DF498A"/>
    <w:rsid w:val="00DF4D28"/>
    <w:rsid w:val="00DF4D61"/>
    <w:rsid w:val="00DF500F"/>
    <w:rsid w:val="00DF5966"/>
    <w:rsid w:val="00DF6AE8"/>
    <w:rsid w:val="00E009B1"/>
    <w:rsid w:val="00E00D21"/>
    <w:rsid w:val="00E013D8"/>
    <w:rsid w:val="00E01726"/>
    <w:rsid w:val="00E0191F"/>
    <w:rsid w:val="00E028C5"/>
    <w:rsid w:val="00E02BB2"/>
    <w:rsid w:val="00E02DD0"/>
    <w:rsid w:val="00E03C50"/>
    <w:rsid w:val="00E040E3"/>
    <w:rsid w:val="00E04639"/>
    <w:rsid w:val="00E0525B"/>
    <w:rsid w:val="00E05291"/>
    <w:rsid w:val="00E067BD"/>
    <w:rsid w:val="00E06A2D"/>
    <w:rsid w:val="00E07547"/>
    <w:rsid w:val="00E07911"/>
    <w:rsid w:val="00E07A05"/>
    <w:rsid w:val="00E07DFE"/>
    <w:rsid w:val="00E10149"/>
    <w:rsid w:val="00E10335"/>
    <w:rsid w:val="00E10D4E"/>
    <w:rsid w:val="00E117DD"/>
    <w:rsid w:val="00E12DA8"/>
    <w:rsid w:val="00E13642"/>
    <w:rsid w:val="00E13649"/>
    <w:rsid w:val="00E14450"/>
    <w:rsid w:val="00E1472B"/>
    <w:rsid w:val="00E15F27"/>
    <w:rsid w:val="00E16372"/>
    <w:rsid w:val="00E16541"/>
    <w:rsid w:val="00E1656F"/>
    <w:rsid w:val="00E16DD8"/>
    <w:rsid w:val="00E172B0"/>
    <w:rsid w:val="00E174D5"/>
    <w:rsid w:val="00E17853"/>
    <w:rsid w:val="00E2043C"/>
    <w:rsid w:val="00E208AA"/>
    <w:rsid w:val="00E20ED6"/>
    <w:rsid w:val="00E212E1"/>
    <w:rsid w:val="00E21358"/>
    <w:rsid w:val="00E216BC"/>
    <w:rsid w:val="00E21778"/>
    <w:rsid w:val="00E218CD"/>
    <w:rsid w:val="00E2249B"/>
    <w:rsid w:val="00E235D6"/>
    <w:rsid w:val="00E23677"/>
    <w:rsid w:val="00E23874"/>
    <w:rsid w:val="00E23A32"/>
    <w:rsid w:val="00E244A2"/>
    <w:rsid w:val="00E26207"/>
    <w:rsid w:val="00E2771E"/>
    <w:rsid w:val="00E27C74"/>
    <w:rsid w:val="00E27DCD"/>
    <w:rsid w:val="00E30134"/>
    <w:rsid w:val="00E3100D"/>
    <w:rsid w:val="00E31C76"/>
    <w:rsid w:val="00E31F65"/>
    <w:rsid w:val="00E3245E"/>
    <w:rsid w:val="00E32D77"/>
    <w:rsid w:val="00E33065"/>
    <w:rsid w:val="00E34217"/>
    <w:rsid w:val="00E349FE"/>
    <w:rsid w:val="00E34AA3"/>
    <w:rsid w:val="00E34CA5"/>
    <w:rsid w:val="00E3529C"/>
    <w:rsid w:val="00E355E6"/>
    <w:rsid w:val="00E35C23"/>
    <w:rsid w:val="00E36639"/>
    <w:rsid w:val="00E37569"/>
    <w:rsid w:val="00E37B4B"/>
    <w:rsid w:val="00E37CE3"/>
    <w:rsid w:val="00E37CF3"/>
    <w:rsid w:val="00E400A1"/>
    <w:rsid w:val="00E40F54"/>
    <w:rsid w:val="00E4106A"/>
    <w:rsid w:val="00E417C3"/>
    <w:rsid w:val="00E41E30"/>
    <w:rsid w:val="00E42C41"/>
    <w:rsid w:val="00E43081"/>
    <w:rsid w:val="00E43369"/>
    <w:rsid w:val="00E43775"/>
    <w:rsid w:val="00E450D8"/>
    <w:rsid w:val="00E45A91"/>
    <w:rsid w:val="00E4673F"/>
    <w:rsid w:val="00E469F4"/>
    <w:rsid w:val="00E46AF2"/>
    <w:rsid w:val="00E47B2C"/>
    <w:rsid w:val="00E47EDC"/>
    <w:rsid w:val="00E50103"/>
    <w:rsid w:val="00E50A44"/>
    <w:rsid w:val="00E52DF7"/>
    <w:rsid w:val="00E52E50"/>
    <w:rsid w:val="00E54556"/>
    <w:rsid w:val="00E54646"/>
    <w:rsid w:val="00E5502A"/>
    <w:rsid w:val="00E55424"/>
    <w:rsid w:val="00E55803"/>
    <w:rsid w:val="00E55BFB"/>
    <w:rsid w:val="00E56926"/>
    <w:rsid w:val="00E56A0F"/>
    <w:rsid w:val="00E57997"/>
    <w:rsid w:val="00E57ACB"/>
    <w:rsid w:val="00E57C22"/>
    <w:rsid w:val="00E61243"/>
    <w:rsid w:val="00E628E6"/>
    <w:rsid w:val="00E62E2D"/>
    <w:rsid w:val="00E6338D"/>
    <w:rsid w:val="00E6425E"/>
    <w:rsid w:val="00E6526F"/>
    <w:rsid w:val="00E65E20"/>
    <w:rsid w:val="00E65E79"/>
    <w:rsid w:val="00E66CD1"/>
    <w:rsid w:val="00E67416"/>
    <w:rsid w:val="00E718B6"/>
    <w:rsid w:val="00E71B10"/>
    <w:rsid w:val="00E725F8"/>
    <w:rsid w:val="00E73228"/>
    <w:rsid w:val="00E7356C"/>
    <w:rsid w:val="00E73581"/>
    <w:rsid w:val="00E73C3C"/>
    <w:rsid w:val="00E74083"/>
    <w:rsid w:val="00E75555"/>
    <w:rsid w:val="00E7571C"/>
    <w:rsid w:val="00E7584C"/>
    <w:rsid w:val="00E763B9"/>
    <w:rsid w:val="00E76669"/>
    <w:rsid w:val="00E76D80"/>
    <w:rsid w:val="00E77815"/>
    <w:rsid w:val="00E779B8"/>
    <w:rsid w:val="00E80815"/>
    <w:rsid w:val="00E80BB4"/>
    <w:rsid w:val="00E81B6F"/>
    <w:rsid w:val="00E81D66"/>
    <w:rsid w:val="00E8201C"/>
    <w:rsid w:val="00E82C21"/>
    <w:rsid w:val="00E82E9B"/>
    <w:rsid w:val="00E83018"/>
    <w:rsid w:val="00E83407"/>
    <w:rsid w:val="00E8399F"/>
    <w:rsid w:val="00E83BDF"/>
    <w:rsid w:val="00E83E1E"/>
    <w:rsid w:val="00E84726"/>
    <w:rsid w:val="00E84B1D"/>
    <w:rsid w:val="00E85AC7"/>
    <w:rsid w:val="00E85C84"/>
    <w:rsid w:val="00E86662"/>
    <w:rsid w:val="00E914FF"/>
    <w:rsid w:val="00E919D3"/>
    <w:rsid w:val="00E91ED0"/>
    <w:rsid w:val="00E920E7"/>
    <w:rsid w:val="00E92170"/>
    <w:rsid w:val="00E92A38"/>
    <w:rsid w:val="00E92C9C"/>
    <w:rsid w:val="00E930DC"/>
    <w:rsid w:val="00E93109"/>
    <w:rsid w:val="00E93AEE"/>
    <w:rsid w:val="00E943C3"/>
    <w:rsid w:val="00E949C4"/>
    <w:rsid w:val="00E95461"/>
    <w:rsid w:val="00E9614C"/>
    <w:rsid w:val="00E97B4D"/>
    <w:rsid w:val="00EA0013"/>
    <w:rsid w:val="00EA168D"/>
    <w:rsid w:val="00EA2943"/>
    <w:rsid w:val="00EA2EBE"/>
    <w:rsid w:val="00EA3093"/>
    <w:rsid w:val="00EA31F9"/>
    <w:rsid w:val="00EA356F"/>
    <w:rsid w:val="00EA3864"/>
    <w:rsid w:val="00EA570F"/>
    <w:rsid w:val="00EA67E1"/>
    <w:rsid w:val="00EA7C2A"/>
    <w:rsid w:val="00EA7F66"/>
    <w:rsid w:val="00EB0D24"/>
    <w:rsid w:val="00EB16E8"/>
    <w:rsid w:val="00EB2275"/>
    <w:rsid w:val="00EB3868"/>
    <w:rsid w:val="00EB3923"/>
    <w:rsid w:val="00EB4268"/>
    <w:rsid w:val="00EB599E"/>
    <w:rsid w:val="00EB5F76"/>
    <w:rsid w:val="00EB60AE"/>
    <w:rsid w:val="00EB730D"/>
    <w:rsid w:val="00EB79D0"/>
    <w:rsid w:val="00EB7BC9"/>
    <w:rsid w:val="00EC00C9"/>
    <w:rsid w:val="00EC01FA"/>
    <w:rsid w:val="00EC04C7"/>
    <w:rsid w:val="00EC0770"/>
    <w:rsid w:val="00EC0CBF"/>
    <w:rsid w:val="00EC168C"/>
    <w:rsid w:val="00EC1725"/>
    <w:rsid w:val="00EC26E6"/>
    <w:rsid w:val="00EC513F"/>
    <w:rsid w:val="00EC5787"/>
    <w:rsid w:val="00EC58A0"/>
    <w:rsid w:val="00EC5912"/>
    <w:rsid w:val="00EC68F3"/>
    <w:rsid w:val="00ED0171"/>
    <w:rsid w:val="00ED0BCB"/>
    <w:rsid w:val="00ED1026"/>
    <w:rsid w:val="00ED2018"/>
    <w:rsid w:val="00ED237A"/>
    <w:rsid w:val="00ED27E3"/>
    <w:rsid w:val="00ED29D2"/>
    <w:rsid w:val="00ED29EB"/>
    <w:rsid w:val="00ED2D9F"/>
    <w:rsid w:val="00ED4A45"/>
    <w:rsid w:val="00ED649C"/>
    <w:rsid w:val="00ED7720"/>
    <w:rsid w:val="00ED7E57"/>
    <w:rsid w:val="00EE07D3"/>
    <w:rsid w:val="00EE0C6C"/>
    <w:rsid w:val="00EE1535"/>
    <w:rsid w:val="00EE2C7C"/>
    <w:rsid w:val="00EE33A8"/>
    <w:rsid w:val="00EE3B84"/>
    <w:rsid w:val="00EE3C84"/>
    <w:rsid w:val="00EE4009"/>
    <w:rsid w:val="00EE4794"/>
    <w:rsid w:val="00EE5838"/>
    <w:rsid w:val="00EE5977"/>
    <w:rsid w:val="00EE6E01"/>
    <w:rsid w:val="00EE6E45"/>
    <w:rsid w:val="00EE6F01"/>
    <w:rsid w:val="00EE6F46"/>
    <w:rsid w:val="00EE737A"/>
    <w:rsid w:val="00EE7826"/>
    <w:rsid w:val="00EF1C7E"/>
    <w:rsid w:val="00EF2055"/>
    <w:rsid w:val="00EF4688"/>
    <w:rsid w:val="00EF496D"/>
    <w:rsid w:val="00EF6E0A"/>
    <w:rsid w:val="00EF73BB"/>
    <w:rsid w:val="00F00459"/>
    <w:rsid w:val="00F00E13"/>
    <w:rsid w:val="00F00E72"/>
    <w:rsid w:val="00F017A3"/>
    <w:rsid w:val="00F018FB"/>
    <w:rsid w:val="00F02109"/>
    <w:rsid w:val="00F0276A"/>
    <w:rsid w:val="00F03281"/>
    <w:rsid w:val="00F03759"/>
    <w:rsid w:val="00F03B42"/>
    <w:rsid w:val="00F03BAB"/>
    <w:rsid w:val="00F03F67"/>
    <w:rsid w:val="00F040FD"/>
    <w:rsid w:val="00F0461B"/>
    <w:rsid w:val="00F0495E"/>
    <w:rsid w:val="00F058C9"/>
    <w:rsid w:val="00F067A2"/>
    <w:rsid w:val="00F07B1A"/>
    <w:rsid w:val="00F07D0E"/>
    <w:rsid w:val="00F10085"/>
    <w:rsid w:val="00F101DA"/>
    <w:rsid w:val="00F10620"/>
    <w:rsid w:val="00F10BBB"/>
    <w:rsid w:val="00F11722"/>
    <w:rsid w:val="00F12138"/>
    <w:rsid w:val="00F12F65"/>
    <w:rsid w:val="00F130BF"/>
    <w:rsid w:val="00F134F8"/>
    <w:rsid w:val="00F137C4"/>
    <w:rsid w:val="00F13E8F"/>
    <w:rsid w:val="00F14A9D"/>
    <w:rsid w:val="00F1597D"/>
    <w:rsid w:val="00F15B71"/>
    <w:rsid w:val="00F164DE"/>
    <w:rsid w:val="00F16CF0"/>
    <w:rsid w:val="00F176C4"/>
    <w:rsid w:val="00F20EB4"/>
    <w:rsid w:val="00F211E9"/>
    <w:rsid w:val="00F21293"/>
    <w:rsid w:val="00F21C8A"/>
    <w:rsid w:val="00F22AAE"/>
    <w:rsid w:val="00F22C76"/>
    <w:rsid w:val="00F22EA6"/>
    <w:rsid w:val="00F24837"/>
    <w:rsid w:val="00F251E8"/>
    <w:rsid w:val="00F25505"/>
    <w:rsid w:val="00F2575F"/>
    <w:rsid w:val="00F25842"/>
    <w:rsid w:val="00F26C53"/>
    <w:rsid w:val="00F2715F"/>
    <w:rsid w:val="00F275A2"/>
    <w:rsid w:val="00F3085B"/>
    <w:rsid w:val="00F309AD"/>
    <w:rsid w:val="00F33460"/>
    <w:rsid w:val="00F3362E"/>
    <w:rsid w:val="00F338FF"/>
    <w:rsid w:val="00F33DE9"/>
    <w:rsid w:val="00F33F33"/>
    <w:rsid w:val="00F340F8"/>
    <w:rsid w:val="00F344B3"/>
    <w:rsid w:val="00F34517"/>
    <w:rsid w:val="00F345B9"/>
    <w:rsid w:val="00F345C1"/>
    <w:rsid w:val="00F347E8"/>
    <w:rsid w:val="00F34F50"/>
    <w:rsid w:val="00F35E96"/>
    <w:rsid w:val="00F35F56"/>
    <w:rsid w:val="00F3619A"/>
    <w:rsid w:val="00F36599"/>
    <w:rsid w:val="00F36B97"/>
    <w:rsid w:val="00F40CE9"/>
    <w:rsid w:val="00F413ED"/>
    <w:rsid w:val="00F42948"/>
    <w:rsid w:val="00F42A75"/>
    <w:rsid w:val="00F42C00"/>
    <w:rsid w:val="00F4385D"/>
    <w:rsid w:val="00F43B39"/>
    <w:rsid w:val="00F4650E"/>
    <w:rsid w:val="00F465E8"/>
    <w:rsid w:val="00F4662C"/>
    <w:rsid w:val="00F46691"/>
    <w:rsid w:val="00F46A63"/>
    <w:rsid w:val="00F46CB6"/>
    <w:rsid w:val="00F50161"/>
    <w:rsid w:val="00F50776"/>
    <w:rsid w:val="00F511A8"/>
    <w:rsid w:val="00F51D92"/>
    <w:rsid w:val="00F53AC8"/>
    <w:rsid w:val="00F5455F"/>
    <w:rsid w:val="00F546B9"/>
    <w:rsid w:val="00F54904"/>
    <w:rsid w:val="00F54A91"/>
    <w:rsid w:val="00F54B6C"/>
    <w:rsid w:val="00F54F92"/>
    <w:rsid w:val="00F55D83"/>
    <w:rsid w:val="00F55D95"/>
    <w:rsid w:val="00F55E73"/>
    <w:rsid w:val="00F563FA"/>
    <w:rsid w:val="00F573A1"/>
    <w:rsid w:val="00F60259"/>
    <w:rsid w:val="00F603E3"/>
    <w:rsid w:val="00F60F79"/>
    <w:rsid w:val="00F61083"/>
    <w:rsid w:val="00F61F0D"/>
    <w:rsid w:val="00F62A87"/>
    <w:rsid w:val="00F62CD7"/>
    <w:rsid w:val="00F62E79"/>
    <w:rsid w:val="00F63BDC"/>
    <w:rsid w:val="00F63F63"/>
    <w:rsid w:val="00F6442B"/>
    <w:rsid w:val="00F64BD3"/>
    <w:rsid w:val="00F6534E"/>
    <w:rsid w:val="00F6566D"/>
    <w:rsid w:val="00F65A13"/>
    <w:rsid w:val="00F660A5"/>
    <w:rsid w:val="00F66335"/>
    <w:rsid w:val="00F6676B"/>
    <w:rsid w:val="00F6712F"/>
    <w:rsid w:val="00F67288"/>
    <w:rsid w:val="00F67575"/>
    <w:rsid w:val="00F67C38"/>
    <w:rsid w:val="00F7052C"/>
    <w:rsid w:val="00F70B4F"/>
    <w:rsid w:val="00F70D7E"/>
    <w:rsid w:val="00F7111B"/>
    <w:rsid w:val="00F71408"/>
    <w:rsid w:val="00F71657"/>
    <w:rsid w:val="00F71799"/>
    <w:rsid w:val="00F71B7E"/>
    <w:rsid w:val="00F71D8F"/>
    <w:rsid w:val="00F72456"/>
    <w:rsid w:val="00F72B13"/>
    <w:rsid w:val="00F72CC7"/>
    <w:rsid w:val="00F730A1"/>
    <w:rsid w:val="00F7449A"/>
    <w:rsid w:val="00F749C8"/>
    <w:rsid w:val="00F75D3D"/>
    <w:rsid w:val="00F766C7"/>
    <w:rsid w:val="00F7790D"/>
    <w:rsid w:val="00F80E5D"/>
    <w:rsid w:val="00F81850"/>
    <w:rsid w:val="00F821C6"/>
    <w:rsid w:val="00F83041"/>
    <w:rsid w:val="00F830E9"/>
    <w:rsid w:val="00F84216"/>
    <w:rsid w:val="00F8454F"/>
    <w:rsid w:val="00F847CB"/>
    <w:rsid w:val="00F84D8E"/>
    <w:rsid w:val="00F851CE"/>
    <w:rsid w:val="00F87129"/>
    <w:rsid w:val="00F87A2D"/>
    <w:rsid w:val="00F87FED"/>
    <w:rsid w:val="00F912AC"/>
    <w:rsid w:val="00F9168E"/>
    <w:rsid w:val="00F91DD9"/>
    <w:rsid w:val="00F91ED3"/>
    <w:rsid w:val="00F9223B"/>
    <w:rsid w:val="00F9291C"/>
    <w:rsid w:val="00F93826"/>
    <w:rsid w:val="00F93875"/>
    <w:rsid w:val="00F939C6"/>
    <w:rsid w:val="00F93F48"/>
    <w:rsid w:val="00F96547"/>
    <w:rsid w:val="00F9659A"/>
    <w:rsid w:val="00F96AE3"/>
    <w:rsid w:val="00F97A36"/>
    <w:rsid w:val="00F97A78"/>
    <w:rsid w:val="00F97B06"/>
    <w:rsid w:val="00FA01ED"/>
    <w:rsid w:val="00FA0A46"/>
    <w:rsid w:val="00FA188A"/>
    <w:rsid w:val="00FA1A2E"/>
    <w:rsid w:val="00FA1B22"/>
    <w:rsid w:val="00FA2240"/>
    <w:rsid w:val="00FA2F41"/>
    <w:rsid w:val="00FA3866"/>
    <w:rsid w:val="00FA6180"/>
    <w:rsid w:val="00FA6CD7"/>
    <w:rsid w:val="00FA6F89"/>
    <w:rsid w:val="00FA7D00"/>
    <w:rsid w:val="00FB0A48"/>
    <w:rsid w:val="00FB0C72"/>
    <w:rsid w:val="00FB0D21"/>
    <w:rsid w:val="00FB0F85"/>
    <w:rsid w:val="00FB1959"/>
    <w:rsid w:val="00FB280F"/>
    <w:rsid w:val="00FB2FCB"/>
    <w:rsid w:val="00FB3F54"/>
    <w:rsid w:val="00FB4870"/>
    <w:rsid w:val="00FB5ED5"/>
    <w:rsid w:val="00FC0240"/>
    <w:rsid w:val="00FC1074"/>
    <w:rsid w:val="00FC1132"/>
    <w:rsid w:val="00FC1884"/>
    <w:rsid w:val="00FC2B35"/>
    <w:rsid w:val="00FC2B7A"/>
    <w:rsid w:val="00FC3F97"/>
    <w:rsid w:val="00FC5571"/>
    <w:rsid w:val="00FC5B50"/>
    <w:rsid w:val="00FC5B9B"/>
    <w:rsid w:val="00FC6071"/>
    <w:rsid w:val="00FC72EE"/>
    <w:rsid w:val="00FC7506"/>
    <w:rsid w:val="00FC7909"/>
    <w:rsid w:val="00FC7A7E"/>
    <w:rsid w:val="00FC7B64"/>
    <w:rsid w:val="00FD1054"/>
    <w:rsid w:val="00FD110D"/>
    <w:rsid w:val="00FD158C"/>
    <w:rsid w:val="00FD1834"/>
    <w:rsid w:val="00FD2100"/>
    <w:rsid w:val="00FD2D30"/>
    <w:rsid w:val="00FD3BB3"/>
    <w:rsid w:val="00FD42BB"/>
    <w:rsid w:val="00FD446D"/>
    <w:rsid w:val="00FD4BBB"/>
    <w:rsid w:val="00FD4C23"/>
    <w:rsid w:val="00FD53DB"/>
    <w:rsid w:val="00FD5433"/>
    <w:rsid w:val="00FD5485"/>
    <w:rsid w:val="00FD5607"/>
    <w:rsid w:val="00FD5AFE"/>
    <w:rsid w:val="00FD6003"/>
    <w:rsid w:val="00FD68D4"/>
    <w:rsid w:val="00FD68F8"/>
    <w:rsid w:val="00FD7F06"/>
    <w:rsid w:val="00FE04F5"/>
    <w:rsid w:val="00FE0595"/>
    <w:rsid w:val="00FE06FE"/>
    <w:rsid w:val="00FE111F"/>
    <w:rsid w:val="00FE159A"/>
    <w:rsid w:val="00FE4379"/>
    <w:rsid w:val="00FE4653"/>
    <w:rsid w:val="00FE5F17"/>
    <w:rsid w:val="00FE683E"/>
    <w:rsid w:val="00FE6EF1"/>
    <w:rsid w:val="00FE6FD3"/>
    <w:rsid w:val="00FE70B2"/>
    <w:rsid w:val="00FE732D"/>
    <w:rsid w:val="00FE7D24"/>
    <w:rsid w:val="00FE7D6C"/>
    <w:rsid w:val="00FF15E8"/>
    <w:rsid w:val="00FF1FE7"/>
    <w:rsid w:val="00FF33B2"/>
    <w:rsid w:val="00FF35CA"/>
    <w:rsid w:val="00FF3C90"/>
    <w:rsid w:val="00FF3DCF"/>
    <w:rsid w:val="00FF4483"/>
    <w:rsid w:val="00FF48DA"/>
    <w:rsid w:val="00FF4A81"/>
    <w:rsid w:val="00FF54E2"/>
    <w:rsid w:val="00FF5AA3"/>
    <w:rsid w:val="00FF5F35"/>
    <w:rsid w:val="00FF6010"/>
    <w:rsid w:val="00FF637D"/>
    <w:rsid w:val="00FF6F3F"/>
    <w:rsid w:val="00FF744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6C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PBACheading1"/>
    <w:next w:val="Normal"/>
    <w:link w:val="Heading1Char"/>
    <w:uiPriority w:val="9"/>
    <w:qFormat/>
    <w:rsid w:val="0091638E"/>
    <w:pPr>
      <w:outlineLvl w:val="0"/>
    </w:pPr>
  </w:style>
  <w:style w:type="paragraph" w:styleId="Heading2">
    <w:name w:val="heading 2"/>
    <w:basedOn w:val="Normal"/>
    <w:next w:val="Normal"/>
    <w:link w:val="Heading2Char"/>
    <w:uiPriority w:val="9"/>
    <w:qFormat/>
    <w:rsid w:val="0091638E"/>
    <w:pPr>
      <w:outlineLvl w:val="1"/>
    </w:pPr>
    <w:rPr>
      <w:b/>
      <w:bCs/>
      <w:i/>
      <w:szCs w:val="22"/>
    </w:rPr>
  </w:style>
  <w:style w:type="paragraph" w:styleId="Heading3">
    <w:name w:val="heading 3"/>
    <w:basedOn w:val="Normal"/>
    <w:next w:val="Normal"/>
    <w:link w:val="Heading3Char"/>
    <w:uiPriority w:val="9"/>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szCs w:val="22"/>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91638E"/>
    <w:rPr>
      <w:rFonts w:ascii="Arial" w:hAnsi="Arial" w:cs="Arial"/>
      <w:b/>
      <w:bCs/>
      <w:i/>
      <w:snapToGrid w:val="0"/>
      <w:sz w:val="22"/>
      <w:szCs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next w:val="Normal"/>
    <w:link w:val="TitleChar"/>
    <w:qFormat/>
    <w:rsid w:val="0091638E"/>
    <w:pPr>
      <w:outlineLvl w:val="0"/>
    </w:pPr>
    <w:rPr>
      <w:rFonts w:ascii="Arial" w:hAnsi="Arial" w:cs="Arial"/>
      <w:b/>
      <w:bCs/>
      <w:snapToGrid w:val="0"/>
      <w:sz w:val="28"/>
      <w:szCs w:val="22"/>
      <w:lang w:eastAsia="en-US"/>
    </w:rPr>
  </w:style>
  <w:style w:type="character" w:customStyle="1" w:styleId="TitleChar">
    <w:name w:val="Title Char"/>
    <w:basedOn w:val="DefaultParagraphFont"/>
    <w:link w:val="Title"/>
    <w:rsid w:val="0091638E"/>
    <w:rPr>
      <w:rFonts w:ascii="Arial" w:hAnsi="Arial" w:cs="Arial"/>
      <w:b/>
      <w:bCs/>
      <w:snapToGrid w:val="0"/>
      <w:sz w:val="28"/>
      <w:szCs w:val="22"/>
      <w:lang w:eastAsia="en-US"/>
    </w:rPr>
  </w:style>
  <w:style w:type="paragraph" w:styleId="BodyText">
    <w:name w:val="Body Text"/>
    <w:aliases w:val="Body Text Hang,BT,bt,Bullet Level 5,Body Hang,Body Text Char1,Body Text Char Char,Body Text Char1 Char1 Char,Body Text Char Char Char1 Char, Char Char Char Char1 Char,Body Text Char Char1 Char Char Char,Body Text Char1 Char Char Char, Char Cha"/>
    <w:basedOn w:val="Normal"/>
    <w:link w:val="BodyTextChar"/>
    <w:qFormat/>
    <w:rsid w:val="004B3DDB"/>
    <w:pPr>
      <w:jc w:val="left"/>
    </w:pPr>
  </w:style>
  <w:style w:type="character" w:customStyle="1" w:styleId="BodyTextChar">
    <w:name w:val="Body Text Char"/>
    <w:aliases w:val="Body Text Hang Char,BT Char,bt Char,Bullet Level 5 Char,Body Hang Char,Body Text Char1 Char,Body Text Char Char Char,Body Text Char1 Char1 Char Char,Body Text Char Char Char1 Char Char, Char Char Char Char1 Char Char, Char Cha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link w:val="NoSpacingChar"/>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444F48"/>
    <w:pPr>
      <w:tabs>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444F48"/>
    <w:pPr>
      <w:numPr>
        <w:numId w:val="3"/>
      </w:numPr>
    </w:pPr>
    <w:rPr>
      <w:rFonts w:ascii="Arial" w:hAnsi="Arial" w:cs="Arial"/>
      <w:b/>
      <w:snapToGrid w:val="0"/>
      <w:sz w:val="22"/>
      <w:szCs w:val="22"/>
      <w:lang w:eastAsia="en-US"/>
    </w:rPr>
  </w:style>
  <w:style w:type="character" w:customStyle="1" w:styleId="Heading3Char">
    <w:name w:val="Heading 3 Char"/>
    <w:basedOn w:val="DefaultParagraphFont"/>
    <w:link w:val="Heading3"/>
    <w:uiPriority w:val="9"/>
    <w:rsid w:val="001372DF"/>
    <w:rPr>
      <w:rFonts w:ascii="Arial" w:hAnsi="Arial" w:cs="Arial"/>
      <w:snapToGrid w:val="0"/>
      <w:sz w:val="22"/>
      <w:u w:val="single"/>
      <w:lang w:eastAsia="en-US"/>
    </w:rPr>
  </w:style>
  <w:style w:type="paragraph" w:styleId="FootnoteText">
    <w:name w:val="footnote text"/>
    <w:basedOn w:val="Normal"/>
    <w:link w:val="FootnoteTextChar"/>
    <w:rsid w:val="00773241"/>
    <w:pPr>
      <w:widowControl/>
      <w:jc w:val="left"/>
    </w:pPr>
    <w:rPr>
      <w:rFonts w:ascii="Times New Roman" w:hAnsi="Times New Roman" w:cs="Times New Roman"/>
      <w:snapToGrid/>
      <w:szCs w:val="22"/>
      <w:lang w:eastAsia="en-AU"/>
    </w:rPr>
  </w:style>
  <w:style w:type="character" w:customStyle="1" w:styleId="FootnoteTextChar">
    <w:name w:val="Footnote Text Char"/>
    <w:basedOn w:val="DefaultParagraphFont"/>
    <w:link w:val="FootnoteText"/>
    <w:rsid w:val="00773241"/>
    <w:rPr>
      <w:sz w:val="22"/>
      <w:szCs w:val="22"/>
    </w:rPr>
  </w:style>
  <w:style w:type="character" w:styleId="FootnoteReference">
    <w:name w:val="footnote reference"/>
    <w:rsid w:val="00773241"/>
    <w:rPr>
      <w:vertAlign w:val="superscript"/>
    </w:rPr>
  </w:style>
  <w:style w:type="paragraph" w:customStyle="1" w:styleId="MainBodyText">
    <w:name w:val="Main Body Text"/>
    <w:basedOn w:val="Normal"/>
    <w:link w:val="MainBodyTextChar"/>
    <w:rsid w:val="00773241"/>
    <w:pPr>
      <w:widowControl/>
      <w:spacing w:line="360" w:lineRule="auto"/>
    </w:pPr>
    <w:rPr>
      <w:rFonts w:cs="Times New Roman"/>
      <w:snapToGrid/>
      <w:szCs w:val="22"/>
      <w:lang w:eastAsia="en-AU"/>
    </w:rPr>
  </w:style>
  <w:style w:type="character" w:customStyle="1" w:styleId="MainBodyTextChar">
    <w:name w:val="Main Body Text Char"/>
    <w:link w:val="MainBodyText"/>
    <w:rsid w:val="00773241"/>
    <w:rPr>
      <w:rFonts w:ascii="Arial" w:hAnsi="Arial"/>
      <w:sz w:val="22"/>
      <w:szCs w:val="22"/>
    </w:rPr>
  </w:style>
  <w:style w:type="character" w:customStyle="1" w:styleId="NoSpacingChar">
    <w:name w:val="No Spacing Char"/>
    <w:basedOn w:val="DefaultParagraphFont"/>
    <w:link w:val="NoSpacing"/>
    <w:uiPriority w:val="1"/>
    <w:rsid w:val="0018482D"/>
    <w:rPr>
      <w:rFonts w:ascii="Arial" w:hAnsi="Arial" w:cs="Arial"/>
      <w:snapToGrid w:val="0"/>
      <w:sz w:val="22"/>
      <w:lang w:eastAsia="en-US"/>
    </w:rPr>
  </w:style>
  <w:style w:type="character" w:customStyle="1" w:styleId="Table">
    <w:name w:val="Table"/>
    <w:basedOn w:val="DefaultParagraphFont"/>
    <w:qFormat/>
    <w:rsid w:val="0018482D"/>
    <w:rPr>
      <w:rFonts w:ascii="Arial Narrow" w:hAnsi="Arial Narrow" w:cs="Times New Roman"/>
      <w:sz w:val="20"/>
    </w:rPr>
  </w:style>
  <w:style w:type="character" w:styleId="FollowedHyperlink">
    <w:name w:val="FollowedHyperlink"/>
    <w:basedOn w:val="DefaultParagraphFont"/>
    <w:semiHidden/>
    <w:unhideWhenUsed/>
    <w:rsid w:val="00D466F2"/>
    <w:rPr>
      <w:color w:val="800080" w:themeColor="followedHyperlink"/>
      <w:u w:val="single"/>
    </w:rPr>
  </w:style>
  <w:style w:type="character" w:customStyle="1" w:styleId="Heading1Char">
    <w:name w:val="Heading 1 Char"/>
    <w:basedOn w:val="DefaultParagraphFont"/>
    <w:link w:val="Heading1"/>
    <w:uiPriority w:val="9"/>
    <w:rsid w:val="0091638E"/>
    <w:rPr>
      <w:rFonts w:ascii="Arial" w:hAnsi="Arial" w:cs="Arial"/>
      <w:b/>
      <w:snapToGrid w:val="0"/>
      <w:sz w:val="22"/>
      <w:szCs w:val="22"/>
      <w:lang w:eastAsia="en-US"/>
    </w:rPr>
  </w:style>
  <w:style w:type="character" w:customStyle="1" w:styleId="TextChar">
    <w:name w:val="Text Char"/>
    <w:link w:val="Text"/>
    <w:rsid w:val="00BA2B97"/>
    <w:rPr>
      <w:rFonts w:ascii="Arial" w:hAnsi="Arial"/>
      <w:sz w:val="22"/>
      <w:szCs w:val="22"/>
    </w:rPr>
  </w:style>
  <w:style w:type="paragraph" w:customStyle="1" w:styleId="Text">
    <w:name w:val="Text"/>
    <w:basedOn w:val="Normal"/>
    <w:link w:val="TextChar"/>
    <w:rsid w:val="00BA2B97"/>
    <w:pPr>
      <w:widowControl/>
      <w:spacing w:line="360" w:lineRule="auto"/>
    </w:pPr>
    <w:rPr>
      <w:rFonts w:cs="Times New Roman"/>
      <w:snapToGrid/>
      <w:szCs w:val="22"/>
      <w:lang w:eastAsia="en-AU"/>
    </w:rPr>
  </w:style>
  <w:style w:type="character" w:customStyle="1" w:styleId="SubtitleChar">
    <w:name w:val="Subtitle Char"/>
    <w:aliases w:val="PBAC Paragraph Char"/>
    <w:link w:val="Subtitle"/>
    <w:rsid w:val="00BA2B97"/>
    <w:rPr>
      <w:lang w:eastAsia="en-US"/>
    </w:rPr>
  </w:style>
  <w:style w:type="paragraph" w:styleId="Subtitle">
    <w:name w:val="Subtitle"/>
    <w:aliases w:val="PBAC Paragraph"/>
    <w:basedOn w:val="Normal"/>
    <w:link w:val="SubtitleChar"/>
    <w:uiPriority w:val="11"/>
    <w:qFormat/>
    <w:rsid w:val="00BA2B97"/>
    <w:pPr>
      <w:widowControl/>
    </w:pPr>
    <w:rPr>
      <w:rFonts w:ascii="Times New Roman" w:hAnsi="Times New Roman" w:cs="Times New Roman"/>
      <w:snapToGrid/>
      <w:sz w:val="20"/>
    </w:rPr>
  </w:style>
  <w:style w:type="character" w:customStyle="1" w:styleId="SubtitleChar1">
    <w:name w:val="Subtitle Char1"/>
    <w:basedOn w:val="DefaultParagraphFont"/>
    <w:rsid w:val="00BA2B97"/>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0">
    <w:name w:val="PBAC Heading 1"/>
    <w:qFormat/>
    <w:rsid w:val="00BA2B97"/>
    <w:pPr>
      <w:ind w:left="720" w:hanging="720"/>
    </w:pPr>
    <w:rPr>
      <w:rFonts w:ascii="Arial" w:hAnsi="Arial" w:cs="Arial"/>
      <w:b/>
      <w:snapToGrid w:val="0"/>
      <w:sz w:val="22"/>
      <w:szCs w:val="22"/>
      <w:lang w:eastAsia="en-US"/>
    </w:rPr>
  </w:style>
  <w:style w:type="character" w:customStyle="1" w:styleId="apple-converted-space">
    <w:name w:val="apple-converted-space"/>
    <w:basedOn w:val="DefaultParagraphFont"/>
    <w:rsid w:val="00BA2B97"/>
  </w:style>
  <w:style w:type="paragraph" w:customStyle="1" w:styleId="Default">
    <w:name w:val="Default"/>
    <w:rsid w:val="00BA2B97"/>
    <w:pPr>
      <w:autoSpaceDE w:val="0"/>
      <w:autoSpaceDN w:val="0"/>
      <w:adjustRightInd w:val="0"/>
    </w:pPr>
    <w:rPr>
      <w:color w:val="000000"/>
      <w:sz w:val="24"/>
      <w:szCs w:val="24"/>
      <w:lang w:val="en-US" w:eastAsia="en-US"/>
    </w:rPr>
  </w:style>
  <w:style w:type="paragraph" w:customStyle="1" w:styleId="TableText1">
    <w:name w:val="Table Text"/>
    <w:basedOn w:val="Normal"/>
    <w:rsid w:val="00BA2B97"/>
    <w:pPr>
      <w:widowControl/>
      <w:spacing w:before="60" w:after="60"/>
      <w:jc w:val="left"/>
    </w:pPr>
    <w:rPr>
      <w:rFonts w:cs="Times New Roman"/>
      <w:snapToGrid/>
      <w:sz w:val="18"/>
      <w:lang w:eastAsia="en-AU"/>
    </w:rPr>
  </w:style>
  <w:style w:type="paragraph" w:customStyle="1" w:styleId="TableTextHeading">
    <w:name w:val="Table Text Heading"/>
    <w:basedOn w:val="Normal"/>
    <w:rsid w:val="00BA2B97"/>
    <w:pPr>
      <w:widowControl/>
      <w:spacing w:before="60" w:after="60"/>
      <w:jc w:val="center"/>
    </w:pPr>
    <w:rPr>
      <w:rFonts w:ascii="Arial Bold" w:hAnsi="Arial Bold" w:cs="Times New Roman"/>
      <w:b/>
      <w:snapToGrid/>
      <w:sz w:val="18"/>
      <w:lang w:eastAsia="en-AU"/>
    </w:rPr>
  </w:style>
  <w:style w:type="paragraph" w:customStyle="1" w:styleId="Paragraph">
    <w:name w:val="Paragraph"/>
    <w:link w:val="ParagraphChar"/>
    <w:rsid w:val="00BA2B97"/>
    <w:pPr>
      <w:spacing w:after="240"/>
    </w:pPr>
    <w:rPr>
      <w:sz w:val="24"/>
      <w:szCs w:val="24"/>
      <w:lang w:val="en-US" w:eastAsia="en-US"/>
    </w:rPr>
  </w:style>
  <w:style w:type="paragraph" w:styleId="ListBullet">
    <w:name w:val="List Bullet"/>
    <w:rsid w:val="00BA2B97"/>
    <w:pPr>
      <w:numPr>
        <w:numId w:val="5"/>
      </w:numPr>
      <w:spacing w:after="240"/>
    </w:pPr>
    <w:rPr>
      <w:sz w:val="24"/>
      <w:szCs w:val="24"/>
      <w:lang w:val="en-US" w:eastAsia="en-US"/>
    </w:rPr>
  </w:style>
  <w:style w:type="character" w:customStyle="1" w:styleId="ParagraphChar">
    <w:name w:val="Paragraph Char"/>
    <w:basedOn w:val="DefaultParagraphFont"/>
    <w:link w:val="Paragraph"/>
    <w:rsid w:val="00BA2B97"/>
    <w:rPr>
      <w:sz w:val="24"/>
      <w:szCs w:val="24"/>
      <w:lang w:val="en-US" w:eastAsia="en-US"/>
    </w:rPr>
  </w:style>
  <w:style w:type="paragraph" w:customStyle="1" w:styleId="TableTextSpace">
    <w:name w:val="TableText Space"/>
    <w:rsid w:val="00BA2B97"/>
    <w:pPr>
      <w:spacing w:before="60" w:after="60"/>
    </w:pPr>
    <w:rPr>
      <w:lang w:val="en-US" w:eastAsia="en-US"/>
    </w:rPr>
  </w:style>
  <w:style w:type="character" w:customStyle="1" w:styleId="Heading5Char">
    <w:name w:val="Heading 5 Char"/>
    <w:basedOn w:val="DefaultParagraphFont"/>
    <w:link w:val="Heading5"/>
    <w:uiPriority w:val="9"/>
    <w:rsid w:val="00BA2B97"/>
    <w:rPr>
      <w:rFonts w:ascii="Arial" w:hAnsi="Arial" w:cs="Arial"/>
      <w:b/>
      <w:bCs/>
      <w:iCs/>
      <w:snapToGrid w:val="0"/>
      <w:sz w:val="26"/>
      <w:szCs w:val="26"/>
      <w:lang w:eastAsia="en-US"/>
    </w:rPr>
  </w:style>
  <w:style w:type="character" w:customStyle="1" w:styleId="Heading4Char">
    <w:name w:val="Heading 4 Char"/>
    <w:link w:val="Heading4"/>
    <w:uiPriority w:val="9"/>
    <w:rsid w:val="00BA2B97"/>
    <w:rPr>
      <w:rFonts w:ascii="Arial" w:hAnsi="Arial" w:cs="Arial"/>
      <w:b/>
      <w:bCs/>
      <w:i/>
      <w:snapToGrid w:val="0"/>
      <w:sz w:val="26"/>
      <w:szCs w:val="28"/>
      <w:lang w:eastAsia="en-US"/>
    </w:rPr>
  </w:style>
  <w:style w:type="character" w:customStyle="1" w:styleId="Heading6Char">
    <w:name w:val="Heading 6 Char"/>
    <w:basedOn w:val="DefaultParagraphFont"/>
    <w:link w:val="Heading6"/>
    <w:uiPriority w:val="9"/>
    <w:rsid w:val="00BA2B97"/>
    <w:rPr>
      <w:rFonts w:ascii="Arial" w:hAnsi="Arial" w:cs="Arial"/>
      <w:b/>
      <w:bCs/>
      <w:i/>
      <w:snapToGrid w:val="0"/>
      <w:sz w:val="22"/>
      <w:szCs w:val="22"/>
      <w:lang w:eastAsia="en-US"/>
    </w:rPr>
  </w:style>
  <w:style w:type="character" w:customStyle="1" w:styleId="MainBodyTextEmphasiswithBold">
    <w:name w:val="Main Body Text Emphasis with Bold"/>
    <w:qFormat/>
    <w:rsid w:val="00BA2B97"/>
    <w:rPr>
      <w:b/>
    </w:rPr>
  </w:style>
  <w:style w:type="paragraph" w:customStyle="1" w:styleId="SectionHeading">
    <w:name w:val="Section Heading"/>
    <w:basedOn w:val="Heading1"/>
    <w:rsid w:val="00BA2B97"/>
    <w:pPr>
      <w:keepNext/>
      <w:spacing w:before="360" w:after="180"/>
      <w:ind w:left="0" w:firstLine="0"/>
    </w:pPr>
    <w:rPr>
      <w:bCs/>
      <w:snapToGrid/>
      <w:kern w:val="32"/>
      <w:sz w:val="32"/>
      <w:szCs w:val="32"/>
      <w:lang w:eastAsia="en-AU"/>
    </w:rPr>
  </w:style>
  <w:style w:type="table" w:customStyle="1" w:styleId="TableStyle">
    <w:name w:val="Table Style"/>
    <w:basedOn w:val="TableNormal"/>
    <w:rsid w:val="00BA2B97"/>
    <w:pPr>
      <w:spacing w:before="120"/>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pPr>
        <w:jc w:val="left"/>
      </w:pPr>
      <w:rPr>
        <w:b/>
        <w:bCs/>
        <w:color w:val="auto"/>
      </w:rPr>
      <w:tblPr/>
      <w:tcPr>
        <w:tcBorders>
          <w:tl2br w:val="none" w:sz="0" w:space="0" w:color="auto"/>
          <w:tr2bl w:val="none" w:sz="0" w:space="0" w:color="auto"/>
        </w:tcBorders>
        <w:shd w:val="clear" w:color="auto" w:fill="D9D9D9"/>
        <w:vAlign w:val="top"/>
      </w:tcPr>
    </w:tblStylePr>
  </w:style>
  <w:style w:type="paragraph" w:customStyle="1" w:styleId="TextUnderTable">
    <w:name w:val="Text Under Table"/>
    <w:basedOn w:val="Normal"/>
    <w:rsid w:val="00BA2B97"/>
    <w:pPr>
      <w:widowControl/>
      <w:spacing w:before="60" w:after="120"/>
      <w:contextualSpacing/>
      <w:jc w:val="left"/>
    </w:pPr>
    <w:rPr>
      <w:rFonts w:cs="Times New Roman"/>
      <w:i/>
      <w:snapToGrid/>
      <w:sz w:val="16"/>
      <w:szCs w:val="22"/>
      <w:lang w:eastAsia="en-AU"/>
    </w:rPr>
  </w:style>
  <w:style w:type="paragraph" w:customStyle="1" w:styleId="Section">
    <w:name w:val="Section"/>
    <w:basedOn w:val="SectionHeading"/>
    <w:rsid w:val="00BA2B97"/>
    <w:pPr>
      <w:tabs>
        <w:tab w:val="right" w:pos="9000"/>
      </w:tabs>
    </w:pPr>
  </w:style>
  <w:style w:type="paragraph" w:customStyle="1" w:styleId="HiddenText">
    <w:name w:val="Hidden Text"/>
    <w:basedOn w:val="Normal"/>
    <w:link w:val="HiddenTextChar"/>
    <w:rsid w:val="00BA2B97"/>
    <w:pPr>
      <w:widowControl/>
      <w:pBdr>
        <w:top w:val="single" w:sz="4" w:space="1" w:color="0000FF" w:shadow="1"/>
        <w:left w:val="single" w:sz="4" w:space="4" w:color="0000FF" w:shadow="1"/>
        <w:bottom w:val="single" w:sz="4" w:space="1" w:color="0000FF" w:shadow="1"/>
        <w:right w:val="single" w:sz="4" w:space="4" w:color="0000FF" w:shadow="1"/>
      </w:pBdr>
      <w:spacing w:after="80"/>
      <w:jc w:val="left"/>
    </w:pPr>
    <w:rPr>
      <w:rFonts w:cs="Times New Roman"/>
      <w:snapToGrid/>
      <w:vanish/>
      <w:color w:val="0000FF"/>
      <w:szCs w:val="22"/>
      <w:lang w:eastAsia="en-AU"/>
    </w:rPr>
  </w:style>
  <w:style w:type="character" w:customStyle="1" w:styleId="HiddenTextChar">
    <w:name w:val="Hidden Text Char"/>
    <w:link w:val="HiddenText"/>
    <w:rsid w:val="00BA2B97"/>
    <w:rPr>
      <w:rFonts w:ascii="Arial" w:hAnsi="Arial"/>
      <w:vanish/>
      <w:color w:val="0000FF"/>
      <w:sz w:val="22"/>
      <w:szCs w:val="22"/>
    </w:rPr>
  </w:style>
  <w:style w:type="paragraph" w:customStyle="1" w:styleId="TextUnderFigure">
    <w:name w:val="Text Under Figure"/>
    <w:basedOn w:val="TextUnderTable"/>
    <w:next w:val="MainBodyText"/>
    <w:rsid w:val="00BA2B97"/>
  </w:style>
  <w:style w:type="paragraph" w:customStyle="1" w:styleId="LOTHeading">
    <w:name w:val="L.O.T Heading"/>
    <w:basedOn w:val="Normal"/>
    <w:next w:val="Normal"/>
    <w:rsid w:val="00BA2B97"/>
    <w:pPr>
      <w:keepNext/>
      <w:pageBreakBefore/>
      <w:widowControl/>
      <w:spacing w:before="240" w:after="360"/>
      <w:jc w:val="left"/>
    </w:pPr>
    <w:rPr>
      <w:rFonts w:cs="Times New Roman"/>
      <w:b/>
      <w:caps/>
      <w:snapToGrid/>
      <w:sz w:val="28"/>
      <w:szCs w:val="28"/>
      <w:lang w:eastAsia="en-AU"/>
    </w:rPr>
  </w:style>
  <w:style w:type="paragraph" w:customStyle="1" w:styleId="LOFHeading">
    <w:name w:val="L.O.F Heading"/>
    <w:basedOn w:val="Normal"/>
    <w:next w:val="Normal"/>
    <w:rsid w:val="00BA2B97"/>
    <w:pPr>
      <w:keepNext/>
      <w:widowControl/>
      <w:spacing w:before="240" w:after="360"/>
      <w:jc w:val="left"/>
    </w:pPr>
    <w:rPr>
      <w:rFonts w:cs="Times New Roman"/>
      <w:b/>
      <w:caps/>
      <w:snapToGrid/>
      <w:sz w:val="28"/>
      <w:szCs w:val="28"/>
      <w:lang w:eastAsia="en-AU"/>
    </w:rPr>
  </w:style>
  <w:style w:type="paragraph" w:styleId="TableofFigures">
    <w:name w:val="table of figures"/>
    <w:basedOn w:val="Normal"/>
    <w:next w:val="Normal"/>
    <w:uiPriority w:val="99"/>
    <w:rsid w:val="00BA2B97"/>
    <w:pPr>
      <w:widowControl/>
      <w:spacing w:after="120"/>
      <w:ind w:left="1701" w:hanging="1701"/>
      <w:jc w:val="left"/>
    </w:pPr>
    <w:rPr>
      <w:rFonts w:cs="Times New Roman"/>
      <w:snapToGrid/>
      <w:sz w:val="20"/>
      <w:szCs w:val="22"/>
      <w:lang w:eastAsia="en-AU"/>
    </w:rPr>
  </w:style>
  <w:style w:type="paragraph" w:customStyle="1" w:styleId="BulletedText">
    <w:name w:val="Bulleted Text"/>
    <w:basedOn w:val="MainBodyText"/>
    <w:rsid w:val="00BA2B97"/>
    <w:pPr>
      <w:numPr>
        <w:numId w:val="10"/>
      </w:numPr>
      <w:spacing w:after="120" w:line="276" w:lineRule="auto"/>
      <w:ind w:left="1134" w:hanging="363"/>
    </w:pPr>
  </w:style>
  <w:style w:type="paragraph" w:customStyle="1" w:styleId="NumberedText0">
    <w:name w:val="Numbered Text"/>
    <w:basedOn w:val="MainBodyText"/>
    <w:rsid w:val="00BA2B97"/>
    <w:pPr>
      <w:numPr>
        <w:numId w:val="6"/>
      </w:numPr>
      <w:spacing w:after="240" w:line="276" w:lineRule="auto"/>
    </w:pPr>
  </w:style>
  <w:style w:type="paragraph" w:styleId="DocumentMap">
    <w:name w:val="Document Map"/>
    <w:basedOn w:val="Normal"/>
    <w:link w:val="DocumentMapChar"/>
    <w:uiPriority w:val="99"/>
    <w:rsid w:val="00BA2B97"/>
    <w:pPr>
      <w:widowControl/>
      <w:jc w:val="left"/>
    </w:pPr>
    <w:rPr>
      <w:rFonts w:ascii="Tahoma" w:hAnsi="Tahoma" w:cs="Tahoma"/>
      <w:snapToGrid/>
      <w:sz w:val="16"/>
      <w:szCs w:val="16"/>
      <w:lang w:eastAsia="en-AU"/>
    </w:rPr>
  </w:style>
  <w:style w:type="character" w:customStyle="1" w:styleId="DocumentMapChar">
    <w:name w:val="Document Map Char"/>
    <w:basedOn w:val="DefaultParagraphFont"/>
    <w:link w:val="DocumentMap"/>
    <w:uiPriority w:val="99"/>
    <w:rsid w:val="00BA2B97"/>
    <w:rPr>
      <w:rFonts w:ascii="Tahoma" w:hAnsi="Tahoma" w:cs="Tahoma"/>
      <w:sz w:val="16"/>
      <w:szCs w:val="16"/>
    </w:rPr>
  </w:style>
  <w:style w:type="paragraph" w:customStyle="1" w:styleId="TableCaption">
    <w:name w:val="Table Caption"/>
    <w:basedOn w:val="Normal"/>
    <w:next w:val="Normal"/>
    <w:link w:val="TableCaptionChar"/>
    <w:rsid w:val="00BA2B97"/>
    <w:pPr>
      <w:keepNext/>
      <w:widowControl/>
      <w:tabs>
        <w:tab w:val="left" w:pos="1701"/>
      </w:tabs>
      <w:spacing w:after="140"/>
      <w:ind w:left="1701" w:hanging="1701"/>
      <w:jc w:val="left"/>
    </w:pPr>
    <w:rPr>
      <w:rFonts w:cs="Times New Roman"/>
      <w:b/>
      <w:bCs/>
      <w:snapToGrid/>
      <w:lang w:eastAsia="en-AU"/>
    </w:rPr>
  </w:style>
  <w:style w:type="character" w:customStyle="1" w:styleId="TableCaptionChar">
    <w:name w:val="Table Caption Char"/>
    <w:link w:val="TableCaption"/>
    <w:rsid w:val="00BA2B97"/>
    <w:rPr>
      <w:rFonts w:ascii="Arial" w:hAnsi="Arial"/>
      <w:b/>
      <w:bCs/>
      <w:sz w:val="22"/>
    </w:rPr>
  </w:style>
  <w:style w:type="paragraph" w:customStyle="1" w:styleId="FigureCaption">
    <w:name w:val="Figure Caption"/>
    <w:basedOn w:val="TableCaption"/>
    <w:rsid w:val="00BA2B97"/>
    <w:pPr>
      <w:keepNext w:val="0"/>
      <w:spacing w:before="330" w:after="0"/>
    </w:pPr>
  </w:style>
  <w:style w:type="character" w:customStyle="1" w:styleId="Style">
    <w:name w:val="Style"/>
    <w:semiHidden/>
    <w:rsid w:val="00BA2B97"/>
    <w:rPr>
      <w:rFonts w:ascii="Verdana" w:hAnsi="Verdana"/>
      <w:i/>
      <w:iCs/>
    </w:rPr>
  </w:style>
  <w:style w:type="paragraph" w:customStyle="1" w:styleId="Numberedtext">
    <w:name w:val="Numbered text"/>
    <w:basedOn w:val="Text"/>
    <w:rsid w:val="00BA2B97"/>
    <w:pPr>
      <w:numPr>
        <w:numId w:val="9"/>
      </w:numPr>
      <w:ind w:left="360"/>
    </w:pPr>
  </w:style>
  <w:style w:type="paragraph" w:customStyle="1" w:styleId="TableBulletList">
    <w:name w:val="Table Bullet List"/>
    <w:basedOn w:val="BulletedText"/>
    <w:qFormat/>
    <w:rsid w:val="00BA2B97"/>
    <w:pPr>
      <w:numPr>
        <w:numId w:val="0"/>
      </w:numPr>
      <w:contextualSpacing/>
    </w:pPr>
    <w:rPr>
      <w:sz w:val="18"/>
    </w:rPr>
  </w:style>
  <w:style w:type="paragraph" w:customStyle="1" w:styleId="TableListBullet">
    <w:name w:val="Table List Bullet"/>
    <w:basedOn w:val="TableText1"/>
    <w:rsid w:val="00BA2B97"/>
    <w:pPr>
      <w:numPr>
        <w:numId w:val="7"/>
      </w:numPr>
      <w:tabs>
        <w:tab w:val="left" w:pos="280"/>
        <w:tab w:val="center" w:pos="4153"/>
        <w:tab w:val="right" w:pos="9015"/>
      </w:tabs>
      <w:spacing w:before="0" w:after="0"/>
    </w:pPr>
    <w:rPr>
      <w:sz w:val="16"/>
      <w:szCs w:val="16"/>
    </w:rPr>
  </w:style>
  <w:style w:type="paragraph" w:customStyle="1" w:styleId="TableListNumber">
    <w:name w:val="Table List Number"/>
    <w:basedOn w:val="TableText1"/>
    <w:rsid w:val="00BA2B97"/>
    <w:pPr>
      <w:numPr>
        <w:numId w:val="8"/>
      </w:numPr>
      <w:tabs>
        <w:tab w:val="center" w:pos="4153"/>
        <w:tab w:val="right" w:pos="9015"/>
      </w:tabs>
      <w:spacing w:before="0" w:after="0"/>
    </w:pPr>
    <w:rPr>
      <w:sz w:val="16"/>
      <w:szCs w:val="16"/>
    </w:rPr>
  </w:style>
  <w:style w:type="paragraph" w:customStyle="1" w:styleId="TableNumberList">
    <w:name w:val="Table Number List"/>
    <w:basedOn w:val="TableListNumber"/>
    <w:qFormat/>
    <w:rsid w:val="00BA2B97"/>
    <w:pPr>
      <w:numPr>
        <w:numId w:val="0"/>
      </w:numPr>
    </w:pPr>
  </w:style>
  <w:style w:type="character" w:styleId="Emphasis">
    <w:name w:val="Emphasis"/>
    <w:basedOn w:val="DefaultParagraphFont"/>
    <w:qFormat/>
    <w:rsid w:val="00BA2B97"/>
    <w:rPr>
      <w:i/>
      <w:iCs/>
    </w:rPr>
  </w:style>
  <w:style w:type="character" w:customStyle="1" w:styleId="sdpair">
    <w:name w:val="sdpair"/>
    <w:basedOn w:val="DefaultParagraphFont"/>
    <w:rsid w:val="00BA2B97"/>
  </w:style>
  <w:style w:type="paragraph" w:styleId="EndnoteText">
    <w:name w:val="endnote text"/>
    <w:basedOn w:val="Normal"/>
    <w:link w:val="EndnoteTextChar"/>
    <w:unhideWhenUsed/>
    <w:rsid w:val="00BA2B97"/>
    <w:pPr>
      <w:widowControl/>
      <w:jc w:val="left"/>
    </w:pPr>
    <w:rPr>
      <w:rFonts w:asciiTheme="minorHAnsi" w:eastAsiaTheme="minorEastAsia" w:hAnsiTheme="minorHAnsi" w:cstheme="minorBidi"/>
      <w:snapToGrid/>
      <w:sz w:val="20"/>
      <w:lang w:val="en-US" w:eastAsia="zh-TW"/>
    </w:rPr>
  </w:style>
  <w:style w:type="character" w:customStyle="1" w:styleId="EndnoteTextChar">
    <w:name w:val="Endnote Text Char"/>
    <w:basedOn w:val="DefaultParagraphFont"/>
    <w:link w:val="EndnoteText"/>
    <w:rsid w:val="00BA2B97"/>
    <w:rPr>
      <w:rFonts w:asciiTheme="minorHAnsi" w:eastAsiaTheme="minorEastAsia" w:hAnsiTheme="minorHAnsi" w:cstheme="minorBidi"/>
      <w:lang w:val="en-US" w:eastAsia="zh-TW"/>
    </w:rPr>
  </w:style>
  <w:style w:type="character" w:styleId="EndnoteReference">
    <w:name w:val="endnote reference"/>
    <w:basedOn w:val="DefaultParagraphFont"/>
    <w:unhideWhenUsed/>
    <w:rsid w:val="00BA2B97"/>
    <w:rPr>
      <w:vertAlign w:val="superscript"/>
    </w:rPr>
  </w:style>
  <w:style w:type="paragraph" w:styleId="ListNumber">
    <w:name w:val="List Number"/>
    <w:rsid w:val="00BA2B97"/>
    <w:pPr>
      <w:numPr>
        <w:numId w:val="11"/>
      </w:numPr>
      <w:spacing w:after="240"/>
    </w:pPr>
    <w:rPr>
      <w:rFonts w:eastAsia="SimSun"/>
      <w:sz w:val="24"/>
      <w:szCs w:val="24"/>
      <w:lang w:val="en-US" w:eastAsia="en-US"/>
    </w:rPr>
  </w:style>
  <w:style w:type="character" w:customStyle="1" w:styleId="BlueText">
    <w:name w:val="Blue Text"/>
    <w:basedOn w:val="DefaultParagraphFont"/>
    <w:rsid w:val="00BA2B97"/>
    <w:rPr>
      <w:color w:val="0000FF"/>
    </w:rPr>
  </w:style>
  <w:style w:type="paragraph" w:customStyle="1" w:styleId="TableTextCentered">
    <w:name w:val="TableText Centered"/>
    <w:rsid w:val="00BA2B97"/>
    <w:pPr>
      <w:jc w:val="center"/>
    </w:pPr>
    <w:rPr>
      <w:lang w:val="en-US" w:eastAsia="en-US"/>
    </w:rPr>
  </w:style>
  <w:style w:type="paragraph" w:customStyle="1" w:styleId="title1">
    <w:name w:val="title1"/>
    <w:basedOn w:val="Normal"/>
    <w:rsid w:val="00BA2B97"/>
    <w:pPr>
      <w:widowControl/>
      <w:jc w:val="left"/>
    </w:pPr>
    <w:rPr>
      <w:rFonts w:ascii="Times New Roman" w:hAnsi="Times New Roman" w:cs="Times New Roman"/>
      <w:snapToGrid/>
      <w:sz w:val="27"/>
      <w:szCs w:val="27"/>
      <w:lang w:val="en-US"/>
    </w:rPr>
  </w:style>
  <w:style w:type="paragraph" w:customStyle="1" w:styleId="desc2">
    <w:name w:val="desc2"/>
    <w:basedOn w:val="Normal"/>
    <w:rsid w:val="00BA2B97"/>
    <w:pPr>
      <w:widowControl/>
      <w:jc w:val="left"/>
    </w:pPr>
    <w:rPr>
      <w:rFonts w:ascii="Times New Roman" w:hAnsi="Times New Roman" w:cs="Times New Roman"/>
      <w:snapToGrid/>
      <w:sz w:val="26"/>
      <w:szCs w:val="26"/>
      <w:lang w:val="en-US"/>
    </w:rPr>
  </w:style>
  <w:style w:type="paragraph" w:customStyle="1" w:styleId="details1">
    <w:name w:val="details1"/>
    <w:basedOn w:val="Normal"/>
    <w:rsid w:val="00BA2B97"/>
    <w:pPr>
      <w:widowControl/>
      <w:jc w:val="left"/>
    </w:pPr>
    <w:rPr>
      <w:rFonts w:ascii="Times New Roman" w:hAnsi="Times New Roman" w:cs="Times New Roman"/>
      <w:snapToGrid/>
      <w:szCs w:val="22"/>
      <w:lang w:val="en-US"/>
    </w:rPr>
  </w:style>
  <w:style w:type="character" w:customStyle="1" w:styleId="jrnl">
    <w:name w:val="jrnl"/>
    <w:basedOn w:val="DefaultParagraphFont"/>
    <w:rsid w:val="00BA2B97"/>
  </w:style>
  <w:style w:type="character" w:customStyle="1" w:styleId="ListParagraphChar">
    <w:name w:val="List Paragraph Char"/>
    <w:aliases w:val="BulletPoints Char"/>
    <w:basedOn w:val="DefaultParagraphFont"/>
    <w:link w:val="ListParagraph"/>
    <w:uiPriority w:val="72"/>
    <w:rsid w:val="00BA2B97"/>
    <w:rPr>
      <w:rFonts w:ascii="Arial" w:hAnsi="Arial" w:cs="Arial"/>
      <w:snapToGrid w:val="0"/>
      <w:sz w:val="22"/>
      <w:lang w:eastAsia="en-US"/>
    </w:rPr>
  </w:style>
  <w:style w:type="character" w:customStyle="1" w:styleId="TableTextChar0">
    <w:name w:val="TableText Char"/>
    <w:link w:val="TableText0"/>
    <w:rsid w:val="00BA2B97"/>
    <w:rPr>
      <w:rFonts w:ascii="Arial Narrow" w:hAnsi="Arial Narrow" w:cs="Arial Narrow"/>
      <w:lang w:eastAsia="en-US"/>
    </w:rPr>
  </w:style>
  <w:style w:type="paragraph" w:customStyle="1" w:styleId="BodyText1">
    <w:name w:val="Body Text1"/>
    <w:qFormat/>
    <w:rsid w:val="001426E3"/>
    <w:pPr>
      <w:tabs>
        <w:tab w:val="left" w:pos="357"/>
        <w:tab w:val="left" w:pos="720"/>
        <w:tab w:val="left" w:pos="2268"/>
      </w:tabs>
      <w:spacing w:after="120"/>
    </w:pPr>
    <w:rPr>
      <w:rFonts w:eastAsia="MS Mincho"/>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PBACheading1"/>
    <w:next w:val="Normal"/>
    <w:link w:val="Heading1Char"/>
    <w:uiPriority w:val="9"/>
    <w:qFormat/>
    <w:rsid w:val="0091638E"/>
    <w:pPr>
      <w:outlineLvl w:val="0"/>
    </w:pPr>
  </w:style>
  <w:style w:type="paragraph" w:styleId="Heading2">
    <w:name w:val="heading 2"/>
    <w:basedOn w:val="Normal"/>
    <w:next w:val="Normal"/>
    <w:link w:val="Heading2Char"/>
    <w:uiPriority w:val="9"/>
    <w:qFormat/>
    <w:rsid w:val="0091638E"/>
    <w:pPr>
      <w:outlineLvl w:val="1"/>
    </w:pPr>
    <w:rPr>
      <w:b/>
      <w:bCs/>
      <w:i/>
      <w:szCs w:val="22"/>
    </w:rPr>
  </w:style>
  <w:style w:type="paragraph" w:styleId="Heading3">
    <w:name w:val="heading 3"/>
    <w:basedOn w:val="Normal"/>
    <w:next w:val="Normal"/>
    <w:link w:val="Heading3Char"/>
    <w:uiPriority w:val="9"/>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szCs w:val="22"/>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91638E"/>
    <w:rPr>
      <w:rFonts w:ascii="Arial" w:hAnsi="Arial" w:cs="Arial"/>
      <w:b/>
      <w:bCs/>
      <w:i/>
      <w:snapToGrid w:val="0"/>
      <w:sz w:val="22"/>
      <w:szCs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next w:val="Normal"/>
    <w:link w:val="TitleChar"/>
    <w:qFormat/>
    <w:rsid w:val="0091638E"/>
    <w:pPr>
      <w:outlineLvl w:val="0"/>
    </w:pPr>
    <w:rPr>
      <w:rFonts w:ascii="Arial" w:hAnsi="Arial" w:cs="Arial"/>
      <w:b/>
      <w:bCs/>
      <w:snapToGrid w:val="0"/>
      <w:sz w:val="28"/>
      <w:szCs w:val="22"/>
      <w:lang w:eastAsia="en-US"/>
    </w:rPr>
  </w:style>
  <w:style w:type="character" w:customStyle="1" w:styleId="TitleChar">
    <w:name w:val="Title Char"/>
    <w:basedOn w:val="DefaultParagraphFont"/>
    <w:link w:val="Title"/>
    <w:rsid w:val="0091638E"/>
    <w:rPr>
      <w:rFonts w:ascii="Arial" w:hAnsi="Arial" w:cs="Arial"/>
      <w:b/>
      <w:bCs/>
      <w:snapToGrid w:val="0"/>
      <w:sz w:val="28"/>
      <w:szCs w:val="22"/>
      <w:lang w:eastAsia="en-US"/>
    </w:rPr>
  </w:style>
  <w:style w:type="paragraph" w:styleId="BodyText">
    <w:name w:val="Body Text"/>
    <w:aliases w:val="Body Text Hang,BT,bt,Bullet Level 5,Body Hang,Body Text Char1,Body Text Char Char,Body Text Char1 Char1 Char,Body Text Char Char Char1 Char, Char Char Char Char1 Char,Body Text Char Char1 Char Char Char,Body Text Char1 Char Char Char, Char Cha"/>
    <w:basedOn w:val="Normal"/>
    <w:link w:val="BodyTextChar"/>
    <w:qFormat/>
    <w:rsid w:val="004B3DDB"/>
    <w:pPr>
      <w:jc w:val="left"/>
    </w:pPr>
  </w:style>
  <w:style w:type="character" w:customStyle="1" w:styleId="BodyTextChar">
    <w:name w:val="Body Text Char"/>
    <w:aliases w:val="Body Text Hang Char,BT Char,bt Char,Bullet Level 5 Char,Body Hang Char,Body Text Char1 Char,Body Text Char Char Char,Body Text Char1 Char1 Char Char,Body Text Char Char Char1 Char Char, Char Char Char Char1 Char Char, Char Cha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link w:val="NoSpacingChar"/>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444F48"/>
    <w:pPr>
      <w:tabs>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444F48"/>
    <w:pPr>
      <w:numPr>
        <w:numId w:val="3"/>
      </w:numPr>
    </w:pPr>
    <w:rPr>
      <w:rFonts w:ascii="Arial" w:hAnsi="Arial" w:cs="Arial"/>
      <w:b/>
      <w:snapToGrid w:val="0"/>
      <w:sz w:val="22"/>
      <w:szCs w:val="22"/>
      <w:lang w:eastAsia="en-US"/>
    </w:rPr>
  </w:style>
  <w:style w:type="character" w:customStyle="1" w:styleId="Heading3Char">
    <w:name w:val="Heading 3 Char"/>
    <w:basedOn w:val="DefaultParagraphFont"/>
    <w:link w:val="Heading3"/>
    <w:uiPriority w:val="9"/>
    <w:rsid w:val="001372DF"/>
    <w:rPr>
      <w:rFonts w:ascii="Arial" w:hAnsi="Arial" w:cs="Arial"/>
      <w:snapToGrid w:val="0"/>
      <w:sz w:val="22"/>
      <w:u w:val="single"/>
      <w:lang w:eastAsia="en-US"/>
    </w:rPr>
  </w:style>
  <w:style w:type="paragraph" w:styleId="FootnoteText">
    <w:name w:val="footnote text"/>
    <w:basedOn w:val="Normal"/>
    <w:link w:val="FootnoteTextChar"/>
    <w:rsid w:val="00773241"/>
    <w:pPr>
      <w:widowControl/>
      <w:jc w:val="left"/>
    </w:pPr>
    <w:rPr>
      <w:rFonts w:ascii="Times New Roman" w:hAnsi="Times New Roman" w:cs="Times New Roman"/>
      <w:snapToGrid/>
      <w:szCs w:val="22"/>
      <w:lang w:eastAsia="en-AU"/>
    </w:rPr>
  </w:style>
  <w:style w:type="character" w:customStyle="1" w:styleId="FootnoteTextChar">
    <w:name w:val="Footnote Text Char"/>
    <w:basedOn w:val="DefaultParagraphFont"/>
    <w:link w:val="FootnoteText"/>
    <w:rsid w:val="00773241"/>
    <w:rPr>
      <w:sz w:val="22"/>
      <w:szCs w:val="22"/>
    </w:rPr>
  </w:style>
  <w:style w:type="character" w:styleId="FootnoteReference">
    <w:name w:val="footnote reference"/>
    <w:rsid w:val="00773241"/>
    <w:rPr>
      <w:vertAlign w:val="superscript"/>
    </w:rPr>
  </w:style>
  <w:style w:type="paragraph" w:customStyle="1" w:styleId="MainBodyText">
    <w:name w:val="Main Body Text"/>
    <w:basedOn w:val="Normal"/>
    <w:link w:val="MainBodyTextChar"/>
    <w:rsid w:val="00773241"/>
    <w:pPr>
      <w:widowControl/>
      <w:spacing w:line="360" w:lineRule="auto"/>
    </w:pPr>
    <w:rPr>
      <w:rFonts w:cs="Times New Roman"/>
      <w:snapToGrid/>
      <w:szCs w:val="22"/>
      <w:lang w:eastAsia="en-AU"/>
    </w:rPr>
  </w:style>
  <w:style w:type="character" w:customStyle="1" w:styleId="MainBodyTextChar">
    <w:name w:val="Main Body Text Char"/>
    <w:link w:val="MainBodyText"/>
    <w:rsid w:val="00773241"/>
    <w:rPr>
      <w:rFonts w:ascii="Arial" w:hAnsi="Arial"/>
      <w:sz w:val="22"/>
      <w:szCs w:val="22"/>
    </w:rPr>
  </w:style>
  <w:style w:type="character" w:customStyle="1" w:styleId="NoSpacingChar">
    <w:name w:val="No Spacing Char"/>
    <w:basedOn w:val="DefaultParagraphFont"/>
    <w:link w:val="NoSpacing"/>
    <w:uiPriority w:val="1"/>
    <w:rsid w:val="0018482D"/>
    <w:rPr>
      <w:rFonts w:ascii="Arial" w:hAnsi="Arial" w:cs="Arial"/>
      <w:snapToGrid w:val="0"/>
      <w:sz w:val="22"/>
      <w:lang w:eastAsia="en-US"/>
    </w:rPr>
  </w:style>
  <w:style w:type="character" w:customStyle="1" w:styleId="Table">
    <w:name w:val="Table"/>
    <w:basedOn w:val="DefaultParagraphFont"/>
    <w:qFormat/>
    <w:rsid w:val="0018482D"/>
    <w:rPr>
      <w:rFonts w:ascii="Arial Narrow" w:hAnsi="Arial Narrow" w:cs="Times New Roman"/>
      <w:sz w:val="20"/>
    </w:rPr>
  </w:style>
  <w:style w:type="character" w:styleId="FollowedHyperlink">
    <w:name w:val="FollowedHyperlink"/>
    <w:basedOn w:val="DefaultParagraphFont"/>
    <w:semiHidden/>
    <w:unhideWhenUsed/>
    <w:rsid w:val="00D466F2"/>
    <w:rPr>
      <w:color w:val="800080" w:themeColor="followedHyperlink"/>
      <w:u w:val="single"/>
    </w:rPr>
  </w:style>
  <w:style w:type="character" w:customStyle="1" w:styleId="Heading1Char">
    <w:name w:val="Heading 1 Char"/>
    <w:basedOn w:val="DefaultParagraphFont"/>
    <w:link w:val="Heading1"/>
    <w:uiPriority w:val="9"/>
    <w:rsid w:val="0091638E"/>
    <w:rPr>
      <w:rFonts w:ascii="Arial" w:hAnsi="Arial" w:cs="Arial"/>
      <w:b/>
      <w:snapToGrid w:val="0"/>
      <w:sz w:val="22"/>
      <w:szCs w:val="22"/>
      <w:lang w:eastAsia="en-US"/>
    </w:rPr>
  </w:style>
  <w:style w:type="character" w:customStyle="1" w:styleId="TextChar">
    <w:name w:val="Text Char"/>
    <w:link w:val="Text"/>
    <w:rsid w:val="00BA2B97"/>
    <w:rPr>
      <w:rFonts w:ascii="Arial" w:hAnsi="Arial"/>
      <w:sz w:val="22"/>
      <w:szCs w:val="22"/>
    </w:rPr>
  </w:style>
  <w:style w:type="paragraph" w:customStyle="1" w:styleId="Text">
    <w:name w:val="Text"/>
    <w:basedOn w:val="Normal"/>
    <w:link w:val="TextChar"/>
    <w:rsid w:val="00BA2B97"/>
    <w:pPr>
      <w:widowControl/>
      <w:spacing w:line="360" w:lineRule="auto"/>
    </w:pPr>
    <w:rPr>
      <w:rFonts w:cs="Times New Roman"/>
      <w:snapToGrid/>
      <w:szCs w:val="22"/>
      <w:lang w:eastAsia="en-AU"/>
    </w:rPr>
  </w:style>
  <w:style w:type="character" w:customStyle="1" w:styleId="SubtitleChar">
    <w:name w:val="Subtitle Char"/>
    <w:aliases w:val="PBAC Paragraph Char"/>
    <w:link w:val="Subtitle"/>
    <w:rsid w:val="00BA2B97"/>
    <w:rPr>
      <w:lang w:eastAsia="en-US"/>
    </w:rPr>
  </w:style>
  <w:style w:type="paragraph" w:styleId="Subtitle">
    <w:name w:val="Subtitle"/>
    <w:aliases w:val="PBAC Paragraph"/>
    <w:basedOn w:val="Normal"/>
    <w:link w:val="SubtitleChar"/>
    <w:uiPriority w:val="11"/>
    <w:qFormat/>
    <w:rsid w:val="00BA2B97"/>
    <w:pPr>
      <w:widowControl/>
    </w:pPr>
    <w:rPr>
      <w:rFonts w:ascii="Times New Roman" w:hAnsi="Times New Roman" w:cs="Times New Roman"/>
      <w:snapToGrid/>
      <w:sz w:val="20"/>
    </w:rPr>
  </w:style>
  <w:style w:type="character" w:customStyle="1" w:styleId="SubtitleChar1">
    <w:name w:val="Subtitle Char1"/>
    <w:basedOn w:val="DefaultParagraphFont"/>
    <w:rsid w:val="00BA2B97"/>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0">
    <w:name w:val="PBAC Heading 1"/>
    <w:qFormat/>
    <w:rsid w:val="00BA2B97"/>
    <w:pPr>
      <w:ind w:left="720" w:hanging="720"/>
    </w:pPr>
    <w:rPr>
      <w:rFonts w:ascii="Arial" w:hAnsi="Arial" w:cs="Arial"/>
      <w:b/>
      <w:snapToGrid w:val="0"/>
      <w:sz w:val="22"/>
      <w:szCs w:val="22"/>
      <w:lang w:eastAsia="en-US"/>
    </w:rPr>
  </w:style>
  <w:style w:type="character" w:customStyle="1" w:styleId="apple-converted-space">
    <w:name w:val="apple-converted-space"/>
    <w:basedOn w:val="DefaultParagraphFont"/>
    <w:rsid w:val="00BA2B97"/>
  </w:style>
  <w:style w:type="paragraph" w:customStyle="1" w:styleId="Default">
    <w:name w:val="Default"/>
    <w:rsid w:val="00BA2B97"/>
    <w:pPr>
      <w:autoSpaceDE w:val="0"/>
      <w:autoSpaceDN w:val="0"/>
      <w:adjustRightInd w:val="0"/>
    </w:pPr>
    <w:rPr>
      <w:color w:val="000000"/>
      <w:sz w:val="24"/>
      <w:szCs w:val="24"/>
      <w:lang w:val="en-US" w:eastAsia="en-US"/>
    </w:rPr>
  </w:style>
  <w:style w:type="paragraph" w:customStyle="1" w:styleId="TableText1">
    <w:name w:val="Table Text"/>
    <w:basedOn w:val="Normal"/>
    <w:rsid w:val="00BA2B97"/>
    <w:pPr>
      <w:widowControl/>
      <w:spacing w:before="60" w:after="60"/>
      <w:jc w:val="left"/>
    </w:pPr>
    <w:rPr>
      <w:rFonts w:cs="Times New Roman"/>
      <w:snapToGrid/>
      <w:sz w:val="18"/>
      <w:lang w:eastAsia="en-AU"/>
    </w:rPr>
  </w:style>
  <w:style w:type="paragraph" w:customStyle="1" w:styleId="TableTextHeading">
    <w:name w:val="Table Text Heading"/>
    <w:basedOn w:val="Normal"/>
    <w:rsid w:val="00BA2B97"/>
    <w:pPr>
      <w:widowControl/>
      <w:spacing w:before="60" w:after="60"/>
      <w:jc w:val="center"/>
    </w:pPr>
    <w:rPr>
      <w:rFonts w:ascii="Arial Bold" w:hAnsi="Arial Bold" w:cs="Times New Roman"/>
      <w:b/>
      <w:snapToGrid/>
      <w:sz w:val="18"/>
      <w:lang w:eastAsia="en-AU"/>
    </w:rPr>
  </w:style>
  <w:style w:type="paragraph" w:customStyle="1" w:styleId="Paragraph">
    <w:name w:val="Paragraph"/>
    <w:link w:val="ParagraphChar"/>
    <w:rsid w:val="00BA2B97"/>
    <w:pPr>
      <w:spacing w:after="240"/>
    </w:pPr>
    <w:rPr>
      <w:sz w:val="24"/>
      <w:szCs w:val="24"/>
      <w:lang w:val="en-US" w:eastAsia="en-US"/>
    </w:rPr>
  </w:style>
  <w:style w:type="paragraph" w:styleId="ListBullet">
    <w:name w:val="List Bullet"/>
    <w:rsid w:val="00BA2B97"/>
    <w:pPr>
      <w:numPr>
        <w:numId w:val="5"/>
      </w:numPr>
      <w:spacing w:after="240"/>
    </w:pPr>
    <w:rPr>
      <w:sz w:val="24"/>
      <w:szCs w:val="24"/>
      <w:lang w:val="en-US" w:eastAsia="en-US"/>
    </w:rPr>
  </w:style>
  <w:style w:type="character" w:customStyle="1" w:styleId="ParagraphChar">
    <w:name w:val="Paragraph Char"/>
    <w:basedOn w:val="DefaultParagraphFont"/>
    <w:link w:val="Paragraph"/>
    <w:rsid w:val="00BA2B97"/>
    <w:rPr>
      <w:sz w:val="24"/>
      <w:szCs w:val="24"/>
      <w:lang w:val="en-US" w:eastAsia="en-US"/>
    </w:rPr>
  </w:style>
  <w:style w:type="paragraph" w:customStyle="1" w:styleId="TableTextSpace">
    <w:name w:val="TableText Space"/>
    <w:rsid w:val="00BA2B97"/>
    <w:pPr>
      <w:spacing w:before="60" w:after="60"/>
    </w:pPr>
    <w:rPr>
      <w:lang w:val="en-US" w:eastAsia="en-US"/>
    </w:rPr>
  </w:style>
  <w:style w:type="character" w:customStyle="1" w:styleId="Heading5Char">
    <w:name w:val="Heading 5 Char"/>
    <w:basedOn w:val="DefaultParagraphFont"/>
    <w:link w:val="Heading5"/>
    <w:uiPriority w:val="9"/>
    <w:rsid w:val="00BA2B97"/>
    <w:rPr>
      <w:rFonts w:ascii="Arial" w:hAnsi="Arial" w:cs="Arial"/>
      <w:b/>
      <w:bCs/>
      <w:iCs/>
      <w:snapToGrid w:val="0"/>
      <w:sz w:val="26"/>
      <w:szCs w:val="26"/>
      <w:lang w:eastAsia="en-US"/>
    </w:rPr>
  </w:style>
  <w:style w:type="character" w:customStyle="1" w:styleId="Heading4Char">
    <w:name w:val="Heading 4 Char"/>
    <w:link w:val="Heading4"/>
    <w:uiPriority w:val="9"/>
    <w:rsid w:val="00BA2B97"/>
    <w:rPr>
      <w:rFonts w:ascii="Arial" w:hAnsi="Arial" w:cs="Arial"/>
      <w:b/>
      <w:bCs/>
      <w:i/>
      <w:snapToGrid w:val="0"/>
      <w:sz w:val="26"/>
      <w:szCs w:val="28"/>
      <w:lang w:eastAsia="en-US"/>
    </w:rPr>
  </w:style>
  <w:style w:type="character" w:customStyle="1" w:styleId="Heading6Char">
    <w:name w:val="Heading 6 Char"/>
    <w:basedOn w:val="DefaultParagraphFont"/>
    <w:link w:val="Heading6"/>
    <w:uiPriority w:val="9"/>
    <w:rsid w:val="00BA2B97"/>
    <w:rPr>
      <w:rFonts w:ascii="Arial" w:hAnsi="Arial" w:cs="Arial"/>
      <w:b/>
      <w:bCs/>
      <w:i/>
      <w:snapToGrid w:val="0"/>
      <w:sz w:val="22"/>
      <w:szCs w:val="22"/>
      <w:lang w:eastAsia="en-US"/>
    </w:rPr>
  </w:style>
  <w:style w:type="character" w:customStyle="1" w:styleId="MainBodyTextEmphasiswithBold">
    <w:name w:val="Main Body Text Emphasis with Bold"/>
    <w:qFormat/>
    <w:rsid w:val="00BA2B97"/>
    <w:rPr>
      <w:b/>
    </w:rPr>
  </w:style>
  <w:style w:type="paragraph" w:customStyle="1" w:styleId="SectionHeading">
    <w:name w:val="Section Heading"/>
    <w:basedOn w:val="Heading1"/>
    <w:rsid w:val="00BA2B97"/>
    <w:pPr>
      <w:keepNext/>
      <w:spacing w:before="360" w:after="180"/>
      <w:ind w:left="0" w:firstLine="0"/>
    </w:pPr>
    <w:rPr>
      <w:bCs/>
      <w:snapToGrid/>
      <w:kern w:val="32"/>
      <w:sz w:val="32"/>
      <w:szCs w:val="32"/>
      <w:lang w:eastAsia="en-AU"/>
    </w:rPr>
  </w:style>
  <w:style w:type="table" w:customStyle="1" w:styleId="TableStyle">
    <w:name w:val="Table Style"/>
    <w:basedOn w:val="TableNormal"/>
    <w:rsid w:val="00BA2B97"/>
    <w:pPr>
      <w:spacing w:before="120"/>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pPr>
        <w:jc w:val="left"/>
      </w:pPr>
      <w:rPr>
        <w:b/>
        <w:bCs/>
        <w:color w:val="auto"/>
      </w:rPr>
      <w:tblPr/>
      <w:tcPr>
        <w:tcBorders>
          <w:tl2br w:val="none" w:sz="0" w:space="0" w:color="auto"/>
          <w:tr2bl w:val="none" w:sz="0" w:space="0" w:color="auto"/>
        </w:tcBorders>
        <w:shd w:val="clear" w:color="auto" w:fill="D9D9D9"/>
        <w:vAlign w:val="top"/>
      </w:tcPr>
    </w:tblStylePr>
  </w:style>
  <w:style w:type="paragraph" w:customStyle="1" w:styleId="TextUnderTable">
    <w:name w:val="Text Under Table"/>
    <w:basedOn w:val="Normal"/>
    <w:rsid w:val="00BA2B97"/>
    <w:pPr>
      <w:widowControl/>
      <w:spacing w:before="60" w:after="120"/>
      <w:contextualSpacing/>
      <w:jc w:val="left"/>
    </w:pPr>
    <w:rPr>
      <w:rFonts w:cs="Times New Roman"/>
      <w:i/>
      <w:snapToGrid/>
      <w:sz w:val="16"/>
      <w:szCs w:val="22"/>
      <w:lang w:eastAsia="en-AU"/>
    </w:rPr>
  </w:style>
  <w:style w:type="paragraph" w:customStyle="1" w:styleId="Section">
    <w:name w:val="Section"/>
    <w:basedOn w:val="SectionHeading"/>
    <w:rsid w:val="00BA2B97"/>
    <w:pPr>
      <w:tabs>
        <w:tab w:val="right" w:pos="9000"/>
      </w:tabs>
    </w:pPr>
  </w:style>
  <w:style w:type="paragraph" w:customStyle="1" w:styleId="HiddenText">
    <w:name w:val="Hidden Text"/>
    <w:basedOn w:val="Normal"/>
    <w:link w:val="HiddenTextChar"/>
    <w:rsid w:val="00BA2B97"/>
    <w:pPr>
      <w:widowControl/>
      <w:pBdr>
        <w:top w:val="single" w:sz="4" w:space="1" w:color="0000FF" w:shadow="1"/>
        <w:left w:val="single" w:sz="4" w:space="4" w:color="0000FF" w:shadow="1"/>
        <w:bottom w:val="single" w:sz="4" w:space="1" w:color="0000FF" w:shadow="1"/>
        <w:right w:val="single" w:sz="4" w:space="4" w:color="0000FF" w:shadow="1"/>
      </w:pBdr>
      <w:spacing w:after="80"/>
      <w:jc w:val="left"/>
    </w:pPr>
    <w:rPr>
      <w:rFonts w:cs="Times New Roman"/>
      <w:snapToGrid/>
      <w:vanish/>
      <w:color w:val="0000FF"/>
      <w:szCs w:val="22"/>
      <w:lang w:eastAsia="en-AU"/>
    </w:rPr>
  </w:style>
  <w:style w:type="character" w:customStyle="1" w:styleId="HiddenTextChar">
    <w:name w:val="Hidden Text Char"/>
    <w:link w:val="HiddenText"/>
    <w:rsid w:val="00BA2B97"/>
    <w:rPr>
      <w:rFonts w:ascii="Arial" w:hAnsi="Arial"/>
      <w:vanish/>
      <w:color w:val="0000FF"/>
      <w:sz w:val="22"/>
      <w:szCs w:val="22"/>
    </w:rPr>
  </w:style>
  <w:style w:type="paragraph" w:customStyle="1" w:styleId="TextUnderFigure">
    <w:name w:val="Text Under Figure"/>
    <w:basedOn w:val="TextUnderTable"/>
    <w:next w:val="MainBodyText"/>
    <w:rsid w:val="00BA2B97"/>
  </w:style>
  <w:style w:type="paragraph" w:customStyle="1" w:styleId="LOTHeading">
    <w:name w:val="L.O.T Heading"/>
    <w:basedOn w:val="Normal"/>
    <w:next w:val="Normal"/>
    <w:rsid w:val="00BA2B97"/>
    <w:pPr>
      <w:keepNext/>
      <w:pageBreakBefore/>
      <w:widowControl/>
      <w:spacing w:before="240" w:after="360"/>
      <w:jc w:val="left"/>
    </w:pPr>
    <w:rPr>
      <w:rFonts w:cs="Times New Roman"/>
      <w:b/>
      <w:caps/>
      <w:snapToGrid/>
      <w:sz w:val="28"/>
      <w:szCs w:val="28"/>
      <w:lang w:eastAsia="en-AU"/>
    </w:rPr>
  </w:style>
  <w:style w:type="paragraph" w:customStyle="1" w:styleId="LOFHeading">
    <w:name w:val="L.O.F Heading"/>
    <w:basedOn w:val="Normal"/>
    <w:next w:val="Normal"/>
    <w:rsid w:val="00BA2B97"/>
    <w:pPr>
      <w:keepNext/>
      <w:widowControl/>
      <w:spacing w:before="240" w:after="360"/>
      <w:jc w:val="left"/>
    </w:pPr>
    <w:rPr>
      <w:rFonts w:cs="Times New Roman"/>
      <w:b/>
      <w:caps/>
      <w:snapToGrid/>
      <w:sz w:val="28"/>
      <w:szCs w:val="28"/>
      <w:lang w:eastAsia="en-AU"/>
    </w:rPr>
  </w:style>
  <w:style w:type="paragraph" w:styleId="TableofFigures">
    <w:name w:val="table of figures"/>
    <w:basedOn w:val="Normal"/>
    <w:next w:val="Normal"/>
    <w:uiPriority w:val="99"/>
    <w:rsid w:val="00BA2B97"/>
    <w:pPr>
      <w:widowControl/>
      <w:spacing w:after="120"/>
      <w:ind w:left="1701" w:hanging="1701"/>
      <w:jc w:val="left"/>
    </w:pPr>
    <w:rPr>
      <w:rFonts w:cs="Times New Roman"/>
      <w:snapToGrid/>
      <w:sz w:val="20"/>
      <w:szCs w:val="22"/>
      <w:lang w:eastAsia="en-AU"/>
    </w:rPr>
  </w:style>
  <w:style w:type="paragraph" w:customStyle="1" w:styleId="BulletedText">
    <w:name w:val="Bulleted Text"/>
    <w:basedOn w:val="MainBodyText"/>
    <w:rsid w:val="00BA2B97"/>
    <w:pPr>
      <w:numPr>
        <w:numId w:val="10"/>
      </w:numPr>
      <w:spacing w:after="120" w:line="276" w:lineRule="auto"/>
      <w:ind w:left="1134" w:hanging="363"/>
    </w:pPr>
  </w:style>
  <w:style w:type="paragraph" w:customStyle="1" w:styleId="NumberedText0">
    <w:name w:val="Numbered Text"/>
    <w:basedOn w:val="MainBodyText"/>
    <w:rsid w:val="00BA2B97"/>
    <w:pPr>
      <w:numPr>
        <w:numId w:val="6"/>
      </w:numPr>
      <w:spacing w:after="240" w:line="276" w:lineRule="auto"/>
    </w:pPr>
  </w:style>
  <w:style w:type="paragraph" w:styleId="DocumentMap">
    <w:name w:val="Document Map"/>
    <w:basedOn w:val="Normal"/>
    <w:link w:val="DocumentMapChar"/>
    <w:uiPriority w:val="99"/>
    <w:rsid w:val="00BA2B97"/>
    <w:pPr>
      <w:widowControl/>
      <w:jc w:val="left"/>
    </w:pPr>
    <w:rPr>
      <w:rFonts w:ascii="Tahoma" w:hAnsi="Tahoma" w:cs="Tahoma"/>
      <w:snapToGrid/>
      <w:sz w:val="16"/>
      <w:szCs w:val="16"/>
      <w:lang w:eastAsia="en-AU"/>
    </w:rPr>
  </w:style>
  <w:style w:type="character" w:customStyle="1" w:styleId="DocumentMapChar">
    <w:name w:val="Document Map Char"/>
    <w:basedOn w:val="DefaultParagraphFont"/>
    <w:link w:val="DocumentMap"/>
    <w:uiPriority w:val="99"/>
    <w:rsid w:val="00BA2B97"/>
    <w:rPr>
      <w:rFonts w:ascii="Tahoma" w:hAnsi="Tahoma" w:cs="Tahoma"/>
      <w:sz w:val="16"/>
      <w:szCs w:val="16"/>
    </w:rPr>
  </w:style>
  <w:style w:type="paragraph" w:customStyle="1" w:styleId="TableCaption">
    <w:name w:val="Table Caption"/>
    <w:basedOn w:val="Normal"/>
    <w:next w:val="Normal"/>
    <w:link w:val="TableCaptionChar"/>
    <w:rsid w:val="00BA2B97"/>
    <w:pPr>
      <w:keepNext/>
      <w:widowControl/>
      <w:tabs>
        <w:tab w:val="left" w:pos="1701"/>
      </w:tabs>
      <w:spacing w:after="140"/>
      <w:ind w:left="1701" w:hanging="1701"/>
      <w:jc w:val="left"/>
    </w:pPr>
    <w:rPr>
      <w:rFonts w:cs="Times New Roman"/>
      <w:b/>
      <w:bCs/>
      <w:snapToGrid/>
      <w:lang w:eastAsia="en-AU"/>
    </w:rPr>
  </w:style>
  <w:style w:type="character" w:customStyle="1" w:styleId="TableCaptionChar">
    <w:name w:val="Table Caption Char"/>
    <w:link w:val="TableCaption"/>
    <w:rsid w:val="00BA2B97"/>
    <w:rPr>
      <w:rFonts w:ascii="Arial" w:hAnsi="Arial"/>
      <w:b/>
      <w:bCs/>
      <w:sz w:val="22"/>
    </w:rPr>
  </w:style>
  <w:style w:type="paragraph" w:customStyle="1" w:styleId="FigureCaption">
    <w:name w:val="Figure Caption"/>
    <w:basedOn w:val="TableCaption"/>
    <w:rsid w:val="00BA2B97"/>
    <w:pPr>
      <w:keepNext w:val="0"/>
      <w:spacing w:before="330" w:after="0"/>
    </w:pPr>
  </w:style>
  <w:style w:type="character" w:customStyle="1" w:styleId="Style">
    <w:name w:val="Style"/>
    <w:semiHidden/>
    <w:rsid w:val="00BA2B97"/>
    <w:rPr>
      <w:rFonts w:ascii="Verdana" w:hAnsi="Verdana"/>
      <w:i/>
      <w:iCs/>
    </w:rPr>
  </w:style>
  <w:style w:type="paragraph" w:customStyle="1" w:styleId="Numberedtext">
    <w:name w:val="Numbered text"/>
    <w:basedOn w:val="Text"/>
    <w:rsid w:val="00BA2B97"/>
    <w:pPr>
      <w:numPr>
        <w:numId w:val="9"/>
      </w:numPr>
      <w:ind w:left="360"/>
    </w:pPr>
  </w:style>
  <w:style w:type="paragraph" w:customStyle="1" w:styleId="TableBulletList">
    <w:name w:val="Table Bullet List"/>
    <w:basedOn w:val="BulletedText"/>
    <w:qFormat/>
    <w:rsid w:val="00BA2B97"/>
    <w:pPr>
      <w:numPr>
        <w:numId w:val="0"/>
      </w:numPr>
      <w:contextualSpacing/>
    </w:pPr>
    <w:rPr>
      <w:sz w:val="18"/>
    </w:rPr>
  </w:style>
  <w:style w:type="paragraph" w:customStyle="1" w:styleId="TableListBullet">
    <w:name w:val="Table List Bullet"/>
    <w:basedOn w:val="TableText1"/>
    <w:rsid w:val="00BA2B97"/>
    <w:pPr>
      <w:numPr>
        <w:numId w:val="7"/>
      </w:numPr>
      <w:tabs>
        <w:tab w:val="left" w:pos="280"/>
        <w:tab w:val="center" w:pos="4153"/>
        <w:tab w:val="right" w:pos="9015"/>
      </w:tabs>
      <w:spacing w:before="0" w:after="0"/>
    </w:pPr>
    <w:rPr>
      <w:sz w:val="16"/>
      <w:szCs w:val="16"/>
    </w:rPr>
  </w:style>
  <w:style w:type="paragraph" w:customStyle="1" w:styleId="TableListNumber">
    <w:name w:val="Table List Number"/>
    <w:basedOn w:val="TableText1"/>
    <w:rsid w:val="00BA2B97"/>
    <w:pPr>
      <w:numPr>
        <w:numId w:val="8"/>
      </w:numPr>
      <w:tabs>
        <w:tab w:val="center" w:pos="4153"/>
        <w:tab w:val="right" w:pos="9015"/>
      </w:tabs>
      <w:spacing w:before="0" w:after="0"/>
    </w:pPr>
    <w:rPr>
      <w:sz w:val="16"/>
      <w:szCs w:val="16"/>
    </w:rPr>
  </w:style>
  <w:style w:type="paragraph" w:customStyle="1" w:styleId="TableNumberList">
    <w:name w:val="Table Number List"/>
    <w:basedOn w:val="TableListNumber"/>
    <w:qFormat/>
    <w:rsid w:val="00BA2B97"/>
    <w:pPr>
      <w:numPr>
        <w:numId w:val="0"/>
      </w:numPr>
    </w:pPr>
  </w:style>
  <w:style w:type="character" w:styleId="Emphasis">
    <w:name w:val="Emphasis"/>
    <w:basedOn w:val="DefaultParagraphFont"/>
    <w:qFormat/>
    <w:rsid w:val="00BA2B97"/>
    <w:rPr>
      <w:i/>
      <w:iCs/>
    </w:rPr>
  </w:style>
  <w:style w:type="character" w:customStyle="1" w:styleId="sdpair">
    <w:name w:val="sdpair"/>
    <w:basedOn w:val="DefaultParagraphFont"/>
    <w:rsid w:val="00BA2B97"/>
  </w:style>
  <w:style w:type="paragraph" w:styleId="EndnoteText">
    <w:name w:val="endnote text"/>
    <w:basedOn w:val="Normal"/>
    <w:link w:val="EndnoteTextChar"/>
    <w:unhideWhenUsed/>
    <w:rsid w:val="00BA2B97"/>
    <w:pPr>
      <w:widowControl/>
      <w:jc w:val="left"/>
    </w:pPr>
    <w:rPr>
      <w:rFonts w:asciiTheme="minorHAnsi" w:eastAsiaTheme="minorEastAsia" w:hAnsiTheme="minorHAnsi" w:cstheme="minorBidi"/>
      <w:snapToGrid/>
      <w:sz w:val="20"/>
      <w:lang w:val="en-US" w:eastAsia="zh-TW"/>
    </w:rPr>
  </w:style>
  <w:style w:type="character" w:customStyle="1" w:styleId="EndnoteTextChar">
    <w:name w:val="Endnote Text Char"/>
    <w:basedOn w:val="DefaultParagraphFont"/>
    <w:link w:val="EndnoteText"/>
    <w:rsid w:val="00BA2B97"/>
    <w:rPr>
      <w:rFonts w:asciiTheme="minorHAnsi" w:eastAsiaTheme="minorEastAsia" w:hAnsiTheme="minorHAnsi" w:cstheme="minorBidi"/>
      <w:lang w:val="en-US" w:eastAsia="zh-TW"/>
    </w:rPr>
  </w:style>
  <w:style w:type="character" w:styleId="EndnoteReference">
    <w:name w:val="endnote reference"/>
    <w:basedOn w:val="DefaultParagraphFont"/>
    <w:unhideWhenUsed/>
    <w:rsid w:val="00BA2B97"/>
    <w:rPr>
      <w:vertAlign w:val="superscript"/>
    </w:rPr>
  </w:style>
  <w:style w:type="paragraph" w:styleId="ListNumber">
    <w:name w:val="List Number"/>
    <w:rsid w:val="00BA2B97"/>
    <w:pPr>
      <w:numPr>
        <w:numId w:val="11"/>
      </w:numPr>
      <w:spacing w:after="240"/>
    </w:pPr>
    <w:rPr>
      <w:rFonts w:eastAsia="SimSun"/>
      <w:sz w:val="24"/>
      <w:szCs w:val="24"/>
      <w:lang w:val="en-US" w:eastAsia="en-US"/>
    </w:rPr>
  </w:style>
  <w:style w:type="character" w:customStyle="1" w:styleId="BlueText">
    <w:name w:val="Blue Text"/>
    <w:basedOn w:val="DefaultParagraphFont"/>
    <w:rsid w:val="00BA2B97"/>
    <w:rPr>
      <w:color w:val="0000FF"/>
    </w:rPr>
  </w:style>
  <w:style w:type="paragraph" w:customStyle="1" w:styleId="TableTextCentered">
    <w:name w:val="TableText Centered"/>
    <w:rsid w:val="00BA2B97"/>
    <w:pPr>
      <w:jc w:val="center"/>
    </w:pPr>
    <w:rPr>
      <w:lang w:val="en-US" w:eastAsia="en-US"/>
    </w:rPr>
  </w:style>
  <w:style w:type="paragraph" w:customStyle="1" w:styleId="title1">
    <w:name w:val="title1"/>
    <w:basedOn w:val="Normal"/>
    <w:rsid w:val="00BA2B97"/>
    <w:pPr>
      <w:widowControl/>
      <w:jc w:val="left"/>
    </w:pPr>
    <w:rPr>
      <w:rFonts w:ascii="Times New Roman" w:hAnsi="Times New Roman" w:cs="Times New Roman"/>
      <w:snapToGrid/>
      <w:sz w:val="27"/>
      <w:szCs w:val="27"/>
      <w:lang w:val="en-US"/>
    </w:rPr>
  </w:style>
  <w:style w:type="paragraph" w:customStyle="1" w:styleId="desc2">
    <w:name w:val="desc2"/>
    <w:basedOn w:val="Normal"/>
    <w:rsid w:val="00BA2B97"/>
    <w:pPr>
      <w:widowControl/>
      <w:jc w:val="left"/>
    </w:pPr>
    <w:rPr>
      <w:rFonts w:ascii="Times New Roman" w:hAnsi="Times New Roman" w:cs="Times New Roman"/>
      <w:snapToGrid/>
      <w:sz w:val="26"/>
      <w:szCs w:val="26"/>
      <w:lang w:val="en-US"/>
    </w:rPr>
  </w:style>
  <w:style w:type="paragraph" w:customStyle="1" w:styleId="details1">
    <w:name w:val="details1"/>
    <w:basedOn w:val="Normal"/>
    <w:rsid w:val="00BA2B97"/>
    <w:pPr>
      <w:widowControl/>
      <w:jc w:val="left"/>
    </w:pPr>
    <w:rPr>
      <w:rFonts w:ascii="Times New Roman" w:hAnsi="Times New Roman" w:cs="Times New Roman"/>
      <w:snapToGrid/>
      <w:szCs w:val="22"/>
      <w:lang w:val="en-US"/>
    </w:rPr>
  </w:style>
  <w:style w:type="character" w:customStyle="1" w:styleId="jrnl">
    <w:name w:val="jrnl"/>
    <w:basedOn w:val="DefaultParagraphFont"/>
    <w:rsid w:val="00BA2B97"/>
  </w:style>
  <w:style w:type="character" w:customStyle="1" w:styleId="ListParagraphChar">
    <w:name w:val="List Paragraph Char"/>
    <w:aliases w:val="BulletPoints Char"/>
    <w:basedOn w:val="DefaultParagraphFont"/>
    <w:link w:val="ListParagraph"/>
    <w:uiPriority w:val="72"/>
    <w:rsid w:val="00BA2B97"/>
    <w:rPr>
      <w:rFonts w:ascii="Arial" w:hAnsi="Arial" w:cs="Arial"/>
      <w:snapToGrid w:val="0"/>
      <w:sz w:val="22"/>
      <w:lang w:eastAsia="en-US"/>
    </w:rPr>
  </w:style>
  <w:style w:type="character" w:customStyle="1" w:styleId="TableTextChar0">
    <w:name w:val="TableText Char"/>
    <w:link w:val="TableText0"/>
    <w:rsid w:val="00BA2B97"/>
    <w:rPr>
      <w:rFonts w:ascii="Arial Narrow" w:hAnsi="Arial Narrow" w:cs="Arial Narrow"/>
      <w:lang w:eastAsia="en-US"/>
    </w:rPr>
  </w:style>
  <w:style w:type="paragraph" w:customStyle="1" w:styleId="BodyText1">
    <w:name w:val="Body Text1"/>
    <w:qFormat/>
    <w:rsid w:val="001426E3"/>
    <w:pPr>
      <w:tabs>
        <w:tab w:val="left" w:pos="357"/>
        <w:tab w:val="left" w:pos="720"/>
        <w:tab w:val="left" w:pos="2268"/>
      </w:tabs>
      <w:spacing w:after="120"/>
    </w:pPr>
    <w:rPr>
      <w:rFonts w:eastAsia="MS Mincho"/>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75164">
      <w:bodyDiv w:val="1"/>
      <w:marLeft w:val="0"/>
      <w:marRight w:val="0"/>
      <w:marTop w:val="0"/>
      <w:marBottom w:val="0"/>
      <w:divBdr>
        <w:top w:val="none" w:sz="0" w:space="0" w:color="auto"/>
        <w:left w:val="none" w:sz="0" w:space="0" w:color="auto"/>
        <w:bottom w:val="none" w:sz="0" w:space="0" w:color="auto"/>
        <w:right w:val="none" w:sz="0" w:space="0" w:color="auto"/>
      </w:divBdr>
    </w:div>
    <w:div w:id="361250235">
      <w:bodyDiv w:val="1"/>
      <w:marLeft w:val="0"/>
      <w:marRight w:val="0"/>
      <w:marTop w:val="0"/>
      <w:marBottom w:val="0"/>
      <w:divBdr>
        <w:top w:val="none" w:sz="0" w:space="0" w:color="auto"/>
        <w:left w:val="none" w:sz="0" w:space="0" w:color="auto"/>
        <w:bottom w:val="none" w:sz="0" w:space="0" w:color="auto"/>
        <w:right w:val="none" w:sz="0" w:space="0" w:color="auto"/>
      </w:divBdr>
    </w:div>
    <w:div w:id="417483840">
      <w:bodyDiv w:val="1"/>
      <w:marLeft w:val="0"/>
      <w:marRight w:val="0"/>
      <w:marTop w:val="0"/>
      <w:marBottom w:val="0"/>
      <w:divBdr>
        <w:top w:val="none" w:sz="0" w:space="0" w:color="auto"/>
        <w:left w:val="none" w:sz="0" w:space="0" w:color="auto"/>
        <w:bottom w:val="none" w:sz="0" w:space="0" w:color="auto"/>
        <w:right w:val="none" w:sz="0" w:space="0" w:color="auto"/>
      </w:divBdr>
    </w:div>
    <w:div w:id="867254688">
      <w:bodyDiv w:val="1"/>
      <w:marLeft w:val="0"/>
      <w:marRight w:val="0"/>
      <w:marTop w:val="0"/>
      <w:marBottom w:val="0"/>
      <w:divBdr>
        <w:top w:val="none" w:sz="0" w:space="0" w:color="auto"/>
        <w:left w:val="none" w:sz="0" w:space="0" w:color="auto"/>
        <w:bottom w:val="none" w:sz="0" w:space="0" w:color="auto"/>
        <w:right w:val="none" w:sz="0" w:space="0" w:color="auto"/>
      </w:divBdr>
    </w:div>
    <w:div w:id="895430661">
      <w:bodyDiv w:val="1"/>
      <w:marLeft w:val="0"/>
      <w:marRight w:val="0"/>
      <w:marTop w:val="0"/>
      <w:marBottom w:val="0"/>
      <w:divBdr>
        <w:top w:val="none" w:sz="0" w:space="0" w:color="auto"/>
        <w:left w:val="none" w:sz="0" w:space="0" w:color="auto"/>
        <w:bottom w:val="none" w:sz="0" w:space="0" w:color="auto"/>
        <w:right w:val="none" w:sz="0" w:space="0" w:color="auto"/>
      </w:divBdr>
    </w:div>
    <w:div w:id="966278136">
      <w:bodyDiv w:val="1"/>
      <w:marLeft w:val="0"/>
      <w:marRight w:val="0"/>
      <w:marTop w:val="0"/>
      <w:marBottom w:val="0"/>
      <w:divBdr>
        <w:top w:val="none" w:sz="0" w:space="0" w:color="auto"/>
        <w:left w:val="none" w:sz="0" w:space="0" w:color="auto"/>
        <w:bottom w:val="none" w:sz="0" w:space="0" w:color="auto"/>
        <w:right w:val="none" w:sz="0" w:space="0" w:color="auto"/>
      </w:divBdr>
    </w:div>
    <w:div w:id="1094979686">
      <w:bodyDiv w:val="1"/>
      <w:marLeft w:val="0"/>
      <w:marRight w:val="0"/>
      <w:marTop w:val="0"/>
      <w:marBottom w:val="0"/>
      <w:divBdr>
        <w:top w:val="none" w:sz="0" w:space="0" w:color="auto"/>
        <w:left w:val="none" w:sz="0" w:space="0" w:color="auto"/>
        <w:bottom w:val="none" w:sz="0" w:space="0" w:color="auto"/>
        <w:right w:val="none" w:sz="0" w:space="0" w:color="auto"/>
      </w:divBdr>
    </w:div>
    <w:div w:id="1118909778">
      <w:bodyDiv w:val="1"/>
      <w:marLeft w:val="0"/>
      <w:marRight w:val="0"/>
      <w:marTop w:val="0"/>
      <w:marBottom w:val="0"/>
      <w:divBdr>
        <w:top w:val="none" w:sz="0" w:space="0" w:color="auto"/>
        <w:left w:val="none" w:sz="0" w:space="0" w:color="auto"/>
        <w:bottom w:val="none" w:sz="0" w:space="0" w:color="auto"/>
        <w:right w:val="none" w:sz="0" w:space="0" w:color="auto"/>
      </w:divBdr>
    </w:div>
    <w:div w:id="1190754447">
      <w:bodyDiv w:val="1"/>
      <w:marLeft w:val="0"/>
      <w:marRight w:val="0"/>
      <w:marTop w:val="0"/>
      <w:marBottom w:val="0"/>
      <w:divBdr>
        <w:top w:val="none" w:sz="0" w:space="0" w:color="auto"/>
        <w:left w:val="none" w:sz="0" w:space="0" w:color="auto"/>
        <w:bottom w:val="none" w:sz="0" w:space="0" w:color="auto"/>
        <w:right w:val="none" w:sz="0" w:space="0" w:color="auto"/>
      </w:divBdr>
    </w:div>
    <w:div w:id="1439790691">
      <w:bodyDiv w:val="1"/>
      <w:marLeft w:val="0"/>
      <w:marRight w:val="0"/>
      <w:marTop w:val="0"/>
      <w:marBottom w:val="0"/>
      <w:divBdr>
        <w:top w:val="none" w:sz="0" w:space="0" w:color="auto"/>
        <w:left w:val="none" w:sz="0" w:space="0" w:color="auto"/>
        <w:bottom w:val="none" w:sz="0" w:space="0" w:color="auto"/>
        <w:right w:val="none" w:sz="0" w:space="0" w:color="auto"/>
      </w:divBdr>
    </w:div>
    <w:div w:id="1475100598">
      <w:bodyDiv w:val="1"/>
      <w:marLeft w:val="0"/>
      <w:marRight w:val="0"/>
      <w:marTop w:val="0"/>
      <w:marBottom w:val="0"/>
      <w:divBdr>
        <w:top w:val="none" w:sz="0" w:space="0" w:color="auto"/>
        <w:left w:val="none" w:sz="0" w:space="0" w:color="auto"/>
        <w:bottom w:val="none" w:sz="0" w:space="0" w:color="auto"/>
        <w:right w:val="none" w:sz="0" w:space="0" w:color="auto"/>
      </w:divBdr>
    </w:div>
    <w:div w:id="1508520140">
      <w:bodyDiv w:val="1"/>
      <w:marLeft w:val="0"/>
      <w:marRight w:val="0"/>
      <w:marTop w:val="0"/>
      <w:marBottom w:val="0"/>
      <w:divBdr>
        <w:top w:val="none" w:sz="0" w:space="0" w:color="auto"/>
        <w:left w:val="none" w:sz="0" w:space="0" w:color="auto"/>
        <w:bottom w:val="none" w:sz="0" w:space="0" w:color="auto"/>
        <w:right w:val="none" w:sz="0" w:space="0" w:color="auto"/>
      </w:divBdr>
    </w:div>
    <w:div w:id="1545871880">
      <w:bodyDiv w:val="1"/>
      <w:marLeft w:val="0"/>
      <w:marRight w:val="0"/>
      <w:marTop w:val="0"/>
      <w:marBottom w:val="0"/>
      <w:divBdr>
        <w:top w:val="none" w:sz="0" w:space="0" w:color="auto"/>
        <w:left w:val="none" w:sz="0" w:space="0" w:color="auto"/>
        <w:bottom w:val="none" w:sz="0" w:space="0" w:color="auto"/>
        <w:right w:val="none" w:sz="0" w:space="0" w:color="auto"/>
      </w:divBdr>
    </w:div>
    <w:div w:id="1810711386">
      <w:bodyDiv w:val="1"/>
      <w:marLeft w:val="0"/>
      <w:marRight w:val="0"/>
      <w:marTop w:val="0"/>
      <w:marBottom w:val="0"/>
      <w:divBdr>
        <w:top w:val="none" w:sz="0" w:space="0" w:color="auto"/>
        <w:left w:val="none" w:sz="0" w:space="0" w:color="auto"/>
        <w:bottom w:val="none" w:sz="0" w:space="0" w:color="auto"/>
        <w:right w:val="none" w:sz="0" w:space="0" w:color="auto"/>
      </w:divBdr>
    </w:div>
    <w:div w:id="1816095728">
      <w:bodyDiv w:val="1"/>
      <w:marLeft w:val="0"/>
      <w:marRight w:val="0"/>
      <w:marTop w:val="0"/>
      <w:marBottom w:val="0"/>
      <w:divBdr>
        <w:top w:val="none" w:sz="0" w:space="0" w:color="auto"/>
        <w:left w:val="none" w:sz="0" w:space="0" w:color="auto"/>
        <w:bottom w:val="none" w:sz="0" w:space="0" w:color="auto"/>
        <w:right w:val="none" w:sz="0" w:space="0" w:color="auto"/>
      </w:divBdr>
    </w:div>
    <w:div w:id="1874072733">
      <w:bodyDiv w:val="1"/>
      <w:marLeft w:val="0"/>
      <w:marRight w:val="0"/>
      <w:marTop w:val="0"/>
      <w:marBottom w:val="0"/>
      <w:divBdr>
        <w:top w:val="none" w:sz="0" w:space="0" w:color="auto"/>
        <w:left w:val="none" w:sz="0" w:space="0" w:color="auto"/>
        <w:bottom w:val="none" w:sz="0" w:space="0" w:color="auto"/>
        <w:right w:val="none" w:sz="0" w:space="0" w:color="auto"/>
      </w:divBdr>
    </w:div>
    <w:div w:id="1967394536">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1331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1E28-6358-42CB-94E9-0317545F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7054</Words>
  <Characters>39414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2016-10-06T03:24:00Z</dcterms:created>
  <dcterms:modified xsi:type="dcterms:W3CDTF">2016-10-06T03:53:00Z</dcterms:modified>
</cp:coreProperties>
</file>