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1B" w:rsidRPr="00746A1B" w:rsidRDefault="0041322D" w:rsidP="00746A1B">
      <w:pPr>
        <w:pStyle w:val="Heading1"/>
        <w:numPr>
          <w:ilvl w:val="0"/>
          <w:numId w:val="0"/>
        </w:numPr>
        <w:ind w:left="720" w:hanging="720"/>
        <w:rPr>
          <w:sz w:val="28"/>
          <w:szCs w:val="28"/>
        </w:rPr>
      </w:pPr>
      <w:bookmarkStart w:id="0" w:name="_Toc457319179"/>
      <w:bookmarkStart w:id="1" w:name="_GoBack"/>
      <w:bookmarkEnd w:id="1"/>
      <w:r w:rsidRPr="00746A1B">
        <w:rPr>
          <w:sz w:val="28"/>
          <w:szCs w:val="28"/>
        </w:rPr>
        <w:t>5</w:t>
      </w:r>
      <w:r w:rsidR="00433044" w:rsidRPr="00746A1B">
        <w:rPr>
          <w:sz w:val="28"/>
          <w:szCs w:val="28"/>
        </w:rPr>
        <w:t>.</w:t>
      </w:r>
      <w:r w:rsidRPr="00746A1B">
        <w:rPr>
          <w:sz w:val="28"/>
          <w:szCs w:val="28"/>
        </w:rPr>
        <w:t>01</w:t>
      </w:r>
      <w:r w:rsidR="00B60939" w:rsidRPr="00746A1B">
        <w:rPr>
          <w:sz w:val="28"/>
          <w:szCs w:val="28"/>
        </w:rPr>
        <w:tab/>
      </w:r>
      <w:bookmarkEnd w:id="0"/>
      <w:r w:rsidR="00746A1B" w:rsidRPr="00746A1B">
        <w:rPr>
          <w:sz w:val="28"/>
          <w:szCs w:val="28"/>
        </w:rPr>
        <w:t>QUADRIVALENT INFLUENZA VACCINE, Pre-filled syringe, 0.5mL, Afluria® Quad, Seqirus.</w:t>
      </w:r>
    </w:p>
    <w:p w:rsidR="00B60939" w:rsidRPr="00207D00" w:rsidRDefault="00B60939" w:rsidP="00746A1B">
      <w:pPr>
        <w:pStyle w:val="PBACHeading1"/>
        <w:numPr>
          <w:ilvl w:val="0"/>
          <w:numId w:val="0"/>
        </w:numPr>
        <w:ind w:left="720" w:hanging="720"/>
      </w:pPr>
    </w:p>
    <w:p w:rsidR="00433044" w:rsidRDefault="00433044" w:rsidP="007D1763">
      <w:pPr>
        <w:pStyle w:val="BodyText"/>
        <w:widowControl/>
      </w:pPr>
    </w:p>
    <w:p w:rsidR="00B50DB8" w:rsidRPr="00746A1B" w:rsidRDefault="00B50DB8" w:rsidP="0079523D">
      <w:pPr>
        <w:pStyle w:val="Heading1"/>
      </w:pPr>
      <w:bookmarkStart w:id="2" w:name="_Toc457319181"/>
      <w:r w:rsidRPr="00746A1B">
        <w:t>Purpose of Application</w:t>
      </w:r>
      <w:bookmarkEnd w:id="2"/>
    </w:p>
    <w:p w:rsidR="00B60939" w:rsidRPr="00882085" w:rsidRDefault="00B60939" w:rsidP="007D1763">
      <w:pPr>
        <w:widowControl/>
        <w:rPr>
          <w:szCs w:val="22"/>
        </w:rPr>
      </w:pPr>
    </w:p>
    <w:p w:rsidR="00B60939" w:rsidRDefault="00793BF0" w:rsidP="007D1763">
      <w:pPr>
        <w:pStyle w:val="ListParagraph"/>
        <w:widowControl/>
        <w:numPr>
          <w:ilvl w:val="1"/>
          <w:numId w:val="1"/>
        </w:numPr>
      </w:pPr>
      <w:r w:rsidRPr="00793BF0">
        <w:t>The submission sought listing of quadrivalent influenza vaccination (</w:t>
      </w:r>
      <w:r w:rsidR="007B0D2D">
        <w:t xml:space="preserve">QIV, </w:t>
      </w:r>
      <w:r w:rsidR="004E6343">
        <w:t>Afluria</w:t>
      </w:r>
      <w:r>
        <w:t>®</w:t>
      </w:r>
      <w:r w:rsidR="00AD7081">
        <w:t> </w:t>
      </w:r>
      <w:r>
        <w:t>Quad</w:t>
      </w:r>
      <w:r w:rsidRPr="00793BF0">
        <w:t xml:space="preserve">) on the </w:t>
      </w:r>
      <w:r w:rsidR="00FE22B9">
        <w:t xml:space="preserve">National </w:t>
      </w:r>
      <w:r w:rsidRPr="00793BF0">
        <w:t>Immunisation Prog</w:t>
      </w:r>
      <w:r w:rsidR="00FE22B9">
        <w:t xml:space="preserve">ram (NIP) – Designated Vaccines list for the prevention </w:t>
      </w:r>
      <w:r w:rsidR="00A86475">
        <w:t xml:space="preserve">of </w:t>
      </w:r>
      <w:r w:rsidR="00FE22B9">
        <w:t xml:space="preserve">seasonal influenza. </w:t>
      </w:r>
    </w:p>
    <w:p w:rsidR="004E43B2" w:rsidRPr="00882085" w:rsidRDefault="004E43B2" w:rsidP="007D1763">
      <w:pPr>
        <w:widowControl/>
      </w:pPr>
    </w:p>
    <w:p w:rsidR="00B50DB8" w:rsidRPr="00407F2D" w:rsidRDefault="00B50DB8" w:rsidP="00746A1B">
      <w:pPr>
        <w:pStyle w:val="Heading1"/>
      </w:pPr>
      <w:bookmarkStart w:id="3" w:name="_Toc457319182"/>
      <w:r w:rsidRPr="00407F2D">
        <w:t>Requested listing</w:t>
      </w:r>
      <w:bookmarkEnd w:id="3"/>
    </w:p>
    <w:p w:rsidR="00B60939" w:rsidRPr="00882085" w:rsidRDefault="00B60939" w:rsidP="007D1763">
      <w:pPr>
        <w:widowControl/>
      </w:pPr>
    </w:p>
    <w:tbl>
      <w:tblPr>
        <w:tblW w:w="4596" w:type="pct"/>
        <w:tblInd w:w="736" w:type="dxa"/>
        <w:tblCellMar>
          <w:left w:w="28" w:type="dxa"/>
          <w:right w:w="28" w:type="dxa"/>
        </w:tblCellMar>
        <w:tblLook w:val="0000" w:firstRow="0" w:lastRow="0" w:firstColumn="0" w:lastColumn="0" w:noHBand="0" w:noVBand="0"/>
      </w:tblPr>
      <w:tblGrid>
        <w:gridCol w:w="3260"/>
        <w:gridCol w:w="709"/>
        <w:gridCol w:w="568"/>
        <w:gridCol w:w="1513"/>
        <w:gridCol w:w="937"/>
        <w:gridCol w:w="1361"/>
      </w:tblGrid>
      <w:tr w:rsidR="00FE22B9" w:rsidRPr="00A939CD" w:rsidTr="00FE22B9">
        <w:trPr>
          <w:cantSplit/>
          <w:trHeight w:val="471"/>
        </w:trPr>
        <w:tc>
          <w:tcPr>
            <w:tcW w:w="1953" w:type="pct"/>
            <w:tcBorders>
              <w:bottom w:val="single" w:sz="4" w:space="0" w:color="auto"/>
            </w:tcBorders>
          </w:tcPr>
          <w:p w:rsidR="00FE22B9" w:rsidRPr="0096308C" w:rsidRDefault="00FE22B9" w:rsidP="007D1763">
            <w:pPr>
              <w:keepNext/>
              <w:widowControl/>
              <w:rPr>
                <w:rFonts w:ascii="Arial Narrow" w:hAnsi="Arial Narrow"/>
                <w:sz w:val="20"/>
              </w:rPr>
            </w:pPr>
            <w:r w:rsidRPr="0096308C">
              <w:rPr>
                <w:rFonts w:ascii="Arial Narrow" w:hAnsi="Arial Narrow"/>
                <w:sz w:val="20"/>
              </w:rPr>
              <w:t>Name, Restriction,</w:t>
            </w:r>
          </w:p>
          <w:p w:rsidR="00FE22B9" w:rsidRPr="0096308C" w:rsidRDefault="00FE22B9" w:rsidP="007D1763">
            <w:pPr>
              <w:keepNext/>
              <w:widowControl/>
              <w:rPr>
                <w:rFonts w:ascii="Arial Narrow" w:hAnsi="Arial Narrow"/>
                <w:sz w:val="20"/>
              </w:rPr>
            </w:pPr>
            <w:r w:rsidRPr="0096308C">
              <w:rPr>
                <w:rFonts w:ascii="Arial Narrow" w:hAnsi="Arial Narrow"/>
                <w:sz w:val="20"/>
              </w:rPr>
              <w:t>Manner of administration and form</w:t>
            </w:r>
          </w:p>
        </w:tc>
        <w:tc>
          <w:tcPr>
            <w:tcW w:w="425" w:type="pct"/>
            <w:tcBorders>
              <w:bottom w:val="single" w:sz="4" w:space="0" w:color="auto"/>
            </w:tcBorders>
          </w:tcPr>
          <w:p w:rsidR="00FE22B9" w:rsidRPr="0096308C" w:rsidRDefault="00FE22B9" w:rsidP="007D1763">
            <w:pPr>
              <w:keepNext/>
              <w:widowControl/>
              <w:jc w:val="center"/>
              <w:rPr>
                <w:rFonts w:ascii="Arial Narrow" w:hAnsi="Arial Narrow"/>
                <w:sz w:val="20"/>
              </w:rPr>
            </w:pPr>
            <w:r w:rsidRPr="0096308C">
              <w:rPr>
                <w:rFonts w:ascii="Arial Narrow" w:hAnsi="Arial Narrow"/>
                <w:sz w:val="20"/>
              </w:rPr>
              <w:t>Max.</w:t>
            </w:r>
          </w:p>
          <w:p w:rsidR="00FE22B9" w:rsidRPr="0096308C" w:rsidRDefault="00FE22B9" w:rsidP="007D1763">
            <w:pPr>
              <w:keepNext/>
              <w:widowControl/>
              <w:jc w:val="center"/>
              <w:rPr>
                <w:rFonts w:ascii="Arial Narrow" w:hAnsi="Arial Narrow"/>
                <w:sz w:val="20"/>
              </w:rPr>
            </w:pPr>
            <w:r w:rsidRPr="0096308C">
              <w:rPr>
                <w:rFonts w:ascii="Arial Narrow" w:hAnsi="Arial Narrow"/>
                <w:sz w:val="20"/>
              </w:rPr>
              <w:t>Qty</w:t>
            </w:r>
          </w:p>
        </w:tc>
        <w:tc>
          <w:tcPr>
            <w:tcW w:w="340" w:type="pct"/>
            <w:tcBorders>
              <w:bottom w:val="single" w:sz="4" w:space="0" w:color="auto"/>
            </w:tcBorders>
          </w:tcPr>
          <w:p w:rsidR="00FE22B9" w:rsidRPr="0096308C" w:rsidRDefault="00FE22B9" w:rsidP="007D1763">
            <w:pPr>
              <w:keepNext/>
              <w:widowControl/>
              <w:jc w:val="center"/>
              <w:rPr>
                <w:rFonts w:ascii="Arial Narrow" w:hAnsi="Arial Narrow"/>
                <w:sz w:val="20"/>
              </w:rPr>
            </w:pPr>
            <w:r w:rsidRPr="0096308C">
              <w:rPr>
                <w:rFonts w:ascii="Arial Narrow" w:hAnsi="Arial Narrow"/>
                <w:sz w:val="20"/>
              </w:rPr>
              <w:t>№.of</w:t>
            </w:r>
          </w:p>
          <w:p w:rsidR="00FE22B9" w:rsidRPr="0096308C" w:rsidRDefault="00FE22B9" w:rsidP="007D1763">
            <w:pPr>
              <w:keepNext/>
              <w:widowControl/>
              <w:jc w:val="center"/>
              <w:rPr>
                <w:rFonts w:ascii="Arial Narrow" w:hAnsi="Arial Narrow"/>
                <w:sz w:val="20"/>
              </w:rPr>
            </w:pPr>
            <w:r w:rsidRPr="0096308C">
              <w:rPr>
                <w:rFonts w:ascii="Arial Narrow" w:hAnsi="Arial Narrow"/>
                <w:sz w:val="20"/>
              </w:rPr>
              <w:t>Rpts</w:t>
            </w:r>
          </w:p>
        </w:tc>
        <w:tc>
          <w:tcPr>
            <w:tcW w:w="906" w:type="pct"/>
            <w:tcBorders>
              <w:bottom w:val="single" w:sz="4" w:space="0" w:color="auto"/>
            </w:tcBorders>
          </w:tcPr>
          <w:p w:rsidR="00FE22B9" w:rsidRPr="0096308C" w:rsidRDefault="00FE22B9" w:rsidP="007D1763">
            <w:pPr>
              <w:keepNext/>
              <w:widowControl/>
              <w:jc w:val="center"/>
              <w:rPr>
                <w:rFonts w:ascii="Arial Narrow" w:hAnsi="Arial Narrow"/>
                <w:sz w:val="20"/>
              </w:rPr>
            </w:pPr>
            <w:r w:rsidRPr="0096308C">
              <w:rPr>
                <w:rFonts w:ascii="Arial Narrow" w:hAnsi="Arial Narrow"/>
                <w:sz w:val="20"/>
              </w:rPr>
              <w:t>NIP price for Max. Qty</w:t>
            </w:r>
          </w:p>
        </w:tc>
        <w:tc>
          <w:tcPr>
            <w:tcW w:w="1376" w:type="pct"/>
            <w:gridSpan w:val="2"/>
            <w:tcBorders>
              <w:bottom w:val="single" w:sz="4" w:space="0" w:color="auto"/>
            </w:tcBorders>
          </w:tcPr>
          <w:p w:rsidR="00FE22B9" w:rsidRPr="0096308C" w:rsidRDefault="00FE22B9" w:rsidP="007D1763">
            <w:pPr>
              <w:keepNext/>
              <w:widowControl/>
              <w:jc w:val="center"/>
              <w:rPr>
                <w:rFonts w:ascii="Arial Narrow" w:hAnsi="Arial Narrow"/>
                <w:sz w:val="20"/>
                <w:lang w:val="fr-FR"/>
              </w:rPr>
            </w:pPr>
            <w:r w:rsidRPr="0096308C">
              <w:rPr>
                <w:rFonts w:ascii="Arial Narrow" w:hAnsi="Arial Narrow"/>
                <w:sz w:val="20"/>
              </w:rPr>
              <w:t>Proprietary Name and Manufacturer</w:t>
            </w:r>
          </w:p>
        </w:tc>
      </w:tr>
      <w:tr w:rsidR="00FE22B9" w:rsidRPr="00A939CD" w:rsidTr="00FE22B9">
        <w:trPr>
          <w:cantSplit/>
          <w:trHeight w:val="577"/>
        </w:trPr>
        <w:tc>
          <w:tcPr>
            <w:tcW w:w="1953" w:type="pct"/>
          </w:tcPr>
          <w:p w:rsidR="00FE22B9" w:rsidRPr="0096308C" w:rsidRDefault="00FE22B9" w:rsidP="007D1763">
            <w:pPr>
              <w:keepNext/>
              <w:widowControl/>
              <w:jc w:val="left"/>
              <w:rPr>
                <w:rFonts w:ascii="Arial Narrow" w:hAnsi="Arial Narrow"/>
                <w:smallCaps/>
                <w:sz w:val="20"/>
              </w:rPr>
            </w:pPr>
            <w:r w:rsidRPr="0096308C">
              <w:rPr>
                <w:rFonts w:ascii="Arial Narrow" w:hAnsi="Arial Narrow"/>
                <w:smallCaps/>
                <w:sz w:val="20"/>
              </w:rPr>
              <w:t>Inactivated Quadrivalent influenza vaccine (split virion),</w:t>
            </w:r>
          </w:p>
          <w:p w:rsidR="00FE22B9" w:rsidRPr="0096308C" w:rsidRDefault="00FE22B9" w:rsidP="007D1763">
            <w:pPr>
              <w:keepNext/>
              <w:widowControl/>
              <w:jc w:val="left"/>
              <w:rPr>
                <w:rFonts w:ascii="Arial Narrow" w:hAnsi="Arial Narrow"/>
                <w:sz w:val="20"/>
              </w:rPr>
            </w:pPr>
            <w:r w:rsidRPr="0096308C">
              <w:rPr>
                <w:rFonts w:ascii="Arial Narrow" w:hAnsi="Arial Narrow"/>
                <w:sz w:val="20"/>
              </w:rPr>
              <w:t>15 μg HA/strain (4 strains) for IM injection (pre-filled syringe), 0.5 mL</w:t>
            </w:r>
          </w:p>
          <w:p w:rsidR="00FE22B9" w:rsidRPr="0096308C" w:rsidRDefault="00FE22B9" w:rsidP="007D1763">
            <w:pPr>
              <w:keepNext/>
              <w:widowControl/>
              <w:jc w:val="left"/>
              <w:rPr>
                <w:rFonts w:ascii="Arial Narrow" w:hAnsi="Arial Narrow"/>
                <w:sz w:val="20"/>
              </w:rPr>
            </w:pPr>
            <w:r w:rsidRPr="0096308C">
              <w:rPr>
                <w:rFonts w:ascii="Arial Narrow" w:hAnsi="Arial Narrow"/>
                <w:sz w:val="20"/>
              </w:rPr>
              <w:t>A single dose for adults aged 18 years or older</w:t>
            </w:r>
          </w:p>
        </w:tc>
        <w:tc>
          <w:tcPr>
            <w:tcW w:w="425" w:type="pct"/>
          </w:tcPr>
          <w:p w:rsidR="00FE22B9" w:rsidRPr="0096308C" w:rsidRDefault="00FE22B9" w:rsidP="007D1763">
            <w:pPr>
              <w:keepNext/>
              <w:widowControl/>
              <w:jc w:val="center"/>
              <w:rPr>
                <w:rFonts w:ascii="Arial Narrow" w:hAnsi="Arial Narrow"/>
                <w:sz w:val="20"/>
              </w:rPr>
            </w:pPr>
          </w:p>
          <w:p w:rsidR="00FE22B9" w:rsidRPr="0096308C" w:rsidRDefault="00FE22B9" w:rsidP="007D1763">
            <w:pPr>
              <w:keepNext/>
              <w:widowControl/>
              <w:jc w:val="center"/>
              <w:rPr>
                <w:rFonts w:ascii="Arial Narrow" w:hAnsi="Arial Narrow"/>
                <w:sz w:val="20"/>
              </w:rPr>
            </w:pPr>
            <w:r w:rsidRPr="0096308C">
              <w:rPr>
                <w:rFonts w:ascii="Arial Narrow" w:hAnsi="Arial Narrow"/>
                <w:sz w:val="20"/>
              </w:rPr>
              <w:t>1</w:t>
            </w:r>
          </w:p>
        </w:tc>
        <w:tc>
          <w:tcPr>
            <w:tcW w:w="340" w:type="pct"/>
          </w:tcPr>
          <w:p w:rsidR="00FE22B9" w:rsidRPr="0096308C" w:rsidRDefault="00FE22B9" w:rsidP="007D1763">
            <w:pPr>
              <w:keepNext/>
              <w:widowControl/>
              <w:jc w:val="center"/>
              <w:rPr>
                <w:rFonts w:ascii="Arial Narrow" w:hAnsi="Arial Narrow"/>
                <w:sz w:val="20"/>
              </w:rPr>
            </w:pPr>
          </w:p>
          <w:p w:rsidR="00FE22B9" w:rsidRPr="0096308C" w:rsidRDefault="00FE22B9" w:rsidP="007D1763">
            <w:pPr>
              <w:keepNext/>
              <w:widowControl/>
              <w:jc w:val="center"/>
              <w:rPr>
                <w:rFonts w:ascii="Arial Narrow" w:hAnsi="Arial Narrow"/>
                <w:sz w:val="20"/>
              </w:rPr>
            </w:pPr>
            <w:r w:rsidRPr="0096308C">
              <w:rPr>
                <w:rFonts w:ascii="Arial Narrow" w:hAnsi="Arial Narrow"/>
                <w:sz w:val="20"/>
              </w:rPr>
              <w:t>0</w:t>
            </w:r>
          </w:p>
        </w:tc>
        <w:tc>
          <w:tcPr>
            <w:tcW w:w="906" w:type="pct"/>
          </w:tcPr>
          <w:p w:rsidR="00FE22B9" w:rsidRPr="0096308C" w:rsidRDefault="00FE22B9" w:rsidP="007D1763">
            <w:pPr>
              <w:keepNext/>
              <w:widowControl/>
              <w:jc w:val="center"/>
              <w:rPr>
                <w:rFonts w:ascii="Arial Narrow" w:hAnsi="Arial Narrow"/>
                <w:sz w:val="20"/>
              </w:rPr>
            </w:pPr>
          </w:p>
          <w:p w:rsidR="00FE22B9" w:rsidRPr="0096308C" w:rsidRDefault="00FE22B9" w:rsidP="007D1763">
            <w:pPr>
              <w:keepNext/>
              <w:widowControl/>
              <w:jc w:val="center"/>
              <w:rPr>
                <w:rFonts w:ascii="Arial Narrow" w:hAnsi="Arial Narrow"/>
                <w:sz w:val="20"/>
              </w:rPr>
            </w:pPr>
            <w:r w:rsidRPr="0096308C">
              <w:rPr>
                <w:rFonts w:ascii="Arial Narrow" w:hAnsi="Arial Narrow"/>
                <w:sz w:val="20"/>
              </w:rPr>
              <w:t>$</w:t>
            </w:r>
            <w:r w:rsidR="00076FEF">
              <w:rPr>
                <w:rFonts w:ascii="Arial Narrow" w:hAnsi="Arial Narrow"/>
                <w:noProof/>
                <w:color w:val="000000"/>
                <w:sz w:val="20"/>
                <w:highlight w:val="black"/>
              </w:rPr>
              <w:t>''''''''''</w:t>
            </w:r>
            <w:r w:rsidR="008F57DB" w:rsidRPr="0096308C">
              <w:rPr>
                <w:rFonts w:ascii="Arial Narrow" w:hAnsi="Arial Narrow"/>
                <w:sz w:val="20"/>
                <w:vertAlign w:val="superscript"/>
              </w:rPr>
              <w:t>a</w:t>
            </w:r>
          </w:p>
        </w:tc>
        <w:tc>
          <w:tcPr>
            <w:tcW w:w="561" w:type="pct"/>
          </w:tcPr>
          <w:p w:rsidR="00FE22B9" w:rsidRPr="0096308C" w:rsidRDefault="004E6343" w:rsidP="007D1763">
            <w:pPr>
              <w:keepNext/>
              <w:widowControl/>
              <w:jc w:val="center"/>
              <w:rPr>
                <w:rFonts w:ascii="Arial Narrow" w:hAnsi="Arial Narrow"/>
                <w:sz w:val="20"/>
              </w:rPr>
            </w:pPr>
            <w:r w:rsidRPr="0096308C">
              <w:rPr>
                <w:rFonts w:ascii="Arial Narrow" w:hAnsi="Arial Narrow"/>
                <w:sz w:val="20"/>
              </w:rPr>
              <w:t>Afluria</w:t>
            </w:r>
            <w:r w:rsidR="00FE22B9" w:rsidRPr="0096308C">
              <w:rPr>
                <w:rFonts w:ascii="Arial Narrow" w:hAnsi="Arial Narrow"/>
                <w:sz w:val="20"/>
              </w:rPr>
              <w:t>® Quad</w:t>
            </w:r>
          </w:p>
        </w:tc>
        <w:tc>
          <w:tcPr>
            <w:tcW w:w="815" w:type="pct"/>
          </w:tcPr>
          <w:p w:rsidR="00FE22B9" w:rsidRPr="0096308C" w:rsidRDefault="00FE22B9" w:rsidP="007D1763">
            <w:pPr>
              <w:keepNext/>
              <w:widowControl/>
              <w:jc w:val="center"/>
              <w:rPr>
                <w:rFonts w:ascii="Arial Narrow" w:hAnsi="Arial Narrow"/>
                <w:sz w:val="20"/>
              </w:rPr>
            </w:pPr>
            <w:r w:rsidRPr="0096308C">
              <w:rPr>
                <w:rFonts w:ascii="Arial Narrow" w:hAnsi="Arial Narrow"/>
                <w:sz w:val="20"/>
              </w:rPr>
              <w:t>Seqirus</w:t>
            </w:r>
          </w:p>
        </w:tc>
      </w:tr>
      <w:tr w:rsidR="00FE22B9" w:rsidRPr="00A939CD" w:rsidTr="00FE22B9">
        <w:trPr>
          <w:cantSplit/>
          <w:trHeight w:val="360"/>
        </w:trPr>
        <w:tc>
          <w:tcPr>
            <w:tcW w:w="5000" w:type="pct"/>
            <w:gridSpan w:val="6"/>
          </w:tcPr>
          <w:p w:rsidR="00FE22B9" w:rsidRPr="0096308C" w:rsidRDefault="008F57DB" w:rsidP="007D1763">
            <w:pPr>
              <w:widowControl/>
              <w:rPr>
                <w:rFonts w:ascii="Arial Narrow" w:hAnsi="Arial Narrow"/>
                <w:i/>
                <w:sz w:val="20"/>
              </w:rPr>
            </w:pPr>
            <w:r w:rsidRPr="0096308C">
              <w:rPr>
                <w:rFonts w:ascii="Arial Narrow" w:hAnsi="Arial Narrow"/>
                <w:i/>
                <w:sz w:val="20"/>
                <w:vertAlign w:val="superscript"/>
              </w:rPr>
              <w:t>a</w:t>
            </w:r>
            <w:r w:rsidRPr="0096308C">
              <w:rPr>
                <w:rFonts w:ascii="Arial Narrow" w:hAnsi="Arial Narrow"/>
                <w:i/>
                <w:sz w:val="20"/>
              </w:rPr>
              <w:t xml:space="preserve">Indicative price </w:t>
            </w:r>
          </w:p>
        </w:tc>
      </w:tr>
    </w:tbl>
    <w:p w:rsidR="00B60939" w:rsidRPr="00882085" w:rsidRDefault="00B60939" w:rsidP="007D1763">
      <w:pPr>
        <w:widowControl/>
      </w:pPr>
    </w:p>
    <w:p w:rsidR="00F27643" w:rsidRPr="0079523D" w:rsidRDefault="00FE22B9" w:rsidP="0079523D">
      <w:pPr>
        <w:pStyle w:val="ListParagraph"/>
        <w:widowControl/>
        <w:numPr>
          <w:ilvl w:val="1"/>
          <w:numId w:val="1"/>
        </w:numPr>
        <w:rPr>
          <w:szCs w:val="22"/>
        </w:rPr>
      </w:pPr>
      <w:r w:rsidRPr="00FE22B9">
        <w:rPr>
          <w:szCs w:val="22"/>
        </w:rPr>
        <w:t>The listing was requested on a cost minimisa</w:t>
      </w:r>
      <w:r>
        <w:rPr>
          <w:szCs w:val="22"/>
        </w:rPr>
        <w:t>tion basis compared to Fluarix® Tetra</w:t>
      </w:r>
      <w:r w:rsidRPr="00FE22B9">
        <w:rPr>
          <w:szCs w:val="22"/>
        </w:rPr>
        <w:t xml:space="preserve"> influenza vaccine.</w:t>
      </w:r>
    </w:p>
    <w:p w:rsidR="00CF6FA5" w:rsidRDefault="00CF6FA5" w:rsidP="007D1763">
      <w:pPr>
        <w:pStyle w:val="ListParagraph"/>
        <w:widowControl/>
        <w:rPr>
          <w:szCs w:val="22"/>
        </w:rPr>
      </w:pPr>
    </w:p>
    <w:p w:rsidR="00F97A78" w:rsidRPr="00CF6FA5" w:rsidRDefault="00CF6FA5" w:rsidP="007D1763">
      <w:pPr>
        <w:pStyle w:val="ListParagraph"/>
        <w:widowControl/>
        <w:rPr>
          <w:i/>
          <w:szCs w:val="22"/>
        </w:rPr>
      </w:pPr>
      <w:r w:rsidRPr="00F435C4">
        <w:rPr>
          <w:i/>
          <w:szCs w:val="22"/>
        </w:rPr>
        <w:t>For more detail on PBAC’s view, see section 7 “PBAC outcome”</w:t>
      </w:r>
    </w:p>
    <w:p w:rsidR="004E43B2" w:rsidRPr="00882085" w:rsidRDefault="004E43B2" w:rsidP="007D1763">
      <w:pPr>
        <w:widowControl/>
      </w:pPr>
    </w:p>
    <w:p w:rsidR="00B50DB8" w:rsidRPr="00407F2D" w:rsidRDefault="00B50DB8" w:rsidP="00746A1B">
      <w:pPr>
        <w:pStyle w:val="Heading1"/>
      </w:pPr>
      <w:bookmarkStart w:id="4" w:name="_Toc457319183"/>
      <w:r w:rsidRPr="00407F2D">
        <w:t>Background</w:t>
      </w:r>
      <w:bookmarkEnd w:id="4"/>
    </w:p>
    <w:p w:rsidR="00B60939" w:rsidRPr="00882085" w:rsidRDefault="00B60939" w:rsidP="007D1763">
      <w:pPr>
        <w:widowControl/>
        <w:rPr>
          <w:szCs w:val="22"/>
        </w:rPr>
      </w:pPr>
    </w:p>
    <w:p w:rsidR="00B40D20" w:rsidRPr="009B741F" w:rsidRDefault="00FD5E84" w:rsidP="007D1763">
      <w:pPr>
        <w:pStyle w:val="ListParagraph"/>
        <w:widowControl/>
        <w:numPr>
          <w:ilvl w:val="1"/>
          <w:numId w:val="1"/>
        </w:numPr>
        <w:rPr>
          <w:szCs w:val="22"/>
        </w:rPr>
      </w:pPr>
      <w:r w:rsidRPr="00FD5E84">
        <w:rPr>
          <w:b/>
          <w:szCs w:val="22"/>
        </w:rPr>
        <w:t>TGA status at time of PBAC consideration:</w:t>
      </w:r>
      <w:r>
        <w:rPr>
          <w:szCs w:val="22"/>
        </w:rPr>
        <w:t xml:space="preserve"> </w:t>
      </w:r>
      <w:r w:rsidR="00F85CF9" w:rsidRPr="009B741F">
        <w:rPr>
          <w:szCs w:val="22"/>
        </w:rPr>
        <w:t>Afluria</w:t>
      </w:r>
      <w:r w:rsidR="009B741F" w:rsidRPr="009B741F">
        <w:t>®</w:t>
      </w:r>
      <w:r w:rsidR="00F85CF9" w:rsidRPr="009B741F">
        <w:rPr>
          <w:szCs w:val="22"/>
        </w:rPr>
        <w:t xml:space="preserve"> Quad was </w:t>
      </w:r>
      <w:r>
        <w:rPr>
          <w:szCs w:val="22"/>
        </w:rPr>
        <w:t xml:space="preserve">TGA </w:t>
      </w:r>
      <w:r w:rsidR="0053031B" w:rsidRPr="009B741F">
        <w:t>regist</w:t>
      </w:r>
      <w:r>
        <w:t>ered</w:t>
      </w:r>
      <w:r w:rsidR="0053031B" w:rsidRPr="009B741F">
        <w:t xml:space="preserve"> </w:t>
      </w:r>
      <w:r>
        <w:t>o</w:t>
      </w:r>
      <w:r w:rsidR="0053031B" w:rsidRPr="009B741F">
        <w:t>n 15</w:t>
      </w:r>
      <w:r w:rsidR="00B40D20" w:rsidRPr="009B741F">
        <w:t> </w:t>
      </w:r>
      <w:r w:rsidR="0053031B" w:rsidRPr="009B741F">
        <w:t>July</w:t>
      </w:r>
      <w:r w:rsidR="00B40D20" w:rsidRPr="009B741F">
        <w:t> </w:t>
      </w:r>
      <w:r w:rsidR="0053031B" w:rsidRPr="009B741F">
        <w:t>2016</w:t>
      </w:r>
      <w:r w:rsidR="00B40D20" w:rsidRPr="009B741F">
        <w:t xml:space="preserve"> for the prevention of influenza caused by influenza virus Types A and B contained in the vaccine in persons aged 18 years and over. </w:t>
      </w:r>
    </w:p>
    <w:p w:rsidR="00B40D20" w:rsidRPr="00B40D20" w:rsidRDefault="00B40D20" w:rsidP="007D1763">
      <w:pPr>
        <w:pStyle w:val="ListParagraph"/>
        <w:widowControl/>
        <w:rPr>
          <w:szCs w:val="22"/>
          <w:highlight w:val="yellow"/>
        </w:rPr>
      </w:pPr>
    </w:p>
    <w:p w:rsidR="007270B6" w:rsidRPr="00076FEF" w:rsidRDefault="00CE7193" w:rsidP="007D1763">
      <w:pPr>
        <w:pStyle w:val="ListParagraph"/>
        <w:widowControl/>
        <w:numPr>
          <w:ilvl w:val="1"/>
          <w:numId w:val="1"/>
        </w:numPr>
        <w:rPr>
          <w:szCs w:val="22"/>
        </w:rPr>
      </w:pPr>
      <w:r>
        <w:t xml:space="preserve">The </w:t>
      </w:r>
      <w:r w:rsidR="00E61B66">
        <w:t xml:space="preserve">ARTG registration letter from the </w:t>
      </w:r>
      <w:r w:rsidR="00B40D20" w:rsidRPr="009B741F">
        <w:t xml:space="preserve">TGA </w:t>
      </w:r>
      <w:r w:rsidR="00E61B66">
        <w:t xml:space="preserve">to the sponsor </w:t>
      </w:r>
      <w:r>
        <w:t xml:space="preserve">notes </w:t>
      </w:r>
      <w:r w:rsidR="00B40D20" w:rsidRPr="009B741F">
        <w:t>that s</w:t>
      </w:r>
      <w:r w:rsidR="00F85CF9" w:rsidRPr="009B741F">
        <w:t>upply</w:t>
      </w:r>
      <w:r w:rsidR="00B40D20" w:rsidRPr="009B741F">
        <w:t xml:space="preserve"> of Afluria</w:t>
      </w:r>
      <w:r w:rsidR="009B741F" w:rsidRPr="009B741F">
        <w:t>®</w:t>
      </w:r>
      <w:r w:rsidR="00B40D20" w:rsidRPr="009B741F">
        <w:t xml:space="preserve"> Quad</w:t>
      </w:r>
      <w:r w:rsidR="00F85CF9" w:rsidRPr="009B741F">
        <w:t xml:space="preserve"> will not be permitted until the sponsor provides evidence to satisfy the TGA </w:t>
      </w:r>
      <w:r w:rsidR="00B40D20" w:rsidRPr="009B741F">
        <w:t xml:space="preserve">on a number of </w:t>
      </w:r>
      <w:r w:rsidR="00076FEF">
        <w:rPr>
          <w:noProof/>
          <w:color w:val="000000"/>
          <w:highlight w:val="black"/>
        </w:rPr>
        <w:t>''''''''''''''''''''''''''''' ''''''''''''''''</w:t>
      </w:r>
      <w:r w:rsidR="00B40D20" w:rsidRPr="009B741F">
        <w:t xml:space="preserve"> issues.</w:t>
      </w:r>
      <w:r w:rsidR="00062E9D" w:rsidRPr="009B741F">
        <w:t xml:space="preserve"> </w:t>
      </w:r>
      <w:r w:rsidR="00076FEF">
        <w:rPr>
          <w:noProof/>
          <w:color w:val="000000"/>
          <w:highlight w:val="black"/>
        </w:rPr>
        <w:t>''''''''' ''''''''''' ''''''''' '''''''''''''''''''''''''' '''''''''''''''''''' ''''''''' '''''''' ''''''''''''''''''''''''''' ''''' '''''''' ''''''''''''''''' ''''''''''''''''''''' ''''' ''''''''''''''''''''''' '''''''''''''''''''''''' '''''''''''''''' '''''''''''''''''''''' '''''''''' ''''''''' ''''''''''''''''''''''''' ''''''' '''''''''''''''' '''''''''''''' '''''''' '''''''''''''''''''''' ''''' ''''''''''''''''''''''''' '''''''''''''''''''''' ''''''''''''''''' ''''''''''''' '''''' ''''' '''''''''''''''''''''''''' '''''''''''''</w:t>
      </w:r>
    </w:p>
    <w:p w:rsidR="00CF6FA5" w:rsidRPr="003A7134" w:rsidRDefault="00CF6FA5" w:rsidP="007D1763">
      <w:pPr>
        <w:widowControl/>
        <w:rPr>
          <w:szCs w:val="22"/>
        </w:rPr>
      </w:pPr>
    </w:p>
    <w:p w:rsidR="00F11733" w:rsidRPr="00F11733" w:rsidRDefault="00A86475" w:rsidP="007D1763">
      <w:pPr>
        <w:pStyle w:val="ListParagraph"/>
        <w:widowControl/>
        <w:numPr>
          <w:ilvl w:val="1"/>
          <w:numId w:val="1"/>
        </w:numPr>
        <w:rPr>
          <w:szCs w:val="22"/>
        </w:rPr>
      </w:pPr>
      <w:r>
        <w:rPr>
          <w:szCs w:val="22"/>
        </w:rPr>
        <w:t>Afluria</w:t>
      </w:r>
      <w:r w:rsidR="00FE22B9" w:rsidRPr="00FE22B9">
        <w:rPr>
          <w:szCs w:val="22"/>
        </w:rPr>
        <w:t xml:space="preserve">® Quad has not been considered by the PBAC previously. </w:t>
      </w:r>
    </w:p>
    <w:p w:rsidR="00F11733" w:rsidRPr="00F11733" w:rsidRDefault="00F11733" w:rsidP="007D1763">
      <w:pPr>
        <w:pStyle w:val="ListParagraph"/>
        <w:widowControl/>
        <w:rPr>
          <w:szCs w:val="22"/>
        </w:rPr>
      </w:pPr>
    </w:p>
    <w:p w:rsidR="002C2775" w:rsidRDefault="00F11733" w:rsidP="007D1763">
      <w:pPr>
        <w:pStyle w:val="ListParagraph"/>
        <w:widowControl/>
        <w:numPr>
          <w:ilvl w:val="1"/>
          <w:numId w:val="1"/>
        </w:numPr>
        <w:rPr>
          <w:szCs w:val="22"/>
        </w:rPr>
      </w:pPr>
      <w:r>
        <w:rPr>
          <w:szCs w:val="22"/>
        </w:rPr>
        <w:t xml:space="preserve">The PBAC has previously recommended three </w:t>
      </w:r>
      <w:r w:rsidR="007B0D2D">
        <w:rPr>
          <w:szCs w:val="22"/>
        </w:rPr>
        <w:t xml:space="preserve">QIVs </w:t>
      </w:r>
      <w:r>
        <w:rPr>
          <w:szCs w:val="22"/>
        </w:rPr>
        <w:t>to be listed on the NIP. Fluarix</w:t>
      </w:r>
      <w:r w:rsidRPr="00230CAA">
        <w:t>®</w:t>
      </w:r>
      <w:r>
        <w:rPr>
          <w:szCs w:val="22"/>
        </w:rPr>
        <w:t xml:space="preserve"> Tetra was recommended at the March 2015 PBAC meeting for use in people aged </w:t>
      </w:r>
      <w:r w:rsidR="00B05CB5">
        <w:rPr>
          <w:szCs w:val="22"/>
        </w:rPr>
        <w:t>≥3</w:t>
      </w:r>
      <w:r>
        <w:rPr>
          <w:szCs w:val="22"/>
        </w:rPr>
        <w:t xml:space="preserve"> years. FluQuadri</w:t>
      </w:r>
      <w:r w:rsidRPr="00230CAA">
        <w:t>®</w:t>
      </w:r>
      <w:r>
        <w:rPr>
          <w:szCs w:val="22"/>
        </w:rPr>
        <w:t xml:space="preserve"> and FluQuadri</w:t>
      </w:r>
      <w:r w:rsidRPr="00230CAA">
        <w:t>®</w:t>
      </w:r>
      <w:r>
        <w:t> </w:t>
      </w:r>
      <w:r>
        <w:rPr>
          <w:szCs w:val="22"/>
        </w:rPr>
        <w:t>Junior were recommended at th</w:t>
      </w:r>
      <w:r w:rsidRPr="00827C75">
        <w:rPr>
          <w:szCs w:val="22"/>
        </w:rPr>
        <w:t xml:space="preserve">e July 2015 PBAC meeting for people aged </w:t>
      </w:r>
      <w:r w:rsidR="004921EC" w:rsidRPr="00827C75">
        <w:rPr>
          <w:szCs w:val="22"/>
        </w:rPr>
        <w:t>≥</w:t>
      </w:r>
      <w:r w:rsidR="00B05CB5" w:rsidRPr="00827C75">
        <w:rPr>
          <w:szCs w:val="22"/>
        </w:rPr>
        <w:t>3</w:t>
      </w:r>
      <w:r w:rsidR="00BF4578" w:rsidRPr="00827C75">
        <w:rPr>
          <w:szCs w:val="22"/>
        </w:rPr>
        <w:t xml:space="preserve"> years</w:t>
      </w:r>
      <w:r w:rsidRPr="00827C75">
        <w:rPr>
          <w:szCs w:val="22"/>
        </w:rPr>
        <w:t xml:space="preserve"> and children aged 6 months to </w:t>
      </w:r>
      <w:r w:rsidR="00B05CB5" w:rsidRPr="00827C75">
        <w:rPr>
          <w:szCs w:val="22"/>
        </w:rPr>
        <w:t>&lt;</w:t>
      </w:r>
      <w:r w:rsidRPr="00827C75">
        <w:rPr>
          <w:szCs w:val="22"/>
        </w:rPr>
        <w:t>3</w:t>
      </w:r>
      <w:r>
        <w:rPr>
          <w:szCs w:val="22"/>
        </w:rPr>
        <w:t xml:space="preserve"> </w:t>
      </w:r>
      <w:r w:rsidR="00827C75">
        <w:rPr>
          <w:szCs w:val="22"/>
        </w:rPr>
        <w:t>years</w:t>
      </w:r>
      <w:r>
        <w:rPr>
          <w:szCs w:val="22"/>
        </w:rPr>
        <w:t>, respectively.</w:t>
      </w:r>
    </w:p>
    <w:p w:rsidR="00CF6FA5" w:rsidRPr="00CF6FA5" w:rsidRDefault="00CF6FA5" w:rsidP="007D1763">
      <w:pPr>
        <w:pStyle w:val="ListParagraph"/>
        <w:widowControl/>
        <w:rPr>
          <w:szCs w:val="22"/>
        </w:rPr>
      </w:pPr>
    </w:p>
    <w:p w:rsidR="00CF6FA5" w:rsidRPr="00F435C4" w:rsidRDefault="00CF6FA5" w:rsidP="007D1763">
      <w:pPr>
        <w:pStyle w:val="ListParagraph"/>
        <w:widowControl/>
        <w:rPr>
          <w:i/>
          <w:szCs w:val="22"/>
        </w:rPr>
      </w:pPr>
      <w:r w:rsidRPr="00F435C4">
        <w:rPr>
          <w:i/>
          <w:szCs w:val="22"/>
        </w:rPr>
        <w:t>For more detail on PBAC’s view, see section 7 “PBAC outcome”</w:t>
      </w:r>
    </w:p>
    <w:p w:rsidR="00E55BB5" w:rsidRPr="00F435C4" w:rsidRDefault="00E55BB5" w:rsidP="007D1763">
      <w:pPr>
        <w:widowControl/>
      </w:pPr>
    </w:p>
    <w:p w:rsidR="00B50DB8" w:rsidRPr="00F435C4" w:rsidRDefault="00B50DB8" w:rsidP="00746A1B">
      <w:pPr>
        <w:pStyle w:val="Heading1"/>
      </w:pPr>
      <w:bookmarkStart w:id="5" w:name="_Toc457319184"/>
      <w:r w:rsidRPr="00F435C4">
        <w:t>Clinical place for the proposed therapy</w:t>
      </w:r>
      <w:bookmarkEnd w:id="5"/>
    </w:p>
    <w:p w:rsidR="00B60939" w:rsidRPr="00F435C4" w:rsidRDefault="00B60939" w:rsidP="007D1763">
      <w:pPr>
        <w:widowControl/>
        <w:rPr>
          <w:szCs w:val="22"/>
        </w:rPr>
      </w:pPr>
    </w:p>
    <w:p w:rsidR="00894489" w:rsidRPr="00F435C4" w:rsidRDefault="004E6343" w:rsidP="007D1763">
      <w:pPr>
        <w:pStyle w:val="ListParagraph"/>
        <w:widowControl/>
        <w:numPr>
          <w:ilvl w:val="1"/>
          <w:numId w:val="1"/>
        </w:numPr>
        <w:jc w:val="left"/>
      </w:pPr>
      <w:r w:rsidRPr="00F435C4">
        <w:t>Afluria</w:t>
      </w:r>
      <w:r w:rsidR="00FE22B9" w:rsidRPr="00F435C4">
        <w:t xml:space="preserve">® Quad will be used for active immunisation against four influenza strains (two influenza A strains and two influenza B strains) in all </w:t>
      </w:r>
      <w:r w:rsidR="00827C75" w:rsidRPr="00F435C4">
        <w:t xml:space="preserve">eligible </w:t>
      </w:r>
      <w:r w:rsidR="00FE22B9" w:rsidRPr="00F435C4">
        <w:t xml:space="preserve">individuals listed on the NIP aged 18 years and older. </w:t>
      </w:r>
    </w:p>
    <w:p w:rsidR="00FE22B9" w:rsidRPr="00F435C4" w:rsidRDefault="00FE22B9" w:rsidP="007D1763">
      <w:pPr>
        <w:pStyle w:val="ListParagraph"/>
        <w:widowControl/>
        <w:jc w:val="left"/>
        <w:rPr>
          <w:szCs w:val="22"/>
        </w:rPr>
      </w:pPr>
    </w:p>
    <w:p w:rsidR="00FE22B9" w:rsidRPr="00F435C4" w:rsidRDefault="007270B6" w:rsidP="007D1763">
      <w:pPr>
        <w:pStyle w:val="ListParagraph"/>
        <w:widowControl/>
        <w:numPr>
          <w:ilvl w:val="1"/>
          <w:numId w:val="1"/>
        </w:numPr>
        <w:rPr>
          <w:szCs w:val="22"/>
        </w:rPr>
      </w:pPr>
      <w:r w:rsidRPr="00F435C4">
        <w:rPr>
          <w:szCs w:val="22"/>
        </w:rPr>
        <w:t xml:space="preserve">ATAGI indicated that QIV formulations will replace </w:t>
      </w:r>
      <w:r w:rsidR="007B0D2D">
        <w:rPr>
          <w:szCs w:val="22"/>
        </w:rPr>
        <w:t>trivalent influenza vaccine (</w:t>
      </w:r>
      <w:r w:rsidRPr="00F435C4">
        <w:rPr>
          <w:szCs w:val="22"/>
        </w:rPr>
        <w:t>TIV</w:t>
      </w:r>
      <w:r w:rsidR="007B0D2D">
        <w:rPr>
          <w:szCs w:val="22"/>
        </w:rPr>
        <w:t>)</w:t>
      </w:r>
      <w:r w:rsidRPr="00F435C4">
        <w:rPr>
          <w:szCs w:val="22"/>
        </w:rPr>
        <w:t xml:space="preserve"> on the NIP,</w:t>
      </w:r>
      <w:r w:rsidR="00FE22B9" w:rsidRPr="00F435C4">
        <w:rPr>
          <w:szCs w:val="22"/>
        </w:rPr>
        <w:t xml:space="preserve"> </w:t>
      </w:r>
      <w:r w:rsidRPr="00F435C4">
        <w:rPr>
          <w:szCs w:val="22"/>
        </w:rPr>
        <w:t>“[t]he inactivated quadrivalent influenza vaccine (QIV) will be used exclusively in the NIP from 2016.” [ATAGI Advice to PBAC, inactivated QIV, February 2016]</w:t>
      </w:r>
    </w:p>
    <w:p w:rsidR="00CF6FA5" w:rsidRPr="00F435C4" w:rsidRDefault="00CF6FA5" w:rsidP="007D1763">
      <w:pPr>
        <w:pStyle w:val="ListParagraph"/>
        <w:widowControl/>
        <w:rPr>
          <w:i/>
          <w:szCs w:val="22"/>
        </w:rPr>
      </w:pPr>
    </w:p>
    <w:p w:rsidR="00B50DB8" w:rsidRPr="00F435C4" w:rsidRDefault="00B50DB8" w:rsidP="00746A1B">
      <w:pPr>
        <w:pStyle w:val="Heading1"/>
      </w:pPr>
      <w:bookmarkStart w:id="6" w:name="_Toc457319185"/>
      <w:r w:rsidRPr="00F435C4">
        <w:t>Comparator</w:t>
      </w:r>
      <w:bookmarkEnd w:id="6"/>
    </w:p>
    <w:p w:rsidR="00B60939" w:rsidRPr="00F435C4" w:rsidRDefault="00B60939" w:rsidP="007D1763">
      <w:pPr>
        <w:widowControl/>
      </w:pPr>
    </w:p>
    <w:p w:rsidR="00B60939" w:rsidRPr="00F435C4" w:rsidRDefault="00FE22B9" w:rsidP="007D1763">
      <w:pPr>
        <w:pStyle w:val="ListParagraph"/>
        <w:widowControl/>
        <w:numPr>
          <w:ilvl w:val="1"/>
          <w:numId w:val="1"/>
        </w:numPr>
        <w:rPr>
          <w:szCs w:val="22"/>
        </w:rPr>
      </w:pPr>
      <w:r w:rsidRPr="00F435C4">
        <w:t>Fluarix® Tetra influenza vaccine was used as the main comparator.</w:t>
      </w:r>
      <w:r w:rsidR="00F067A2" w:rsidRPr="00F435C4">
        <w:t xml:space="preserve"> Th</w:t>
      </w:r>
      <w:r w:rsidR="00230CEA" w:rsidRPr="00F435C4">
        <w:t xml:space="preserve">e </w:t>
      </w:r>
      <w:r w:rsidR="007C1E5D">
        <w:t>evaluation</w:t>
      </w:r>
      <w:r w:rsidR="00230CEA" w:rsidRPr="00F435C4">
        <w:t xml:space="preserve"> considered that this</w:t>
      </w:r>
      <w:r w:rsidR="00762243" w:rsidRPr="00F435C4">
        <w:t xml:space="preserve"> </w:t>
      </w:r>
      <w:r w:rsidR="00230CEA" w:rsidRPr="00F435C4">
        <w:t>wa</w:t>
      </w:r>
      <w:r w:rsidR="00762243" w:rsidRPr="00F435C4">
        <w:t xml:space="preserve">s the appropriate comparator given it is listed on the NIP for </w:t>
      </w:r>
      <w:r w:rsidR="00B05CB5" w:rsidRPr="00F435C4">
        <w:t xml:space="preserve">people </w:t>
      </w:r>
      <w:r w:rsidR="00F85CF9" w:rsidRPr="00F435C4">
        <w:t xml:space="preserve">age </w:t>
      </w:r>
      <w:r w:rsidR="00B05CB5" w:rsidRPr="00F435C4">
        <w:t>≥3 years</w:t>
      </w:r>
      <w:r w:rsidR="00762243" w:rsidRPr="00F435C4">
        <w:t xml:space="preserve">. </w:t>
      </w:r>
      <w:r w:rsidR="007C1E5D">
        <w:t>In July 2015, the PBAC considered that Fluarix® Tetra was the appropriate comparator in its consideration of FluQuadri®.</w:t>
      </w:r>
    </w:p>
    <w:p w:rsidR="00CF6FA5" w:rsidRPr="00F435C4" w:rsidRDefault="00CF6FA5" w:rsidP="007D1763">
      <w:pPr>
        <w:pStyle w:val="ListParagraph"/>
        <w:widowControl/>
        <w:rPr>
          <w:i/>
          <w:szCs w:val="22"/>
        </w:rPr>
      </w:pPr>
    </w:p>
    <w:p w:rsidR="00B50DB8" w:rsidRDefault="00BD6CF3" w:rsidP="00746A1B">
      <w:pPr>
        <w:pStyle w:val="Heading1"/>
      </w:pPr>
      <w:bookmarkStart w:id="7" w:name="_Toc457319186"/>
      <w:r>
        <w:t>C</w:t>
      </w:r>
      <w:r w:rsidR="00B50DB8" w:rsidRPr="00407F2D">
        <w:t>onsideration of the evidence</w:t>
      </w:r>
      <w:bookmarkEnd w:id="7"/>
    </w:p>
    <w:p w:rsidR="00D16880" w:rsidRDefault="00D16880" w:rsidP="007D1763">
      <w:pPr>
        <w:pStyle w:val="PBACHeading1"/>
        <w:numPr>
          <w:ilvl w:val="0"/>
          <w:numId w:val="0"/>
        </w:numPr>
        <w:ind w:left="720" w:hanging="720"/>
      </w:pPr>
    </w:p>
    <w:p w:rsidR="00B60939" w:rsidRPr="00746A1B" w:rsidRDefault="00B60939" w:rsidP="00746A1B">
      <w:pPr>
        <w:pStyle w:val="Heading2"/>
      </w:pPr>
      <w:bookmarkStart w:id="8" w:name="_Toc457319187"/>
      <w:r w:rsidRPr="00746A1B">
        <w:t>Clinical trials</w:t>
      </w:r>
      <w:bookmarkEnd w:id="8"/>
    </w:p>
    <w:p w:rsidR="00B60939" w:rsidRPr="00882085" w:rsidRDefault="00B60939" w:rsidP="007D1763">
      <w:pPr>
        <w:widowControl/>
        <w:rPr>
          <w:szCs w:val="22"/>
        </w:rPr>
      </w:pPr>
    </w:p>
    <w:p w:rsidR="00807A41" w:rsidRPr="00807A41" w:rsidRDefault="00192202" w:rsidP="007D1763">
      <w:pPr>
        <w:pStyle w:val="ListParagraph"/>
        <w:widowControl/>
        <w:numPr>
          <w:ilvl w:val="1"/>
          <w:numId w:val="1"/>
        </w:numPr>
        <w:rPr>
          <w:szCs w:val="22"/>
        </w:rPr>
      </w:pPr>
      <w:r>
        <w:t>The submission wa</w:t>
      </w:r>
      <w:r w:rsidR="008F57DB" w:rsidRPr="00675DEE">
        <w:t xml:space="preserve">s based on an indirect comparison between </w:t>
      </w:r>
      <w:r w:rsidR="004E6343">
        <w:t>Afluria</w:t>
      </w:r>
      <w:r w:rsidR="008F57DB" w:rsidRPr="00675DEE">
        <w:t xml:space="preserve">® Quad and Fluarix® Tetra using TIV as the common comparator. </w:t>
      </w:r>
      <w:r w:rsidR="00675DEE" w:rsidRPr="00675DEE">
        <w:t xml:space="preserve">The submission </w:t>
      </w:r>
      <w:r w:rsidR="008F57DB">
        <w:t>wa</w:t>
      </w:r>
      <w:r w:rsidR="00675DEE" w:rsidRPr="00675DEE">
        <w:t xml:space="preserve">s based on four head-to-head randomised trials; one comparing </w:t>
      </w:r>
      <w:r w:rsidR="004E6343">
        <w:t>Afluria</w:t>
      </w:r>
      <w:r w:rsidR="00675DEE" w:rsidRPr="00675DEE">
        <w:t>® Quad to TIV [CSLCT</w:t>
      </w:r>
      <w:r w:rsidR="00EA4968">
        <w:t>, N=3,484</w:t>
      </w:r>
      <w:r w:rsidR="00675DEE" w:rsidRPr="00675DEE">
        <w:t>] and three comparing Fluarix® Tetra to TIV [Kieninger et al. (2013),</w:t>
      </w:r>
      <w:r w:rsidR="00EA4968">
        <w:t xml:space="preserve"> </w:t>
      </w:r>
      <w:r w:rsidR="00EA4968" w:rsidRPr="00807A41">
        <w:t>N=4,659;</w:t>
      </w:r>
      <w:r w:rsidR="00675DEE" w:rsidRPr="00807A41">
        <w:t xml:space="preserve"> Tinoco et al. (2014); </w:t>
      </w:r>
      <w:r w:rsidR="00EA4968" w:rsidRPr="00807A41">
        <w:t xml:space="preserve">N = 1,707; </w:t>
      </w:r>
      <w:r w:rsidR="00675DEE" w:rsidRPr="00807A41">
        <w:t>Beran et al. (2013)</w:t>
      </w:r>
      <w:r w:rsidR="00EA4968" w:rsidRPr="00807A41">
        <w:t>, N=420</w:t>
      </w:r>
      <w:r w:rsidR="00675DEE" w:rsidRPr="00807A41">
        <w:t xml:space="preserve">]. </w:t>
      </w:r>
    </w:p>
    <w:p w:rsidR="00807A41" w:rsidRPr="00807A41" w:rsidRDefault="00807A41" w:rsidP="007D1763">
      <w:pPr>
        <w:pStyle w:val="ListParagraph"/>
        <w:widowControl/>
        <w:rPr>
          <w:szCs w:val="22"/>
        </w:rPr>
      </w:pPr>
    </w:p>
    <w:p w:rsidR="00807A41" w:rsidRPr="00807A41" w:rsidRDefault="00807A41" w:rsidP="007D1763">
      <w:pPr>
        <w:pStyle w:val="ListParagraph"/>
        <w:widowControl/>
        <w:numPr>
          <w:ilvl w:val="1"/>
          <w:numId w:val="1"/>
        </w:numPr>
        <w:rPr>
          <w:szCs w:val="22"/>
        </w:rPr>
      </w:pPr>
      <w:r w:rsidRPr="00807A41">
        <w:t xml:space="preserve">The clinical trial populations are not the same as the </w:t>
      </w:r>
      <w:r w:rsidR="00244571">
        <w:t xml:space="preserve">requested </w:t>
      </w:r>
      <w:r w:rsidRPr="00807A41">
        <w:t>NIP population</w:t>
      </w:r>
      <w:r>
        <w:t>. D</w:t>
      </w:r>
      <w:r w:rsidRPr="00807A41">
        <w:t>ifferences include:</w:t>
      </w:r>
    </w:p>
    <w:p w:rsidR="00807A41" w:rsidRPr="00807A41" w:rsidRDefault="00807A41" w:rsidP="007D1763">
      <w:pPr>
        <w:pStyle w:val="ListParagraph"/>
        <w:widowControl/>
        <w:numPr>
          <w:ilvl w:val="0"/>
          <w:numId w:val="4"/>
        </w:numPr>
        <w:ind w:left="993" w:hanging="284"/>
        <w:rPr>
          <w:szCs w:val="22"/>
        </w:rPr>
      </w:pPr>
      <w:r w:rsidRPr="00807A41">
        <w:rPr>
          <w:szCs w:val="22"/>
        </w:rPr>
        <w:t>no representation of the Aboriginal and Torres Strait Islander population in the trial, no sites were in Australia;</w:t>
      </w:r>
    </w:p>
    <w:p w:rsidR="00807A41" w:rsidRPr="00807A41" w:rsidRDefault="00807A41" w:rsidP="007D1763">
      <w:pPr>
        <w:pStyle w:val="ListParagraph"/>
        <w:widowControl/>
        <w:numPr>
          <w:ilvl w:val="0"/>
          <w:numId w:val="4"/>
        </w:numPr>
        <w:ind w:left="993" w:hanging="284"/>
        <w:rPr>
          <w:szCs w:val="22"/>
        </w:rPr>
      </w:pPr>
      <w:r w:rsidRPr="00807A41">
        <w:rPr>
          <w:szCs w:val="22"/>
        </w:rPr>
        <w:t>pregnant women not included in the trial; and</w:t>
      </w:r>
    </w:p>
    <w:p w:rsidR="00807A41" w:rsidRPr="00807A41" w:rsidRDefault="00807A41" w:rsidP="007D1763">
      <w:pPr>
        <w:pStyle w:val="ListParagraph"/>
        <w:widowControl/>
        <w:numPr>
          <w:ilvl w:val="0"/>
          <w:numId w:val="4"/>
        </w:numPr>
        <w:ind w:left="993" w:hanging="284"/>
        <w:rPr>
          <w:szCs w:val="22"/>
        </w:rPr>
      </w:pPr>
      <w:r w:rsidRPr="00807A41">
        <w:rPr>
          <w:szCs w:val="22"/>
        </w:rPr>
        <w:t>none of the studies enrolled patients with specific medical conditions associated with an increased risk of influenza complications, and some of which were excluded.</w:t>
      </w:r>
    </w:p>
    <w:p w:rsidR="00C64DC3" w:rsidRDefault="00C64DC3" w:rsidP="007D1763">
      <w:pPr>
        <w:widowControl/>
        <w:jc w:val="left"/>
        <w:rPr>
          <w:szCs w:val="22"/>
        </w:rPr>
      </w:pPr>
      <w:r>
        <w:rPr>
          <w:szCs w:val="22"/>
        </w:rPr>
        <w:br w:type="page"/>
      </w:r>
    </w:p>
    <w:p w:rsidR="00862502" w:rsidRDefault="00862502" w:rsidP="007D1763">
      <w:pPr>
        <w:pStyle w:val="ListParagraph"/>
        <w:widowControl/>
        <w:numPr>
          <w:ilvl w:val="1"/>
          <w:numId w:val="1"/>
        </w:numPr>
        <w:rPr>
          <w:szCs w:val="22"/>
        </w:rPr>
      </w:pPr>
      <w:r w:rsidRPr="00B50DB8">
        <w:rPr>
          <w:szCs w:val="22"/>
        </w:rPr>
        <w:t>Details of the trials presented in the submission ar</w:t>
      </w:r>
      <w:r w:rsidR="00675DEE">
        <w:rPr>
          <w:szCs w:val="22"/>
        </w:rPr>
        <w:t>e provided in the table below.</w:t>
      </w:r>
    </w:p>
    <w:p w:rsidR="00807A41" w:rsidRPr="00B50DB8" w:rsidRDefault="00807A41" w:rsidP="007D1763">
      <w:pPr>
        <w:pStyle w:val="ListParagraph"/>
        <w:widowControl/>
        <w:rPr>
          <w:szCs w:val="22"/>
        </w:rPr>
      </w:pPr>
    </w:p>
    <w:p w:rsidR="008F120A" w:rsidRDefault="008F120A" w:rsidP="007D1763">
      <w:pPr>
        <w:keepNext/>
        <w:widowControl/>
        <w:ind w:firstLine="720"/>
        <w:rPr>
          <w:rStyle w:val="CommentReference"/>
        </w:rPr>
      </w:pPr>
      <w:r w:rsidRPr="000812CA">
        <w:rPr>
          <w:rStyle w:val="CommentReference"/>
        </w:rPr>
        <w:t xml:space="preserve">Table </w:t>
      </w:r>
      <w:r w:rsidR="00675DEE">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3"/>
        <w:gridCol w:w="5219"/>
        <w:gridCol w:w="1250"/>
      </w:tblGrid>
      <w:tr w:rsidR="00675DEE" w:rsidRPr="004E2ADC" w:rsidTr="00453EB5">
        <w:tc>
          <w:tcPr>
            <w:tcW w:w="1104" w:type="pct"/>
          </w:tcPr>
          <w:p w:rsidR="00675DEE" w:rsidRPr="004E2ADC" w:rsidRDefault="00675DEE" w:rsidP="007D1763">
            <w:pPr>
              <w:keepNext/>
              <w:keepLines/>
              <w:widowControl/>
              <w:jc w:val="left"/>
              <w:rPr>
                <w:rFonts w:ascii="Arial Narrow" w:hAnsi="Arial Narrow"/>
                <w:b/>
                <w:sz w:val="20"/>
              </w:rPr>
            </w:pPr>
            <w:r w:rsidRPr="004E2ADC">
              <w:rPr>
                <w:rFonts w:ascii="Arial Narrow" w:hAnsi="Arial Narrow"/>
                <w:b/>
                <w:sz w:val="20"/>
              </w:rPr>
              <w:t>Trial ID</w:t>
            </w:r>
          </w:p>
        </w:tc>
        <w:tc>
          <w:tcPr>
            <w:tcW w:w="3143" w:type="pct"/>
          </w:tcPr>
          <w:p w:rsidR="00675DEE" w:rsidRPr="004E2ADC" w:rsidRDefault="00675DEE" w:rsidP="007D1763">
            <w:pPr>
              <w:keepNext/>
              <w:keepLines/>
              <w:widowControl/>
              <w:jc w:val="center"/>
              <w:rPr>
                <w:rFonts w:ascii="Arial Narrow" w:hAnsi="Arial Narrow"/>
                <w:b/>
                <w:sz w:val="20"/>
              </w:rPr>
            </w:pPr>
            <w:r w:rsidRPr="004E2ADC">
              <w:rPr>
                <w:rFonts w:ascii="Arial Narrow" w:hAnsi="Arial Narrow"/>
                <w:b/>
                <w:sz w:val="20"/>
              </w:rPr>
              <w:t>Protocol title/ Publication title</w:t>
            </w:r>
          </w:p>
        </w:tc>
        <w:tc>
          <w:tcPr>
            <w:tcW w:w="753" w:type="pct"/>
          </w:tcPr>
          <w:p w:rsidR="00675DEE" w:rsidRPr="004E2ADC" w:rsidRDefault="00675DEE" w:rsidP="007D1763">
            <w:pPr>
              <w:keepNext/>
              <w:keepLines/>
              <w:widowControl/>
              <w:jc w:val="center"/>
              <w:rPr>
                <w:rFonts w:ascii="Arial Narrow" w:hAnsi="Arial Narrow"/>
                <w:b/>
                <w:sz w:val="20"/>
              </w:rPr>
            </w:pPr>
            <w:r w:rsidRPr="004E2ADC">
              <w:rPr>
                <w:rFonts w:ascii="Arial Narrow" w:hAnsi="Arial Narrow"/>
                <w:b/>
                <w:sz w:val="20"/>
              </w:rPr>
              <w:t>Publication citation</w:t>
            </w:r>
          </w:p>
        </w:tc>
      </w:tr>
      <w:tr w:rsidR="00675DEE" w:rsidRPr="004E2ADC" w:rsidTr="00453EB5">
        <w:tc>
          <w:tcPr>
            <w:tcW w:w="5000" w:type="pct"/>
            <w:gridSpan w:val="3"/>
          </w:tcPr>
          <w:p w:rsidR="00675DEE" w:rsidRPr="004E2ADC" w:rsidRDefault="00675DEE" w:rsidP="007D1763">
            <w:pPr>
              <w:widowControl/>
              <w:jc w:val="left"/>
              <w:rPr>
                <w:rFonts w:ascii="Arial Narrow" w:hAnsi="Arial Narrow"/>
                <w:b/>
                <w:sz w:val="20"/>
              </w:rPr>
            </w:pPr>
            <w:r>
              <w:rPr>
                <w:rFonts w:ascii="Arial Narrow" w:hAnsi="Arial Narrow"/>
                <w:b/>
                <w:sz w:val="20"/>
              </w:rPr>
              <w:t>Direct randomised trials</w:t>
            </w:r>
          </w:p>
        </w:tc>
      </w:tr>
      <w:tr w:rsidR="00675DEE" w:rsidRPr="004E2ADC" w:rsidTr="00453EB5">
        <w:tc>
          <w:tcPr>
            <w:tcW w:w="1104" w:type="pct"/>
          </w:tcPr>
          <w:p w:rsidR="00675DEE" w:rsidRDefault="00675DEE" w:rsidP="007D1763">
            <w:pPr>
              <w:widowControl/>
              <w:jc w:val="left"/>
              <w:rPr>
                <w:rFonts w:ascii="Arial Narrow" w:hAnsi="Arial Narrow"/>
                <w:sz w:val="20"/>
              </w:rPr>
            </w:pPr>
            <w:r w:rsidRPr="00422071">
              <w:rPr>
                <w:rFonts w:ascii="Arial Narrow" w:hAnsi="Arial Narrow"/>
                <w:sz w:val="20"/>
              </w:rPr>
              <w:t>NCT02214225</w:t>
            </w:r>
          </w:p>
          <w:p w:rsidR="00675DEE" w:rsidRPr="004E2ADC" w:rsidRDefault="00675DEE" w:rsidP="007D1763">
            <w:pPr>
              <w:widowControl/>
              <w:jc w:val="left"/>
              <w:rPr>
                <w:rFonts w:ascii="Arial Narrow" w:hAnsi="Arial Narrow"/>
                <w:sz w:val="20"/>
              </w:rPr>
            </w:pPr>
            <w:r w:rsidRPr="00B4723D">
              <w:rPr>
                <w:rFonts w:ascii="Arial Narrow" w:hAnsi="Arial Narrow"/>
                <w:sz w:val="20"/>
              </w:rPr>
              <w:t>CSLCT</w:t>
            </w:r>
          </w:p>
        </w:tc>
        <w:tc>
          <w:tcPr>
            <w:tcW w:w="3143" w:type="pct"/>
          </w:tcPr>
          <w:p w:rsidR="00675DEE" w:rsidRPr="00422071" w:rsidRDefault="00675DEE" w:rsidP="007D1763">
            <w:pPr>
              <w:widowControl/>
              <w:jc w:val="left"/>
              <w:rPr>
                <w:rFonts w:ascii="Arial Narrow" w:hAnsi="Arial Narrow"/>
                <w:sz w:val="20"/>
              </w:rPr>
            </w:pPr>
            <w:r w:rsidRPr="00127C88">
              <w:rPr>
                <w:rFonts w:ascii="Arial Narrow" w:hAnsi="Arial Narrow"/>
                <w:sz w:val="20"/>
              </w:rPr>
              <w:t>Phase III, randomised, multi-centre, double-blinded, immunogenicity and safety study</w:t>
            </w:r>
          </w:p>
        </w:tc>
        <w:tc>
          <w:tcPr>
            <w:tcW w:w="753" w:type="pct"/>
          </w:tcPr>
          <w:p w:rsidR="00675DEE" w:rsidRPr="00B4723D" w:rsidRDefault="00AD2B98" w:rsidP="007D1763">
            <w:pPr>
              <w:widowControl/>
              <w:jc w:val="left"/>
              <w:rPr>
                <w:rFonts w:ascii="Arial Narrow" w:hAnsi="Arial Narrow"/>
                <w:sz w:val="20"/>
              </w:rPr>
            </w:pPr>
            <w:r>
              <w:rPr>
                <w:rFonts w:ascii="Arial Narrow" w:hAnsi="Arial Narrow"/>
                <w:sz w:val="20"/>
              </w:rPr>
              <w:t>Date</w:t>
            </w:r>
            <w:r w:rsidR="0063607D">
              <w:rPr>
                <w:rFonts w:ascii="Arial Narrow" w:hAnsi="Arial Narrow"/>
                <w:sz w:val="20"/>
              </w:rPr>
              <w:t>:</w:t>
            </w:r>
            <w:r>
              <w:rPr>
                <w:rFonts w:ascii="Arial Narrow" w:hAnsi="Arial Narrow"/>
                <w:sz w:val="20"/>
              </w:rPr>
              <w:t xml:space="preserve"> </w:t>
            </w:r>
            <w:r w:rsidR="0063607D">
              <w:rPr>
                <w:rFonts w:ascii="Arial Narrow" w:hAnsi="Arial Narrow"/>
                <w:sz w:val="20"/>
              </w:rPr>
              <w:t xml:space="preserve">10 August </w:t>
            </w:r>
            <w:r w:rsidR="00675DEE">
              <w:rPr>
                <w:rFonts w:ascii="Arial Narrow" w:hAnsi="Arial Narrow"/>
                <w:sz w:val="20"/>
              </w:rPr>
              <w:t>2014</w:t>
            </w:r>
          </w:p>
        </w:tc>
      </w:tr>
      <w:tr w:rsidR="00675DEE" w:rsidRPr="004E2ADC" w:rsidTr="00453EB5">
        <w:tc>
          <w:tcPr>
            <w:tcW w:w="1104" w:type="pct"/>
          </w:tcPr>
          <w:p w:rsidR="00675DEE" w:rsidRDefault="00675DEE" w:rsidP="007D1763">
            <w:pPr>
              <w:widowControl/>
              <w:jc w:val="left"/>
              <w:rPr>
                <w:rFonts w:ascii="Arial Narrow" w:hAnsi="Arial Narrow"/>
                <w:sz w:val="20"/>
              </w:rPr>
            </w:pPr>
            <w:r w:rsidRPr="00422071">
              <w:rPr>
                <w:rFonts w:ascii="Arial Narrow" w:hAnsi="Arial Narrow"/>
                <w:sz w:val="20"/>
              </w:rPr>
              <w:t>NCT01204671</w:t>
            </w:r>
          </w:p>
          <w:p w:rsidR="00675DEE" w:rsidRPr="004E2ADC" w:rsidRDefault="00675DEE" w:rsidP="007D1763">
            <w:pPr>
              <w:widowControl/>
              <w:jc w:val="left"/>
              <w:rPr>
                <w:rFonts w:ascii="Arial Narrow" w:hAnsi="Arial Narrow"/>
                <w:sz w:val="20"/>
              </w:rPr>
            </w:pPr>
            <w:r w:rsidRPr="00B4723D">
              <w:rPr>
                <w:rFonts w:ascii="Arial Narrow" w:hAnsi="Arial Narrow"/>
                <w:sz w:val="20"/>
              </w:rPr>
              <w:t>Kieninger et al (2013)</w:t>
            </w:r>
          </w:p>
        </w:tc>
        <w:tc>
          <w:tcPr>
            <w:tcW w:w="3143" w:type="pct"/>
          </w:tcPr>
          <w:p w:rsidR="00675DEE" w:rsidRDefault="00675DEE" w:rsidP="007D1763">
            <w:pPr>
              <w:widowControl/>
              <w:jc w:val="left"/>
              <w:rPr>
                <w:rFonts w:ascii="Arial Narrow" w:hAnsi="Arial Narrow"/>
                <w:sz w:val="20"/>
              </w:rPr>
            </w:pPr>
            <w:r w:rsidRPr="00422071">
              <w:rPr>
                <w:rFonts w:ascii="Arial Narrow" w:hAnsi="Arial Narrow"/>
                <w:sz w:val="20"/>
              </w:rPr>
              <w:t>Phase III, randomised, partially-blind, multi-national study, immunogenicity, reactogenicity and safety</w:t>
            </w:r>
          </w:p>
          <w:p w:rsidR="0063607D" w:rsidRDefault="0063607D" w:rsidP="007D1763">
            <w:pPr>
              <w:widowControl/>
              <w:jc w:val="left"/>
              <w:rPr>
                <w:rFonts w:ascii="Arial Narrow" w:hAnsi="Arial Narrow"/>
                <w:sz w:val="20"/>
              </w:rPr>
            </w:pPr>
          </w:p>
          <w:p w:rsidR="00675DEE" w:rsidRPr="004E2ADC" w:rsidRDefault="00675DEE" w:rsidP="007D1763">
            <w:pPr>
              <w:widowControl/>
              <w:jc w:val="left"/>
              <w:rPr>
                <w:rFonts w:ascii="Arial Narrow" w:hAnsi="Arial Narrow"/>
                <w:sz w:val="20"/>
              </w:rPr>
            </w:pPr>
            <w:r w:rsidRPr="00422071">
              <w:rPr>
                <w:rFonts w:ascii="Arial Narrow" w:hAnsi="Arial Narrow"/>
                <w:sz w:val="20"/>
              </w:rPr>
              <w:t>Kieninger, D, E Sheldon, W Lin, C Yu, and J Bayas.</w:t>
            </w:r>
            <w:r>
              <w:t xml:space="preserve"> </w:t>
            </w:r>
            <w:r w:rsidRPr="00422071">
              <w:rPr>
                <w:rFonts w:ascii="Arial Narrow" w:hAnsi="Arial Narrow"/>
                <w:sz w:val="20"/>
              </w:rPr>
              <w:t>Immunogenicity, reactogenicity and safety of an inactivated quadrivalent influenza vaccine candidate versus inactivated trivalent influenza vaccine: a phase III, randomized trial in adults aged ≥18 years.</w:t>
            </w:r>
          </w:p>
        </w:tc>
        <w:tc>
          <w:tcPr>
            <w:tcW w:w="753" w:type="pct"/>
          </w:tcPr>
          <w:p w:rsidR="00675DEE" w:rsidRDefault="00AD2B98" w:rsidP="007D1763">
            <w:pPr>
              <w:widowControl/>
              <w:jc w:val="left"/>
              <w:rPr>
                <w:rFonts w:ascii="Arial Narrow" w:hAnsi="Arial Narrow"/>
                <w:sz w:val="20"/>
              </w:rPr>
            </w:pPr>
            <w:r>
              <w:rPr>
                <w:rFonts w:ascii="Arial Narrow" w:hAnsi="Arial Narrow"/>
                <w:sz w:val="20"/>
              </w:rPr>
              <w:t>Date</w:t>
            </w:r>
            <w:r w:rsidR="0063607D">
              <w:rPr>
                <w:rFonts w:ascii="Arial Narrow" w:hAnsi="Arial Narrow"/>
                <w:sz w:val="20"/>
              </w:rPr>
              <w:t>: 16 September</w:t>
            </w:r>
            <w:r>
              <w:rPr>
                <w:rFonts w:ascii="Arial Narrow" w:hAnsi="Arial Narrow"/>
                <w:sz w:val="20"/>
              </w:rPr>
              <w:t xml:space="preserve"> </w:t>
            </w:r>
            <w:r w:rsidR="00675DEE">
              <w:rPr>
                <w:rFonts w:ascii="Arial Narrow" w:hAnsi="Arial Narrow"/>
                <w:sz w:val="20"/>
              </w:rPr>
              <w:t>2010</w:t>
            </w:r>
          </w:p>
          <w:p w:rsidR="00675DEE" w:rsidRDefault="00675DEE" w:rsidP="007D1763">
            <w:pPr>
              <w:widowControl/>
              <w:jc w:val="left"/>
              <w:rPr>
                <w:rFonts w:ascii="Arial Narrow" w:hAnsi="Arial Narrow"/>
                <w:sz w:val="20"/>
              </w:rPr>
            </w:pPr>
          </w:p>
          <w:p w:rsidR="00675DEE" w:rsidRPr="004E2ADC" w:rsidRDefault="00675DEE" w:rsidP="007D1763">
            <w:pPr>
              <w:widowControl/>
              <w:jc w:val="left"/>
              <w:rPr>
                <w:rFonts w:ascii="Arial Narrow" w:hAnsi="Arial Narrow"/>
                <w:sz w:val="20"/>
              </w:rPr>
            </w:pPr>
            <w:r w:rsidRPr="00422071">
              <w:rPr>
                <w:rFonts w:ascii="Arial Narrow" w:hAnsi="Arial Narrow"/>
                <w:sz w:val="20"/>
              </w:rPr>
              <w:t>BMC Infectious Diseases 2013, 13(343)</w:t>
            </w:r>
            <w:r w:rsidR="008F57DB">
              <w:rPr>
                <w:rFonts w:ascii="Arial Narrow" w:hAnsi="Arial Narrow"/>
                <w:sz w:val="20"/>
              </w:rPr>
              <w:t>:1-13</w:t>
            </w:r>
          </w:p>
        </w:tc>
      </w:tr>
      <w:tr w:rsidR="00675DEE" w:rsidRPr="004E2ADC" w:rsidTr="00453EB5">
        <w:tc>
          <w:tcPr>
            <w:tcW w:w="1104" w:type="pct"/>
          </w:tcPr>
          <w:p w:rsidR="00675DEE" w:rsidRDefault="00675DEE" w:rsidP="007D1763">
            <w:pPr>
              <w:widowControl/>
              <w:jc w:val="left"/>
              <w:rPr>
                <w:rFonts w:ascii="Arial Narrow" w:hAnsi="Arial Narrow"/>
                <w:sz w:val="20"/>
              </w:rPr>
            </w:pPr>
            <w:r w:rsidRPr="00422071">
              <w:rPr>
                <w:rFonts w:ascii="Arial Narrow" w:hAnsi="Arial Narrow"/>
                <w:sz w:val="20"/>
              </w:rPr>
              <w:t>NCT01196975</w:t>
            </w:r>
          </w:p>
          <w:p w:rsidR="00675DEE" w:rsidRPr="004E2ADC" w:rsidRDefault="00675DEE" w:rsidP="007D1763">
            <w:pPr>
              <w:widowControl/>
              <w:jc w:val="left"/>
              <w:rPr>
                <w:rFonts w:ascii="Arial Narrow" w:hAnsi="Arial Narrow"/>
                <w:sz w:val="20"/>
              </w:rPr>
            </w:pPr>
            <w:r w:rsidRPr="00B4723D">
              <w:rPr>
                <w:rFonts w:ascii="Arial Narrow" w:hAnsi="Arial Narrow"/>
                <w:sz w:val="20"/>
              </w:rPr>
              <w:t>Tinoco et al (2014)</w:t>
            </w:r>
          </w:p>
        </w:tc>
        <w:tc>
          <w:tcPr>
            <w:tcW w:w="3143" w:type="pct"/>
          </w:tcPr>
          <w:p w:rsidR="00675DEE" w:rsidRDefault="00675DEE" w:rsidP="007D1763">
            <w:pPr>
              <w:widowControl/>
              <w:jc w:val="left"/>
              <w:rPr>
                <w:rFonts w:ascii="Arial Narrow" w:hAnsi="Arial Narrow"/>
                <w:sz w:val="20"/>
              </w:rPr>
            </w:pPr>
            <w:r w:rsidRPr="00422071">
              <w:rPr>
                <w:rFonts w:ascii="Arial Narrow" w:hAnsi="Arial Narrow"/>
                <w:sz w:val="20"/>
              </w:rPr>
              <w:t>Phase III, randomised, lot-to-lot consistency of QIV vs TIV, immunogenicity, reactogenicity, safety trial</w:t>
            </w:r>
          </w:p>
          <w:p w:rsidR="0063607D" w:rsidRDefault="0063607D" w:rsidP="007D1763">
            <w:pPr>
              <w:widowControl/>
              <w:jc w:val="left"/>
              <w:rPr>
                <w:rFonts w:ascii="Arial Narrow" w:hAnsi="Arial Narrow"/>
                <w:sz w:val="20"/>
              </w:rPr>
            </w:pPr>
          </w:p>
          <w:p w:rsidR="00675DEE" w:rsidRPr="004E2ADC" w:rsidRDefault="00675DEE" w:rsidP="007D1763">
            <w:pPr>
              <w:widowControl/>
              <w:jc w:val="left"/>
              <w:rPr>
                <w:rFonts w:ascii="Arial Narrow" w:hAnsi="Arial Narrow"/>
                <w:sz w:val="20"/>
              </w:rPr>
            </w:pPr>
            <w:r w:rsidRPr="00B4723D">
              <w:rPr>
                <w:rFonts w:ascii="Arial Narrow" w:hAnsi="Arial Narrow"/>
                <w:sz w:val="20"/>
              </w:rPr>
              <w:t>Tinoco, J, N Pavia-Ruz, A Cruz-Valdez, C Aranza Doniz, and V Chandrasekaran. Immunogenicity, reactogenicity, and safety of inactivated quadrivalent influenza vaccine candidate versus inactivated trivalent influenza vaccine in healthy adults aged &gt;18 years: A phase III, randomized trial.</w:t>
            </w:r>
          </w:p>
        </w:tc>
        <w:tc>
          <w:tcPr>
            <w:tcW w:w="753" w:type="pct"/>
          </w:tcPr>
          <w:p w:rsidR="00675DEE" w:rsidRDefault="0063607D" w:rsidP="007D1763">
            <w:pPr>
              <w:widowControl/>
              <w:jc w:val="left"/>
              <w:rPr>
                <w:rFonts w:ascii="Arial Narrow" w:hAnsi="Arial Narrow"/>
                <w:sz w:val="20"/>
              </w:rPr>
            </w:pPr>
            <w:r>
              <w:rPr>
                <w:rFonts w:ascii="Arial Narrow" w:hAnsi="Arial Narrow"/>
                <w:sz w:val="20"/>
              </w:rPr>
              <w:t xml:space="preserve">Date: 7 September </w:t>
            </w:r>
            <w:r w:rsidR="00675DEE">
              <w:rPr>
                <w:rFonts w:ascii="Arial Narrow" w:hAnsi="Arial Narrow"/>
                <w:sz w:val="20"/>
              </w:rPr>
              <w:t>2010</w:t>
            </w:r>
          </w:p>
          <w:p w:rsidR="00675DEE" w:rsidRDefault="00675DEE" w:rsidP="007D1763">
            <w:pPr>
              <w:widowControl/>
              <w:jc w:val="left"/>
              <w:rPr>
                <w:rFonts w:ascii="Arial Narrow" w:hAnsi="Arial Narrow"/>
                <w:sz w:val="20"/>
              </w:rPr>
            </w:pPr>
          </w:p>
          <w:p w:rsidR="00675DEE" w:rsidRPr="004E2ADC" w:rsidRDefault="00675DEE" w:rsidP="007D1763">
            <w:pPr>
              <w:widowControl/>
              <w:jc w:val="left"/>
              <w:rPr>
                <w:rFonts w:ascii="Arial Narrow" w:hAnsi="Arial Narrow"/>
                <w:sz w:val="20"/>
              </w:rPr>
            </w:pPr>
            <w:r w:rsidRPr="00B4723D">
              <w:rPr>
                <w:rFonts w:ascii="Arial Narrow" w:hAnsi="Arial Narrow"/>
                <w:sz w:val="20"/>
              </w:rPr>
              <w:t>Vaccine 2014; 32 (13): 1480-7</w:t>
            </w:r>
          </w:p>
        </w:tc>
      </w:tr>
      <w:tr w:rsidR="00675DEE" w:rsidRPr="004E2ADC" w:rsidTr="00453EB5">
        <w:tc>
          <w:tcPr>
            <w:tcW w:w="1104" w:type="pct"/>
          </w:tcPr>
          <w:p w:rsidR="00675DEE" w:rsidRDefault="00675DEE" w:rsidP="007D1763">
            <w:pPr>
              <w:widowControl/>
              <w:jc w:val="left"/>
              <w:rPr>
                <w:rFonts w:ascii="Arial Narrow" w:hAnsi="Arial Narrow"/>
                <w:sz w:val="20"/>
              </w:rPr>
            </w:pPr>
            <w:r w:rsidRPr="00422071">
              <w:rPr>
                <w:rFonts w:ascii="Arial Narrow" w:hAnsi="Arial Narrow"/>
                <w:sz w:val="20"/>
              </w:rPr>
              <w:t>NCT00714285</w:t>
            </w:r>
          </w:p>
          <w:p w:rsidR="00675DEE" w:rsidRPr="004E2ADC" w:rsidRDefault="00675DEE" w:rsidP="007D1763">
            <w:pPr>
              <w:widowControl/>
              <w:jc w:val="left"/>
              <w:rPr>
                <w:rFonts w:ascii="Arial Narrow" w:hAnsi="Arial Narrow"/>
                <w:sz w:val="20"/>
              </w:rPr>
            </w:pPr>
            <w:r w:rsidRPr="00B4723D">
              <w:rPr>
                <w:rFonts w:ascii="Arial Narrow" w:hAnsi="Arial Narrow"/>
                <w:sz w:val="20"/>
              </w:rPr>
              <w:t>Beran et al (2013)</w:t>
            </w:r>
          </w:p>
        </w:tc>
        <w:tc>
          <w:tcPr>
            <w:tcW w:w="3143" w:type="pct"/>
          </w:tcPr>
          <w:p w:rsidR="00675DEE" w:rsidRDefault="00675DEE" w:rsidP="007D1763">
            <w:pPr>
              <w:widowControl/>
              <w:jc w:val="left"/>
              <w:rPr>
                <w:rFonts w:ascii="Arial Narrow" w:hAnsi="Arial Narrow"/>
                <w:sz w:val="20"/>
              </w:rPr>
            </w:pPr>
            <w:r w:rsidRPr="00422071">
              <w:rPr>
                <w:rFonts w:ascii="Arial Narrow" w:hAnsi="Arial Narrow"/>
                <w:sz w:val="20"/>
              </w:rPr>
              <w:t>Phase I/II, single-centre, single-blind, controlled study ,immunogenicity</w:t>
            </w:r>
          </w:p>
          <w:p w:rsidR="0063607D" w:rsidRDefault="0063607D" w:rsidP="007D1763">
            <w:pPr>
              <w:widowControl/>
              <w:jc w:val="left"/>
              <w:rPr>
                <w:rFonts w:ascii="Arial Narrow" w:hAnsi="Arial Narrow"/>
                <w:sz w:val="20"/>
              </w:rPr>
            </w:pPr>
          </w:p>
          <w:p w:rsidR="00675DEE" w:rsidRPr="004E2ADC" w:rsidRDefault="00675DEE" w:rsidP="007D1763">
            <w:pPr>
              <w:widowControl/>
              <w:jc w:val="left"/>
              <w:rPr>
                <w:rFonts w:ascii="Arial Narrow" w:hAnsi="Arial Narrow"/>
                <w:sz w:val="20"/>
              </w:rPr>
            </w:pPr>
            <w:r w:rsidRPr="00B4723D">
              <w:rPr>
                <w:rFonts w:ascii="Arial Narrow" w:hAnsi="Arial Narrow"/>
                <w:sz w:val="20"/>
              </w:rPr>
              <w:t>Beran, J, M Peeters, W Dewé, J Raupachová, L Hobzová, and J Devaster. Immunogenicity and safety of quadrivalent versus trivalent inactivated influenza vaccine: a randomized, controlled trial in adults.</w:t>
            </w:r>
          </w:p>
        </w:tc>
        <w:tc>
          <w:tcPr>
            <w:tcW w:w="753" w:type="pct"/>
          </w:tcPr>
          <w:p w:rsidR="00675DEE" w:rsidRDefault="00AD2B98" w:rsidP="007D1763">
            <w:pPr>
              <w:widowControl/>
              <w:jc w:val="left"/>
              <w:rPr>
                <w:rFonts w:ascii="Arial Narrow" w:hAnsi="Arial Narrow"/>
                <w:sz w:val="20"/>
              </w:rPr>
            </w:pPr>
            <w:r>
              <w:rPr>
                <w:rFonts w:ascii="Arial Narrow" w:hAnsi="Arial Narrow"/>
                <w:sz w:val="20"/>
              </w:rPr>
              <w:t>Date</w:t>
            </w:r>
            <w:r w:rsidR="0063607D">
              <w:rPr>
                <w:rFonts w:ascii="Arial Narrow" w:hAnsi="Arial Narrow"/>
                <w:sz w:val="20"/>
              </w:rPr>
              <w:t>: 11 July</w:t>
            </w:r>
            <w:r>
              <w:rPr>
                <w:rFonts w:ascii="Arial Narrow" w:hAnsi="Arial Narrow"/>
                <w:sz w:val="20"/>
              </w:rPr>
              <w:t xml:space="preserve"> </w:t>
            </w:r>
            <w:r w:rsidR="00675DEE">
              <w:rPr>
                <w:rFonts w:ascii="Arial Narrow" w:hAnsi="Arial Narrow"/>
                <w:sz w:val="20"/>
              </w:rPr>
              <w:t>2008</w:t>
            </w:r>
          </w:p>
          <w:p w:rsidR="00675DEE" w:rsidRPr="004E2ADC" w:rsidRDefault="00675DEE" w:rsidP="007D1763">
            <w:pPr>
              <w:widowControl/>
              <w:jc w:val="left"/>
              <w:rPr>
                <w:rFonts w:ascii="Arial Narrow" w:hAnsi="Arial Narrow"/>
                <w:sz w:val="20"/>
              </w:rPr>
            </w:pPr>
            <w:r w:rsidRPr="00B4723D">
              <w:rPr>
                <w:rFonts w:ascii="Arial Narrow" w:hAnsi="Arial Narrow"/>
                <w:sz w:val="20"/>
              </w:rPr>
              <w:t>BMC Infectious Diseases 2013; 13</w:t>
            </w:r>
            <w:r w:rsidR="007E1B52">
              <w:rPr>
                <w:rFonts w:ascii="Arial Narrow" w:hAnsi="Arial Narrow"/>
                <w:sz w:val="20"/>
              </w:rPr>
              <w:t>(</w:t>
            </w:r>
            <w:r w:rsidRPr="00B4723D">
              <w:rPr>
                <w:rFonts w:ascii="Arial Narrow" w:hAnsi="Arial Narrow"/>
                <w:sz w:val="20"/>
              </w:rPr>
              <w:t>224</w:t>
            </w:r>
            <w:r w:rsidR="007E1B52">
              <w:rPr>
                <w:rFonts w:ascii="Arial Narrow" w:hAnsi="Arial Narrow"/>
                <w:sz w:val="20"/>
              </w:rPr>
              <w:t>):1-10</w:t>
            </w:r>
          </w:p>
        </w:tc>
      </w:tr>
    </w:tbl>
    <w:p w:rsidR="00862502" w:rsidRDefault="00675DEE" w:rsidP="007D1763">
      <w:pPr>
        <w:pStyle w:val="TableFooter"/>
        <w:widowControl/>
        <w:ind w:firstLine="720"/>
      </w:pPr>
      <w:r w:rsidRPr="00F435C4">
        <w:t>Source: Table B.2.1, p.22 of the submission</w:t>
      </w:r>
    </w:p>
    <w:p w:rsidR="00862502" w:rsidRPr="008F120A" w:rsidRDefault="00862502" w:rsidP="007D1763">
      <w:pPr>
        <w:widowControl/>
        <w:rPr>
          <w:szCs w:val="22"/>
        </w:rPr>
      </w:pPr>
    </w:p>
    <w:p w:rsidR="007F1017" w:rsidRDefault="008F120A" w:rsidP="007D1763">
      <w:pPr>
        <w:pStyle w:val="ListParagraph"/>
        <w:widowControl/>
        <w:numPr>
          <w:ilvl w:val="1"/>
          <w:numId w:val="1"/>
        </w:numPr>
        <w:rPr>
          <w:szCs w:val="22"/>
        </w:rPr>
      </w:pPr>
      <w:r w:rsidRPr="004C4043">
        <w:rPr>
          <w:szCs w:val="22"/>
        </w:rPr>
        <w:t>The key features</w:t>
      </w:r>
      <w:r w:rsidR="008711A7" w:rsidRPr="004C4043">
        <w:rPr>
          <w:szCs w:val="22"/>
        </w:rPr>
        <w:t xml:space="preserve"> of the direct randomised trials</w:t>
      </w:r>
      <w:r w:rsidRPr="004C4043">
        <w:rPr>
          <w:szCs w:val="22"/>
        </w:rPr>
        <w:t xml:space="preserve"> are summarised in t</w:t>
      </w:r>
      <w:r w:rsidR="004C4043">
        <w:rPr>
          <w:szCs w:val="22"/>
        </w:rPr>
        <w:t>he table below.</w:t>
      </w:r>
    </w:p>
    <w:p w:rsidR="004C4043" w:rsidRPr="004C4043" w:rsidRDefault="004C4043" w:rsidP="007D1763">
      <w:pPr>
        <w:pStyle w:val="ListParagraph"/>
        <w:widowControl/>
        <w:rPr>
          <w:szCs w:val="22"/>
        </w:rPr>
      </w:pPr>
    </w:p>
    <w:p w:rsidR="007F1017" w:rsidRDefault="004C4043" w:rsidP="007D1763">
      <w:pPr>
        <w:keepNext/>
        <w:widowControl/>
        <w:ind w:firstLine="720"/>
        <w:rPr>
          <w:rStyle w:val="CommentReference"/>
        </w:rPr>
      </w:pPr>
      <w:r>
        <w:rPr>
          <w:rStyle w:val="CommentReference"/>
        </w:rPr>
        <w:t>Table 2</w:t>
      </w:r>
      <w:r w:rsidR="007F1017" w:rsidRPr="00E2771E">
        <w:rPr>
          <w:rStyle w:val="CommentReference"/>
        </w:rPr>
        <w:t>: Key features of the included evidence</w:t>
      </w:r>
    </w:p>
    <w:tbl>
      <w:tblPr>
        <w:tblStyle w:val="Submissionstandard"/>
        <w:tblW w:w="8363" w:type="dxa"/>
        <w:tblInd w:w="714" w:type="dxa"/>
        <w:tblLayout w:type="fixed"/>
        <w:tblCellMar>
          <w:left w:w="0" w:type="dxa"/>
          <w:right w:w="0" w:type="dxa"/>
        </w:tblCellMar>
        <w:tblLook w:val="04A0" w:firstRow="1" w:lastRow="0" w:firstColumn="1" w:lastColumn="0" w:noHBand="0" w:noVBand="1"/>
        <w:tblCaption w:val="Table 2: Key features of the included evidence"/>
      </w:tblPr>
      <w:tblGrid>
        <w:gridCol w:w="992"/>
        <w:gridCol w:w="709"/>
        <w:gridCol w:w="992"/>
        <w:gridCol w:w="851"/>
        <w:gridCol w:w="1701"/>
        <w:gridCol w:w="3118"/>
      </w:tblGrid>
      <w:tr w:rsidR="007D3731" w:rsidRPr="007A2607" w:rsidTr="00B41905">
        <w:trPr>
          <w:cnfStyle w:val="100000000000" w:firstRow="1" w:lastRow="0" w:firstColumn="0" w:lastColumn="0" w:oddVBand="0" w:evenVBand="0" w:oddHBand="0" w:evenHBand="0" w:firstRowFirstColumn="0" w:firstRowLastColumn="0" w:lastRowFirstColumn="0" w:lastRowLastColumn="0"/>
          <w:trHeight w:val="449"/>
          <w:tblHeader/>
        </w:trPr>
        <w:tc>
          <w:tcPr>
            <w:tcW w:w="992" w:type="dxa"/>
            <w:shd w:val="clear" w:color="auto" w:fill="auto"/>
            <w:vAlign w:val="center"/>
          </w:tcPr>
          <w:p w:rsidR="007D3731" w:rsidRPr="008711A7" w:rsidRDefault="007D3731" w:rsidP="007D1763">
            <w:pPr>
              <w:keepNext/>
              <w:widowControl/>
              <w:jc w:val="center"/>
              <w:rPr>
                <w:rFonts w:ascii="Arial Narrow" w:eastAsia="Times New Roman" w:hAnsi="Arial Narrow"/>
                <w:sz w:val="20"/>
                <w:szCs w:val="20"/>
                <w:lang w:val="en-AU"/>
              </w:rPr>
            </w:pPr>
            <w:r w:rsidRPr="008711A7">
              <w:rPr>
                <w:rFonts w:ascii="Arial Narrow" w:eastAsia="Times New Roman" w:hAnsi="Arial Narrow"/>
                <w:sz w:val="20"/>
                <w:szCs w:val="20"/>
                <w:lang w:val="en-AU"/>
              </w:rPr>
              <w:t>Trial ID</w:t>
            </w:r>
          </w:p>
        </w:tc>
        <w:tc>
          <w:tcPr>
            <w:tcW w:w="709" w:type="dxa"/>
            <w:shd w:val="clear" w:color="auto" w:fill="auto"/>
            <w:vAlign w:val="center"/>
          </w:tcPr>
          <w:p w:rsidR="007D3731" w:rsidRPr="008711A7" w:rsidRDefault="007D3731" w:rsidP="007D1763">
            <w:pPr>
              <w:keepNext/>
              <w:widowControl/>
              <w:jc w:val="center"/>
              <w:rPr>
                <w:rFonts w:ascii="Arial Narrow" w:hAnsi="Arial Narrow"/>
                <w:sz w:val="20"/>
              </w:rPr>
            </w:pPr>
            <w:r w:rsidRPr="008711A7">
              <w:rPr>
                <w:rFonts w:ascii="Arial Narrow" w:eastAsia="Times New Roman" w:hAnsi="Arial Narrow"/>
                <w:sz w:val="20"/>
                <w:szCs w:val="20"/>
                <w:lang w:val="en-AU"/>
              </w:rPr>
              <w:t>N</w:t>
            </w:r>
          </w:p>
        </w:tc>
        <w:tc>
          <w:tcPr>
            <w:tcW w:w="992" w:type="dxa"/>
            <w:shd w:val="clear" w:color="auto" w:fill="auto"/>
            <w:vAlign w:val="center"/>
          </w:tcPr>
          <w:p w:rsidR="007D3731" w:rsidRPr="008711A7" w:rsidRDefault="007D3731" w:rsidP="007D1763">
            <w:pPr>
              <w:keepNext/>
              <w:widowControl/>
              <w:jc w:val="center"/>
              <w:rPr>
                <w:rFonts w:ascii="Arial Narrow" w:eastAsia="Times New Roman" w:hAnsi="Arial Narrow"/>
                <w:sz w:val="20"/>
                <w:szCs w:val="20"/>
                <w:lang w:val="en-AU"/>
              </w:rPr>
            </w:pPr>
            <w:r w:rsidRPr="008711A7">
              <w:rPr>
                <w:rFonts w:ascii="Arial Narrow" w:eastAsia="Times New Roman" w:hAnsi="Arial Narrow"/>
                <w:sz w:val="20"/>
                <w:szCs w:val="20"/>
                <w:lang w:val="en-AU"/>
              </w:rPr>
              <w:t>Design/</w:t>
            </w:r>
            <w:r w:rsidR="00244571">
              <w:rPr>
                <w:rFonts w:ascii="Arial Narrow" w:eastAsia="Times New Roman" w:hAnsi="Arial Narrow"/>
                <w:sz w:val="20"/>
                <w:szCs w:val="20"/>
                <w:lang w:val="en-AU"/>
              </w:rPr>
              <w:t xml:space="preserve"> </w:t>
            </w:r>
            <w:r w:rsidRPr="008711A7">
              <w:rPr>
                <w:rFonts w:ascii="Arial Narrow" w:eastAsia="Times New Roman" w:hAnsi="Arial Narrow"/>
                <w:sz w:val="20"/>
                <w:szCs w:val="20"/>
                <w:lang w:val="en-AU"/>
              </w:rPr>
              <w:t>duration</w:t>
            </w:r>
          </w:p>
        </w:tc>
        <w:tc>
          <w:tcPr>
            <w:tcW w:w="851" w:type="dxa"/>
            <w:shd w:val="clear" w:color="auto" w:fill="auto"/>
            <w:vAlign w:val="center"/>
          </w:tcPr>
          <w:p w:rsidR="007D3731" w:rsidRPr="008711A7" w:rsidRDefault="007D3731" w:rsidP="007D1763">
            <w:pPr>
              <w:keepNext/>
              <w:widowControl/>
              <w:jc w:val="center"/>
              <w:rPr>
                <w:rFonts w:ascii="Arial Narrow" w:eastAsia="Times New Roman" w:hAnsi="Arial Narrow"/>
                <w:sz w:val="20"/>
                <w:szCs w:val="20"/>
                <w:lang w:val="en-AU"/>
              </w:rPr>
            </w:pPr>
            <w:r w:rsidRPr="008711A7">
              <w:rPr>
                <w:rFonts w:ascii="Arial Narrow" w:eastAsia="Times New Roman" w:hAnsi="Arial Narrow"/>
                <w:sz w:val="20"/>
                <w:szCs w:val="20"/>
                <w:lang w:val="en-AU"/>
              </w:rPr>
              <w:t>Risk of bias</w:t>
            </w:r>
          </w:p>
        </w:tc>
        <w:tc>
          <w:tcPr>
            <w:tcW w:w="1701" w:type="dxa"/>
            <w:shd w:val="clear" w:color="auto" w:fill="auto"/>
            <w:vAlign w:val="center"/>
          </w:tcPr>
          <w:p w:rsidR="007D3731" w:rsidRPr="008711A7" w:rsidRDefault="007D3731" w:rsidP="007D1763">
            <w:pPr>
              <w:keepNext/>
              <w:widowControl/>
              <w:jc w:val="center"/>
              <w:rPr>
                <w:rFonts w:ascii="Arial Narrow" w:eastAsia="Times New Roman" w:hAnsi="Arial Narrow"/>
                <w:sz w:val="20"/>
                <w:szCs w:val="20"/>
                <w:lang w:val="en-AU"/>
              </w:rPr>
            </w:pPr>
            <w:r w:rsidRPr="008711A7">
              <w:rPr>
                <w:rFonts w:ascii="Arial Narrow" w:eastAsia="Times New Roman" w:hAnsi="Arial Narrow"/>
                <w:sz w:val="20"/>
                <w:szCs w:val="20"/>
                <w:lang w:val="en-AU"/>
              </w:rPr>
              <w:t>Population</w:t>
            </w:r>
          </w:p>
        </w:tc>
        <w:tc>
          <w:tcPr>
            <w:tcW w:w="3118" w:type="dxa"/>
            <w:shd w:val="clear" w:color="auto" w:fill="auto"/>
            <w:vAlign w:val="center"/>
          </w:tcPr>
          <w:p w:rsidR="007D3731" w:rsidRPr="007A2607" w:rsidRDefault="007D3731" w:rsidP="007D1763">
            <w:pPr>
              <w:keepNext/>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Main outcomes</w:t>
            </w:r>
          </w:p>
        </w:tc>
      </w:tr>
      <w:tr w:rsidR="008711A7" w:rsidRPr="007A2607" w:rsidTr="008711A7">
        <w:tc>
          <w:tcPr>
            <w:tcW w:w="8363" w:type="dxa"/>
            <w:gridSpan w:val="6"/>
          </w:tcPr>
          <w:p w:rsidR="008711A7" w:rsidRPr="007A2607" w:rsidRDefault="004E6343" w:rsidP="007D1763">
            <w:pPr>
              <w:widowControl/>
              <w:jc w:val="left"/>
              <w:rPr>
                <w:rFonts w:ascii="Arial Narrow" w:eastAsia="Times New Roman" w:hAnsi="Arial Narrow"/>
                <w:sz w:val="20"/>
                <w:szCs w:val="20"/>
                <w:lang w:val="en-AU"/>
              </w:rPr>
            </w:pPr>
            <w:r>
              <w:rPr>
                <w:rFonts w:ascii="Arial Narrow" w:eastAsia="Times New Roman" w:hAnsi="Arial Narrow"/>
                <w:sz w:val="20"/>
                <w:szCs w:val="20"/>
                <w:lang w:val="en-AU"/>
              </w:rPr>
              <w:t>Afluria</w:t>
            </w:r>
            <w:r w:rsidR="008711A7" w:rsidRPr="007A2607">
              <w:rPr>
                <w:rFonts w:ascii="Arial Narrow" w:eastAsia="Times New Roman" w:hAnsi="Arial Narrow"/>
                <w:sz w:val="20"/>
                <w:szCs w:val="20"/>
                <w:lang w:val="en-AU"/>
              </w:rPr>
              <w:t>® Quad</w:t>
            </w:r>
            <w:r w:rsidR="008711A7">
              <w:rPr>
                <w:rFonts w:ascii="Arial Narrow" w:eastAsia="Times New Roman" w:hAnsi="Arial Narrow"/>
                <w:sz w:val="20"/>
                <w:szCs w:val="20"/>
                <w:lang w:val="en-AU"/>
              </w:rPr>
              <w:t xml:space="preserve"> vs. TIV</w:t>
            </w:r>
          </w:p>
        </w:tc>
      </w:tr>
      <w:tr w:rsidR="007D3731" w:rsidRPr="007A2607" w:rsidTr="00244571">
        <w:tc>
          <w:tcPr>
            <w:tcW w:w="992" w:type="dxa"/>
            <w:shd w:val="clear" w:color="auto" w:fill="auto"/>
            <w:vAlign w:val="center"/>
          </w:tcPr>
          <w:p w:rsidR="007D3731" w:rsidRPr="004F73D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CSLCT</w:t>
            </w:r>
          </w:p>
        </w:tc>
        <w:tc>
          <w:tcPr>
            <w:tcW w:w="709" w:type="dxa"/>
            <w:vAlign w:val="center"/>
          </w:tcPr>
          <w:p w:rsidR="007D3731" w:rsidRPr="004F73D1" w:rsidRDefault="007D3731" w:rsidP="007D1763">
            <w:pPr>
              <w:widowControl/>
              <w:jc w:val="center"/>
              <w:rPr>
                <w:rFonts w:ascii="Arial Narrow" w:hAnsi="Arial Narrow"/>
                <w:sz w:val="20"/>
              </w:rPr>
            </w:pPr>
            <w:r>
              <w:rPr>
                <w:rFonts w:ascii="Arial Narrow" w:eastAsia="Times New Roman" w:hAnsi="Arial Narrow"/>
                <w:sz w:val="20"/>
                <w:szCs w:val="20"/>
                <w:lang w:val="en-AU"/>
              </w:rPr>
              <w:t>3,484</w:t>
            </w:r>
          </w:p>
        </w:tc>
        <w:tc>
          <w:tcPr>
            <w:tcW w:w="992" w:type="dxa"/>
            <w:shd w:val="clear" w:color="auto" w:fill="auto"/>
            <w:vAlign w:val="center"/>
          </w:tcPr>
          <w:p w:rsidR="007D3731" w:rsidRPr="004F73D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Ph III, R, DB</w:t>
            </w:r>
            <w:r>
              <w:rPr>
                <w:rFonts w:ascii="Arial Narrow" w:eastAsia="Times New Roman" w:hAnsi="Arial Narrow"/>
                <w:sz w:val="20"/>
                <w:szCs w:val="20"/>
                <w:lang w:val="en-AU"/>
              </w:rPr>
              <w:t>, 21 days</w:t>
            </w:r>
          </w:p>
        </w:tc>
        <w:tc>
          <w:tcPr>
            <w:tcW w:w="851" w:type="dxa"/>
            <w:shd w:val="clear" w:color="auto" w:fill="auto"/>
            <w:vAlign w:val="center"/>
          </w:tcPr>
          <w:p w:rsidR="007D3731" w:rsidRPr="004F73D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Low</w:t>
            </w:r>
          </w:p>
        </w:tc>
        <w:tc>
          <w:tcPr>
            <w:tcW w:w="1701" w:type="dxa"/>
            <w:shd w:val="clear" w:color="auto" w:fill="auto"/>
            <w:vAlign w:val="center"/>
          </w:tcPr>
          <w:p w:rsidR="007D3731" w:rsidRPr="004F73D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Adults ≥18 years</w:t>
            </w:r>
          </w:p>
        </w:tc>
        <w:tc>
          <w:tcPr>
            <w:tcW w:w="3118" w:type="dxa"/>
            <w:shd w:val="clear" w:color="auto" w:fill="auto"/>
            <w:vAlign w:val="center"/>
          </w:tcPr>
          <w:p w:rsidR="007D3731" w:rsidRPr="004F73D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Primary: NI GMTs, NI SCR</w:t>
            </w:r>
          </w:p>
          <w:p w:rsidR="007D3731" w:rsidRDefault="007D3731" w:rsidP="007D1763">
            <w:pPr>
              <w:widowControl/>
              <w:jc w:val="center"/>
              <w:rPr>
                <w:rFonts w:ascii="Arial Narrow" w:eastAsia="Times New Roman" w:hAnsi="Arial Narrow"/>
                <w:sz w:val="20"/>
                <w:szCs w:val="20"/>
                <w:lang w:val="en-AU"/>
              </w:rPr>
            </w:pPr>
            <w:r w:rsidRPr="004F73D1">
              <w:rPr>
                <w:rFonts w:ascii="Arial Narrow" w:eastAsia="Times New Roman" w:hAnsi="Arial Narrow"/>
                <w:sz w:val="20"/>
                <w:szCs w:val="20"/>
                <w:lang w:val="en-AU"/>
              </w:rPr>
              <w:t>Secondary: S GMTs; S SCRs</w:t>
            </w:r>
          </w:p>
          <w:p w:rsidR="007D3731" w:rsidRPr="004F73D1"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Other: immunogenicity, safety</w:t>
            </w:r>
          </w:p>
        </w:tc>
      </w:tr>
      <w:tr w:rsidR="008711A7" w:rsidRPr="007A2607" w:rsidTr="008711A7">
        <w:tc>
          <w:tcPr>
            <w:tcW w:w="8363" w:type="dxa"/>
            <w:gridSpan w:val="6"/>
          </w:tcPr>
          <w:p w:rsidR="008711A7" w:rsidRPr="007A2607" w:rsidRDefault="008711A7" w:rsidP="007D1763">
            <w:pPr>
              <w:widowControl/>
              <w:jc w:val="left"/>
              <w:rPr>
                <w:rFonts w:ascii="Arial Narrow" w:eastAsia="Times New Roman" w:hAnsi="Arial Narrow"/>
                <w:sz w:val="20"/>
                <w:szCs w:val="20"/>
                <w:lang w:val="en-AU"/>
              </w:rPr>
            </w:pPr>
            <w:r w:rsidRPr="007A2607">
              <w:rPr>
                <w:rFonts w:ascii="Arial Narrow" w:eastAsia="Times New Roman" w:hAnsi="Arial Narrow"/>
                <w:sz w:val="20"/>
                <w:szCs w:val="20"/>
                <w:lang w:val="en-AU"/>
              </w:rPr>
              <w:t>Fluarix® Tetra</w:t>
            </w:r>
            <w:r>
              <w:rPr>
                <w:rFonts w:ascii="Arial Narrow" w:eastAsia="Times New Roman" w:hAnsi="Arial Narrow"/>
                <w:sz w:val="20"/>
                <w:szCs w:val="20"/>
                <w:lang w:val="en-AU"/>
              </w:rPr>
              <w:t xml:space="preserve"> vs. TIV</w:t>
            </w:r>
          </w:p>
        </w:tc>
      </w:tr>
      <w:tr w:rsidR="007D3731" w:rsidRPr="007A2607" w:rsidTr="00244571">
        <w:tc>
          <w:tcPr>
            <w:tcW w:w="992"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Kieninger et al. 2013</w:t>
            </w:r>
          </w:p>
        </w:tc>
        <w:tc>
          <w:tcPr>
            <w:tcW w:w="709" w:type="dxa"/>
            <w:vAlign w:val="center"/>
          </w:tcPr>
          <w:p w:rsidR="007D3731" w:rsidRPr="007A2607" w:rsidRDefault="007D3731" w:rsidP="007D1763">
            <w:pPr>
              <w:widowControl/>
              <w:jc w:val="center"/>
              <w:rPr>
                <w:rFonts w:ascii="Arial Narrow" w:hAnsi="Arial Narrow"/>
                <w:sz w:val="20"/>
              </w:rPr>
            </w:pPr>
            <w:r w:rsidRPr="008711A7">
              <w:rPr>
                <w:rFonts w:ascii="Arial Narrow" w:eastAsia="Times New Roman" w:hAnsi="Arial Narrow"/>
                <w:sz w:val="20"/>
                <w:szCs w:val="20"/>
                <w:lang w:val="en-AU"/>
              </w:rPr>
              <w:t>4,659</w:t>
            </w:r>
          </w:p>
        </w:tc>
        <w:tc>
          <w:tcPr>
            <w:tcW w:w="992"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Ph III, R, PB</w:t>
            </w:r>
            <w:r>
              <w:rPr>
                <w:rFonts w:ascii="Arial Narrow" w:eastAsia="Times New Roman" w:hAnsi="Arial Narrow"/>
                <w:sz w:val="20"/>
                <w:szCs w:val="20"/>
                <w:lang w:val="en-AU"/>
              </w:rPr>
              <w:t>, 21 days</w:t>
            </w:r>
          </w:p>
        </w:tc>
        <w:tc>
          <w:tcPr>
            <w:tcW w:w="851" w:type="dxa"/>
            <w:shd w:val="clear" w:color="auto" w:fill="auto"/>
            <w:vAlign w:val="center"/>
          </w:tcPr>
          <w:p w:rsidR="007D3731" w:rsidRPr="008711A7" w:rsidRDefault="007D3731" w:rsidP="007D1763">
            <w:pPr>
              <w:widowControl/>
              <w:jc w:val="center"/>
              <w:rPr>
                <w:rFonts w:ascii="Arial Narrow" w:eastAsia="Times New Roman" w:hAnsi="Arial Narrow"/>
                <w:sz w:val="20"/>
                <w:szCs w:val="20"/>
                <w:lang w:val="en-AU"/>
              </w:rPr>
            </w:pPr>
            <w:r w:rsidRPr="008711A7">
              <w:rPr>
                <w:rFonts w:ascii="Arial Narrow" w:eastAsia="Times New Roman" w:hAnsi="Arial Narrow"/>
                <w:sz w:val="20"/>
                <w:szCs w:val="20"/>
                <w:lang w:val="en-AU" w:bidi="ar-SA"/>
              </w:rPr>
              <w:t>Low</w:t>
            </w:r>
          </w:p>
        </w:tc>
        <w:tc>
          <w:tcPr>
            <w:tcW w:w="1701"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Adults ≥18 years</w:t>
            </w:r>
          </w:p>
        </w:tc>
        <w:tc>
          <w:tcPr>
            <w:tcW w:w="3118"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Pr>
                <w:rFonts w:ascii="Arial Narrow" w:eastAsia="Times New Roman" w:hAnsi="Arial Narrow"/>
                <w:sz w:val="20"/>
                <w:szCs w:val="20"/>
                <w:lang w:val="en-AU"/>
              </w:rPr>
              <w:t xml:space="preserve">Primary: </w:t>
            </w:r>
            <w:r w:rsidRPr="007A2607">
              <w:rPr>
                <w:rFonts w:ascii="Arial Narrow" w:eastAsia="Times New Roman" w:hAnsi="Arial Narrow"/>
                <w:sz w:val="20"/>
                <w:szCs w:val="20"/>
                <w:lang w:val="en-AU"/>
              </w:rPr>
              <w:t>NI GMTs and SCRs; S GMTs and SCRs;</w:t>
            </w:r>
          </w:p>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Other: immunogenicity, safety</w:t>
            </w:r>
          </w:p>
        </w:tc>
      </w:tr>
      <w:tr w:rsidR="007D3731" w:rsidRPr="007A2607" w:rsidTr="00244571">
        <w:tc>
          <w:tcPr>
            <w:tcW w:w="992"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Tinoco</w:t>
            </w:r>
            <w:r w:rsidR="00FA4F6B">
              <w:rPr>
                <w:rFonts w:ascii="Arial Narrow" w:eastAsia="Times New Roman" w:hAnsi="Arial Narrow"/>
                <w:sz w:val="20"/>
                <w:szCs w:val="20"/>
                <w:lang w:val="en-AU"/>
              </w:rPr>
              <w:t xml:space="preserve"> et al.</w:t>
            </w:r>
            <w:r w:rsidRPr="007A2607">
              <w:rPr>
                <w:rFonts w:ascii="Arial Narrow" w:eastAsia="Times New Roman" w:hAnsi="Arial Narrow"/>
                <w:sz w:val="20"/>
                <w:szCs w:val="20"/>
                <w:lang w:val="en-AU"/>
              </w:rPr>
              <w:t xml:space="preserve"> 2014</w:t>
            </w:r>
          </w:p>
        </w:tc>
        <w:tc>
          <w:tcPr>
            <w:tcW w:w="709" w:type="dxa"/>
            <w:vAlign w:val="center"/>
          </w:tcPr>
          <w:p w:rsidR="007D3731" w:rsidRPr="007A2607" w:rsidRDefault="007D3731" w:rsidP="007D1763">
            <w:pPr>
              <w:widowControl/>
              <w:jc w:val="center"/>
              <w:rPr>
                <w:rFonts w:ascii="Arial Narrow" w:hAnsi="Arial Narrow"/>
                <w:sz w:val="20"/>
              </w:rPr>
            </w:pPr>
            <w:r w:rsidRPr="007A2607">
              <w:rPr>
                <w:rFonts w:ascii="Arial Narrow" w:eastAsia="Times New Roman" w:hAnsi="Arial Narrow"/>
                <w:sz w:val="20"/>
                <w:szCs w:val="20"/>
                <w:lang w:val="en-AU"/>
              </w:rPr>
              <w:t>1</w:t>
            </w:r>
            <w:r>
              <w:rPr>
                <w:rFonts w:ascii="Arial Narrow" w:eastAsia="Times New Roman" w:hAnsi="Arial Narrow"/>
                <w:sz w:val="20"/>
                <w:szCs w:val="20"/>
                <w:lang w:val="en-AU"/>
              </w:rPr>
              <w:t>,</w:t>
            </w:r>
            <w:r w:rsidRPr="007A2607">
              <w:rPr>
                <w:rFonts w:ascii="Arial Narrow" w:eastAsia="Times New Roman" w:hAnsi="Arial Narrow"/>
                <w:sz w:val="20"/>
                <w:szCs w:val="20"/>
                <w:lang w:val="en-AU"/>
              </w:rPr>
              <w:t>707</w:t>
            </w:r>
          </w:p>
        </w:tc>
        <w:tc>
          <w:tcPr>
            <w:tcW w:w="992"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Ph III R, DB</w:t>
            </w:r>
            <w:r>
              <w:rPr>
                <w:rFonts w:ascii="Arial Narrow" w:eastAsia="Times New Roman" w:hAnsi="Arial Narrow"/>
                <w:sz w:val="20"/>
                <w:szCs w:val="20"/>
                <w:lang w:val="en-AU"/>
              </w:rPr>
              <w:t>, 21 days</w:t>
            </w:r>
          </w:p>
        </w:tc>
        <w:tc>
          <w:tcPr>
            <w:tcW w:w="851"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bidi="ar-SA"/>
              </w:rPr>
              <w:t>Low</w:t>
            </w:r>
          </w:p>
        </w:tc>
        <w:tc>
          <w:tcPr>
            <w:tcW w:w="1701"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Adults ≥18 years</w:t>
            </w:r>
          </w:p>
        </w:tc>
        <w:tc>
          <w:tcPr>
            <w:tcW w:w="3118"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Primary: NI GMTs</w:t>
            </w:r>
          </w:p>
          <w:p w:rsidR="007D3731"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Secondary: S; GMT</w:t>
            </w:r>
          </w:p>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Other: immunogenicity, safety</w:t>
            </w:r>
          </w:p>
        </w:tc>
      </w:tr>
      <w:tr w:rsidR="007D3731" w:rsidRPr="007A2607" w:rsidTr="00244571">
        <w:tc>
          <w:tcPr>
            <w:tcW w:w="992" w:type="dxa"/>
            <w:shd w:val="clear" w:color="auto" w:fill="auto"/>
            <w:vAlign w:val="center"/>
          </w:tcPr>
          <w:p w:rsidR="007D3731" w:rsidRPr="007A2607" w:rsidRDefault="007D3731" w:rsidP="007D1763">
            <w:pPr>
              <w:widowControl/>
              <w:jc w:val="center"/>
              <w:rPr>
                <w:rFonts w:ascii="Arial Narrow" w:hAnsi="Arial Narrow"/>
                <w:sz w:val="20"/>
              </w:rPr>
            </w:pPr>
            <w:r>
              <w:rPr>
                <w:rFonts w:ascii="Arial Narrow" w:eastAsia="Times New Roman" w:hAnsi="Arial Narrow"/>
                <w:sz w:val="20"/>
                <w:szCs w:val="20"/>
                <w:lang w:val="en-AU"/>
              </w:rPr>
              <w:t xml:space="preserve">Beran </w:t>
            </w:r>
            <w:r w:rsidRPr="007A2607">
              <w:rPr>
                <w:rFonts w:ascii="Arial Narrow" w:eastAsia="Times New Roman" w:hAnsi="Arial Narrow"/>
                <w:sz w:val="20"/>
                <w:szCs w:val="20"/>
                <w:lang w:val="en-AU"/>
              </w:rPr>
              <w:t>et al. 2013</w:t>
            </w:r>
          </w:p>
        </w:tc>
        <w:tc>
          <w:tcPr>
            <w:tcW w:w="709" w:type="dxa"/>
            <w:vAlign w:val="center"/>
          </w:tcPr>
          <w:p w:rsidR="007D3731" w:rsidRPr="007A2607" w:rsidRDefault="00EA4968" w:rsidP="007D1763">
            <w:pPr>
              <w:widowControl/>
              <w:jc w:val="center"/>
              <w:rPr>
                <w:rFonts w:ascii="Arial Narrow" w:hAnsi="Arial Narrow"/>
                <w:sz w:val="20"/>
              </w:rPr>
            </w:pPr>
            <w:r>
              <w:rPr>
                <w:rFonts w:ascii="Arial Narrow" w:eastAsia="Times New Roman" w:hAnsi="Arial Narrow"/>
                <w:sz w:val="20"/>
                <w:szCs w:val="20"/>
                <w:lang w:val="en-AU"/>
              </w:rPr>
              <w:t>420</w:t>
            </w:r>
          </w:p>
        </w:tc>
        <w:tc>
          <w:tcPr>
            <w:tcW w:w="992" w:type="dxa"/>
            <w:shd w:val="clear" w:color="auto" w:fill="auto"/>
            <w:vAlign w:val="center"/>
          </w:tcPr>
          <w:p w:rsidR="007D3731" w:rsidRPr="007A2607" w:rsidRDefault="007D3731" w:rsidP="007D1763">
            <w:pPr>
              <w:widowControl/>
              <w:jc w:val="center"/>
              <w:rPr>
                <w:rFonts w:ascii="Arial Narrow" w:hAnsi="Arial Narrow"/>
                <w:sz w:val="20"/>
              </w:rPr>
            </w:pPr>
            <w:r w:rsidRPr="007A2607">
              <w:rPr>
                <w:rFonts w:ascii="Arial Narrow" w:eastAsia="Times New Roman" w:hAnsi="Arial Narrow"/>
                <w:sz w:val="20"/>
                <w:szCs w:val="20"/>
                <w:lang w:val="en-AU"/>
              </w:rPr>
              <w:t>Ph I/II, R, SB</w:t>
            </w:r>
            <w:r>
              <w:rPr>
                <w:rFonts w:ascii="Arial Narrow" w:eastAsia="Times New Roman" w:hAnsi="Arial Narrow"/>
                <w:sz w:val="20"/>
                <w:szCs w:val="20"/>
                <w:lang w:val="en-AU"/>
              </w:rPr>
              <w:t>, 21 days</w:t>
            </w:r>
          </w:p>
        </w:tc>
        <w:tc>
          <w:tcPr>
            <w:tcW w:w="851" w:type="dxa"/>
            <w:shd w:val="clear" w:color="auto" w:fill="auto"/>
            <w:vAlign w:val="center"/>
          </w:tcPr>
          <w:p w:rsidR="007D3731" w:rsidRPr="007A2607" w:rsidRDefault="007D3731" w:rsidP="007D1763">
            <w:pPr>
              <w:widowControl/>
              <w:jc w:val="center"/>
              <w:rPr>
                <w:rFonts w:ascii="Arial Narrow" w:hAnsi="Arial Narrow"/>
                <w:sz w:val="20"/>
              </w:rPr>
            </w:pPr>
            <w:r w:rsidRPr="007A2607">
              <w:rPr>
                <w:rFonts w:ascii="Arial Narrow" w:eastAsia="Times New Roman" w:hAnsi="Arial Narrow"/>
                <w:sz w:val="20"/>
                <w:szCs w:val="20"/>
                <w:lang w:val="en-AU" w:bidi="ar-SA"/>
              </w:rPr>
              <w:t>Low</w:t>
            </w:r>
          </w:p>
        </w:tc>
        <w:tc>
          <w:tcPr>
            <w:tcW w:w="1701"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Adults</w:t>
            </w:r>
          </w:p>
          <w:p w:rsidR="007D3731" w:rsidRPr="007A2607" w:rsidRDefault="007D3731" w:rsidP="007D1763">
            <w:pPr>
              <w:widowControl/>
              <w:jc w:val="center"/>
              <w:rPr>
                <w:rFonts w:ascii="Arial Narrow" w:hAnsi="Arial Narrow"/>
                <w:sz w:val="20"/>
              </w:rPr>
            </w:pPr>
            <w:r w:rsidRPr="007A2607">
              <w:rPr>
                <w:rFonts w:ascii="Arial Narrow" w:eastAsia="Times New Roman" w:hAnsi="Arial Narrow"/>
                <w:sz w:val="20"/>
                <w:szCs w:val="20"/>
                <w:lang w:val="en-AU"/>
              </w:rPr>
              <w:t>1</w:t>
            </w:r>
            <w:r>
              <w:rPr>
                <w:rFonts w:ascii="Arial Narrow" w:eastAsia="Times New Roman" w:hAnsi="Arial Narrow"/>
                <w:sz w:val="20"/>
                <w:szCs w:val="20"/>
                <w:lang w:val="en-AU"/>
              </w:rPr>
              <w:t>8</w:t>
            </w:r>
            <w:r w:rsidRPr="007A2607">
              <w:rPr>
                <w:rFonts w:ascii="Arial Narrow" w:eastAsia="Times New Roman" w:hAnsi="Arial Narrow"/>
                <w:sz w:val="20"/>
                <w:szCs w:val="20"/>
                <w:lang w:val="en-AU"/>
              </w:rPr>
              <w:t>-</w:t>
            </w:r>
            <w:r>
              <w:rPr>
                <w:rFonts w:ascii="Arial Narrow" w:eastAsia="Times New Roman" w:hAnsi="Arial Narrow"/>
                <w:sz w:val="20"/>
                <w:szCs w:val="20"/>
                <w:lang w:val="en-AU"/>
              </w:rPr>
              <w:t xml:space="preserve">60 </w:t>
            </w:r>
            <w:r w:rsidRPr="007A2607">
              <w:rPr>
                <w:rFonts w:ascii="Arial Narrow" w:eastAsia="Times New Roman" w:hAnsi="Arial Narrow"/>
                <w:sz w:val="20"/>
                <w:szCs w:val="20"/>
                <w:lang w:val="en-AU"/>
              </w:rPr>
              <w:t>years</w:t>
            </w:r>
          </w:p>
        </w:tc>
        <w:tc>
          <w:tcPr>
            <w:tcW w:w="3118" w:type="dxa"/>
            <w:shd w:val="clear" w:color="auto" w:fill="auto"/>
            <w:vAlign w:val="center"/>
          </w:tcPr>
          <w:p w:rsidR="007D3731" w:rsidRPr="007A2607"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Primary: NI GMTs S GMTs</w:t>
            </w:r>
          </w:p>
          <w:p w:rsidR="007D3731" w:rsidRDefault="007D3731" w:rsidP="007D1763">
            <w:pPr>
              <w:widowControl/>
              <w:jc w:val="center"/>
              <w:rPr>
                <w:rFonts w:ascii="Arial Narrow" w:eastAsia="Times New Roman" w:hAnsi="Arial Narrow"/>
                <w:sz w:val="20"/>
                <w:szCs w:val="20"/>
                <w:lang w:val="en-AU"/>
              </w:rPr>
            </w:pPr>
            <w:r>
              <w:rPr>
                <w:rFonts w:ascii="Arial Narrow" w:eastAsia="Times New Roman" w:hAnsi="Arial Narrow"/>
                <w:sz w:val="20"/>
                <w:szCs w:val="20"/>
                <w:lang w:val="en-AU"/>
              </w:rPr>
              <w:t>Secondary:</w:t>
            </w:r>
          </w:p>
          <w:p w:rsidR="007D3731" w:rsidRPr="0001259A" w:rsidRDefault="007D3731" w:rsidP="007D1763">
            <w:pPr>
              <w:widowControl/>
              <w:jc w:val="center"/>
              <w:rPr>
                <w:rFonts w:ascii="Arial Narrow" w:eastAsia="Times New Roman" w:hAnsi="Arial Narrow"/>
                <w:sz w:val="20"/>
                <w:szCs w:val="20"/>
                <w:lang w:val="en-AU"/>
              </w:rPr>
            </w:pPr>
            <w:r w:rsidRPr="007A2607">
              <w:rPr>
                <w:rFonts w:ascii="Arial Narrow" w:eastAsia="Times New Roman" w:hAnsi="Arial Narrow"/>
                <w:sz w:val="20"/>
                <w:szCs w:val="20"/>
                <w:lang w:val="en-AU"/>
              </w:rPr>
              <w:t>Other: immunogenicity, safety</w:t>
            </w:r>
          </w:p>
        </w:tc>
      </w:tr>
      <w:tr w:rsidR="00C16F4D" w:rsidRPr="007A2607" w:rsidTr="00C039BB">
        <w:tc>
          <w:tcPr>
            <w:tcW w:w="992" w:type="dxa"/>
            <w:shd w:val="clear" w:color="auto" w:fill="auto"/>
            <w:vAlign w:val="center"/>
          </w:tcPr>
          <w:p w:rsidR="00C16F4D" w:rsidRDefault="00C16F4D" w:rsidP="007D1763">
            <w:pPr>
              <w:widowControl/>
              <w:jc w:val="center"/>
              <w:rPr>
                <w:rFonts w:ascii="Arial Narrow" w:hAnsi="Arial Narrow"/>
                <w:sz w:val="20"/>
              </w:rPr>
            </w:pPr>
            <w:r>
              <w:rPr>
                <w:rFonts w:ascii="Arial Narrow" w:hAnsi="Arial Narrow"/>
                <w:sz w:val="20"/>
              </w:rPr>
              <w:t>Meta-analysis</w:t>
            </w:r>
          </w:p>
        </w:tc>
        <w:tc>
          <w:tcPr>
            <w:tcW w:w="4253" w:type="dxa"/>
            <w:gridSpan w:val="4"/>
            <w:vAlign w:val="center"/>
          </w:tcPr>
          <w:p w:rsidR="00C16F4D" w:rsidRPr="007A2607" w:rsidRDefault="00C16F4D" w:rsidP="007D1763">
            <w:pPr>
              <w:widowControl/>
              <w:jc w:val="left"/>
              <w:rPr>
                <w:rFonts w:ascii="Arial Narrow" w:hAnsi="Arial Narrow"/>
                <w:sz w:val="20"/>
              </w:rPr>
            </w:pPr>
            <w:r>
              <w:rPr>
                <w:rFonts w:ascii="Arial Narrow" w:hAnsi="Arial Narrow"/>
                <w:sz w:val="20"/>
              </w:rPr>
              <w:t>Included Kieninger et al. (2013) and Tinoco et al. (201</w:t>
            </w:r>
            <w:r w:rsidR="00276529">
              <w:rPr>
                <w:rFonts w:ascii="Arial Narrow" w:hAnsi="Arial Narrow"/>
                <w:sz w:val="20"/>
              </w:rPr>
              <w:t>4</w:t>
            </w:r>
            <w:r>
              <w:rPr>
                <w:rFonts w:ascii="Arial Narrow" w:hAnsi="Arial Narrow"/>
                <w:sz w:val="20"/>
              </w:rPr>
              <w:t>); GMTR</w:t>
            </w:r>
          </w:p>
        </w:tc>
        <w:tc>
          <w:tcPr>
            <w:tcW w:w="3118" w:type="dxa"/>
            <w:vAlign w:val="center"/>
          </w:tcPr>
          <w:p w:rsidR="00C16F4D" w:rsidRPr="007A2607" w:rsidRDefault="00C16F4D" w:rsidP="007D1763">
            <w:pPr>
              <w:widowControl/>
              <w:jc w:val="left"/>
              <w:rPr>
                <w:rFonts w:ascii="Arial Narrow" w:hAnsi="Arial Narrow"/>
                <w:sz w:val="20"/>
              </w:rPr>
            </w:pPr>
            <w:r>
              <w:rPr>
                <w:rFonts w:ascii="Arial Narrow" w:hAnsi="Arial Narrow"/>
                <w:sz w:val="20"/>
              </w:rPr>
              <w:t>NI GMTR</w:t>
            </w:r>
          </w:p>
        </w:tc>
      </w:tr>
    </w:tbl>
    <w:p w:rsidR="007D3731" w:rsidRDefault="007D3731" w:rsidP="007D1763">
      <w:pPr>
        <w:pStyle w:val="TableFooter"/>
        <w:widowControl/>
        <w:ind w:firstLine="720"/>
      </w:pPr>
      <w:r w:rsidRPr="007D3731">
        <w:t xml:space="preserve">Abbreviations: D, double-blind; GMT, Geometric Mean Titres; GMTR, Geometric Mean Titre Ratio; MD, mean difference; NI, </w:t>
      </w:r>
    </w:p>
    <w:p w:rsidR="007D3731" w:rsidRDefault="007D3731" w:rsidP="007D1763">
      <w:pPr>
        <w:pStyle w:val="TableFooter"/>
        <w:widowControl/>
        <w:ind w:firstLine="720"/>
      </w:pPr>
      <w:r w:rsidRPr="007D3731">
        <w:t>Non inferiority; PB, partially blind; R, randomised; S, superiority; SB, single blind; SCR, Seroconversion rate</w:t>
      </w:r>
    </w:p>
    <w:p w:rsidR="007F1017" w:rsidRDefault="007F1017" w:rsidP="007D1763">
      <w:pPr>
        <w:pStyle w:val="TableFooter"/>
        <w:widowControl/>
        <w:ind w:firstLine="720"/>
      </w:pPr>
      <w:r w:rsidRPr="0072416F">
        <w:t>Source: compiled during the evaluation</w:t>
      </w:r>
    </w:p>
    <w:p w:rsidR="00807A41" w:rsidRDefault="00807A41" w:rsidP="00746A1B">
      <w:pPr>
        <w:pStyle w:val="BodyText"/>
      </w:pPr>
      <w:bookmarkStart w:id="9" w:name="_Toc457319188"/>
    </w:p>
    <w:p w:rsidR="00B60939" w:rsidRPr="00746A1B" w:rsidRDefault="00B60939" w:rsidP="00746A1B">
      <w:pPr>
        <w:pStyle w:val="Heading2"/>
      </w:pPr>
      <w:r w:rsidRPr="00746A1B">
        <w:t>Comparative effectiveness</w:t>
      </w:r>
      <w:bookmarkEnd w:id="9"/>
    </w:p>
    <w:p w:rsidR="00B60939" w:rsidRPr="00882085" w:rsidRDefault="00B60939" w:rsidP="007D1763">
      <w:pPr>
        <w:widowControl/>
        <w:rPr>
          <w:szCs w:val="22"/>
        </w:rPr>
      </w:pPr>
    </w:p>
    <w:p w:rsidR="000A1FF9" w:rsidRPr="00230CAA" w:rsidRDefault="000A1FF9" w:rsidP="007D1763">
      <w:pPr>
        <w:pStyle w:val="ListParagraph"/>
        <w:widowControl/>
        <w:numPr>
          <w:ilvl w:val="1"/>
          <w:numId w:val="1"/>
        </w:numPr>
      </w:pPr>
      <w:r w:rsidRPr="00230CAA">
        <w:rPr>
          <w:szCs w:val="22"/>
        </w:rPr>
        <w:t>The non</w:t>
      </w:r>
      <w:r w:rsidRPr="00230CAA">
        <w:rPr>
          <w:szCs w:val="22"/>
        </w:rPr>
        <w:noBreakHyphen/>
        <w:t xml:space="preserve">inferiority claim in the submission was based on an indirect comparison of haemagglutination antibody geometric titres (GMTs) and seroconversion rates (SCRs). These surrogate outcomes have previously </w:t>
      </w:r>
      <w:r w:rsidR="00381476" w:rsidRPr="00230CAA">
        <w:rPr>
          <w:szCs w:val="22"/>
        </w:rPr>
        <w:t xml:space="preserve">been used </w:t>
      </w:r>
      <w:r w:rsidRPr="00230CAA">
        <w:rPr>
          <w:szCs w:val="22"/>
        </w:rPr>
        <w:t>for PBAC decision making</w:t>
      </w:r>
      <w:r w:rsidR="00166C5D" w:rsidRPr="00230CAA">
        <w:rPr>
          <w:szCs w:val="22"/>
        </w:rPr>
        <w:t xml:space="preserve"> (5.12, July 2015, </w:t>
      </w:r>
      <w:r w:rsidR="007B0D2D">
        <w:rPr>
          <w:szCs w:val="22"/>
        </w:rPr>
        <w:t>QIV</w:t>
      </w:r>
      <w:r w:rsidR="00166C5D" w:rsidRPr="00230CAA">
        <w:rPr>
          <w:szCs w:val="22"/>
        </w:rPr>
        <w:t>, PSD)</w:t>
      </w:r>
      <w:r w:rsidRPr="00230CAA">
        <w:rPr>
          <w:szCs w:val="22"/>
        </w:rPr>
        <w:t xml:space="preserve">. </w:t>
      </w:r>
      <w:r w:rsidRPr="00230CAA">
        <w:t xml:space="preserve">The results of indirect meta-analysis for GMTRs and indirect comparison </w:t>
      </w:r>
      <w:r w:rsidR="003D5A00" w:rsidRPr="00230CAA">
        <w:t xml:space="preserve">for GMTRs and mean difference SCRs </w:t>
      </w:r>
      <w:r w:rsidRPr="00230CAA">
        <w:t xml:space="preserve">are indicated in </w:t>
      </w:r>
      <w:r w:rsidR="003D5A00" w:rsidRPr="00230CAA">
        <w:t xml:space="preserve">Table 3, </w:t>
      </w:r>
      <w:r w:rsidRPr="00230CAA">
        <w:t>Table 4</w:t>
      </w:r>
      <w:r w:rsidR="003D5A00" w:rsidRPr="00230CAA">
        <w:t xml:space="preserve"> and Table 5 respectively</w:t>
      </w:r>
      <w:r w:rsidRPr="00230CAA">
        <w:t>.</w:t>
      </w:r>
    </w:p>
    <w:p w:rsidR="00B44099" w:rsidRPr="007F1017" w:rsidRDefault="00B44099" w:rsidP="00B41905">
      <w:pPr>
        <w:pStyle w:val="TableFooter"/>
        <w:widowControl/>
        <w:ind w:firstLine="720"/>
        <w:jc w:val="center"/>
      </w:pPr>
    </w:p>
    <w:p w:rsidR="00B60939" w:rsidRPr="00B44099" w:rsidRDefault="00B44099" w:rsidP="007D1763">
      <w:pPr>
        <w:widowControl/>
        <w:ind w:left="720"/>
        <w:rPr>
          <w:rStyle w:val="CommentReference"/>
        </w:rPr>
      </w:pPr>
      <w:r w:rsidRPr="00B44099">
        <w:rPr>
          <w:rStyle w:val="CommentReference"/>
        </w:rPr>
        <w:t xml:space="preserve">Table </w:t>
      </w:r>
      <w:r w:rsidR="003D5A00">
        <w:rPr>
          <w:rStyle w:val="CommentReference"/>
        </w:rPr>
        <w:t>3</w:t>
      </w:r>
      <w:r w:rsidRPr="00B44099">
        <w:rPr>
          <w:rStyle w:val="CommentReference"/>
        </w:rPr>
        <w:t>: Results of meta-analysis of GMTR across the direct randomised trials</w:t>
      </w:r>
    </w:p>
    <w:tbl>
      <w:tblPr>
        <w:tblStyle w:val="TableGrid"/>
        <w:tblW w:w="8363" w:type="dxa"/>
        <w:tblInd w:w="714" w:type="dxa"/>
        <w:tblLayout w:type="fixed"/>
        <w:tblCellMar>
          <w:left w:w="0" w:type="dxa"/>
          <w:right w:w="0" w:type="dxa"/>
        </w:tblCellMar>
        <w:tblLook w:val="04A0" w:firstRow="1" w:lastRow="0" w:firstColumn="1" w:lastColumn="0" w:noHBand="0" w:noVBand="1"/>
        <w:tblCaption w:val="Table 3: Results of meta-analysis of GMTR across the direct randomised trials"/>
      </w:tblPr>
      <w:tblGrid>
        <w:gridCol w:w="1843"/>
        <w:gridCol w:w="1134"/>
        <w:gridCol w:w="992"/>
        <w:gridCol w:w="1134"/>
        <w:gridCol w:w="992"/>
        <w:gridCol w:w="1418"/>
        <w:gridCol w:w="850"/>
      </w:tblGrid>
      <w:tr w:rsidR="00166C5D" w:rsidRPr="00AF1082" w:rsidTr="00FA4F6B">
        <w:tc>
          <w:tcPr>
            <w:tcW w:w="1843" w:type="dxa"/>
            <w:vMerge w:val="restart"/>
            <w:shd w:val="clear" w:color="auto" w:fill="auto"/>
          </w:tcPr>
          <w:p w:rsidR="00166C5D" w:rsidRPr="00CE319D" w:rsidRDefault="00166C5D" w:rsidP="007D1763">
            <w:pPr>
              <w:widowControl/>
              <w:rPr>
                <w:rFonts w:ascii="Arial Narrow" w:hAnsi="Arial Narrow"/>
                <w:b/>
                <w:sz w:val="20"/>
              </w:rPr>
            </w:pPr>
            <w:r w:rsidRPr="00CE319D">
              <w:rPr>
                <w:rFonts w:ascii="Arial Narrow" w:hAnsi="Arial Narrow"/>
                <w:b/>
                <w:sz w:val="20"/>
              </w:rPr>
              <w:t xml:space="preserve">Study ID </w:t>
            </w:r>
          </w:p>
        </w:tc>
        <w:tc>
          <w:tcPr>
            <w:tcW w:w="1134" w:type="dxa"/>
            <w:vMerge w:val="restart"/>
            <w:shd w:val="clear" w:color="auto" w:fill="auto"/>
          </w:tcPr>
          <w:p w:rsidR="00166C5D" w:rsidRPr="00CE319D" w:rsidRDefault="00166C5D" w:rsidP="007D1763">
            <w:pPr>
              <w:widowControl/>
              <w:rPr>
                <w:rFonts w:ascii="Arial Narrow" w:hAnsi="Arial Narrow"/>
                <w:b/>
                <w:sz w:val="20"/>
              </w:rPr>
            </w:pPr>
            <w:r w:rsidRPr="00CE319D">
              <w:rPr>
                <w:rFonts w:ascii="Arial Narrow" w:hAnsi="Arial Narrow"/>
                <w:b/>
                <w:sz w:val="20"/>
              </w:rPr>
              <w:t>Strain</w:t>
            </w:r>
          </w:p>
        </w:tc>
        <w:tc>
          <w:tcPr>
            <w:tcW w:w="3118" w:type="dxa"/>
            <w:gridSpan w:val="3"/>
            <w:shd w:val="clear" w:color="auto" w:fill="auto"/>
          </w:tcPr>
          <w:p w:rsidR="00166C5D" w:rsidRPr="00CE319D" w:rsidRDefault="00A44BCE" w:rsidP="00A44BCE">
            <w:pPr>
              <w:widowControl/>
              <w:rPr>
                <w:rFonts w:ascii="Arial Narrow" w:hAnsi="Arial Narrow"/>
                <w:b/>
                <w:sz w:val="20"/>
              </w:rPr>
            </w:pPr>
            <w:r>
              <w:rPr>
                <w:rFonts w:ascii="Arial Narrow" w:hAnsi="Arial Narrow"/>
                <w:b/>
                <w:sz w:val="20"/>
              </w:rPr>
              <w:t>TIV</w:t>
            </w:r>
            <w:r w:rsidRPr="00CE319D">
              <w:rPr>
                <w:rFonts w:ascii="Arial Narrow" w:hAnsi="Arial Narrow"/>
                <w:b/>
                <w:sz w:val="20"/>
              </w:rPr>
              <w:t xml:space="preserve"> </w:t>
            </w:r>
            <w:r w:rsidR="00166C5D" w:rsidRPr="00CE319D">
              <w:rPr>
                <w:rFonts w:ascii="Arial Narrow" w:hAnsi="Arial Narrow"/>
                <w:b/>
                <w:sz w:val="20"/>
              </w:rPr>
              <w:t xml:space="preserve">vs. </w:t>
            </w:r>
            <w:r>
              <w:rPr>
                <w:rFonts w:ascii="Arial Narrow" w:hAnsi="Arial Narrow"/>
                <w:b/>
                <w:sz w:val="20"/>
              </w:rPr>
              <w:t>QIV</w:t>
            </w:r>
          </w:p>
        </w:tc>
        <w:tc>
          <w:tcPr>
            <w:tcW w:w="1418" w:type="dxa"/>
            <w:shd w:val="clear" w:color="auto" w:fill="auto"/>
          </w:tcPr>
          <w:p w:rsidR="00166C5D" w:rsidRPr="00AF1082" w:rsidRDefault="00166C5D" w:rsidP="007D1763">
            <w:pPr>
              <w:widowControl/>
              <w:rPr>
                <w:rFonts w:ascii="Arial Narrow" w:hAnsi="Arial Narrow"/>
                <w:b/>
                <w:sz w:val="20"/>
                <w:highlight w:val="yellow"/>
              </w:rPr>
            </w:pPr>
            <w:r w:rsidRPr="00CE319D">
              <w:rPr>
                <w:rFonts w:ascii="Arial Narrow" w:hAnsi="Arial Narrow"/>
                <w:b/>
                <w:sz w:val="20"/>
              </w:rPr>
              <w:t>Heterogeneity</w:t>
            </w:r>
          </w:p>
        </w:tc>
        <w:tc>
          <w:tcPr>
            <w:tcW w:w="850" w:type="dxa"/>
          </w:tcPr>
          <w:p w:rsidR="00166C5D" w:rsidRPr="00CE319D" w:rsidRDefault="00166C5D" w:rsidP="007D1763">
            <w:pPr>
              <w:widowControl/>
              <w:rPr>
                <w:rFonts w:ascii="Arial Narrow" w:hAnsi="Arial Narrow"/>
                <w:b/>
                <w:sz w:val="20"/>
              </w:rPr>
            </w:pPr>
          </w:p>
        </w:tc>
      </w:tr>
      <w:tr w:rsidR="00166C5D" w:rsidRPr="00AF1082" w:rsidTr="00FA4F6B">
        <w:tc>
          <w:tcPr>
            <w:tcW w:w="1843" w:type="dxa"/>
            <w:vMerge/>
            <w:shd w:val="clear" w:color="auto" w:fill="auto"/>
          </w:tcPr>
          <w:p w:rsidR="00166C5D" w:rsidRPr="00CE319D" w:rsidRDefault="00166C5D" w:rsidP="007D1763">
            <w:pPr>
              <w:widowControl/>
              <w:rPr>
                <w:rFonts w:ascii="Arial Narrow" w:hAnsi="Arial Narrow"/>
                <w:b/>
                <w:sz w:val="20"/>
              </w:rPr>
            </w:pPr>
          </w:p>
        </w:tc>
        <w:tc>
          <w:tcPr>
            <w:tcW w:w="1134" w:type="dxa"/>
            <w:vMerge/>
            <w:shd w:val="clear" w:color="auto" w:fill="auto"/>
          </w:tcPr>
          <w:p w:rsidR="00166C5D" w:rsidRPr="00CE319D" w:rsidRDefault="00166C5D" w:rsidP="007D1763">
            <w:pPr>
              <w:widowControl/>
              <w:rPr>
                <w:rFonts w:ascii="Arial Narrow" w:hAnsi="Arial Narrow"/>
                <w:b/>
                <w:sz w:val="20"/>
              </w:rPr>
            </w:pPr>
          </w:p>
        </w:tc>
        <w:tc>
          <w:tcPr>
            <w:tcW w:w="992" w:type="dxa"/>
            <w:shd w:val="clear" w:color="auto" w:fill="auto"/>
          </w:tcPr>
          <w:p w:rsidR="00166C5D" w:rsidRPr="00CE319D" w:rsidRDefault="00166C5D" w:rsidP="007D1763">
            <w:pPr>
              <w:widowControl/>
              <w:rPr>
                <w:rFonts w:ascii="Arial Narrow" w:hAnsi="Arial Narrow"/>
                <w:b/>
                <w:sz w:val="20"/>
              </w:rPr>
            </w:pPr>
            <w:r w:rsidRPr="00CE319D">
              <w:rPr>
                <w:rFonts w:ascii="Arial Narrow" w:hAnsi="Arial Narrow"/>
                <w:b/>
                <w:sz w:val="20"/>
              </w:rPr>
              <w:t>GMTR</w:t>
            </w:r>
          </w:p>
        </w:tc>
        <w:tc>
          <w:tcPr>
            <w:tcW w:w="1134" w:type="dxa"/>
            <w:shd w:val="clear" w:color="auto" w:fill="auto"/>
          </w:tcPr>
          <w:p w:rsidR="00166C5D" w:rsidRPr="00CE319D" w:rsidRDefault="00166C5D" w:rsidP="007D1763">
            <w:pPr>
              <w:widowControl/>
              <w:rPr>
                <w:rFonts w:ascii="Arial Narrow" w:hAnsi="Arial Narrow"/>
                <w:b/>
                <w:sz w:val="20"/>
              </w:rPr>
            </w:pPr>
            <w:r w:rsidRPr="00CE319D">
              <w:rPr>
                <w:rFonts w:ascii="Arial Narrow" w:hAnsi="Arial Narrow"/>
                <w:b/>
                <w:sz w:val="20"/>
              </w:rPr>
              <w:t>95% CI</w:t>
            </w:r>
          </w:p>
        </w:tc>
        <w:tc>
          <w:tcPr>
            <w:tcW w:w="992" w:type="dxa"/>
            <w:shd w:val="clear" w:color="auto" w:fill="auto"/>
          </w:tcPr>
          <w:p w:rsidR="00166C5D" w:rsidRPr="00CE319D" w:rsidRDefault="00166C5D" w:rsidP="007D1763">
            <w:pPr>
              <w:widowControl/>
              <w:rPr>
                <w:rFonts w:ascii="Arial Narrow" w:hAnsi="Arial Narrow"/>
                <w:b/>
                <w:sz w:val="20"/>
              </w:rPr>
            </w:pPr>
            <w:r w:rsidRPr="00CE319D">
              <w:rPr>
                <w:rFonts w:ascii="Arial Narrow" w:hAnsi="Arial Narrow"/>
                <w:b/>
                <w:sz w:val="20"/>
              </w:rPr>
              <w:t>p-value</w:t>
            </w:r>
          </w:p>
        </w:tc>
        <w:tc>
          <w:tcPr>
            <w:tcW w:w="1418" w:type="dxa"/>
            <w:shd w:val="clear" w:color="auto" w:fill="auto"/>
          </w:tcPr>
          <w:p w:rsidR="00166C5D" w:rsidRPr="00C16F4D" w:rsidRDefault="00166C5D" w:rsidP="007D1763">
            <w:pPr>
              <w:widowControl/>
              <w:rPr>
                <w:rFonts w:ascii="Arial Narrow" w:hAnsi="Arial Narrow"/>
                <w:b/>
                <w:sz w:val="20"/>
              </w:rPr>
            </w:pPr>
            <w:r w:rsidRPr="00CE319D">
              <w:rPr>
                <w:rFonts w:ascii="Arial Narrow" w:hAnsi="Arial Narrow"/>
                <w:b/>
                <w:sz w:val="20"/>
              </w:rPr>
              <w:t>Chi</w:t>
            </w:r>
            <w:r w:rsidRPr="00CE319D">
              <w:rPr>
                <w:rFonts w:ascii="Arial Narrow" w:hAnsi="Arial Narrow"/>
                <w:b/>
                <w:sz w:val="20"/>
                <w:vertAlign w:val="superscript"/>
              </w:rPr>
              <w:t>2</w:t>
            </w:r>
            <w:r w:rsidRPr="00CE319D">
              <w:rPr>
                <w:rFonts w:ascii="Arial Narrow" w:hAnsi="Arial Narrow"/>
                <w:b/>
                <w:sz w:val="20"/>
              </w:rPr>
              <w:t>; I</w:t>
            </w:r>
            <w:r w:rsidRPr="00CE319D">
              <w:rPr>
                <w:rFonts w:ascii="Arial Narrow" w:hAnsi="Arial Narrow"/>
                <w:b/>
                <w:sz w:val="20"/>
                <w:vertAlign w:val="superscript"/>
              </w:rPr>
              <w:t>2</w:t>
            </w:r>
          </w:p>
        </w:tc>
        <w:tc>
          <w:tcPr>
            <w:tcW w:w="850" w:type="dxa"/>
          </w:tcPr>
          <w:p w:rsidR="00166C5D" w:rsidRPr="00C039BB" w:rsidRDefault="00166C5D" w:rsidP="007D1763">
            <w:pPr>
              <w:widowControl/>
              <w:rPr>
                <w:rFonts w:ascii="Arial Narrow" w:hAnsi="Arial Narrow"/>
                <w:b/>
                <w:sz w:val="20"/>
              </w:rPr>
            </w:pPr>
            <w:r w:rsidRPr="00C039BB">
              <w:rPr>
                <w:rFonts w:ascii="Arial Narrow" w:hAnsi="Arial Narrow"/>
                <w:b/>
                <w:sz w:val="20"/>
              </w:rPr>
              <w:t>NNT</w:t>
            </w:r>
          </w:p>
        </w:tc>
      </w:tr>
      <w:tr w:rsidR="00FA4F6B" w:rsidRPr="00AF1082" w:rsidTr="00FA4F6B">
        <w:tc>
          <w:tcPr>
            <w:tcW w:w="6095" w:type="dxa"/>
            <w:gridSpan w:val="5"/>
            <w:shd w:val="clear" w:color="auto" w:fill="auto"/>
          </w:tcPr>
          <w:p w:rsidR="00FA4F6B" w:rsidRPr="00AF1082" w:rsidRDefault="00FA4F6B" w:rsidP="007D1763">
            <w:pPr>
              <w:widowControl/>
              <w:rPr>
                <w:rFonts w:ascii="Arial Narrow" w:hAnsi="Arial Narrow"/>
                <w:sz w:val="20"/>
                <w:highlight w:val="yellow"/>
              </w:rPr>
            </w:pPr>
            <w:r w:rsidRPr="00CE319D">
              <w:rPr>
                <w:rFonts w:ascii="Arial Narrow" w:hAnsi="Arial Narrow"/>
                <w:sz w:val="20"/>
              </w:rPr>
              <w:t>Fluarix® Tetra trials</w:t>
            </w:r>
          </w:p>
        </w:tc>
        <w:tc>
          <w:tcPr>
            <w:tcW w:w="1418" w:type="dxa"/>
            <w:shd w:val="clear" w:color="auto" w:fill="auto"/>
          </w:tcPr>
          <w:p w:rsidR="00FA4F6B" w:rsidRPr="00AF1082" w:rsidRDefault="00FA4F6B" w:rsidP="007D1763">
            <w:pPr>
              <w:widowControl/>
              <w:rPr>
                <w:rFonts w:ascii="Arial Narrow" w:hAnsi="Arial Narrow"/>
                <w:sz w:val="20"/>
                <w:highlight w:val="yellow"/>
              </w:rPr>
            </w:pPr>
          </w:p>
        </w:tc>
        <w:tc>
          <w:tcPr>
            <w:tcW w:w="850" w:type="dxa"/>
          </w:tcPr>
          <w:p w:rsidR="00FA4F6B" w:rsidRPr="00C039BB" w:rsidRDefault="00FA4F6B" w:rsidP="007D1763">
            <w:pPr>
              <w:widowControl/>
              <w:rPr>
                <w:rFonts w:ascii="Arial Narrow" w:hAnsi="Arial Narrow"/>
                <w:sz w:val="20"/>
                <w:highlight w:val="yellow"/>
              </w:rPr>
            </w:pPr>
          </w:p>
        </w:tc>
      </w:tr>
      <w:tr w:rsidR="00FA4F6B" w:rsidRPr="00AF1082" w:rsidTr="00FA4F6B">
        <w:tc>
          <w:tcPr>
            <w:tcW w:w="1843" w:type="dxa"/>
            <w:vMerge w:val="restart"/>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 xml:space="preserve">Kieninger et al. </w:t>
            </w:r>
            <w:r>
              <w:rPr>
                <w:rFonts w:ascii="Arial Narrow" w:hAnsi="Arial Narrow"/>
                <w:sz w:val="20"/>
              </w:rPr>
              <w:t>(2013)</w:t>
            </w:r>
          </w:p>
          <w:p w:rsidR="00FA4F6B" w:rsidRPr="0019395D" w:rsidRDefault="00FA4F6B" w:rsidP="007D1763">
            <w:pPr>
              <w:widowControl/>
              <w:rPr>
                <w:rFonts w:ascii="Arial Narrow" w:hAnsi="Arial Narrow"/>
                <w:sz w:val="20"/>
              </w:rPr>
            </w:pPr>
            <w:r w:rsidRPr="0019395D">
              <w:rPr>
                <w:rFonts w:ascii="Arial Narrow" w:hAnsi="Arial Narrow"/>
                <w:sz w:val="20"/>
              </w:rPr>
              <w:t>Tinoco</w:t>
            </w:r>
            <w:r>
              <w:rPr>
                <w:rFonts w:ascii="Arial Narrow" w:hAnsi="Arial Narrow"/>
                <w:sz w:val="20"/>
              </w:rPr>
              <w:t xml:space="preserve"> et al. (2014)</w:t>
            </w:r>
          </w:p>
          <w:p w:rsidR="00FA4F6B" w:rsidRPr="00AF1082" w:rsidRDefault="00FA4F6B" w:rsidP="007D1763">
            <w:pPr>
              <w:widowControl/>
              <w:rPr>
                <w:rFonts w:ascii="Arial Narrow" w:hAnsi="Arial Narrow"/>
                <w:sz w:val="20"/>
                <w:highlight w:val="yellow"/>
              </w:rPr>
            </w:pP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A/H1/N1</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0.92</w:t>
            </w: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0.67; 1.25</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0.59</w:t>
            </w:r>
          </w:p>
        </w:tc>
        <w:tc>
          <w:tcPr>
            <w:tcW w:w="1418" w:type="dxa"/>
            <w:shd w:val="clear" w:color="auto" w:fill="auto"/>
          </w:tcPr>
          <w:p w:rsidR="00FA4F6B" w:rsidRPr="00C16F4D" w:rsidRDefault="00FA4F6B" w:rsidP="007D1763">
            <w:pPr>
              <w:widowControl/>
              <w:rPr>
                <w:rFonts w:ascii="Arial Narrow" w:hAnsi="Arial Narrow"/>
                <w:sz w:val="20"/>
              </w:rPr>
            </w:pPr>
            <w:r w:rsidRPr="0019395D">
              <w:rPr>
                <w:rFonts w:ascii="Arial Narrow" w:hAnsi="Arial Narrow"/>
                <w:sz w:val="20"/>
              </w:rPr>
              <w:t>12.76; 92%</w:t>
            </w:r>
          </w:p>
        </w:tc>
        <w:tc>
          <w:tcPr>
            <w:tcW w:w="850" w:type="dxa"/>
          </w:tcPr>
          <w:p w:rsidR="00FA4F6B" w:rsidRPr="00C039BB" w:rsidRDefault="00FA4F6B" w:rsidP="007D1763">
            <w:pPr>
              <w:widowControl/>
              <w:rPr>
                <w:rFonts w:ascii="Arial Narrow" w:hAnsi="Arial Narrow"/>
                <w:sz w:val="20"/>
              </w:rPr>
            </w:pPr>
            <w:r w:rsidRPr="00C039BB">
              <w:rPr>
                <w:rFonts w:ascii="Arial Narrow" w:hAnsi="Arial Narrow"/>
                <w:sz w:val="20"/>
              </w:rPr>
              <w:t>1</w:t>
            </w:r>
          </w:p>
        </w:tc>
      </w:tr>
      <w:tr w:rsidR="00FA4F6B" w:rsidRPr="00AF1082" w:rsidTr="00FA4F6B">
        <w:tc>
          <w:tcPr>
            <w:tcW w:w="1843" w:type="dxa"/>
            <w:vMerge/>
            <w:shd w:val="clear" w:color="auto" w:fill="auto"/>
          </w:tcPr>
          <w:p w:rsidR="00FA4F6B" w:rsidRPr="00AF1082" w:rsidRDefault="00FA4F6B" w:rsidP="007D1763">
            <w:pPr>
              <w:widowControl/>
              <w:rPr>
                <w:rFonts w:ascii="Arial Narrow" w:hAnsi="Arial Narrow"/>
                <w:sz w:val="20"/>
                <w:highlight w:val="yellow"/>
              </w:rPr>
            </w:pP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A/H3N2</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1.07</w:t>
            </w: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0.89; 1.30</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0.46</w:t>
            </w:r>
          </w:p>
        </w:tc>
        <w:tc>
          <w:tcPr>
            <w:tcW w:w="1418" w:type="dxa"/>
            <w:shd w:val="clear" w:color="auto" w:fill="auto"/>
          </w:tcPr>
          <w:p w:rsidR="00FA4F6B" w:rsidRPr="00C16F4D" w:rsidRDefault="00FA4F6B" w:rsidP="007D1763">
            <w:pPr>
              <w:widowControl/>
              <w:rPr>
                <w:rFonts w:ascii="Arial Narrow" w:hAnsi="Arial Narrow"/>
                <w:sz w:val="20"/>
              </w:rPr>
            </w:pPr>
            <w:r w:rsidRPr="0019395D">
              <w:rPr>
                <w:rFonts w:ascii="Arial Narrow" w:hAnsi="Arial Narrow"/>
                <w:sz w:val="20"/>
              </w:rPr>
              <w:t>6.22; 84%</w:t>
            </w:r>
          </w:p>
        </w:tc>
        <w:tc>
          <w:tcPr>
            <w:tcW w:w="850" w:type="dxa"/>
          </w:tcPr>
          <w:p w:rsidR="00FA4F6B" w:rsidRPr="00C039BB" w:rsidRDefault="00FA4F6B" w:rsidP="007D1763">
            <w:pPr>
              <w:widowControl/>
              <w:rPr>
                <w:rFonts w:ascii="Arial Narrow" w:hAnsi="Arial Narrow"/>
                <w:sz w:val="20"/>
              </w:rPr>
            </w:pPr>
            <w:r w:rsidRPr="00C039BB">
              <w:rPr>
                <w:rFonts w:ascii="Arial Narrow" w:hAnsi="Arial Narrow"/>
                <w:sz w:val="20"/>
              </w:rPr>
              <w:t>1</w:t>
            </w:r>
          </w:p>
        </w:tc>
      </w:tr>
      <w:tr w:rsidR="00FA4F6B" w:rsidRPr="00AF1082" w:rsidTr="00FA4F6B">
        <w:tc>
          <w:tcPr>
            <w:tcW w:w="1843" w:type="dxa"/>
            <w:vMerge/>
            <w:shd w:val="clear" w:color="auto" w:fill="auto"/>
          </w:tcPr>
          <w:p w:rsidR="00FA4F6B" w:rsidRPr="00AF1082" w:rsidRDefault="00FA4F6B" w:rsidP="007D1763">
            <w:pPr>
              <w:widowControl/>
              <w:rPr>
                <w:rFonts w:ascii="Arial Narrow" w:hAnsi="Arial Narrow"/>
                <w:sz w:val="20"/>
                <w:highlight w:val="yellow"/>
              </w:rPr>
            </w:pP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B/Yamagata</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0.88</w:t>
            </w:r>
          </w:p>
        </w:tc>
        <w:tc>
          <w:tcPr>
            <w:tcW w:w="1134"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0.72; 1.08</w:t>
            </w:r>
          </w:p>
        </w:tc>
        <w:tc>
          <w:tcPr>
            <w:tcW w:w="992" w:type="dxa"/>
            <w:shd w:val="clear" w:color="auto" w:fill="auto"/>
          </w:tcPr>
          <w:p w:rsidR="00FA4F6B" w:rsidRPr="0019395D" w:rsidRDefault="00FA4F6B" w:rsidP="007D1763">
            <w:pPr>
              <w:widowControl/>
              <w:rPr>
                <w:rFonts w:ascii="Arial Narrow" w:hAnsi="Arial Narrow"/>
                <w:sz w:val="20"/>
              </w:rPr>
            </w:pPr>
            <w:r w:rsidRPr="0019395D">
              <w:rPr>
                <w:rFonts w:ascii="Arial Narrow" w:hAnsi="Arial Narrow"/>
                <w:sz w:val="20"/>
              </w:rPr>
              <w:t>0.21</w:t>
            </w:r>
          </w:p>
        </w:tc>
        <w:tc>
          <w:tcPr>
            <w:tcW w:w="1418" w:type="dxa"/>
            <w:shd w:val="clear" w:color="auto" w:fill="auto"/>
          </w:tcPr>
          <w:p w:rsidR="00FA4F6B" w:rsidRPr="00C16F4D" w:rsidRDefault="00FA4F6B" w:rsidP="007D1763">
            <w:pPr>
              <w:widowControl/>
              <w:rPr>
                <w:rFonts w:ascii="Arial Narrow" w:hAnsi="Arial Narrow"/>
                <w:sz w:val="20"/>
              </w:rPr>
            </w:pPr>
            <w:r w:rsidRPr="0019395D">
              <w:rPr>
                <w:rFonts w:ascii="Arial Narrow" w:hAnsi="Arial Narrow"/>
                <w:sz w:val="20"/>
              </w:rPr>
              <w:t>6.19; 84%</w:t>
            </w:r>
          </w:p>
        </w:tc>
        <w:tc>
          <w:tcPr>
            <w:tcW w:w="850" w:type="dxa"/>
          </w:tcPr>
          <w:p w:rsidR="00FA4F6B" w:rsidRPr="00C039BB" w:rsidRDefault="00FA4F6B" w:rsidP="007D1763">
            <w:pPr>
              <w:widowControl/>
              <w:rPr>
                <w:rFonts w:ascii="Arial Narrow" w:hAnsi="Arial Narrow"/>
                <w:sz w:val="20"/>
              </w:rPr>
            </w:pPr>
            <w:r w:rsidRPr="00C039BB">
              <w:rPr>
                <w:rFonts w:ascii="Arial Narrow" w:hAnsi="Arial Narrow"/>
                <w:sz w:val="20"/>
              </w:rPr>
              <w:t>1</w:t>
            </w:r>
          </w:p>
        </w:tc>
      </w:tr>
      <w:tr w:rsidR="00FA4F6B" w:rsidRPr="00AF1082" w:rsidTr="00FA4F6B">
        <w:tc>
          <w:tcPr>
            <w:tcW w:w="1843" w:type="dxa"/>
            <w:vMerge/>
            <w:shd w:val="clear" w:color="auto" w:fill="auto"/>
          </w:tcPr>
          <w:p w:rsidR="00FA4F6B" w:rsidRPr="00AF1082" w:rsidRDefault="00FA4F6B" w:rsidP="007D1763">
            <w:pPr>
              <w:widowControl/>
              <w:rPr>
                <w:rFonts w:ascii="Arial Narrow" w:hAnsi="Arial Narrow"/>
                <w:sz w:val="20"/>
                <w:highlight w:val="yellow"/>
              </w:rPr>
            </w:pPr>
          </w:p>
        </w:tc>
        <w:tc>
          <w:tcPr>
            <w:tcW w:w="1134" w:type="dxa"/>
            <w:shd w:val="clear" w:color="auto" w:fill="auto"/>
          </w:tcPr>
          <w:p w:rsidR="00FA4F6B" w:rsidRPr="00CE319D" w:rsidRDefault="00FA4F6B" w:rsidP="007D1763">
            <w:pPr>
              <w:widowControl/>
              <w:rPr>
                <w:rFonts w:ascii="Arial Narrow" w:hAnsi="Arial Narrow"/>
                <w:sz w:val="20"/>
              </w:rPr>
            </w:pPr>
            <w:r w:rsidRPr="00CE319D">
              <w:rPr>
                <w:rFonts w:ascii="Arial Narrow" w:hAnsi="Arial Narrow"/>
                <w:sz w:val="20"/>
              </w:rPr>
              <w:t>B/Victoria</w:t>
            </w:r>
          </w:p>
        </w:tc>
        <w:tc>
          <w:tcPr>
            <w:tcW w:w="992" w:type="dxa"/>
            <w:shd w:val="clear" w:color="auto" w:fill="auto"/>
          </w:tcPr>
          <w:p w:rsidR="00FA4F6B" w:rsidRPr="00CE319D" w:rsidRDefault="00FA4F6B" w:rsidP="007D1763">
            <w:pPr>
              <w:widowControl/>
              <w:rPr>
                <w:rFonts w:ascii="Arial Narrow" w:hAnsi="Arial Narrow"/>
                <w:sz w:val="20"/>
              </w:rPr>
            </w:pPr>
            <w:r w:rsidRPr="00CE319D">
              <w:rPr>
                <w:rFonts w:ascii="Arial Narrow" w:hAnsi="Arial Narrow"/>
                <w:sz w:val="20"/>
              </w:rPr>
              <w:t>0.86</w:t>
            </w:r>
          </w:p>
        </w:tc>
        <w:tc>
          <w:tcPr>
            <w:tcW w:w="1134" w:type="dxa"/>
            <w:shd w:val="clear" w:color="auto" w:fill="auto"/>
          </w:tcPr>
          <w:p w:rsidR="00FA4F6B" w:rsidRPr="00CE319D" w:rsidRDefault="00FA4F6B" w:rsidP="007D1763">
            <w:pPr>
              <w:widowControl/>
              <w:rPr>
                <w:rFonts w:ascii="Arial Narrow" w:hAnsi="Arial Narrow"/>
                <w:sz w:val="20"/>
              </w:rPr>
            </w:pPr>
            <w:r w:rsidRPr="00CE319D">
              <w:rPr>
                <w:rFonts w:ascii="Arial Narrow" w:hAnsi="Arial Narrow"/>
                <w:sz w:val="20"/>
              </w:rPr>
              <w:t>0.66; 1.12</w:t>
            </w:r>
          </w:p>
        </w:tc>
        <w:tc>
          <w:tcPr>
            <w:tcW w:w="992" w:type="dxa"/>
            <w:shd w:val="clear" w:color="auto" w:fill="auto"/>
          </w:tcPr>
          <w:p w:rsidR="00FA4F6B" w:rsidRPr="00CE319D" w:rsidRDefault="00FA4F6B" w:rsidP="007D1763">
            <w:pPr>
              <w:widowControl/>
              <w:rPr>
                <w:rFonts w:ascii="Arial Narrow" w:hAnsi="Arial Narrow"/>
                <w:sz w:val="20"/>
              </w:rPr>
            </w:pPr>
            <w:r w:rsidRPr="00CE319D">
              <w:rPr>
                <w:rFonts w:ascii="Arial Narrow" w:hAnsi="Arial Narrow"/>
                <w:sz w:val="20"/>
              </w:rPr>
              <w:t>0.27</w:t>
            </w:r>
          </w:p>
        </w:tc>
        <w:tc>
          <w:tcPr>
            <w:tcW w:w="1418" w:type="dxa"/>
            <w:shd w:val="clear" w:color="auto" w:fill="auto"/>
          </w:tcPr>
          <w:p w:rsidR="00FA4F6B" w:rsidRPr="00C16F4D" w:rsidRDefault="00FA4F6B" w:rsidP="007D1763">
            <w:pPr>
              <w:widowControl/>
              <w:rPr>
                <w:rFonts w:ascii="Arial Narrow" w:hAnsi="Arial Narrow"/>
                <w:sz w:val="20"/>
              </w:rPr>
            </w:pPr>
            <w:r w:rsidRPr="00CE319D">
              <w:rPr>
                <w:rFonts w:ascii="Arial Narrow" w:hAnsi="Arial Narrow"/>
                <w:sz w:val="20"/>
              </w:rPr>
              <w:t>9.57; 90%</w:t>
            </w:r>
          </w:p>
        </w:tc>
        <w:tc>
          <w:tcPr>
            <w:tcW w:w="850" w:type="dxa"/>
          </w:tcPr>
          <w:p w:rsidR="00FA4F6B" w:rsidRPr="00C039BB" w:rsidRDefault="00FA4F6B" w:rsidP="007D1763">
            <w:pPr>
              <w:widowControl/>
              <w:rPr>
                <w:rFonts w:ascii="Arial Narrow" w:hAnsi="Arial Narrow"/>
                <w:sz w:val="20"/>
              </w:rPr>
            </w:pPr>
            <w:r w:rsidRPr="00C039BB">
              <w:rPr>
                <w:rFonts w:ascii="Arial Narrow" w:hAnsi="Arial Narrow"/>
                <w:sz w:val="20"/>
              </w:rPr>
              <w:t>1</w:t>
            </w:r>
          </w:p>
        </w:tc>
      </w:tr>
    </w:tbl>
    <w:p w:rsidR="00453EB5" w:rsidRPr="00C039BB" w:rsidRDefault="00FA4F6B" w:rsidP="007D1763">
      <w:pPr>
        <w:widowControl/>
        <w:ind w:left="720"/>
        <w:rPr>
          <w:rStyle w:val="CommentReference"/>
          <w:b w:val="0"/>
          <w:sz w:val="18"/>
          <w:szCs w:val="18"/>
        </w:rPr>
      </w:pPr>
      <w:r w:rsidRPr="00C039BB">
        <w:rPr>
          <w:rStyle w:val="CommentReference"/>
          <w:b w:val="0"/>
          <w:sz w:val="18"/>
          <w:szCs w:val="18"/>
        </w:rPr>
        <w:t>Source: Figure B.6.1, p. 59; Figure B.6.2; p.59; Figure B.6.3; p.60 and Figure B.6.4, p.60 of the submission</w:t>
      </w:r>
    </w:p>
    <w:p w:rsidR="00D14F8A" w:rsidRPr="00FA4F6B" w:rsidRDefault="00D14F8A" w:rsidP="007D1763">
      <w:pPr>
        <w:widowControl/>
        <w:ind w:left="720"/>
        <w:rPr>
          <w:rStyle w:val="CommentReference"/>
          <w:b w:val="0"/>
          <w:i/>
          <w:sz w:val="18"/>
          <w:szCs w:val="18"/>
        </w:rPr>
      </w:pPr>
    </w:p>
    <w:p w:rsidR="003D5A00" w:rsidRDefault="00453EB5" w:rsidP="007D1763">
      <w:pPr>
        <w:keepNext/>
        <w:widowControl/>
        <w:ind w:left="720"/>
        <w:rPr>
          <w:rStyle w:val="CommentReference"/>
        </w:rPr>
      </w:pPr>
      <w:r>
        <w:rPr>
          <w:rStyle w:val="CommentReference"/>
        </w:rPr>
        <w:t xml:space="preserve">Table </w:t>
      </w:r>
      <w:r w:rsidR="003D5A00">
        <w:rPr>
          <w:rStyle w:val="CommentReference"/>
        </w:rPr>
        <w:t>4</w:t>
      </w:r>
      <w:r w:rsidR="003D5A00" w:rsidRPr="009C6ABD">
        <w:rPr>
          <w:rStyle w:val="CommentReference"/>
        </w:rPr>
        <w:t>: Summary of results of the indirect comparison</w:t>
      </w:r>
      <w:r w:rsidR="003D5A00">
        <w:rPr>
          <w:rStyle w:val="CommentReference"/>
        </w:rPr>
        <w:t xml:space="preserve"> – GMTR</w:t>
      </w:r>
    </w:p>
    <w:tbl>
      <w:tblPr>
        <w:tblW w:w="8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1"/>
        <w:gridCol w:w="791"/>
        <w:gridCol w:w="1341"/>
        <w:gridCol w:w="1342"/>
        <w:gridCol w:w="1340"/>
        <w:gridCol w:w="1423"/>
        <w:gridCol w:w="1275"/>
      </w:tblGrid>
      <w:tr w:rsidR="003D5A00" w:rsidRPr="00CE319D" w:rsidTr="003D5A00">
        <w:tc>
          <w:tcPr>
            <w:tcW w:w="851" w:type="dxa"/>
            <w:vMerge w:val="restart"/>
            <w:shd w:val="clear" w:color="auto" w:fill="auto"/>
          </w:tcPr>
          <w:p w:rsidR="003D5A00" w:rsidRPr="00CE319D" w:rsidRDefault="003D5A00" w:rsidP="007D1763">
            <w:pPr>
              <w:keepNext/>
              <w:widowControl/>
              <w:rPr>
                <w:rFonts w:ascii="Arial Narrow" w:hAnsi="Arial Narrow"/>
                <w:b/>
                <w:sz w:val="20"/>
              </w:rPr>
            </w:pPr>
            <w:r w:rsidRPr="00CE319D">
              <w:rPr>
                <w:rFonts w:ascii="Arial Narrow" w:hAnsi="Arial Narrow"/>
                <w:b/>
                <w:sz w:val="20"/>
              </w:rPr>
              <w:t>Strain</w:t>
            </w:r>
          </w:p>
        </w:tc>
        <w:tc>
          <w:tcPr>
            <w:tcW w:w="2132" w:type="dxa"/>
            <w:gridSpan w:val="2"/>
            <w:shd w:val="clear" w:color="auto" w:fill="auto"/>
          </w:tcPr>
          <w:p w:rsidR="003D5A00" w:rsidRPr="00CE319D" w:rsidRDefault="004E6343" w:rsidP="007D1763">
            <w:pPr>
              <w:keepNext/>
              <w:widowControl/>
              <w:rPr>
                <w:rFonts w:ascii="Arial Narrow" w:hAnsi="Arial Narrow"/>
                <w:b/>
                <w:sz w:val="20"/>
              </w:rPr>
            </w:pPr>
            <w:r>
              <w:rPr>
                <w:rFonts w:ascii="Arial Narrow" w:hAnsi="Arial Narrow"/>
                <w:b/>
                <w:sz w:val="20"/>
              </w:rPr>
              <w:t>Afluria</w:t>
            </w:r>
            <w:r w:rsidR="003D5A00" w:rsidRPr="00CE319D">
              <w:rPr>
                <w:rFonts w:ascii="Arial Narrow" w:hAnsi="Arial Narrow"/>
                <w:b/>
                <w:sz w:val="20"/>
              </w:rPr>
              <w:t>® Quad TIV/QIV</w:t>
            </w:r>
          </w:p>
        </w:tc>
        <w:tc>
          <w:tcPr>
            <w:tcW w:w="2682" w:type="dxa"/>
            <w:gridSpan w:val="2"/>
            <w:shd w:val="clear" w:color="auto" w:fill="auto"/>
          </w:tcPr>
          <w:p w:rsidR="003D5A00" w:rsidRPr="00CE319D" w:rsidRDefault="003D5A00" w:rsidP="007D1763">
            <w:pPr>
              <w:keepNext/>
              <w:widowControl/>
              <w:rPr>
                <w:rFonts w:ascii="Arial Narrow" w:hAnsi="Arial Narrow"/>
                <w:b/>
                <w:sz w:val="20"/>
              </w:rPr>
            </w:pPr>
            <w:r w:rsidRPr="00CE319D">
              <w:rPr>
                <w:rFonts w:ascii="Arial Narrow" w:hAnsi="Arial Narrow"/>
                <w:b/>
                <w:sz w:val="20"/>
              </w:rPr>
              <w:t>Fluarix® Tetra TIV/QIV</w:t>
            </w:r>
          </w:p>
        </w:tc>
        <w:tc>
          <w:tcPr>
            <w:tcW w:w="2698" w:type="dxa"/>
            <w:gridSpan w:val="2"/>
            <w:shd w:val="clear" w:color="auto" w:fill="auto"/>
          </w:tcPr>
          <w:p w:rsidR="003D5A00" w:rsidRPr="00CE319D" w:rsidRDefault="004E6343" w:rsidP="007D1763">
            <w:pPr>
              <w:keepNext/>
              <w:widowControl/>
              <w:rPr>
                <w:rFonts w:ascii="Arial Narrow" w:hAnsi="Arial Narrow"/>
                <w:b/>
                <w:sz w:val="20"/>
              </w:rPr>
            </w:pPr>
            <w:r>
              <w:rPr>
                <w:rFonts w:ascii="Arial Narrow" w:hAnsi="Arial Narrow"/>
                <w:b/>
                <w:sz w:val="20"/>
              </w:rPr>
              <w:t>Afluria</w:t>
            </w:r>
            <w:r w:rsidR="003D5A00" w:rsidRPr="00CE319D">
              <w:rPr>
                <w:rFonts w:ascii="Arial Narrow" w:hAnsi="Arial Narrow"/>
                <w:b/>
                <w:sz w:val="20"/>
              </w:rPr>
              <w:t>® Quad vs Fluarix® Tetra</w:t>
            </w:r>
          </w:p>
        </w:tc>
      </w:tr>
      <w:tr w:rsidR="003D5A00" w:rsidRPr="00CE319D" w:rsidTr="00453EB5">
        <w:tc>
          <w:tcPr>
            <w:tcW w:w="851" w:type="dxa"/>
            <w:vMerge/>
            <w:shd w:val="clear" w:color="auto" w:fill="auto"/>
          </w:tcPr>
          <w:p w:rsidR="003D5A00" w:rsidRPr="00CE319D" w:rsidRDefault="003D5A00" w:rsidP="007D1763">
            <w:pPr>
              <w:widowControl/>
              <w:rPr>
                <w:rFonts w:ascii="Arial Narrow" w:hAnsi="Arial Narrow"/>
                <w:b/>
                <w:sz w:val="20"/>
              </w:rPr>
            </w:pPr>
          </w:p>
        </w:tc>
        <w:tc>
          <w:tcPr>
            <w:tcW w:w="791"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GMTR</w:t>
            </w:r>
          </w:p>
        </w:tc>
        <w:tc>
          <w:tcPr>
            <w:tcW w:w="1341"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c>
          <w:tcPr>
            <w:tcW w:w="1342"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GMTR</w:t>
            </w:r>
          </w:p>
        </w:tc>
        <w:tc>
          <w:tcPr>
            <w:tcW w:w="1340"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c>
          <w:tcPr>
            <w:tcW w:w="1423"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GMTR</w:t>
            </w:r>
          </w:p>
        </w:tc>
        <w:tc>
          <w:tcPr>
            <w:tcW w:w="1275"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r>
      <w:tr w:rsidR="003D5A00" w:rsidRPr="00CE319D" w:rsidTr="00453EB5">
        <w:tc>
          <w:tcPr>
            <w:tcW w:w="851"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A/H1N1</w:t>
            </w:r>
          </w:p>
        </w:tc>
        <w:tc>
          <w:tcPr>
            <w:tcW w:w="791"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0.92</w:t>
            </w:r>
          </w:p>
        </w:tc>
        <w:tc>
          <w:tcPr>
            <w:tcW w:w="1341"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0.87, 0.98</w:t>
            </w:r>
          </w:p>
        </w:tc>
        <w:tc>
          <w:tcPr>
            <w:tcW w:w="1342"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0.92</w:t>
            </w:r>
          </w:p>
        </w:tc>
        <w:tc>
          <w:tcPr>
            <w:tcW w:w="1340"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0.67, 1.25</w:t>
            </w:r>
          </w:p>
        </w:tc>
        <w:tc>
          <w:tcPr>
            <w:tcW w:w="1423"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1.00</w:t>
            </w:r>
          </w:p>
        </w:tc>
        <w:tc>
          <w:tcPr>
            <w:tcW w:w="1275"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0.73, 1.37</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A/H3N2</w:t>
            </w:r>
          </w:p>
        </w:tc>
        <w:tc>
          <w:tcPr>
            <w:tcW w:w="791" w:type="dxa"/>
          </w:tcPr>
          <w:p w:rsidR="003D5A00" w:rsidRPr="00CE319D" w:rsidRDefault="003D5A00" w:rsidP="007D1763">
            <w:pPr>
              <w:widowControl/>
              <w:rPr>
                <w:rFonts w:ascii="Arial Narrow" w:hAnsi="Arial Narrow"/>
                <w:sz w:val="20"/>
              </w:rPr>
            </w:pPr>
            <w:r w:rsidRPr="00CE319D">
              <w:rPr>
                <w:rFonts w:ascii="Arial Narrow" w:hAnsi="Arial Narrow"/>
                <w:sz w:val="20"/>
              </w:rPr>
              <w:t>0.93</w:t>
            </w:r>
          </w:p>
        </w:tc>
        <w:tc>
          <w:tcPr>
            <w:tcW w:w="1341" w:type="dxa"/>
          </w:tcPr>
          <w:p w:rsidR="003D5A00" w:rsidRPr="00CE319D" w:rsidRDefault="003D5A00" w:rsidP="007D1763">
            <w:pPr>
              <w:widowControl/>
              <w:rPr>
                <w:rFonts w:ascii="Arial Narrow" w:hAnsi="Arial Narrow"/>
                <w:sz w:val="20"/>
              </w:rPr>
            </w:pPr>
            <w:r w:rsidRPr="00CE319D">
              <w:rPr>
                <w:rFonts w:ascii="Arial Narrow" w:hAnsi="Arial Narrow"/>
                <w:sz w:val="20"/>
              </w:rPr>
              <w:t>0.88, 0.98</w:t>
            </w:r>
          </w:p>
        </w:tc>
        <w:tc>
          <w:tcPr>
            <w:tcW w:w="1342" w:type="dxa"/>
          </w:tcPr>
          <w:p w:rsidR="003D5A00" w:rsidRPr="00CE319D" w:rsidRDefault="003D5A00" w:rsidP="007D1763">
            <w:pPr>
              <w:widowControl/>
              <w:rPr>
                <w:rFonts w:ascii="Arial Narrow" w:hAnsi="Arial Narrow"/>
                <w:sz w:val="20"/>
              </w:rPr>
            </w:pPr>
            <w:r w:rsidRPr="00CE319D">
              <w:rPr>
                <w:rFonts w:ascii="Arial Narrow" w:hAnsi="Arial Narrow"/>
                <w:sz w:val="20"/>
              </w:rPr>
              <w:t>1.07</w:t>
            </w:r>
          </w:p>
        </w:tc>
        <w:tc>
          <w:tcPr>
            <w:tcW w:w="1340" w:type="dxa"/>
          </w:tcPr>
          <w:p w:rsidR="003D5A00" w:rsidRPr="00CE319D" w:rsidRDefault="003D5A00" w:rsidP="007D1763">
            <w:pPr>
              <w:widowControl/>
              <w:rPr>
                <w:rFonts w:ascii="Arial Narrow" w:hAnsi="Arial Narrow"/>
                <w:sz w:val="20"/>
              </w:rPr>
            </w:pPr>
            <w:r w:rsidRPr="00CE319D">
              <w:rPr>
                <w:rFonts w:ascii="Arial Narrow" w:hAnsi="Arial Narrow"/>
                <w:sz w:val="20"/>
              </w:rPr>
              <w:t>0.89, 1.30</w:t>
            </w:r>
          </w:p>
        </w:tc>
        <w:tc>
          <w:tcPr>
            <w:tcW w:w="1423" w:type="dxa"/>
          </w:tcPr>
          <w:p w:rsidR="003D5A00" w:rsidRPr="00CE319D" w:rsidRDefault="003D5A00" w:rsidP="007D1763">
            <w:pPr>
              <w:widowControl/>
              <w:rPr>
                <w:rFonts w:ascii="Arial Narrow" w:hAnsi="Arial Narrow"/>
                <w:sz w:val="20"/>
              </w:rPr>
            </w:pPr>
            <w:r w:rsidRPr="00CE319D">
              <w:rPr>
                <w:rFonts w:ascii="Arial Narrow" w:hAnsi="Arial Narrow"/>
                <w:sz w:val="20"/>
              </w:rPr>
              <w:t>1.15</w:t>
            </w:r>
          </w:p>
        </w:tc>
        <w:tc>
          <w:tcPr>
            <w:tcW w:w="1275" w:type="dxa"/>
          </w:tcPr>
          <w:p w:rsidR="003D5A00" w:rsidRPr="00CE319D" w:rsidRDefault="003D5A00" w:rsidP="007D1763">
            <w:pPr>
              <w:widowControl/>
              <w:rPr>
                <w:rFonts w:ascii="Arial Narrow" w:hAnsi="Arial Narrow"/>
                <w:sz w:val="20"/>
              </w:rPr>
            </w:pPr>
            <w:r w:rsidRPr="00CE319D">
              <w:rPr>
                <w:rFonts w:ascii="Arial Narrow" w:hAnsi="Arial Narrow"/>
                <w:sz w:val="20"/>
              </w:rPr>
              <w:t>0.95, 1.40</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B/YAM</w:t>
            </w:r>
          </w:p>
        </w:tc>
        <w:tc>
          <w:tcPr>
            <w:tcW w:w="791" w:type="dxa"/>
          </w:tcPr>
          <w:p w:rsidR="003D5A00" w:rsidRPr="00CE319D" w:rsidRDefault="003D5A00" w:rsidP="007D1763">
            <w:pPr>
              <w:widowControl/>
              <w:rPr>
                <w:rFonts w:ascii="Arial Narrow" w:hAnsi="Arial Narrow"/>
                <w:sz w:val="20"/>
              </w:rPr>
            </w:pPr>
            <w:r w:rsidRPr="00CE319D">
              <w:rPr>
                <w:rFonts w:ascii="Arial Narrow" w:hAnsi="Arial Narrow"/>
                <w:sz w:val="20"/>
              </w:rPr>
              <w:t>0.87</w:t>
            </w:r>
          </w:p>
        </w:tc>
        <w:tc>
          <w:tcPr>
            <w:tcW w:w="1341" w:type="dxa"/>
          </w:tcPr>
          <w:p w:rsidR="003D5A00" w:rsidRPr="00CE319D" w:rsidRDefault="003D5A00" w:rsidP="007D1763">
            <w:pPr>
              <w:widowControl/>
              <w:rPr>
                <w:rFonts w:ascii="Arial Narrow" w:hAnsi="Arial Narrow"/>
                <w:sz w:val="20"/>
              </w:rPr>
            </w:pPr>
            <w:r w:rsidRPr="00CE319D">
              <w:rPr>
                <w:rFonts w:ascii="Arial Narrow" w:hAnsi="Arial Narrow"/>
                <w:sz w:val="20"/>
              </w:rPr>
              <w:t>0.81, 0.93</w:t>
            </w:r>
          </w:p>
        </w:tc>
        <w:tc>
          <w:tcPr>
            <w:tcW w:w="1342" w:type="dxa"/>
          </w:tcPr>
          <w:p w:rsidR="003D5A00" w:rsidRPr="00CE319D" w:rsidRDefault="003D5A00" w:rsidP="007D1763">
            <w:pPr>
              <w:widowControl/>
              <w:rPr>
                <w:rFonts w:ascii="Arial Narrow" w:hAnsi="Arial Narrow"/>
                <w:sz w:val="20"/>
              </w:rPr>
            </w:pPr>
            <w:r w:rsidRPr="00CE319D">
              <w:rPr>
                <w:rFonts w:ascii="Arial Narrow" w:hAnsi="Arial Narrow"/>
                <w:sz w:val="20"/>
              </w:rPr>
              <w:t>0.88</w:t>
            </w:r>
          </w:p>
        </w:tc>
        <w:tc>
          <w:tcPr>
            <w:tcW w:w="1340" w:type="dxa"/>
          </w:tcPr>
          <w:p w:rsidR="003D5A00" w:rsidRPr="00CE319D" w:rsidRDefault="003D5A00" w:rsidP="007D1763">
            <w:pPr>
              <w:widowControl/>
              <w:rPr>
                <w:rFonts w:ascii="Arial Narrow" w:hAnsi="Arial Narrow"/>
                <w:sz w:val="20"/>
              </w:rPr>
            </w:pPr>
            <w:r w:rsidRPr="00CE319D">
              <w:rPr>
                <w:rFonts w:ascii="Arial Narrow" w:hAnsi="Arial Narrow"/>
                <w:sz w:val="20"/>
              </w:rPr>
              <w:t>0.72, 1.08</w:t>
            </w:r>
          </w:p>
        </w:tc>
        <w:tc>
          <w:tcPr>
            <w:tcW w:w="1423" w:type="dxa"/>
          </w:tcPr>
          <w:p w:rsidR="003D5A00" w:rsidRPr="00CE319D" w:rsidRDefault="003D5A00" w:rsidP="007D1763">
            <w:pPr>
              <w:widowControl/>
              <w:rPr>
                <w:rFonts w:ascii="Arial Narrow" w:hAnsi="Arial Narrow"/>
                <w:sz w:val="20"/>
              </w:rPr>
            </w:pPr>
            <w:r w:rsidRPr="00CE319D">
              <w:rPr>
                <w:rFonts w:ascii="Arial Narrow" w:hAnsi="Arial Narrow"/>
                <w:sz w:val="20"/>
              </w:rPr>
              <w:t>1.01</w:t>
            </w:r>
          </w:p>
        </w:tc>
        <w:tc>
          <w:tcPr>
            <w:tcW w:w="1275" w:type="dxa"/>
          </w:tcPr>
          <w:p w:rsidR="003D5A00" w:rsidRPr="00CE319D" w:rsidRDefault="003D5A00" w:rsidP="007D1763">
            <w:pPr>
              <w:widowControl/>
              <w:rPr>
                <w:rFonts w:ascii="Arial Narrow" w:hAnsi="Arial Narrow"/>
                <w:sz w:val="20"/>
              </w:rPr>
            </w:pPr>
            <w:r w:rsidRPr="00CE319D">
              <w:rPr>
                <w:rFonts w:ascii="Arial Narrow" w:hAnsi="Arial Narrow"/>
                <w:sz w:val="20"/>
              </w:rPr>
              <w:t>0.82, 1.25</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B/VIC</w:t>
            </w:r>
          </w:p>
        </w:tc>
        <w:tc>
          <w:tcPr>
            <w:tcW w:w="791" w:type="dxa"/>
          </w:tcPr>
          <w:p w:rsidR="003D5A00" w:rsidRPr="00CE319D" w:rsidRDefault="003D5A00" w:rsidP="007D1763">
            <w:pPr>
              <w:widowControl/>
              <w:rPr>
                <w:rFonts w:ascii="Arial Narrow" w:hAnsi="Arial Narrow"/>
                <w:sz w:val="20"/>
              </w:rPr>
            </w:pPr>
            <w:r w:rsidRPr="00CE319D">
              <w:rPr>
                <w:rFonts w:ascii="Arial Narrow" w:hAnsi="Arial Narrow"/>
                <w:sz w:val="20"/>
              </w:rPr>
              <w:t>0.94</w:t>
            </w:r>
          </w:p>
        </w:tc>
        <w:tc>
          <w:tcPr>
            <w:tcW w:w="1341" w:type="dxa"/>
          </w:tcPr>
          <w:p w:rsidR="003D5A00" w:rsidRPr="00CE319D" w:rsidRDefault="003D5A00" w:rsidP="007D1763">
            <w:pPr>
              <w:widowControl/>
              <w:rPr>
                <w:rFonts w:ascii="Arial Narrow" w:hAnsi="Arial Narrow"/>
                <w:sz w:val="20"/>
              </w:rPr>
            </w:pPr>
            <w:r w:rsidRPr="00CE319D">
              <w:rPr>
                <w:rFonts w:ascii="Arial Narrow" w:hAnsi="Arial Narrow"/>
                <w:sz w:val="20"/>
              </w:rPr>
              <w:t>0.86, 1.01</w:t>
            </w:r>
          </w:p>
        </w:tc>
        <w:tc>
          <w:tcPr>
            <w:tcW w:w="1342" w:type="dxa"/>
          </w:tcPr>
          <w:p w:rsidR="003D5A00" w:rsidRPr="00CE319D" w:rsidRDefault="003D5A00" w:rsidP="007D1763">
            <w:pPr>
              <w:widowControl/>
              <w:rPr>
                <w:rFonts w:ascii="Arial Narrow" w:hAnsi="Arial Narrow"/>
                <w:sz w:val="20"/>
              </w:rPr>
            </w:pPr>
            <w:r w:rsidRPr="00CE319D">
              <w:rPr>
                <w:rFonts w:ascii="Arial Narrow" w:hAnsi="Arial Narrow"/>
                <w:sz w:val="20"/>
              </w:rPr>
              <w:t>0.86</w:t>
            </w:r>
          </w:p>
        </w:tc>
        <w:tc>
          <w:tcPr>
            <w:tcW w:w="1340" w:type="dxa"/>
          </w:tcPr>
          <w:p w:rsidR="003D5A00" w:rsidRPr="00CE319D" w:rsidRDefault="003D5A00" w:rsidP="007D1763">
            <w:pPr>
              <w:widowControl/>
              <w:rPr>
                <w:rFonts w:ascii="Arial Narrow" w:hAnsi="Arial Narrow"/>
                <w:sz w:val="20"/>
              </w:rPr>
            </w:pPr>
            <w:r w:rsidRPr="00CE319D">
              <w:rPr>
                <w:rFonts w:ascii="Arial Narrow" w:hAnsi="Arial Narrow"/>
                <w:sz w:val="20"/>
              </w:rPr>
              <w:t>0.66, 1.12</w:t>
            </w:r>
          </w:p>
        </w:tc>
        <w:tc>
          <w:tcPr>
            <w:tcW w:w="1423" w:type="dxa"/>
          </w:tcPr>
          <w:p w:rsidR="003D5A00" w:rsidRPr="00CE319D" w:rsidRDefault="003D5A00" w:rsidP="007D1763">
            <w:pPr>
              <w:widowControl/>
              <w:rPr>
                <w:rFonts w:ascii="Arial Narrow" w:hAnsi="Arial Narrow"/>
                <w:sz w:val="20"/>
              </w:rPr>
            </w:pPr>
            <w:r w:rsidRPr="00CE319D">
              <w:rPr>
                <w:rFonts w:ascii="Arial Narrow" w:hAnsi="Arial Narrow"/>
                <w:sz w:val="20"/>
              </w:rPr>
              <w:t>0.92</w:t>
            </w:r>
          </w:p>
        </w:tc>
        <w:tc>
          <w:tcPr>
            <w:tcW w:w="1275" w:type="dxa"/>
          </w:tcPr>
          <w:p w:rsidR="003D5A00" w:rsidRPr="00CE319D" w:rsidRDefault="003D5A00" w:rsidP="007D1763">
            <w:pPr>
              <w:widowControl/>
              <w:rPr>
                <w:rFonts w:ascii="Arial Narrow" w:hAnsi="Arial Narrow"/>
                <w:sz w:val="20"/>
              </w:rPr>
            </w:pPr>
            <w:r w:rsidRPr="00CE319D">
              <w:rPr>
                <w:rFonts w:ascii="Arial Narrow" w:hAnsi="Arial Narrow"/>
                <w:sz w:val="20"/>
              </w:rPr>
              <w:t>0.69, 1.21</w:t>
            </w:r>
          </w:p>
        </w:tc>
      </w:tr>
    </w:tbl>
    <w:p w:rsidR="00166C5D" w:rsidRDefault="00166C5D" w:rsidP="007D1763">
      <w:pPr>
        <w:pStyle w:val="TableFooter"/>
        <w:widowControl/>
        <w:ind w:left="720"/>
        <w:rPr>
          <w:rStyle w:val="CommentReference"/>
          <w:b w:val="0"/>
          <w:sz w:val="18"/>
          <w:szCs w:val="20"/>
        </w:rPr>
      </w:pPr>
      <w:r>
        <w:rPr>
          <w:rStyle w:val="CommentReference"/>
          <w:b w:val="0"/>
          <w:sz w:val="18"/>
          <w:szCs w:val="20"/>
        </w:rPr>
        <w:t>Note: analysis includes CSLCT, Kieninger et al. (2013) and Tinoco et al. (2014)</w:t>
      </w:r>
    </w:p>
    <w:p w:rsidR="003D5A00" w:rsidRPr="00CE319D" w:rsidRDefault="003D5A00" w:rsidP="007D1763">
      <w:pPr>
        <w:pStyle w:val="TableFooter"/>
        <w:widowControl/>
        <w:ind w:left="720"/>
        <w:rPr>
          <w:rStyle w:val="CommentReference"/>
          <w:b w:val="0"/>
          <w:sz w:val="18"/>
          <w:szCs w:val="20"/>
        </w:rPr>
      </w:pPr>
      <w:r w:rsidRPr="00F435C4">
        <w:rPr>
          <w:rStyle w:val="CommentReference"/>
          <w:b w:val="0"/>
          <w:sz w:val="18"/>
          <w:szCs w:val="20"/>
        </w:rPr>
        <w:t>Source: Table B.6.23, p. 61 of the submission</w:t>
      </w:r>
    </w:p>
    <w:p w:rsidR="003D5A00" w:rsidRDefault="003D5A00" w:rsidP="007D1763">
      <w:pPr>
        <w:widowControl/>
        <w:ind w:left="720"/>
        <w:rPr>
          <w:rStyle w:val="CommentReference"/>
        </w:rPr>
      </w:pPr>
    </w:p>
    <w:p w:rsidR="003D5A00" w:rsidRDefault="00453EB5" w:rsidP="007D1763">
      <w:pPr>
        <w:keepNext/>
        <w:widowControl/>
        <w:ind w:left="720"/>
        <w:rPr>
          <w:rStyle w:val="CommentReference"/>
        </w:rPr>
      </w:pPr>
      <w:r>
        <w:rPr>
          <w:rStyle w:val="CommentReference"/>
        </w:rPr>
        <w:t xml:space="preserve">Table </w:t>
      </w:r>
      <w:r w:rsidR="003D5A00">
        <w:rPr>
          <w:rStyle w:val="CommentReference"/>
        </w:rPr>
        <w:t>5</w:t>
      </w:r>
      <w:r w:rsidR="003D5A00" w:rsidRPr="00CE319D">
        <w:rPr>
          <w:rStyle w:val="CommentReference"/>
        </w:rPr>
        <w:t xml:space="preserve">: Summary of results of the indirect comparison – </w:t>
      </w:r>
      <w:r w:rsidR="003D5A00">
        <w:rPr>
          <w:rStyle w:val="CommentReference"/>
        </w:rPr>
        <w:t>mean difference in SCR</w:t>
      </w:r>
    </w:p>
    <w:tbl>
      <w:tblPr>
        <w:tblW w:w="847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1"/>
        <w:gridCol w:w="825"/>
        <w:gridCol w:w="1330"/>
        <w:gridCol w:w="1330"/>
        <w:gridCol w:w="1330"/>
        <w:gridCol w:w="1280"/>
        <w:gridCol w:w="1526"/>
      </w:tblGrid>
      <w:tr w:rsidR="003D5A00" w:rsidRPr="00CE319D" w:rsidTr="00453EB5">
        <w:tc>
          <w:tcPr>
            <w:tcW w:w="851" w:type="dxa"/>
            <w:vMerge w:val="restart"/>
            <w:shd w:val="clear" w:color="auto" w:fill="auto"/>
          </w:tcPr>
          <w:p w:rsidR="003D5A00" w:rsidRPr="00CE319D" w:rsidRDefault="003D5A00" w:rsidP="007D1763">
            <w:pPr>
              <w:keepNext/>
              <w:widowControl/>
              <w:rPr>
                <w:rFonts w:ascii="Arial Narrow" w:hAnsi="Arial Narrow"/>
                <w:b/>
                <w:sz w:val="20"/>
              </w:rPr>
            </w:pPr>
            <w:r w:rsidRPr="00CE319D">
              <w:rPr>
                <w:rFonts w:ascii="Arial Narrow" w:hAnsi="Arial Narrow"/>
                <w:b/>
                <w:sz w:val="20"/>
              </w:rPr>
              <w:t>Strain</w:t>
            </w:r>
          </w:p>
        </w:tc>
        <w:tc>
          <w:tcPr>
            <w:tcW w:w="2155" w:type="dxa"/>
            <w:gridSpan w:val="2"/>
            <w:shd w:val="clear" w:color="auto" w:fill="auto"/>
          </w:tcPr>
          <w:p w:rsidR="003D5A00" w:rsidRPr="00CE319D" w:rsidRDefault="004E6343" w:rsidP="007D1763">
            <w:pPr>
              <w:keepNext/>
              <w:widowControl/>
              <w:rPr>
                <w:rFonts w:ascii="Arial Narrow" w:hAnsi="Arial Narrow"/>
                <w:b/>
                <w:sz w:val="20"/>
              </w:rPr>
            </w:pPr>
            <w:r>
              <w:rPr>
                <w:rFonts w:ascii="Arial Narrow" w:hAnsi="Arial Narrow"/>
                <w:b/>
                <w:sz w:val="20"/>
              </w:rPr>
              <w:t>Afluria</w:t>
            </w:r>
            <w:r w:rsidR="003D5A00" w:rsidRPr="00CE319D">
              <w:rPr>
                <w:rFonts w:ascii="Arial Narrow" w:hAnsi="Arial Narrow"/>
                <w:b/>
                <w:sz w:val="20"/>
              </w:rPr>
              <w:t>® Quad (TIV – QIV)</w:t>
            </w:r>
          </w:p>
        </w:tc>
        <w:tc>
          <w:tcPr>
            <w:tcW w:w="2660" w:type="dxa"/>
            <w:gridSpan w:val="2"/>
            <w:shd w:val="clear" w:color="auto" w:fill="auto"/>
          </w:tcPr>
          <w:p w:rsidR="003D5A00" w:rsidRPr="00CE319D" w:rsidRDefault="003D5A00" w:rsidP="007D1763">
            <w:pPr>
              <w:keepNext/>
              <w:widowControl/>
              <w:rPr>
                <w:rFonts w:ascii="Arial Narrow" w:hAnsi="Arial Narrow"/>
                <w:b/>
                <w:sz w:val="20"/>
              </w:rPr>
            </w:pPr>
            <w:r w:rsidRPr="00CE319D">
              <w:rPr>
                <w:rFonts w:ascii="Arial Narrow" w:hAnsi="Arial Narrow"/>
                <w:b/>
                <w:sz w:val="20"/>
              </w:rPr>
              <w:t>Fluarix® Tetra (TIV – QIV)</w:t>
            </w:r>
          </w:p>
        </w:tc>
        <w:tc>
          <w:tcPr>
            <w:tcW w:w="2806" w:type="dxa"/>
            <w:gridSpan w:val="2"/>
            <w:shd w:val="clear" w:color="auto" w:fill="auto"/>
          </w:tcPr>
          <w:p w:rsidR="003D5A00" w:rsidRPr="00CE319D" w:rsidRDefault="004E6343" w:rsidP="007D1763">
            <w:pPr>
              <w:keepNext/>
              <w:widowControl/>
              <w:rPr>
                <w:rFonts w:ascii="Arial Narrow" w:hAnsi="Arial Narrow"/>
                <w:b/>
                <w:sz w:val="20"/>
              </w:rPr>
            </w:pPr>
            <w:r>
              <w:rPr>
                <w:rFonts w:ascii="Arial Narrow" w:hAnsi="Arial Narrow"/>
                <w:b/>
                <w:sz w:val="20"/>
              </w:rPr>
              <w:t>Afluria</w:t>
            </w:r>
            <w:r w:rsidR="003D5A00" w:rsidRPr="00CE319D">
              <w:rPr>
                <w:rFonts w:ascii="Arial Narrow" w:hAnsi="Arial Narrow"/>
                <w:b/>
                <w:sz w:val="20"/>
              </w:rPr>
              <w:t>® Quad vs Fluarix® Tetra</w:t>
            </w:r>
          </w:p>
        </w:tc>
      </w:tr>
      <w:tr w:rsidR="003D5A00" w:rsidRPr="00CE319D" w:rsidTr="00453EB5">
        <w:tc>
          <w:tcPr>
            <w:tcW w:w="851" w:type="dxa"/>
            <w:vMerge/>
            <w:shd w:val="clear" w:color="auto" w:fill="auto"/>
          </w:tcPr>
          <w:p w:rsidR="003D5A00" w:rsidRPr="00CE319D" w:rsidRDefault="003D5A00" w:rsidP="007D1763">
            <w:pPr>
              <w:widowControl/>
              <w:rPr>
                <w:rFonts w:ascii="Arial Narrow" w:hAnsi="Arial Narrow"/>
                <w:b/>
                <w:sz w:val="20"/>
              </w:rPr>
            </w:pPr>
          </w:p>
        </w:tc>
        <w:tc>
          <w:tcPr>
            <w:tcW w:w="825"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SCR MD</w:t>
            </w:r>
          </w:p>
        </w:tc>
        <w:tc>
          <w:tcPr>
            <w:tcW w:w="1330"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c>
          <w:tcPr>
            <w:tcW w:w="1330"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SCR MD</w:t>
            </w:r>
          </w:p>
        </w:tc>
        <w:tc>
          <w:tcPr>
            <w:tcW w:w="1330"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c>
          <w:tcPr>
            <w:tcW w:w="1280"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SCR MD</w:t>
            </w:r>
          </w:p>
        </w:tc>
        <w:tc>
          <w:tcPr>
            <w:tcW w:w="1526" w:type="dxa"/>
            <w:shd w:val="clear" w:color="auto" w:fill="auto"/>
          </w:tcPr>
          <w:p w:rsidR="003D5A00" w:rsidRPr="00CE319D" w:rsidRDefault="003D5A00" w:rsidP="007D1763">
            <w:pPr>
              <w:widowControl/>
              <w:rPr>
                <w:rFonts w:ascii="Arial Narrow" w:hAnsi="Arial Narrow"/>
                <w:b/>
                <w:sz w:val="20"/>
              </w:rPr>
            </w:pPr>
            <w:r w:rsidRPr="00CE319D">
              <w:rPr>
                <w:rFonts w:ascii="Arial Narrow" w:hAnsi="Arial Narrow"/>
                <w:b/>
                <w:sz w:val="20"/>
              </w:rPr>
              <w:t>95% CI</w:t>
            </w:r>
          </w:p>
        </w:tc>
      </w:tr>
      <w:tr w:rsidR="003D5A00" w:rsidRPr="00CE319D" w:rsidTr="00453EB5">
        <w:tc>
          <w:tcPr>
            <w:tcW w:w="851" w:type="dxa"/>
            <w:shd w:val="clear" w:color="auto" w:fill="auto"/>
          </w:tcPr>
          <w:p w:rsidR="003D5A00" w:rsidRPr="00CE319D" w:rsidRDefault="003D5A00" w:rsidP="007D1763">
            <w:pPr>
              <w:widowControl/>
              <w:rPr>
                <w:rFonts w:ascii="Arial Narrow" w:hAnsi="Arial Narrow"/>
                <w:sz w:val="20"/>
              </w:rPr>
            </w:pPr>
            <w:r w:rsidRPr="00CE319D">
              <w:rPr>
                <w:rFonts w:ascii="Arial Narrow" w:hAnsi="Arial Narrow"/>
                <w:sz w:val="20"/>
              </w:rPr>
              <w:t>A/H1N1</w:t>
            </w:r>
          </w:p>
        </w:tc>
        <w:tc>
          <w:tcPr>
            <w:tcW w:w="825"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-1.1</w:t>
            </w:r>
          </w:p>
        </w:tc>
        <w:tc>
          <w:tcPr>
            <w:tcW w:w="1330"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-4.4, 2.2</w:t>
            </w:r>
          </w:p>
        </w:tc>
        <w:tc>
          <w:tcPr>
            <w:tcW w:w="1330"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1.08</w:t>
            </w:r>
          </w:p>
        </w:tc>
        <w:tc>
          <w:tcPr>
            <w:tcW w:w="1330"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-2.03, 4.11</w:t>
            </w:r>
          </w:p>
        </w:tc>
        <w:tc>
          <w:tcPr>
            <w:tcW w:w="1280"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2.18</w:t>
            </w:r>
          </w:p>
        </w:tc>
        <w:tc>
          <w:tcPr>
            <w:tcW w:w="1526" w:type="dxa"/>
            <w:shd w:val="clear" w:color="auto" w:fill="auto"/>
          </w:tcPr>
          <w:p w:rsidR="003D5A00" w:rsidRPr="0076386D" w:rsidRDefault="003D5A00" w:rsidP="007D1763">
            <w:pPr>
              <w:widowControl/>
              <w:rPr>
                <w:rFonts w:ascii="Arial Narrow" w:hAnsi="Arial Narrow"/>
                <w:sz w:val="20"/>
              </w:rPr>
            </w:pPr>
            <w:r w:rsidRPr="0076386D">
              <w:rPr>
                <w:rFonts w:ascii="Arial Narrow" w:hAnsi="Arial Narrow"/>
                <w:sz w:val="20"/>
              </w:rPr>
              <w:t>-2.33, 6.69</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A/H3N2</w:t>
            </w:r>
          </w:p>
        </w:tc>
        <w:tc>
          <w:tcPr>
            <w:tcW w:w="825" w:type="dxa"/>
          </w:tcPr>
          <w:p w:rsidR="003D5A00" w:rsidRPr="0076386D" w:rsidRDefault="003D5A00" w:rsidP="007D1763">
            <w:pPr>
              <w:widowControl/>
              <w:rPr>
                <w:rFonts w:ascii="Arial Narrow" w:hAnsi="Arial Narrow"/>
                <w:sz w:val="20"/>
              </w:rPr>
            </w:pPr>
            <w:r w:rsidRPr="0076386D">
              <w:rPr>
                <w:rFonts w:ascii="Arial Narrow" w:hAnsi="Arial Narrow"/>
                <w:sz w:val="20"/>
              </w:rPr>
              <w:t>-1.7</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-5.0, 1.6</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-3.71</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-7.15, -0.30</w:t>
            </w:r>
          </w:p>
        </w:tc>
        <w:tc>
          <w:tcPr>
            <w:tcW w:w="1280" w:type="dxa"/>
          </w:tcPr>
          <w:p w:rsidR="003D5A00" w:rsidRPr="0076386D" w:rsidRDefault="003D5A00" w:rsidP="007D1763">
            <w:pPr>
              <w:widowControl/>
              <w:rPr>
                <w:rFonts w:ascii="Arial Narrow" w:hAnsi="Arial Narrow"/>
                <w:sz w:val="20"/>
              </w:rPr>
            </w:pPr>
            <w:r w:rsidRPr="0076386D">
              <w:rPr>
                <w:rFonts w:ascii="Arial Narrow" w:hAnsi="Arial Narrow"/>
                <w:sz w:val="20"/>
              </w:rPr>
              <w:t>-2.01</w:t>
            </w:r>
          </w:p>
        </w:tc>
        <w:tc>
          <w:tcPr>
            <w:tcW w:w="1526" w:type="dxa"/>
          </w:tcPr>
          <w:p w:rsidR="003D5A00" w:rsidRPr="0076386D" w:rsidRDefault="003D5A00" w:rsidP="007D1763">
            <w:pPr>
              <w:widowControl/>
              <w:rPr>
                <w:rFonts w:ascii="Arial Narrow" w:hAnsi="Arial Narrow"/>
                <w:sz w:val="20"/>
              </w:rPr>
            </w:pPr>
            <w:r w:rsidRPr="0076386D">
              <w:rPr>
                <w:rFonts w:ascii="Arial Narrow" w:hAnsi="Arial Narrow"/>
                <w:sz w:val="20"/>
              </w:rPr>
              <w:t>-6.77, 2.75</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B/YAM</w:t>
            </w:r>
          </w:p>
        </w:tc>
        <w:tc>
          <w:tcPr>
            <w:tcW w:w="825" w:type="dxa"/>
          </w:tcPr>
          <w:p w:rsidR="003D5A00" w:rsidRPr="0076386D" w:rsidRDefault="003D5A00" w:rsidP="007D1763">
            <w:pPr>
              <w:widowControl/>
              <w:rPr>
                <w:rFonts w:ascii="Arial Narrow" w:hAnsi="Arial Narrow"/>
                <w:sz w:val="20"/>
              </w:rPr>
            </w:pPr>
            <w:r w:rsidRPr="0076386D">
              <w:rPr>
                <w:rFonts w:ascii="Arial Narrow" w:hAnsi="Arial Narrow"/>
                <w:sz w:val="20"/>
              </w:rPr>
              <w:t>-3.2</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-7.0, 0.5</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-2.69</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-7.47, 2.01</w:t>
            </w:r>
          </w:p>
        </w:tc>
        <w:tc>
          <w:tcPr>
            <w:tcW w:w="1280" w:type="dxa"/>
          </w:tcPr>
          <w:p w:rsidR="003D5A00" w:rsidRPr="0076386D" w:rsidRDefault="003D5A00" w:rsidP="007D1763">
            <w:pPr>
              <w:widowControl/>
              <w:rPr>
                <w:rFonts w:ascii="Arial Narrow" w:hAnsi="Arial Narrow"/>
                <w:sz w:val="20"/>
              </w:rPr>
            </w:pPr>
            <w:r w:rsidRPr="0076386D">
              <w:rPr>
                <w:rFonts w:ascii="Arial Narrow" w:hAnsi="Arial Narrow"/>
                <w:sz w:val="20"/>
              </w:rPr>
              <w:t>0.51</w:t>
            </w:r>
          </w:p>
        </w:tc>
        <w:tc>
          <w:tcPr>
            <w:tcW w:w="1526" w:type="dxa"/>
          </w:tcPr>
          <w:p w:rsidR="003D5A00" w:rsidRPr="0076386D" w:rsidRDefault="003D5A00" w:rsidP="007D1763">
            <w:pPr>
              <w:widowControl/>
              <w:rPr>
                <w:rFonts w:ascii="Arial Narrow" w:hAnsi="Arial Narrow"/>
                <w:sz w:val="20"/>
              </w:rPr>
            </w:pPr>
            <w:r w:rsidRPr="0076386D">
              <w:rPr>
                <w:rFonts w:ascii="Arial Narrow" w:hAnsi="Arial Narrow"/>
                <w:sz w:val="20"/>
              </w:rPr>
              <w:t>-5.53, 6.55</w:t>
            </w:r>
          </w:p>
        </w:tc>
      </w:tr>
      <w:tr w:rsidR="003D5A00" w:rsidRPr="00CE319D" w:rsidTr="00453EB5">
        <w:tc>
          <w:tcPr>
            <w:tcW w:w="851" w:type="dxa"/>
          </w:tcPr>
          <w:p w:rsidR="003D5A00" w:rsidRPr="00CE319D" w:rsidRDefault="003D5A00" w:rsidP="007D1763">
            <w:pPr>
              <w:widowControl/>
              <w:rPr>
                <w:rFonts w:ascii="Arial Narrow" w:hAnsi="Arial Narrow"/>
                <w:sz w:val="20"/>
              </w:rPr>
            </w:pPr>
            <w:r w:rsidRPr="00CE319D">
              <w:rPr>
                <w:rFonts w:ascii="Arial Narrow" w:hAnsi="Arial Narrow"/>
                <w:sz w:val="20"/>
              </w:rPr>
              <w:t>B/VIC</w:t>
            </w:r>
          </w:p>
        </w:tc>
        <w:tc>
          <w:tcPr>
            <w:tcW w:w="825" w:type="dxa"/>
          </w:tcPr>
          <w:p w:rsidR="003D5A00" w:rsidRPr="0076386D" w:rsidRDefault="003D5A00" w:rsidP="007D1763">
            <w:pPr>
              <w:widowControl/>
              <w:rPr>
                <w:rFonts w:ascii="Arial Narrow" w:hAnsi="Arial Narrow"/>
                <w:sz w:val="20"/>
              </w:rPr>
            </w:pPr>
            <w:r w:rsidRPr="0076386D">
              <w:rPr>
                <w:rFonts w:ascii="Arial Narrow" w:hAnsi="Arial Narrow"/>
                <w:sz w:val="20"/>
              </w:rPr>
              <w:t>-1.6</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-5.6, 2.4</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-2.71</w:t>
            </w:r>
          </w:p>
        </w:tc>
        <w:tc>
          <w:tcPr>
            <w:tcW w:w="1330" w:type="dxa"/>
          </w:tcPr>
          <w:p w:rsidR="003D5A00" w:rsidRPr="0076386D" w:rsidRDefault="003D5A00" w:rsidP="007D1763">
            <w:pPr>
              <w:widowControl/>
              <w:rPr>
                <w:rFonts w:ascii="Arial Narrow" w:hAnsi="Arial Narrow"/>
                <w:sz w:val="20"/>
              </w:rPr>
            </w:pPr>
            <w:r w:rsidRPr="0076386D">
              <w:rPr>
                <w:rFonts w:ascii="Arial Narrow" w:hAnsi="Arial Narrow"/>
                <w:sz w:val="20"/>
              </w:rPr>
              <w:t>-7.29, 1.83</w:t>
            </w:r>
          </w:p>
        </w:tc>
        <w:tc>
          <w:tcPr>
            <w:tcW w:w="1280" w:type="dxa"/>
          </w:tcPr>
          <w:p w:rsidR="003D5A00" w:rsidRPr="0076386D" w:rsidRDefault="003D5A00" w:rsidP="007D1763">
            <w:pPr>
              <w:widowControl/>
              <w:rPr>
                <w:rFonts w:ascii="Arial Narrow" w:hAnsi="Arial Narrow"/>
                <w:sz w:val="20"/>
              </w:rPr>
            </w:pPr>
            <w:r w:rsidRPr="0076386D">
              <w:rPr>
                <w:rFonts w:ascii="Arial Narrow" w:hAnsi="Arial Narrow"/>
                <w:sz w:val="20"/>
              </w:rPr>
              <w:t>-1.11</w:t>
            </w:r>
          </w:p>
        </w:tc>
        <w:tc>
          <w:tcPr>
            <w:tcW w:w="1526" w:type="dxa"/>
          </w:tcPr>
          <w:p w:rsidR="003D5A00" w:rsidRPr="0076386D" w:rsidRDefault="003D5A00" w:rsidP="007D1763">
            <w:pPr>
              <w:widowControl/>
              <w:rPr>
                <w:rFonts w:ascii="Arial Narrow" w:hAnsi="Arial Narrow"/>
                <w:sz w:val="20"/>
              </w:rPr>
            </w:pPr>
            <w:r w:rsidRPr="0076386D">
              <w:rPr>
                <w:rFonts w:ascii="Arial Narrow" w:hAnsi="Arial Narrow"/>
                <w:sz w:val="20"/>
              </w:rPr>
              <w:t>-7.18, 4.96</w:t>
            </w:r>
          </w:p>
        </w:tc>
      </w:tr>
    </w:tbl>
    <w:p w:rsidR="00166C5D" w:rsidRDefault="00166C5D" w:rsidP="007D1763">
      <w:pPr>
        <w:pStyle w:val="TableFooter"/>
        <w:widowControl/>
        <w:ind w:left="720"/>
        <w:rPr>
          <w:rStyle w:val="CommentReference"/>
          <w:b w:val="0"/>
          <w:sz w:val="18"/>
          <w:szCs w:val="20"/>
        </w:rPr>
      </w:pPr>
      <w:r>
        <w:rPr>
          <w:rStyle w:val="CommentReference"/>
          <w:b w:val="0"/>
          <w:sz w:val="18"/>
          <w:szCs w:val="20"/>
        </w:rPr>
        <w:t>Note: analysis includes CSLCT and Kieninger et al. (2013)</w:t>
      </w:r>
    </w:p>
    <w:p w:rsidR="003D5A00" w:rsidRPr="00CE319D" w:rsidRDefault="003D5A00" w:rsidP="007D1763">
      <w:pPr>
        <w:pStyle w:val="TableFooter"/>
        <w:widowControl/>
        <w:ind w:left="720"/>
        <w:rPr>
          <w:rStyle w:val="CommentReference"/>
          <w:b w:val="0"/>
          <w:sz w:val="18"/>
          <w:szCs w:val="20"/>
        </w:rPr>
      </w:pPr>
      <w:r w:rsidRPr="00F435C4">
        <w:rPr>
          <w:rStyle w:val="CommentReference"/>
          <w:b w:val="0"/>
          <w:sz w:val="18"/>
          <w:szCs w:val="20"/>
        </w:rPr>
        <w:t>Source: Table B.6.24, p. 61 of the submission</w:t>
      </w:r>
    </w:p>
    <w:p w:rsidR="00CF6FA5" w:rsidRDefault="00CF6FA5" w:rsidP="007D1763">
      <w:pPr>
        <w:widowControl/>
        <w:tabs>
          <w:tab w:val="left" w:pos="1888"/>
        </w:tabs>
        <w:rPr>
          <w:i/>
          <w:szCs w:val="22"/>
        </w:rPr>
      </w:pPr>
      <w:r>
        <w:rPr>
          <w:i/>
          <w:szCs w:val="22"/>
        </w:rPr>
        <w:tab/>
      </w:r>
    </w:p>
    <w:p w:rsidR="00B60939" w:rsidRPr="002C2775" w:rsidRDefault="00B60939" w:rsidP="00746A1B">
      <w:pPr>
        <w:pStyle w:val="Heading2"/>
      </w:pPr>
      <w:bookmarkStart w:id="10" w:name="_Toc457319189"/>
      <w:r w:rsidRPr="002C2775">
        <w:t>Comparative harms</w:t>
      </w:r>
      <w:bookmarkEnd w:id="10"/>
    </w:p>
    <w:p w:rsidR="00B60939" w:rsidRPr="00882085" w:rsidRDefault="00B60939" w:rsidP="007D1763">
      <w:pPr>
        <w:widowControl/>
        <w:ind w:left="720" w:hanging="720"/>
        <w:rPr>
          <w:szCs w:val="22"/>
        </w:rPr>
      </w:pPr>
    </w:p>
    <w:p w:rsidR="00B60939" w:rsidRDefault="00B44099" w:rsidP="007D1763">
      <w:pPr>
        <w:pStyle w:val="ListParagraph"/>
        <w:widowControl/>
        <w:numPr>
          <w:ilvl w:val="1"/>
          <w:numId w:val="1"/>
        </w:numPr>
      </w:pPr>
      <w:r w:rsidRPr="000A1FF9">
        <w:t>The submission presented pat</w:t>
      </w:r>
      <w:r w:rsidR="00063984">
        <w:t>i</w:t>
      </w:r>
      <w:r w:rsidRPr="000A1FF9">
        <w:t>ent</w:t>
      </w:r>
      <w:r w:rsidRPr="000A1FF9">
        <w:noBreakHyphen/>
        <w:t xml:space="preserve">relevant harms in the form of vaccine related symptoms. </w:t>
      </w:r>
      <w:r w:rsidR="007C1CB5">
        <w:t xml:space="preserve">The </w:t>
      </w:r>
      <w:r w:rsidR="00C039BB">
        <w:t xml:space="preserve">evaluation </w:t>
      </w:r>
      <w:r w:rsidR="007C1CB5">
        <w:t>considered that t</w:t>
      </w:r>
      <w:r w:rsidR="00626219">
        <w:t xml:space="preserve">he </w:t>
      </w:r>
      <w:r w:rsidR="00FA4F6B">
        <w:t xml:space="preserve">safety profile of </w:t>
      </w:r>
      <w:r w:rsidR="004E6343">
        <w:t>Afluria</w:t>
      </w:r>
      <w:r w:rsidR="00FA4F6B">
        <w:t>® Quad appeared to be</w:t>
      </w:r>
      <w:r w:rsidR="00381476">
        <w:t xml:space="preserve"> similar to Fluarix®</w:t>
      </w:r>
      <w:r w:rsidR="009F7698">
        <w:t> </w:t>
      </w:r>
      <w:r w:rsidR="00381476">
        <w:t xml:space="preserve">Tetra. </w:t>
      </w:r>
    </w:p>
    <w:p w:rsidR="00381476" w:rsidRPr="00882085" w:rsidRDefault="00381476" w:rsidP="007D1763">
      <w:pPr>
        <w:pStyle w:val="ListParagraph"/>
        <w:widowControl/>
      </w:pPr>
    </w:p>
    <w:p w:rsidR="00B60939" w:rsidRPr="002C2775" w:rsidRDefault="00B60939" w:rsidP="00746A1B">
      <w:pPr>
        <w:pStyle w:val="Heading2"/>
      </w:pPr>
      <w:bookmarkStart w:id="11" w:name="_Toc457319190"/>
      <w:r w:rsidRPr="002C2775">
        <w:t>Clinical claim</w:t>
      </w:r>
      <w:bookmarkEnd w:id="11"/>
    </w:p>
    <w:p w:rsidR="00B60939" w:rsidRPr="000A1FF9" w:rsidRDefault="00B60939" w:rsidP="0094628E">
      <w:pPr>
        <w:keepNext/>
        <w:widowControl/>
        <w:ind w:left="720" w:hanging="720"/>
        <w:rPr>
          <w:szCs w:val="22"/>
        </w:rPr>
      </w:pPr>
    </w:p>
    <w:p w:rsidR="00B60939" w:rsidRDefault="000A1FF9" w:rsidP="007D1763">
      <w:pPr>
        <w:pStyle w:val="ListParagraph"/>
        <w:widowControl/>
        <w:numPr>
          <w:ilvl w:val="1"/>
          <w:numId w:val="1"/>
        </w:numPr>
      </w:pPr>
      <w:r w:rsidRPr="000A1FF9">
        <w:t xml:space="preserve">The submission described </w:t>
      </w:r>
      <w:r w:rsidR="004E6343">
        <w:t>Afluria</w:t>
      </w:r>
      <w:r w:rsidRPr="000A1FF9">
        <w:t>® Quad as non-inferior in terms of comparative effectiveness and non-inferior in terms of comparative safety over Fluarix® Tetra</w:t>
      </w:r>
      <w:r>
        <w:t xml:space="preserve"> in adults</w:t>
      </w:r>
      <w:r w:rsidRPr="000A1FF9">
        <w:t xml:space="preserve">. </w:t>
      </w:r>
      <w:r w:rsidR="007C1CB5" w:rsidRPr="00DD6F5D">
        <w:t>The PBAC considered that t</w:t>
      </w:r>
      <w:r w:rsidRPr="00DD6F5D">
        <w:t>h</w:t>
      </w:r>
      <w:r w:rsidR="007C1CB5" w:rsidRPr="00DD6F5D">
        <w:t>ese</w:t>
      </w:r>
      <w:r w:rsidRPr="00DD6F5D">
        <w:t xml:space="preserve"> claim</w:t>
      </w:r>
      <w:r w:rsidR="007C1CB5" w:rsidRPr="00DD6F5D">
        <w:t>s</w:t>
      </w:r>
      <w:r w:rsidRPr="00DD6F5D">
        <w:t xml:space="preserve"> w</w:t>
      </w:r>
      <w:r w:rsidR="007C1CB5" w:rsidRPr="00DD6F5D">
        <w:t>ere</w:t>
      </w:r>
      <w:r w:rsidRPr="00DD6F5D">
        <w:t xml:space="preserve"> </w:t>
      </w:r>
      <w:r w:rsidR="00DD6F5D" w:rsidRPr="00DD6F5D">
        <w:t>reasonable</w:t>
      </w:r>
      <w:r w:rsidRPr="00DD6F5D">
        <w:t>.</w:t>
      </w:r>
    </w:p>
    <w:p w:rsidR="00D16880" w:rsidRDefault="00D16880" w:rsidP="007D1763">
      <w:pPr>
        <w:pStyle w:val="ListParagraph"/>
        <w:widowControl/>
      </w:pPr>
    </w:p>
    <w:p w:rsidR="00CF6FA5" w:rsidRPr="00CF6FA5" w:rsidRDefault="00CF6FA5" w:rsidP="007D1763">
      <w:pPr>
        <w:pStyle w:val="ListParagraph"/>
        <w:widowControl/>
        <w:rPr>
          <w:i/>
          <w:szCs w:val="22"/>
        </w:rPr>
      </w:pPr>
      <w:r w:rsidRPr="00F435C4">
        <w:rPr>
          <w:i/>
          <w:szCs w:val="22"/>
        </w:rPr>
        <w:t>For more detail on PBAC’s view, see section 7 “PBAC outcome”</w:t>
      </w:r>
    </w:p>
    <w:p w:rsidR="00C006FD" w:rsidRDefault="00C006FD" w:rsidP="00746A1B">
      <w:pPr>
        <w:pStyle w:val="BodyText"/>
      </w:pPr>
    </w:p>
    <w:p w:rsidR="00B60939" w:rsidRPr="002C2775" w:rsidRDefault="00B60939" w:rsidP="00746A1B">
      <w:pPr>
        <w:pStyle w:val="Heading2"/>
      </w:pPr>
      <w:bookmarkStart w:id="12" w:name="_Toc457319191"/>
      <w:r w:rsidRPr="002C2775">
        <w:t>Economic analysis</w:t>
      </w:r>
      <w:bookmarkEnd w:id="12"/>
      <w:r w:rsidR="00491B3A" w:rsidRPr="002C2775">
        <w:t xml:space="preserve"> </w:t>
      </w:r>
    </w:p>
    <w:p w:rsidR="00B60939" w:rsidRPr="00882085" w:rsidRDefault="00B60939" w:rsidP="007D1763">
      <w:pPr>
        <w:widowControl/>
        <w:ind w:left="720" w:hanging="720"/>
        <w:rPr>
          <w:szCs w:val="22"/>
        </w:rPr>
      </w:pPr>
    </w:p>
    <w:p w:rsidR="000973AF" w:rsidRPr="00D16880" w:rsidRDefault="000973AF" w:rsidP="007D1763">
      <w:pPr>
        <w:pStyle w:val="ListParagraph"/>
        <w:widowControl/>
        <w:numPr>
          <w:ilvl w:val="1"/>
          <w:numId w:val="1"/>
        </w:numPr>
        <w:rPr>
          <w:szCs w:val="22"/>
        </w:rPr>
      </w:pPr>
      <w:r w:rsidRPr="000973AF">
        <w:t xml:space="preserve">The submission provided a cost-minimisation analysis and considered </w:t>
      </w:r>
      <w:r w:rsidR="004E6343">
        <w:t>Afluria</w:t>
      </w:r>
      <w:r w:rsidRPr="000973AF">
        <w:t xml:space="preserve">® Quad to be equivalent to Fluarix® Tetra. </w:t>
      </w:r>
    </w:p>
    <w:p w:rsidR="000973AF" w:rsidRPr="000973AF" w:rsidRDefault="000973AF" w:rsidP="007D1763">
      <w:pPr>
        <w:pStyle w:val="ListParagraph"/>
        <w:widowControl/>
        <w:rPr>
          <w:szCs w:val="22"/>
          <w:highlight w:val="yellow"/>
        </w:rPr>
      </w:pPr>
    </w:p>
    <w:p w:rsidR="000973AF" w:rsidRPr="00D16880" w:rsidRDefault="00A86E8B" w:rsidP="007D1763">
      <w:pPr>
        <w:pStyle w:val="ListParagraph"/>
        <w:widowControl/>
        <w:numPr>
          <w:ilvl w:val="1"/>
          <w:numId w:val="1"/>
        </w:numPr>
        <w:rPr>
          <w:szCs w:val="22"/>
        </w:rPr>
      </w:pPr>
      <w:r w:rsidRPr="001222FC">
        <w:t xml:space="preserve">The equi-effective doses are estimated as </w:t>
      </w:r>
      <w:r w:rsidR="004E6343">
        <w:t>Afluria</w:t>
      </w:r>
      <w:r w:rsidR="000973AF">
        <w:t>® Quad 0.5</w:t>
      </w:r>
      <w:r w:rsidR="009F7698">
        <w:t xml:space="preserve"> </w:t>
      </w:r>
      <w:r w:rsidR="000973AF">
        <w:t>m</w:t>
      </w:r>
      <w:r w:rsidR="009F7698">
        <w:t>L</w:t>
      </w:r>
      <w:r w:rsidR="000973AF">
        <w:t xml:space="preserve"> 15</w:t>
      </w:r>
      <w:r w:rsidR="009F7698">
        <w:t xml:space="preserve"> </w:t>
      </w:r>
      <w:r w:rsidR="000973AF">
        <w:t>μ</w:t>
      </w:r>
      <w:r w:rsidRPr="001222FC">
        <w:t>g</w:t>
      </w:r>
      <w:r w:rsidR="000973AF">
        <w:t xml:space="preserve"> HA/4 strains for once off vaccination annually</w:t>
      </w:r>
      <w:r w:rsidRPr="001222FC">
        <w:t xml:space="preserve"> and </w:t>
      </w:r>
      <w:r w:rsidR="000973AF">
        <w:t>Fluarix® Tetra 0.5</w:t>
      </w:r>
      <w:r w:rsidR="009F7698">
        <w:t xml:space="preserve"> </w:t>
      </w:r>
      <w:r w:rsidR="000973AF">
        <w:t>m</w:t>
      </w:r>
      <w:r w:rsidR="009F7698">
        <w:t>L</w:t>
      </w:r>
      <w:r w:rsidR="000973AF">
        <w:t xml:space="preserve"> 15</w:t>
      </w:r>
      <w:r w:rsidR="009F7698">
        <w:t xml:space="preserve"> </w:t>
      </w:r>
      <w:r w:rsidR="000973AF">
        <w:t>μ</w:t>
      </w:r>
      <w:r w:rsidR="000973AF" w:rsidRPr="001222FC">
        <w:t>g</w:t>
      </w:r>
      <w:r w:rsidR="000973AF">
        <w:t xml:space="preserve"> HA/4 strains for one off vaccination annually</w:t>
      </w:r>
      <w:r w:rsidR="000A1FF9">
        <w:t>.</w:t>
      </w:r>
    </w:p>
    <w:p w:rsidR="000A1FF9" w:rsidRPr="000A1FF9" w:rsidRDefault="000A1FF9" w:rsidP="007D1763">
      <w:pPr>
        <w:pStyle w:val="ListParagraph"/>
        <w:widowControl/>
        <w:rPr>
          <w:szCs w:val="22"/>
        </w:rPr>
      </w:pPr>
    </w:p>
    <w:p w:rsidR="00C01A6E" w:rsidRPr="00D16880" w:rsidRDefault="00453EB5" w:rsidP="008E5CB2">
      <w:pPr>
        <w:pStyle w:val="ListParagraph"/>
        <w:widowControl/>
        <w:numPr>
          <w:ilvl w:val="1"/>
          <w:numId w:val="1"/>
        </w:numPr>
        <w:rPr>
          <w:i/>
          <w:szCs w:val="22"/>
        </w:rPr>
      </w:pPr>
      <w:r>
        <w:rPr>
          <w:szCs w:val="22"/>
        </w:rPr>
        <w:t xml:space="preserve">The submission </w:t>
      </w:r>
      <w:r w:rsidR="00166C5D">
        <w:rPr>
          <w:szCs w:val="22"/>
        </w:rPr>
        <w:t>provides an indicative price</w:t>
      </w:r>
      <w:r w:rsidR="00C01A6E">
        <w:rPr>
          <w:szCs w:val="22"/>
        </w:rPr>
        <w:t xml:space="preserve"> </w:t>
      </w:r>
      <w:r w:rsidR="008E5CB2" w:rsidRPr="008E5CB2">
        <w:rPr>
          <w:szCs w:val="22"/>
        </w:rPr>
        <w:t xml:space="preserve">of Fluarix® Tetra </w:t>
      </w:r>
      <w:r w:rsidR="00C01A6E">
        <w:rPr>
          <w:szCs w:val="22"/>
        </w:rPr>
        <w:t xml:space="preserve">which </w:t>
      </w:r>
      <w:r w:rsidR="008E5CB2">
        <w:rPr>
          <w:szCs w:val="22"/>
        </w:rPr>
        <w:t>at that time was assumed to be</w:t>
      </w:r>
      <w:r w:rsidR="00C01A6E">
        <w:rPr>
          <w:szCs w:val="22"/>
        </w:rPr>
        <w:t xml:space="preserve"> </w:t>
      </w:r>
      <w:r w:rsidR="00166C5D">
        <w:rPr>
          <w:szCs w:val="22"/>
        </w:rPr>
        <w:t>$</w:t>
      </w:r>
      <w:r w:rsidR="00076FEF">
        <w:rPr>
          <w:noProof/>
          <w:color w:val="000000"/>
          <w:szCs w:val="22"/>
          <w:highlight w:val="black"/>
        </w:rPr>
        <w:t>''''''''''</w:t>
      </w:r>
      <w:r w:rsidR="00C01A6E">
        <w:rPr>
          <w:szCs w:val="22"/>
        </w:rPr>
        <w:t xml:space="preserve">. </w:t>
      </w:r>
    </w:p>
    <w:p w:rsidR="00C01A6E" w:rsidRPr="00C01A6E" w:rsidRDefault="00C01A6E" w:rsidP="007D1763">
      <w:pPr>
        <w:pStyle w:val="ListParagraph"/>
        <w:widowControl/>
        <w:rPr>
          <w:i/>
          <w:szCs w:val="22"/>
        </w:rPr>
      </w:pPr>
    </w:p>
    <w:p w:rsidR="00C01A6E" w:rsidRDefault="00C01A6E" w:rsidP="007D1763">
      <w:pPr>
        <w:pStyle w:val="ListParagraph"/>
        <w:widowControl/>
        <w:numPr>
          <w:ilvl w:val="1"/>
          <w:numId w:val="1"/>
        </w:numPr>
        <w:rPr>
          <w:szCs w:val="22"/>
        </w:rPr>
      </w:pPr>
      <w:r w:rsidRPr="00230CAA">
        <w:rPr>
          <w:szCs w:val="22"/>
        </w:rPr>
        <w:t xml:space="preserve">There was no impact of any additional costs/offsets for administration or adverse events. </w:t>
      </w:r>
    </w:p>
    <w:p w:rsidR="00C25D9C" w:rsidRPr="00230CAA" w:rsidRDefault="00C25D9C" w:rsidP="007D1763">
      <w:pPr>
        <w:widowControl/>
        <w:rPr>
          <w:szCs w:val="22"/>
        </w:rPr>
      </w:pPr>
    </w:p>
    <w:p w:rsidR="00C25D9C" w:rsidRPr="00230CAA" w:rsidRDefault="00784763" w:rsidP="00746A1B">
      <w:pPr>
        <w:pStyle w:val="Heading2"/>
        <w:rPr>
          <w:szCs w:val="22"/>
        </w:rPr>
      </w:pPr>
      <w:bookmarkStart w:id="13" w:name="_Toc457319192"/>
      <w:r w:rsidRPr="00230CAA">
        <w:t>Drug cost/patient/year</w:t>
      </w:r>
      <w:bookmarkEnd w:id="13"/>
      <w:r w:rsidR="00DE1FAD">
        <w:t>: $</w:t>
      </w:r>
      <w:r w:rsidR="00076FEF">
        <w:rPr>
          <w:noProof/>
          <w:color w:val="000000"/>
          <w:highlight w:val="black"/>
        </w:rPr>
        <w:t>''''''''</w:t>
      </w:r>
    </w:p>
    <w:p w:rsidR="00C25D9C" w:rsidRPr="00230CAA" w:rsidRDefault="00C25D9C" w:rsidP="007D1763">
      <w:pPr>
        <w:widowControl/>
        <w:rPr>
          <w:szCs w:val="22"/>
        </w:rPr>
      </w:pPr>
    </w:p>
    <w:p w:rsidR="00A86E8B" w:rsidRDefault="00784763" w:rsidP="007D1763">
      <w:pPr>
        <w:pStyle w:val="ListParagraph"/>
        <w:widowControl/>
        <w:numPr>
          <w:ilvl w:val="1"/>
          <w:numId w:val="1"/>
        </w:numPr>
        <w:rPr>
          <w:szCs w:val="22"/>
        </w:rPr>
      </w:pPr>
      <w:r w:rsidRPr="00230CAA">
        <w:rPr>
          <w:szCs w:val="22"/>
        </w:rPr>
        <w:t>The estimated cost per person per year was $</w:t>
      </w:r>
      <w:r w:rsidR="00076FEF">
        <w:rPr>
          <w:noProof/>
          <w:color w:val="000000"/>
          <w:szCs w:val="22"/>
          <w:highlight w:val="black"/>
        </w:rPr>
        <w:t>'''''''''''</w:t>
      </w:r>
      <w:r w:rsidRPr="00230CAA">
        <w:rPr>
          <w:szCs w:val="22"/>
        </w:rPr>
        <w:t xml:space="preserve"> (ex-manufacturer price) for all recipients aged 18 years and over</w:t>
      </w:r>
      <w:r w:rsidR="007924E0">
        <w:rPr>
          <w:szCs w:val="22"/>
        </w:rPr>
        <w:t xml:space="preserve"> who are eligible to receive NIP-funded influenza vaccine</w:t>
      </w:r>
      <w:r w:rsidRPr="00230CAA">
        <w:rPr>
          <w:szCs w:val="22"/>
        </w:rPr>
        <w:t>.</w:t>
      </w:r>
    </w:p>
    <w:p w:rsidR="00B60939" w:rsidRPr="001E2B1E" w:rsidRDefault="00B60939" w:rsidP="007D1763">
      <w:pPr>
        <w:widowControl/>
        <w:rPr>
          <w:szCs w:val="22"/>
        </w:rPr>
      </w:pPr>
    </w:p>
    <w:p w:rsidR="00B60939" w:rsidRPr="002C2775" w:rsidRDefault="00B60939" w:rsidP="00746A1B">
      <w:pPr>
        <w:pStyle w:val="Heading2"/>
      </w:pPr>
      <w:bookmarkStart w:id="14" w:name="_Toc457319193"/>
      <w:r w:rsidRPr="002C2775">
        <w:t>Estimated PBS usage &amp; financial implications</w:t>
      </w:r>
      <w:bookmarkEnd w:id="14"/>
    </w:p>
    <w:p w:rsidR="00B60939" w:rsidRPr="00882085" w:rsidRDefault="00B60939" w:rsidP="007D1763">
      <w:pPr>
        <w:widowControl/>
        <w:ind w:left="720" w:hanging="720"/>
        <w:rPr>
          <w:b/>
          <w:i/>
          <w:szCs w:val="22"/>
        </w:rPr>
      </w:pPr>
    </w:p>
    <w:p w:rsidR="00C87C36" w:rsidRPr="00790913" w:rsidRDefault="00C25D9C" w:rsidP="007D1763">
      <w:pPr>
        <w:pStyle w:val="ListParagraph"/>
        <w:widowControl/>
        <w:numPr>
          <w:ilvl w:val="1"/>
          <w:numId w:val="1"/>
        </w:numPr>
      </w:pPr>
      <w:r>
        <w:t xml:space="preserve">This submission </w:t>
      </w:r>
      <w:r w:rsidR="00DF419A">
        <w:t>wa</w:t>
      </w:r>
      <w:r w:rsidRPr="000A1FF9">
        <w:t xml:space="preserve">s </w:t>
      </w:r>
      <w:r w:rsidR="000A1FF9" w:rsidRPr="000A1FF9">
        <w:t>not</w:t>
      </w:r>
      <w:r w:rsidR="000A1FF9">
        <w:t xml:space="preserve"> </w:t>
      </w:r>
      <w:r>
        <w:t>considered by DUSC</w:t>
      </w:r>
      <w:r w:rsidR="00C87C36" w:rsidRPr="00C87C36">
        <w:t xml:space="preserve">. The submission </w:t>
      </w:r>
      <w:r w:rsidR="00E07BA0">
        <w:t xml:space="preserve">presented </w:t>
      </w:r>
      <w:r w:rsidR="00C87C36" w:rsidRPr="00C87C36">
        <w:t xml:space="preserve">a mixed epidemiological/market share approach to forecast the uptake and cost of </w:t>
      </w:r>
      <w:r w:rsidR="004E6343">
        <w:t>Afluria</w:t>
      </w:r>
      <w:r w:rsidR="00C87C36" w:rsidRPr="00C87C36">
        <w:t>®</w:t>
      </w:r>
      <w:r w:rsidR="009F7698">
        <w:t> </w:t>
      </w:r>
      <w:r w:rsidR="00C87C36" w:rsidRPr="00C87C36">
        <w:t xml:space="preserve">Quad over a five year </w:t>
      </w:r>
      <w:r w:rsidR="00C87C36" w:rsidRPr="00790913">
        <w:t>period.</w:t>
      </w:r>
    </w:p>
    <w:p w:rsidR="00C25D9C" w:rsidRPr="00790913" w:rsidRDefault="00C25D9C" w:rsidP="007D1763">
      <w:pPr>
        <w:pStyle w:val="ListParagraph"/>
        <w:widowControl/>
        <w:rPr>
          <w:szCs w:val="22"/>
        </w:rPr>
      </w:pPr>
    </w:p>
    <w:p w:rsidR="00C25D9C" w:rsidRDefault="00C25D9C" w:rsidP="007D1763">
      <w:pPr>
        <w:widowControl/>
        <w:ind w:firstLine="709"/>
        <w:rPr>
          <w:rStyle w:val="CommentReference"/>
        </w:rPr>
      </w:pPr>
      <w:r w:rsidRPr="001222FC">
        <w:rPr>
          <w:rStyle w:val="CommentReference"/>
        </w:rPr>
        <w:t xml:space="preserve">Table </w:t>
      </w:r>
      <w:r w:rsidR="00453EB5">
        <w:rPr>
          <w:rStyle w:val="CommentReference"/>
        </w:rPr>
        <w:t>6</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1128"/>
        <w:gridCol w:w="1128"/>
        <w:gridCol w:w="1269"/>
        <w:gridCol w:w="1269"/>
        <w:gridCol w:w="1256"/>
      </w:tblGrid>
      <w:tr w:rsidR="00C25D9C" w:rsidRPr="004E2ADC" w:rsidTr="00DE1FAD">
        <w:trPr>
          <w:tblHeader/>
        </w:trPr>
        <w:tc>
          <w:tcPr>
            <w:tcW w:w="1358" w:type="pct"/>
            <w:shd w:val="clear" w:color="auto" w:fill="auto"/>
            <w:vAlign w:val="center"/>
          </w:tcPr>
          <w:p w:rsidR="00C25D9C" w:rsidRPr="004E2ADC" w:rsidRDefault="00C25D9C" w:rsidP="007D1763">
            <w:pPr>
              <w:widowControl/>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7D1763">
            <w:pPr>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7D1763">
            <w:pPr>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7D1763">
            <w:pPr>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7D1763">
            <w:pPr>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7D1763">
            <w:pPr>
              <w:widowControl/>
              <w:jc w:val="center"/>
              <w:rPr>
                <w:rFonts w:ascii="Arial Narrow" w:hAnsi="Arial Narrow"/>
                <w:b/>
                <w:sz w:val="20"/>
              </w:rPr>
            </w:pPr>
            <w:r w:rsidRPr="004E2ADC">
              <w:rPr>
                <w:rFonts w:ascii="Arial Narrow" w:hAnsi="Arial Narrow"/>
                <w:b/>
                <w:sz w:val="20"/>
              </w:rPr>
              <w:t>Year 5</w:t>
            </w:r>
          </w:p>
        </w:tc>
      </w:tr>
      <w:tr w:rsidR="00C25D9C" w:rsidRPr="004E2ADC" w:rsidTr="00453EB5">
        <w:tc>
          <w:tcPr>
            <w:tcW w:w="5000" w:type="pct"/>
            <w:gridSpan w:val="6"/>
            <w:shd w:val="clear" w:color="auto" w:fill="auto"/>
            <w:vAlign w:val="center"/>
          </w:tcPr>
          <w:p w:rsidR="00C25D9C" w:rsidRPr="004E2ADC" w:rsidRDefault="00C25D9C" w:rsidP="007D1763">
            <w:pPr>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542535" w:rsidRPr="004E2ADC" w:rsidTr="00DE1FAD">
        <w:tc>
          <w:tcPr>
            <w:tcW w:w="1358" w:type="pct"/>
            <w:shd w:val="clear" w:color="auto" w:fill="auto"/>
            <w:vAlign w:val="center"/>
          </w:tcPr>
          <w:p w:rsidR="00542535" w:rsidRPr="004E2ADC" w:rsidRDefault="00542535" w:rsidP="007D1763">
            <w:pPr>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542535" w:rsidRPr="004E2ADC" w:rsidTr="00DE1FAD">
        <w:tc>
          <w:tcPr>
            <w:tcW w:w="1358" w:type="pct"/>
            <w:shd w:val="clear" w:color="auto" w:fill="auto"/>
            <w:vAlign w:val="center"/>
          </w:tcPr>
          <w:p w:rsidR="00542535" w:rsidRPr="004E2ADC" w:rsidRDefault="00542535" w:rsidP="007D1763">
            <w:pPr>
              <w:widowControl/>
              <w:tabs>
                <w:tab w:val="left" w:pos="142"/>
              </w:tabs>
              <w:jc w:val="left"/>
              <w:rPr>
                <w:rFonts w:ascii="Arial Narrow" w:hAnsi="Arial Narrow"/>
                <w:sz w:val="20"/>
              </w:rPr>
            </w:pPr>
            <w:r w:rsidRPr="004E2ADC">
              <w:rPr>
                <w:rFonts w:ascii="Arial Narrow" w:hAnsi="Arial Narrow"/>
                <w:sz w:val="20"/>
              </w:rPr>
              <w:t>Market share</w:t>
            </w:r>
          </w:p>
        </w:tc>
        <w:tc>
          <w:tcPr>
            <w:tcW w:w="679" w:type="pct"/>
            <w:shd w:val="clear" w:color="auto" w:fill="auto"/>
            <w:vAlign w:val="center"/>
          </w:tcPr>
          <w:p w:rsidR="00542535" w:rsidRPr="00542535" w:rsidRDefault="00076FEF" w:rsidP="007D1763">
            <w:pPr>
              <w:widowControl/>
              <w:tabs>
                <w:tab w:val="left" w:pos="142"/>
              </w:tabs>
              <w:jc w:val="center"/>
              <w:rPr>
                <w:rFonts w:ascii="Arial Narrow" w:hAnsi="Arial Narrow"/>
                <w:sz w:val="20"/>
              </w:rPr>
            </w:pPr>
            <w:r>
              <w:rPr>
                <w:rFonts w:ascii="Arial Narrow" w:hAnsi="Arial Narrow"/>
                <w:noProof/>
                <w:color w:val="000000"/>
                <w:sz w:val="20"/>
                <w:highlight w:val="black"/>
              </w:rPr>
              <w:t>'''''''''''</w:t>
            </w:r>
            <w:r w:rsidR="00542535" w:rsidRPr="00542535">
              <w:rPr>
                <w:rFonts w:ascii="Arial Narrow" w:hAnsi="Arial Narrow"/>
                <w:sz w:val="20"/>
              </w:rPr>
              <w:t>%</w:t>
            </w:r>
          </w:p>
        </w:tc>
        <w:tc>
          <w:tcPr>
            <w:tcW w:w="679" w:type="pct"/>
            <w:shd w:val="clear" w:color="auto" w:fill="auto"/>
            <w:vAlign w:val="center"/>
          </w:tcPr>
          <w:p w:rsidR="00542535" w:rsidRPr="00542535" w:rsidRDefault="00076FEF" w:rsidP="007D1763">
            <w:pPr>
              <w:widowControl/>
              <w:tabs>
                <w:tab w:val="left" w:pos="142"/>
              </w:tabs>
              <w:jc w:val="center"/>
              <w:rPr>
                <w:rFonts w:ascii="Arial Narrow" w:hAnsi="Arial Narrow"/>
                <w:sz w:val="20"/>
              </w:rPr>
            </w:pPr>
            <w:r>
              <w:rPr>
                <w:rFonts w:ascii="Arial Narrow" w:hAnsi="Arial Narrow"/>
                <w:noProof/>
                <w:color w:val="000000"/>
                <w:sz w:val="20"/>
                <w:highlight w:val="black"/>
              </w:rPr>
              <w:t>'''''''''''</w:t>
            </w:r>
            <w:r w:rsidR="00542535" w:rsidRPr="00542535">
              <w:rPr>
                <w:rFonts w:ascii="Arial Narrow" w:hAnsi="Arial Narrow"/>
                <w:sz w:val="20"/>
              </w:rPr>
              <w:t>%</w:t>
            </w:r>
          </w:p>
        </w:tc>
        <w:tc>
          <w:tcPr>
            <w:tcW w:w="764" w:type="pct"/>
            <w:shd w:val="clear" w:color="auto" w:fill="auto"/>
            <w:vAlign w:val="center"/>
          </w:tcPr>
          <w:p w:rsidR="00542535" w:rsidRPr="00542535" w:rsidRDefault="00076FEF" w:rsidP="007D1763">
            <w:pPr>
              <w:widowControl/>
              <w:tabs>
                <w:tab w:val="left" w:pos="142"/>
              </w:tabs>
              <w:jc w:val="center"/>
              <w:rPr>
                <w:rFonts w:ascii="Arial Narrow" w:hAnsi="Arial Narrow"/>
                <w:sz w:val="20"/>
              </w:rPr>
            </w:pPr>
            <w:r>
              <w:rPr>
                <w:rFonts w:ascii="Arial Narrow" w:hAnsi="Arial Narrow"/>
                <w:noProof/>
                <w:color w:val="000000"/>
                <w:sz w:val="20"/>
                <w:highlight w:val="black"/>
              </w:rPr>
              <w:t>''''''''''</w:t>
            </w:r>
            <w:r w:rsidR="00542535" w:rsidRPr="00542535">
              <w:rPr>
                <w:rFonts w:ascii="Arial Narrow" w:hAnsi="Arial Narrow"/>
                <w:sz w:val="20"/>
              </w:rPr>
              <w:t>%</w:t>
            </w:r>
          </w:p>
        </w:tc>
        <w:tc>
          <w:tcPr>
            <w:tcW w:w="764" w:type="pct"/>
            <w:shd w:val="clear" w:color="auto" w:fill="auto"/>
            <w:vAlign w:val="center"/>
          </w:tcPr>
          <w:p w:rsidR="00542535" w:rsidRPr="00542535" w:rsidRDefault="00076FEF" w:rsidP="007D1763">
            <w:pPr>
              <w:widowControl/>
              <w:tabs>
                <w:tab w:val="left" w:pos="142"/>
              </w:tabs>
              <w:jc w:val="center"/>
              <w:rPr>
                <w:rFonts w:ascii="Arial Narrow" w:hAnsi="Arial Narrow"/>
                <w:sz w:val="20"/>
              </w:rPr>
            </w:pPr>
            <w:r>
              <w:rPr>
                <w:rFonts w:ascii="Arial Narrow" w:hAnsi="Arial Narrow"/>
                <w:noProof/>
                <w:color w:val="000000"/>
                <w:sz w:val="20"/>
                <w:highlight w:val="black"/>
              </w:rPr>
              <w:t>'''''''''''</w:t>
            </w:r>
            <w:r w:rsidR="00542535" w:rsidRPr="00542535">
              <w:rPr>
                <w:rFonts w:ascii="Arial Narrow" w:hAnsi="Arial Narrow"/>
                <w:sz w:val="20"/>
              </w:rPr>
              <w:t>%</w:t>
            </w:r>
          </w:p>
        </w:tc>
        <w:tc>
          <w:tcPr>
            <w:tcW w:w="755" w:type="pct"/>
            <w:shd w:val="clear" w:color="auto" w:fill="auto"/>
            <w:vAlign w:val="center"/>
          </w:tcPr>
          <w:p w:rsidR="00542535" w:rsidRPr="00542535" w:rsidRDefault="00076FEF" w:rsidP="007D1763">
            <w:pPr>
              <w:widowControl/>
              <w:tabs>
                <w:tab w:val="left" w:pos="142"/>
              </w:tabs>
              <w:jc w:val="center"/>
              <w:rPr>
                <w:rFonts w:ascii="Arial Narrow" w:hAnsi="Arial Narrow"/>
                <w:sz w:val="20"/>
              </w:rPr>
            </w:pPr>
            <w:r>
              <w:rPr>
                <w:rFonts w:ascii="Arial Narrow" w:hAnsi="Arial Narrow"/>
                <w:noProof/>
                <w:color w:val="000000"/>
                <w:sz w:val="20"/>
                <w:highlight w:val="black"/>
              </w:rPr>
              <w:t>''''''''''</w:t>
            </w:r>
            <w:r w:rsidR="00542535" w:rsidRPr="00542535">
              <w:rPr>
                <w:rFonts w:ascii="Arial Narrow" w:hAnsi="Arial Narrow"/>
                <w:sz w:val="20"/>
              </w:rPr>
              <w:t>%</w:t>
            </w:r>
          </w:p>
        </w:tc>
      </w:tr>
      <w:tr w:rsidR="00542535" w:rsidRPr="004E2ADC" w:rsidTr="00DE1FAD">
        <w:tc>
          <w:tcPr>
            <w:tcW w:w="1358" w:type="pct"/>
            <w:shd w:val="clear" w:color="auto" w:fill="auto"/>
            <w:vAlign w:val="center"/>
          </w:tcPr>
          <w:p w:rsidR="00542535" w:rsidRPr="004E2ADC" w:rsidRDefault="00542535" w:rsidP="007D1763">
            <w:pPr>
              <w:widowControl/>
              <w:tabs>
                <w:tab w:val="left" w:pos="142"/>
              </w:tabs>
              <w:jc w:val="left"/>
              <w:rPr>
                <w:rFonts w:ascii="Arial Narrow" w:hAnsi="Arial Narrow"/>
                <w:sz w:val="20"/>
              </w:rPr>
            </w:pPr>
            <w:r w:rsidRPr="004E2ADC">
              <w:rPr>
                <w:rFonts w:ascii="Arial Narrow" w:hAnsi="Arial Narrow"/>
                <w:sz w:val="20"/>
              </w:rPr>
              <w:t>Scripts</w:t>
            </w:r>
            <w:r w:rsidRPr="004E2ADC">
              <w:rPr>
                <w:rFonts w:ascii="Arial Narrow" w:hAnsi="Arial Narrow"/>
                <w:sz w:val="20"/>
                <w:vertAlign w:val="superscript"/>
              </w:rPr>
              <w:t>a</w:t>
            </w:r>
          </w:p>
        </w:tc>
        <w:tc>
          <w:tcPr>
            <w:tcW w:w="679"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542535" w:rsidRPr="00076FEF" w:rsidRDefault="00076FEF" w:rsidP="007D1763">
            <w:pPr>
              <w:widowControl/>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C25D9C" w:rsidRPr="004E2ADC" w:rsidTr="00453EB5">
        <w:tc>
          <w:tcPr>
            <w:tcW w:w="5000" w:type="pct"/>
            <w:gridSpan w:val="6"/>
            <w:shd w:val="clear" w:color="auto" w:fill="auto"/>
            <w:vAlign w:val="center"/>
          </w:tcPr>
          <w:p w:rsidR="00C25D9C" w:rsidRPr="004E2ADC" w:rsidRDefault="00C25D9C" w:rsidP="007D1763">
            <w:pPr>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542535" w:rsidRPr="004E2ADC" w:rsidTr="00DE1FAD">
        <w:tc>
          <w:tcPr>
            <w:tcW w:w="1358" w:type="pct"/>
            <w:shd w:val="clear" w:color="auto" w:fill="auto"/>
            <w:vAlign w:val="center"/>
          </w:tcPr>
          <w:p w:rsidR="00542535" w:rsidRPr="00145540" w:rsidRDefault="00542535" w:rsidP="007D1763">
            <w:pPr>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to NIP</w:t>
            </w:r>
          </w:p>
        </w:tc>
        <w:tc>
          <w:tcPr>
            <w:tcW w:w="679" w:type="pct"/>
            <w:shd w:val="clear" w:color="auto" w:fill="auto"/>
            <w:vAlign w:val="center"/>
          </w:tcPr>
          <w:p w:rsidR="00542535" w:rsidRPr="00542535" w:rsidRDefault="00542535" w:rsidP="007D1763">
            <w:pPr>
              <w:widowControl/>
              <w:tabs>
                <w:tab w:val="left" w:pos="142"/>
              </w:tabs>
              <w:jc w:val="center"/>
              <w:rPr>
                <w:rFonts w:ascii="Arial Narrow" w:hAnsi="Arial Narrow"/>
                <w:sz w:val="20"/>
              </w:rPr>
            </w:pPr>
            <w:r w:rsidRPr="00542535">
              <w:rPr>
                <w:rFonts w:ascii="Arial Narrow" w:hAnsi="Arial Narrow"/>
                <w:sz w:val="20"/>
              </w:rPr>
              <w:t>$0</w:t>
            </w:r>
          </w:p>
        </w:tc>
        <w:tc>
          <w:tcPr>
            <w:tcW w:w="679" w:type="pct"/>
            <w:shd w:val="clear" w:color="auto" w:fill="auto"/>
            <w:vAlign w:val="center"/>
          </w:tcPr>
          <w:p w:rsidR="00542535" w:rsidRPr="00542535" w:rsidRDefault="00542535" w:rsidP="007D1763">
            <w:pPr>
              <w:widowControl/>
              <w:tabs>
                <w:tab w:val="left" w:pos="142"/>
              </w:tabs>
              <w:jc w:val="center"/>
              <w:rPr>
                <w:rFonts w:ascii="Arial Narrow" w:hAnsi="Arial Narrow"/>
                <w:sz w:val="20"/>
              </w:rPr>
            </w:pPr>
            <w:r w:rsidRPr="00542535">
              <w:rPr>
                <w:rFonts w:ascii="Arial Narrow" w:hAnsi="Arial Narrow"/>
                <w:sz w:val="20"/>
              </w:rPr>
              <w:t>$0</w:t>
            </w:r>
          </w:p>
        </w:tc>
        <w:tc>
          <w:tcPr>
            <w:tcW w:w="764" w:type="pct"/>
            <w:shd w:val="clear" w:color="auto" w:fill="auto"/>
            <w:vAlign w:val="center"/>
          </w:tcPr>
          <w:p w:rsidR="00542535" w:rsidRPr="00542535" w:rsidRDefault="00542535" w:rsidP="007D1763">
            <w:pPr>
              <w:widowControl/>
              <w:tabs>
                <w:tab w:val="left" w:pos="142"/>
              </w:tabs>
              <w:jc w:val="center"/>
              <w:rPr>
                <w:rFonts w:ascii="Arial Narrow" w:hAnsi="Arial Narrow"/>
                <w:sz w:val="20"/>
              </w:rPr>
            </w:pPr>
            <w:r w:rsidRPr="00542535">
              <w:rPr>
                <w:rFonts w:ascii="Arial Narrow" w:hAnsi="Arial Narrow"/>
                <w:sz w:val="20"/>
              </w:rPr>
              <w:t>$0</w:t>
            </w:r>
          </w:p>
        </w:tc>
        <w:tc>
          <w:tcPr>
            <w:tcW w:w="764" w:type="pct"/>
            <w:shd w:val="clear" w:color="auto" w:fill="auto"/>
            <w:vAlign w:val="center"/>
          </w:tcPr>
          <w:p w:rsidR="00542535" w:rsidRPr="00542535" w:rsidRDefault="00542535" w:rsidP="007D1763">
            <w:pPr>
              <w:widowControl/>
              <w:tabs>
                <w:tab w:val="left" w:pos="142"/>
              </w:tabs>
              <w:jc w:val="center"/>
              <w:rPr>
                <w:rFonts w:ascii="Arial Narrow" w:hAnsi="Arial Narrow"/>
                <w:sz w:val="20"/>
              </w:rPr>
            </w:pPr>
            <w:r w:rsidRPr="00542535">
              <w:rPr>
                <w:rFonts w:ascii="Arial Narrow" w:hAnsi="Arial Narrow"/>
                <w:sz w:val="20"/>
              </w:rPr>
              <w:t>$0</w:t>
            </w:r>
          </w:p>
        </w:tc>
        <w:tc>
          <w:tcPr>
            <w:tcW w:w="755" w:type="pct"/>
            <w:shd w:val="clear" w:color="auto" w:fill="auto"/>
            <w:vAlign w:val="center"/>
          </w:tcPr>
          <w:p w:rsidR="00542535" w:rsidRPr="00542535" w:rsidRDefault="00542535" w:rsidP="007D1763">
            <w:pPr>
              <w:widowControl/>
              <w:tabs>
                <w:tab w:val="left" w:pos="142"/>
              </w:tabs>
              <w:jc w:val="center"/>
              <w:rPr>
                <w:rFonts w:ascii="Arial Narrow" w:hAnsi="Arial Narrow"/>
                <w:sz w:val="20"/>
              </w:rPr>
            </w:pPr>
            <w:r w:rsidRPr="00542535">
              <w:rPr>
                <w:rFonts w:ascii="Arial Narrow" w:hAnsi="Arial Narrow"/>
                <w:sz w:val="20"/>
              </w:rPr>
              <w:t>$0</w:t>
            </w:r>
          </w:p>
        </w:tc>
      </w:tr>
    </w:tbl>
    <w:p w:rsidR="00C25D9C" w:rsidRPr="001222FC" w:rsidRDefault="00C25D9C" w:rsidP="007D1763">
      <w:pPr>
        <w:pStyle w:val="TableFooter"/>
        <w:widowControl/>
        <w:ind w:firstLine="720"/>
        <w:rPr>
          <w:sz w:val="16"/>
          <w:szCs w:val="18"/>
        </w:rPr>
      </w:pPr>
      <w:r w:rsidRPr="001222FC">
        <w:rPr>
          <w:vertAlign w:val="superscript"/>
        </w:rPr>
        <w:t>a</w:t>
      </w:r>
      <w:r>
        <w:t xml:space="preserve"> </w:t>
      </w:r>
      <w:r w:rsidRPr="001222FC">
        <w:t xml:space="preserve">Assuming </w:t>
      </w:r>
      <w:r w:rsidR="00C87C36">
        <w:t xml:space="preserve">one script </w:t>
      </w:r>
      <w:r w:rsidRPr="001222FC">
        <w:t>per year as estimated by the submission.</w:t>
      </w:r>
    </w:p>
    <w:p w:rsidR="00C25D9C" w:rsidRDefault="00542535" w:rsidP="007D1763">
      <w:pPr>
        <w:pStyle w:val="TableFooter"/>
        <w:widowControl/>
        <w:ind w:firstLine="720"/>
        <w:rPr>
          <w:sz w:val="16"/>
          <w:szCs w:val="18"/>
        </w:rPr>
      </w:pPr>
      <w:r w:rsidRPr="00F435C4">
        <w:rPr>
          <w:sz w:val="16"/>
          <w:szCs w:val="18"/>
        </w:rPr>
        <w:t>Source: Table E.2.3, p. 79; Table E.3.1, p.81 and Table E.4.1, p. 82 of the submission</w:t>
      </w:r>
    </w:p>
    <w:p w:rsidR="00C25D9C" w:rsidRDefault="00C25D9C" w:rsidP="007D1763">
      <w:pPr>
        <w:widowControl/>
        <w:rPr>
          <w:szCs w:val="22"/>
        </w:rPr>
      </w:pPr>
    </w:p>
    <w:p w:rsidR="00434344" w:rsidRPr="00DA29DE" w:rsidRDefault="00434344" w:rsidP="00A44BCE">
      <w:pPr>
        <w:pStyle w:val="ListParagraph"/>
        <w:widowControl/>
        <w:numPr>
          <w:ilvl w:val="1"/>
          <w:numId w:val="1"/>
        </w:numPr>
      </w:pPr>
      <w:r w:rsidRPr="00DA29DE">
        <w:t xml:space="preserve">At year 5, the estimated number of patients was </w:t>
      </w:r>
      <w:r w:rsidR="00A44BCE">
        <w:t>over 200,000</w:t>
      </w:r>
      <w:r w:rsidR="00567956" w:rsidRPr="00DA29DE">
        <w:t>,</w:t>
      </w:r>
      <w:r w:rsidRPr="00DA29DE">
        <w:t xml:space="preserve"> </w:t>
      </w:r>
      <w:r w:rsidR="00567956" w:rsidRPr="00DA29DE">
        <w:t>with</w:t>
      </w:r>
      <w:r w:rsidRPr="00DA29DE">
        <w:t xml:space="preserve"> no net cost to the NIP. </w:t>
      </w:r>
    </w:p>
    <w:p w:rsidR="00434344" w:rsidRPr="00230CAA" w:rsidRDefault="00434344" w:rsidP="007D1763">
      <w:pPr>
        <w:widowControl/>
        <w:rPr>
          <w:szCs w:val="22"/>
        </w:rPr>
      </w:pPr>
    </w:p>
    <w:p w:rsidR="00C25D9C" w:rsidRDefault="00112089" w:rsidP="007D1763">
      <w:pPr>
        <w:pStyle w:val="ListParagraph"/>
        <w:widowControl/>
        <w:numPr>
          <w:ilvl w:val="1"/>
          <w:numId w:val="1"/>
        </w:numPr>
      </w:pPr>
      <w:r w:rsidRPr="00F435C4">
        <w:t xml:space="preserve">The </w:t>
      </w:r>
      <w:r w:rsidR="00DA29DE">
        <w:t>evaluation</w:t>
      </w:r>
      <w:r w:rsidRPr="00F435C4">
        <w:t xml:space="preserve"> considered that t</w:t>
      </w:r>
      <w:r w:rsidR="000A1FF9" w:rsidRPr="00F435C4">
        <w:t>he estimates appear</w:t>
      </w:r>
      <w:r w:rsidRPr="00F435C4">
        <w:t>ed</w:t>
      </w:r>
      <w:r w:rsidR="000A1FF9" w:rsidRPr="00F435C4">
        <w:t xml:space="preserve"> reasonable.</w:t>
      </w:r>
      <w:r w:rsidR="000A1FF9" w:rsidRPr="00230CAA">
        <w:t xml:space="preserve"> </w:t>
      </w:r>
      <w:r w:rsidR="00BC526F" w:rsidRPr="00230CAA">
        <w:t>The analysis consider</w:t>
      </w:r>
      <w:r w:rsidR="00DA29DE">
        <w:t>ed</w:t>
      </w:r>
      <w:r w:rsidR="00BC526F" w:rsidRPr="00230CAA">
        <w:t xml:space="preserve"> only the costs associated with the vaccine. The submission does not claim any additional health benefits (in terms of morbidity or mortality) in listing </w:t>
      </w:r>
      <w:r w:rsidR="004E6343" w:rsidRPr="00230CAA">
        <w:t>Afluria</w:t>
      </w:r>
      <w:r w:rsidR="00CE082C" w:rsidRPr="00230CAA">
        <w:t>® Quad</w:t>
      </w:r>
      <w:r w:rsidR="00BC526F" w:rsidRPr="00230CAA">
        <w:t xml:space="preserve">. As such, the analysis predicts that including </w:t>
      </w:r>
      <w:r w:rsidR="004E6343" w:rsidRPr="00230CAA">
        <w:t>Afluria</w:t>
      </w:r>
      <w:r w:rsidR="00CE082C" w:rsidRPr="00230CAA">
        <w:t>® Quad</w:t>
      </w:r>
      <w:r w:rsidR="00BC526F" w:rsidRPr="00230CAA">
        <w:t xml:space="preserve"> on the NIP as proposed will be cost neutral to both the program and Australian government health budgets</w:t>
      </w:r>
      <w:r w:rsidR="00AD7081">
        <w:t>.</w:t>
      </w:r>
    </w:p>
    <w:p w:rsidR="00004C95" w:rsidRPr="00230CAA" w:rsidRDefault="00004C95" w:rsidP="007D1763">
      <w:pPr>
        <w:pStyle w:val="ListParagraph"/>
        <w:widowControl/>
        <w:rPr>
          <w:szCs w:val="22"/>
        </w:rPr>
      </w:pPr>
    </w:p>
    <w:p w:rsidR="00261580" w:rsidRDefault="00004C95" w:rsidP="007D1763">
      <w:pPr>
        <w:pStyle w:val="ListParagraph"/>
        <w:widowControl/>
        <w:numPr>
          <w:ilvl w:val="1"/>
          <w:numId w:val="1"/>
        </w:numPr>
        <w:rPr>
          <w:szCs w:val="22"/>
        </w:rPr>
      </w:pPr>
      <w:r w:rsidRPr="00230CAA">
        <w:rPr>
          <w:szCs w:val="22"/>
        </w:rPr>
        <w:t xml:space="preserve">The </w:t>
      </w:r>
      <w:r w:rsidR="00DA29DE">
        <w:rPr>
          <w:szCs w:val="22"/>
        </w:rPr>
        <w:t>evaluation considered there</w:t>
      </w:r>
      <w:r w:rsidRPr="00230CAA">
        <w:rPr>
          <w:szCs w:val="22"/>
        </w:rPr>
        <w:t xml:space="preserve"> </w:t>
      </w:r>
      <w:r w:rsidR="00DA29DE">
        <w:rPr>
          <w:szCs w:val="22"/>
        </w:rPr>
        <w:t xml:space="preserve">may be a </w:t>
      </w:r>
      <w:r w:rsidRPr="00230CAA">
        <w:rPr>
          <w:szCs w:val="22"/>
        </w:rPr>
        <w:t xml:space="preserve">risk of use in younger age groups (less than 18 years). The comparator is listed on the NIP for children aged 3 years and older, whereas, </w:t>
      </w:r>
      <w:r w:rsidR="004E6343" w:rsidRPr="00230CAA">
        <w:rPr>
          <w:szCs w:val="22"/>
        </w:rPr>
        <w:t>Afluria</w:t>
      </w:r>
      <w:r w:rsidRPr="00230CAA">
        <w:rPr>
          <w:szCs w:val="22"/>
        </w:rPr>
        <w:t>® Quad has requested a listing for adults aged 18 years and older</w:t>
      </w:r>
      <w:r w:rsidR="00C22CF6">
        <w:rPr>
          <w:szCs w:val="22"/>
        </w:rPr>
        <w:t xml:space="preserve"> who are eligible to receive NIP-funded vaccine</w:t>
      </w:r>
      <w:r w:rsidRPr="00230CAA">
        <w:rPr>
          <w:szCs w:val="22"/>
        </w:rPr>
        <w:t>. ATAGI acknowledge</w:t>
      </w:r>
      <w:r w:rsidR="00DA29DE">
        <w:rPr>
          <w:szCs w:val="22"/>
        </w:rPr>
        <w:t>d</w:t>
      </w:r>
      <w:r w:rsidRPr="00230CAA">
        <w:rPr>
          <w:szCs w:val="22"/>
        </w:rPr>
        <w:t xml:space="preserve"> the risk of use in younger age group and </w:t>
      </w:r>
      <w:r w:rsidR="009F7698">
        <w:rPr>
          <w:szCs w:val="22"/>
        </w:rPr>
        <w:t>is</w:t>
      </w:r>
      <w:r w:rsidRPr="00230CAA">
        <w:rPr>
          <w:szCs w:val="22"/>
        </w:rPr>
        <w:t xml:space="preserve"> “… aware of cases of young children receiving </w:t>
      </w:r>
      <w:r w:rsidR="00CE7193">
        <w:rPr>
          <w:szCs w:val="22"/>
        </w:rPr>
        <w:t>Fluvax</w:t>
      </w:r>
      <w:r w:rsidRPr="00230CAA">
        <w:rPr>
          <w:szCs w:val="22"/>
        </w:rPr>
        <w:t xml:space="preserve">® [trivalent]…despite current recommendations and risk management activities” [ATAGI Supplementary Advice to PBAC, Seqirus </w:t>
      </w:r>
      <w:r w:rsidR="007B0D2D">
        <w:rPr>
          <w:szCs w:val="22"/>
        </w:rPr>
        <w:t>QIV</w:t>
      </w:r>
      <w:r w:rsidRPr="00230CAA">
        <w:rPr>
          <w:szCs w:val="22"/>
        </w:rPr>
        <w:t xml:space="preserve"> vaccine for adults’, June 2016]. Additionally, the TGA h</w:t>
      </w:r>
      <w:r w:rsidR="009F7698">
        <w:rPr>
          <w:szCs w:val="22"/>
        </w:rPr>
        <w:t>as</w:t>
      </w:r>
      <w:r w:rsidRPr="00230CAA">
        <w:rPr>
          <w:szCs w:val="22"/>
        </w:rPr>
        <w:t xml:space="preserve"> requested a “boxed warning …to highlight that the vaccine should be given to adults” [Advisory Committee on Prescription Medicines (ACPM), Ratified minute of meeting 310 – 2-3 June 2016].</w:t>
      </w:r>
    </w:p>
    <w:p w:rsidR="00261580" w:rsidRPr="00261580" w:rsidRDefault="00261580" w:rsidP="007D1763">
      <w:pPr>
        <w:pStyle w:val="ListParagraph"/>
        <w:widowControl/>
        <w:rPr>
          <w:szCs w:val="22"/>
        </w:rPr>
      </w:pPr>
    </w:p>
    <w:p w:rsidR="00261580" w:rsidRPr="00261580" w:rsidRDefault="00261580" w:rsidP="007D1763">
      <w:pPr>
        <w:pStyle w:val="ListParagraph"/>
        <w:widowControl/>
        <w:numPr>
          <w:ilvl w:val="1"/>
          <w:numId w:val="1"/>
        </w:numPr>
        <w:rPr>
          <w:szCs w:val="22"/>
        </w:rPr>
      </w:pPr>
      <w:r w:rsidRPr="00261580">
        <w:rPr>
          <w:szCs w:val="22"/>
        </w:rPr>
        <w:t xml:space="preserve">The pre-PBAC response stated that </w:t>
      </w:r>
      <w:r w:rsidRPr="0092102E">
        <w:t xml:space="preserve">Seqirus </w:t>
      </w:r>
      <w:r>
        <w:t xml:space="preserve">has been working closely with TGA to minimise the potential risk of use in age groups less than 18 years.  </w:t>
      </w:r>
      <w:r w:rsidRPr="00261580">
        <w:rPr>
          <w:rFonts w:eastAsia="MS Mincho"/>
        </w:rPr>
        <w:t xml:space="preserve">Measures to minimise the potential risk include (in addition to the boxed warning in the PI referred to in </w:t>
      </w:r>
      <w:r w:rsidR="00DA29DE">
        <w:rPr>
          <w:rFonts w:eastAsia="MS Mincho"/>
        </w:rPr>
        <w:t>paragraph</w:t>
      </w:r>
      <w:r w:rsidRPr="00261580">
        <w:rPr>
          <w:rFonts w:eastAsia="MS Mincho"/>
        </w:rPr>
        <w:t xml:space="preserve"> 6.1</w:t>
      </w:r>
      <w:r w:rsidR="00DA29DE">
        <w:rPr>
          <w:rFonts w:eastAsia="MS Mincho"/>
        </w:rPr>
        <w:t>6</w:t>
      </w:r>
      <w:r w:rsidRPr="00261580">
        <w:rPr>
          <w:rFonts w:eastAsia="MS Mincho"/>
        </w:rPr>
        <w:t>):</w:t>
      </w:r>
    </w:p>
    <w:p w:rsidR="00261580" w:rsidRPr="0078659D" w:rsidRDefault="00261580" w:rsidP="007D1763">
      <w:pPr>
        <w:pStyle w:val="ListParagraph"/>
        <w:widowControl/>
        <w:numPr>
          <w:ilvl w:val="0"/>
          <w:numId w:val="10"/>
        </w:numPr>
        <w:ind w:left="993" w:hanging="284"/>
        <w:contextualSpacing w:val="0"/>
        <w:jc w:val="left"/>
        <w:rPr>
          <w:rFonts w:eastAsia="MS Mincho"/>
        </w:rPr>
      </w:pPr>
      <w:r w:rsidRPr="0078659D">
        <w:rPr>
          <w:rFonts w:eastAsia="MS Mincho"/>
        </w:rPr>
        <w:t>Change of the brand name from Fluvax Quad to Afluria</w:t>
      </w:r>
      <w:r w:rsidR="00434344" w:rsidRPr="000973AF">
        <w:t>®</w:t>
      </w:r>
      <w:r w:rsidRPr="0078659D">
        <w:rPr>
          <w:rFonts w:eastAsia="MS Mincho"/>
        </w:rPr>
        <w:t xml:space="preserve"> Quad to mitigate confusion with generic influenza vaccines and Fluvax</w:t>
      </w:r>
      <w:r w:rsidRPr="0078659D">
        <w:rPr>
          <w:rFonts w:eastAsia="MS Mincho" w:cs="Calibri"/>
          <w:vertAlign w:val="superscript"/>
        </w:rPr>
        <w:t>®</w:t>
      </w:r>
      <w:r w:rsidRPr="0078659D">
        <w:rPr>
          <w:rFonts w:eastAsia="MS Mincho"/>
        </w:rPr>
        <w:t xml:space="preserve"> (TIV) which is indicated for persons aged 5 years and older. </w:t>
      </w:r>
    </w:p>
    <w:p w:rsidR="00261580" w:rsidRPr="0078659D" w:rsidRDefault="00261580" w:rsidP="007D1763">
      <w:pPr>
        <w:pStyle w:val="ListParagraph"/>
        <w:widowControl/>
        <w:numPr>
          <w:ilvl w:val="0"/>
          <w:numId w:val="10"/>
        </w:numPr>
        <w:spacing w:line="281" w:lineRule="auto"/>
        <w:ind w:left="993" w:hanging="284"/>
        <w:contextualSpacing w:val="0"/>
        <w:jc w:val="left"/>
        <w:rPr>
          <w:rFonts w:eastAsia="MS Mincho"/>
          <w:lang w:val="en-US"/>
        </w:rPr>
      </w:pPr>
      <w:r w:rsidRPr="0078659D">
        <w:rPr>
          <w:rFonts w:eastAsia="MS Mincho"/>
          <w:lang w:val="en-US"/>
        </w:rPr>
        <w:t>Inclusion of the age indication for Afluria</w:t>
      </w:r>
      <w:r w:rsidR="00434344" w:rsidRPr="000973AF">
        <w:t>®</w:t>
      </w:r>
      <w:r w:rsidRPr="0078659D">
        <w:rPr>
          <w:rFonts w:eastAsia="MS Mincho"/>
          <w:lang w:val="en-US"/>
        </w:rPr>
        <w:t xml:space="preserve"> Quad vaccine on the package labelling</w:t>
      </w:r>
    </w:p>
    <w:p w:rsidR="00261580" w:rsidRPr="0078659D" w:rsidRDefault="00261580" w:rsidP="007D1763">
      <w:pPr>
        <w:pStyle w:val="ListParagraph"/>
        <w:widowControl/>
        <w:numPr>
          <w:ilvl w:val="0"/>
          <w:numId w:val="10"/>
        </w:numPr>
        <w:autoSpaceDE w:val="0"/>
        <w:autoSpaceDN w:val="0"/>
        <w:adjustRightInd w:val="0"/>
        <w:spacing w:line="281" w:lineRule="auto"/>
        <w:ind w:left="993" w:hanging="284"/>
        <w:contextualSpacing w:val="0"/>
        <w:jc w:val="left"/>
        <w:rPr>
          <w:rFonts w:ascii="Times New Roman" w:hAnsi="Times New Roman"/>
          <w:lang w:eastAsia="en-AU"/>
        </w:rPr>
      </w:pPr>
      <w:r w:rsidRPr="0078659D">
        <w:rPr>
          <w:rFonts w:eastAsia="MS Mincho"/>
          <w:lang w:val="en-US"/>
        </w:rPr>
        <w:t>A different colour label for Afluria</w:t>
      </w:r>
      <w:r w:rsidR="00434344" w:rsidRPr="000973AF">
        <w:t>®</w:t>
      </w:r>
      <w:r w:rsidRPr="0078659D">
        <w:rPr>
          <w:rFonts w:eastAsia="MS Mincho"/>
          <w:lang w:val="en-US"/>
        </w:rPr>
        <w:t xml:space="preserve"> Quad (yellow) compared to Fluvax (blue)</w:t>
      </w:r>
    </w:p>
    <w:p w:rsidR="00261580" w:rsidRPr="0078659D" w:rsidRDefault="00261580" w:rsidP="007D1763">
      <w:pPr>
        <w:pStyle w:val="ListParagraph"/>
        <w:widowControl/>
        <w:numPr>
          <w:ilvl w:val="0"/>
          <w:numId w:val="10"/>
        </w:numPr>
        <w:autoSpaceDE w:val="0"/>
        <w:autoSpaceDN w:val="0"/>
        <w:adjustRightInd w:val="0"/>
        <w:spacing w:line="281" w:lineRule="auto"/>
        <w:ind w:left="993" w:hanging="284"/>
        <w:contextualSpacing w:val="0"/>
        <w:jc w:val="left"/>
        <w:rPr>
          <w:rFonts w:eastAsia="MS Mincho"/>
          <w:lang w:val="en-US"/>
        </w:rPr>
      </w:pPr>
      <w:r w:rsidRPr="0078659D">
        <w:rPr>
          <w:rFonts w:eastAsia="MS Mincho"/>
          <w:lang w:val="en-US"/>
        </w:rPr>
        <w:t>A letter advising that Afluria</w:t>
      </w:r>
      <w:r w:rsidR="00434344" w:rsidRPr="000973AF">
        <w:t>®</w:t>
      </w:r>
      <w:r w:rsidRPr="0078659D">
        <w:rPr>
          <w:rFonts w:eastAsia="MS Mincho"/>
          <w:lang w:val="en-US"/>
        </w:rPr>
        <w:t xml:space="preserve"> Quad </w:t>
      </w:r>
      <w:r w:rsidRPr="0078659D">
        <w:rPr>
          <w:rFonts w:eastAsia="MS Mincho"/>
        </w:rPr>
        <w:t>is indicated ONLY for adults 18 years and older</w:t>
      </w:r>
      <w:r w:rsidRPr="0078659D">
        <w:rPr>
          <w:rFonts w:eastAsia="MS Mincho"/>
          <w:lang w:val="en-US"/>
        </w:rPr>
        <w:t xml:space="preserve"> will be mailed to all pharmacists, general practitioners and medical practices, during the month of March.</w:t>
      </w:r>
    </w:p>
    <w:p w:rsidR="00261580" w:rsidRPr="0078659D" w:rsidRDefault="00261580" w:rsidP="007D1763">
      <w:pPr>
        <w:pStyle w:val="ListParagraph"/>
        <w:widowControl/>
        <w:numPr>
          <w:ilvl w:val="0"/>
          <w:numId w:val="10"/>
        </w:numPr>
        <w:autoSpaceDE w:val="0"/>
        <w:autoSpaceDN w:val="0"/>
        <w:adjustRightInd w:val="0"/>
        <w:spacing w:line="281" w:lineRule="auto"/>
        <w:ind w:left="993" w:hanging="284"/>
        <w:contextualSpacing w:val="0"/>
        <w:jc w:val="left"/>
        <w:rPr>
          <w:rFonts w:eastAsia="MS Mincho"/>
          <w:lang w:val="en-US"/>
        </w:rPr>
      </w:pPr>
      <w:r w:rsidRPr="0078659D">
        <w:rPr>
          <w:rFonts w:eastAsia="MS Mincho"/>
          <w:lang w:val="en-US"/>
        </w:rPr>
        <w:t>An electrostatic vaccine refrigerator sticker that clearly states the age indication of Afluria® Quad will be mailed to all medical practices and pharmacies during the month of March.</w:t>
      </w:r>
    </w:p>
    <w:p w:rsidR="00261580" w:rsidRDefault="00261580" w:rsidP="00B41905">
      <w:pPr>
        <w:pStyle w:val="ListParagraph"/>
        <w:widowControl/>
        <w:numPr>
          <w:ilvl w:val="0"/>
          <w:numId w:val="10"/>
        </w:numPr>
        <w:autoSpaceDE w:val="0"/>
        <w:autoSpaceDN w:val="0"/>
        <w:adjustRightInd w:val="0"/>
        <w:spacing w:line="281" w:lineRule="auto"/>
        <w:ind w:left="993" w:hanging="284"/>
        <w:contextualSpacing w:val="0"/>
        <w:jc w:val="left"/>
        <w:rPr>
          <w:rFonts w:eastAsia="MS Mincho"/>
          <w:lang w:val="en-US"/>
        </w:rPr>
      </w:pPr>
      <w:r w:rsidRPr="00B41905">
        <w:rPr>
          <w:rFonts w:eastAsia="MS Mincho"/>
          <w:lang w:val="en-US"/>
        </w:rPr>
        <w:t xml:space="preserve">An A5 card that </w:t>
      </w:r>
      <w:r w:rsidRPr="00B41905">
        <w:rPr>
          <w:rFonts w:eastAsia="MS Mincho"/>
        </w:rPr>
        <w:t>summarises</w:t>
      </w:r>
      <w:r w:rsidRPr="00B41905">
        <w:rPr>
          <w:rFonts w:eastAsia="MS Mincho"/>
          <w:lang w:val="en-US"/>
        </w:rPr>
        <w:t xml:space="preserve"> the current ATAGI recommendations for the use of influenza vaccine by brand, age group and availability on the NIP, will be mailed to all general practitioners and pharmacists during the month of March. </w:t>
      </w:r>
    </w:p>
    <w:p w:rsidR="00D16880" w:rsidRPr="00B41905" w:rsidRDefault="00D16880" w:rsidP="00B41905">
      <w:pPr>
        <w:pStyle w:val="ListParagraph"/>
        <w:widowControl/>
        <w:autoSpaceDE w:val="0"/>
        <w:autoSpaceDN w:val="0"/>
        <w:adjustRightInd w:val="0"/>
        <w:spacing w:line="281" w:lineRule="auto"/>
        <w:ind w:left="993"/>
        <w:contextualSpacing w:val="0"/>
        <w:jc w:val="left"/>
        <w:rPr>
          <w:i/>
          <w:szCs w:val="22"/>
          <w:highlight w:val="yellow"/>
        </w:rPr>
      </w:pPr>
    </w:p>
    <w:p w:rsidR="00D16880" w:rsidRDefault="00D16880" w:rsidP="007D1763">
      <w:pPr>
        <w:pStyle w:val="ListParagraph"/>
        <w:widowControl/>
        <w:rPr>
          <w:i/>
          <w:szCs w:val="22"/>
        </w:rPr>
      </w:pPr>
      <w:r w:rsidRPr="00F435C4">
        <w:rPr>
          <w:i/>
          <w:szCs w:val="22"/>
        </w:rPr>
        <w:t>For more detail on PBAC’s view, see section 7 “PBAC outcome”</w:t>
      </w:r>
    </w:p>
    <w:p w:rsidR="00D16880" w:rsidRPr="00397465" w:rsidRDefault="00D16880" w:rsidP="007D1763">
      <w:pPr>
        <w:widowControl/>
        <w:rPr>
          <w:i/>
          <w:szCs w:val="22"/>
        </w:rPr>
      </w:pPr>
    </w:p>
    <w:p w:rsidR="00D16880" w:rsidRPr="00485BA7" w:rsidRDefault="00D16880" w:rsidP="00746A1B">
      <w:pPr>
        <w:pStyle w:val="Heading1"/>
      </w:pPr>
      <w:r w:rsidRPr="00485BA7">
        <w:t>PBAC Outcome</w:t>
      </w:r>
    </w:p>
    <w:p w:rsidR="00D16880" w:rsidRPr="00485BA7" w:rsidRDefault="00D16880" w:rsidP="007D1763">
      <w:pPr>
        <w:widowControl/>
        <w:contextualSpacing/>
        <w:rPr>
          <w:bCs/>
          <w:szCs w:val="22"/>
          <w:lang w:val="en-GB"/>
        </w:rPr>
      </w:pPr>
    </w:p>
    <w:p w:rsidR="00BF4578" w:rsidRPr="00076FEF" w:rsidRDefault="00485BA7" w:rsidP="007D1763">
      <w:pPr>
        <w:widowControl/>
        <w:numPr>
          <w:ilvl w:val="1"/>
          <w:numId w:val="1"/>
        </w:numPr>
        <w:contextualSpacing/>
        <w:rPr>
          <w:bCs/>
          <w:szCs w:val="22"/>
          <w:lang w:val="en-GB"/>
        </w:rPr>
      </w:pPr>
      <w:r w:rsidRPr="00BF4578">
        <w:rPr>
          <w:bCs/>
          <w:szCs w:val="22"/>
          <w:lang w:val="en-GB"/>
        </w:rPr>
        <w:t xml:space="preserve">The PBAC deferred </w:t>
      </w:r>
      <w:r w:rsidR="00C23643">
        <w:rPr>
          <w:bCs/>
          <w:szCs w:val="22"/>
          <w:lang w:val="en-GB"/>
        </w:rPr>
        <w:t>making a recommendation on whether</w:t>
      </w:r>
      <w:r w:rsidRPr="00BF4578">
        <w:rPr>
          <w:bCs/>
          <w:szCs w:val="22"/>
          <w:lang w:val="en-GB"/>
        </w:rPr>
        <w:t xml:space="preserve"> Afluria</w:t>
      </w:r>
      <w:r w:rsidRPr="00BF4578">
        <w:t xml:space="preserve">® Quad </w:t>
      </w:r>
      <w:r w:rsidR="00C23643">
        <w:t xml:space="preserve">should be </w:t>
      </w:r>
      <w:r w:rsidR="00D516E0">
        <w:t xml:space="preserve">included on the </w:t>
      </w:r>
      <w:r w:rsidR="00514E92">
        <w:t>D</w:t>
      </w:r>
      <w:r w:rsidR="00D516E0">
        <w:t xml:space="preserve">esignated </w:t>
      </w:r>
      <w:r w:rsidR="00514E92">
        <w:t>V</w:t>
      </w:r>
      <w:r w:rsidR="00D516E0">
        <w:t>accines list for</w:t>
      </w:r>
      <w:r w:rsidR="00C23643">
        <w:t xml:space="preserve"> the NIP </w:t>
      </w:r>
      <w:r w:rsidR="00D516E0">
        <w:t xml:space="preserve">for the prevention of seasonal influenza </w:t>
      </w:r>
      <w:r w:rsidRPr="00BF4578">
        <w:t xml:space="preserve">until such time </w:t>
      </w:r>
      <w:r w:rsidR="00D516E0">
        <w:t xml:space="preserve">as the TGA is </w:t>
      </w:r>
      <w:r w:rsidR="00712A24">
        <w:t xml:space="preserve">in a position to advise </w:t>
      </w:r>
      <w:r w:rsidR="00C32291">
        <w:t xml:space="preserve">its </w:t>
      </w:r>
      <w:r w:rsidR="00076FEF">
        <w:rPr>
          <w:noProof/>
          <w:color w:val="000000"/>
          <w:highlight w:val="black"/>
        </w:rPr>
        <w:t>'''''''''''''''''''''''''''''' ''''''''''''''''</w:t>
      </w:r>
      <w:r w:rsidR="00C32291">
        <w:t xml:space="preserve"> concerns </w:t>
      </w:r>
      <w:r w:rsidR="00076FEF">
        <w:rPr>
          <w:noProof/>
          <w:color w:val="000000"/>
          <w:highlight w:val="black"/>
        </w:rPr>
        <w:t>''''''''''''''''''''' '''''''''''''''''''''''' ''''''''''''''''''' '''''''''''''</w:t>
      </w:r>
      <w:r w:rsidR="00C32291">
        <w:t xml:space="preserve"> have been addressed. </w:t>
      </w:r>
      <w:r w:rsidR="00076FEF">
        <w:rPr>
          <w:noProof/>
          <w:color w:val="000000"/>
          <w:highlight w:val="black"/>
        </w:rPr>
        <w:t xml:space="preserve">''''''''' '''''''''''''' '''''''''''''' '''''''''' ''''''''''''''''' ''''''''''''''''''''''''' ''''''''''''''''''' '''' ''''''''' ''''''''''' '''''''''''''''' '''''''''''''''''''''''' '''''''''''''''' ''''''' ''''''''''''''''''' '''' ''''''''''''''''' ''''''''''''''''''''''' ''''' ''''''''''''''''''' '''''''''''''' '''''''''''''' ''''' '''''''' ''''''''''' '''''' '''''' ''''''''''''''''''''''''' '''''''''''' '''''''''' ''''''''''''''''''''''''' '''''''''' </w:t>
      </w:r>
    </w:p>
    <w:p w:rsidR="009D2844" w:rsidRPr="009D2844" w:rsidRDefault="009D2844" w:rsidP="007D1763">
      <w:pPr>
        <w:widowControl/>
        <w:ind w:left="720"/>
        <w:contextualSpacing/>
        <w:rPr>
          <w:bCs/>
          <w:szCs w:val="22"/>
          <w:lang w:val="en-GB"/>
        </w:rPr>
      </w:pPr>
    </w:p>
    <w:p w:rsidR="00E61B66" w:rsidRDefault="007C1E5D" w:rsidP="00E61B66">
      <w:pPr>
        <w:widowControl/>
        <w:numPr>
          <w:ilvl w:val="1"/>
          <w:numId w:val="1"/>
        </w:numPr>
        <w:contextualSpacing/>
        <w:rPr>
          <w:bCs/>
          <w:szCs w:val="22"/>
          <w:lang w:val="en-GB"/>
        </w:rPr>
      </w:pPr>
      <w:r>
        <w:rPr>
          <w:bCs/>
          <w:szCs w:val="22"/>
          <w:lang w:val="en-GB"/>
        </w:rPr>
        <w:t xml:space="preserve">The PBAC </w:t>
      </w:r>
      <w:r w:rsidR="00C11B95">
        <w:rPr>
          <w:bCs/>
          <w:szCs w:val="22"/>
          <w:lang w:val="en-GB"/>
        </w:rPr>
        <w:t>recalled that it previously recommended that Fluarix® Tetra (in March</w:t>
      </w:r>
      <w:r w:rsidR="00AD7081">
        <w:rPr>
          <w:bCs/>
          <w:szCs w:val="22"/>
          <w:lang w:val="en-GB"/>
        </w:rPr>
        <w:t> </w:t>
      </w:r>
      <w:r w:rsidR="00C11B95">
        <w:rPr>
          <w:bCs/>
          <w:szCs w:val="22"/>
          <w:lang w:val="en-GB"/>
        </w:rPr>
        <w:t xml:space="preserve">2015) and FluQuadri® (in July 2015) be included on the </w:t>
      </w:r>
      <w:r w:rsidR="00514E92">
        <w:rPr>
          <w:bCs/>
          <w:szCs w:val="22"/>
          <w:lang w:val="en-GB"/>
        </w:rPr>
        <w:t>D</w:t>
      </w:r>
      <w:r w:rsidR="00C11B95">
        <w:rPr>
          <w:bCs/>
          <w:szCs w:val="22"/>
          <w:lang w:val="en-GB"/>
        </w:rPr>
        <w:t xml:space="preserve">esignated </w:t>
      </w:r>
      <w:r w:rsidR="00514E92">
        <w:rPr>
          <w:bCs/>
          <w:szCs w:val="22"/>
          <w:lang w:val="en-GB"/>
        </w:rPr>
        <w:t>V</w:t>
      </w:r>
      <w:r w:rsidR="00C11B95">
        <w:rPr>
          <w:bCs/>
          <w:szCs w:val="22"/>
          <w:lang w:val="en-GB"/>
        </w:rPr>
        <w:t xml:space="preserve">accines list for the NIP for the prevention of seasonal influenza for </w:t>
      </w:r>
      <w:r w:rsidR="008D682F">
        <w:rPr>
          <w:bCs/>
          <w:szCs w:val="22"/>
          <w:lang w:val="en-GB"/>
        </w:rPr>
        <w:t xml:space="preserve">eligible </w:t>
      </w:r>
      <w:r w:rsidR="00C11B95">
        <w:rPr>
          <w:bCs/>
          <w:szCs w:val="22"/>
          <w:lang w:val="en-GB"/>
        </w:rPr>
        <w:t xml:space="preserve">persons aged 3 years and older. </w:t>
      </w:r>
      <w:r w:rsidR="00E61B66">
        <w:rPr>
          <w:bCs/>
          <w:szCs w:val="22"/>
          <w:lang w:val="en-GB"/>
        </w:rPr>
        <w:t>The PBAC noted that listing was requested for adults aged 18 years and older</w:t>
      </w:r>
      <w:r w:rsidR="00C22CF6">
        <w:rPr>
          <w:bCs/>
          <w:szCs w:val="22"/>
          <w:lang w:val="en-GB"/>
        </w:rPr>
        <w:t xml:space="preserve"> who are eligible for NIP-funded vaccine,</w:t>
      </w:r>
      <w:r w:rsidR="00E61B66">
        <w:rPr>
          <w:bCs/>
          <w:szCs w:val="22"/>
          <w:lang w:val="en-GB"/>
        </w:rPr>
        <w:t xml:space="preserve"> and that Seqirus intends to implement a number of measures to prevent the administration of Afluria</w:t>
      </w:r>
      <w:r w:rsidR="00E61B66" w:rsidRPr="00BF4578">
        <w:t>®</w:t>
      </w:r>
      <w:r w:rsidR="00E61B66">
        <w:t xml:space="preserve"> Quad to people under 18 years of age (see paragraph 6.17).</w:t>
      </w:r>
    </w:p>
    <w:p w:rsidR="00E61B66" w:rsidRDefault="00E61B66" w:rsidP="00E61B66">
      <w:pPr>
        <w:widowControl/>
        <w:ind w:left="720"/>
        <w:contextualSpacing/>
        <w:rPr>
          <w:bCs/>
          <w:szCs w:val="22"/>
          <w:lang w:val="en-GB"/>
        </w:rPr>
      </w:pPr>
    </w:p>
    <w:p w:rsidR="007C1E5D" w:rsidRDefault="00C11B95" w:rsidP="007D1763">
      <w:pPr>
        <w:widowControl/>
        <w:numPr>
          <w:ilvl w:val="1"/>
          <w:numId w:val="1"/>
        </w:numPr>
        <w:contextualSpacing/>
        <w:rPr>
          <w:bCs/>
          <w:szCs w:val="22"/>
          <w:lang w:val="en-GB"/>
        </w:rPr>
      </w:pPr>
      <w:r>
        <w:rPr>
          <w:bCs/>
          <w:szCs w:val="22"/>
          <w:lang w:val="en-GB"/>
        </w:rPr>
        <w:t>The PBAC noted that if Afluria® Quad were inclu</w:t>
      </w:r>
      <w:r w:rsidR="00835BE8">
        <w:rPr>
          <w:bCs/>
          <w:szCs w:val="22"/>
          <w:lang w:val="en-GB"/>
        </w:rPr>
        <w:t>ded</w:t>
      </w:r>
      <w:r>
        <w:rPr>
          <w:bCs/>
          <w:szCs w:val="22"/>
          <w:lang w:val="en-GB"/>
        </w:rPr>
        <w:t xml:space="preserve"> on the </w:t>
      </w:r>
      <w:r w:rsidR="00514E92">
        <w:rPr>
          <w:bCs/>
          <w:szCs w:val="22"/>
          <w:lang w:val="en-GB"/>
        </w:rPr>
        <w:t>D</w:t>
      </w:r>
      <w:r>
        <w:rPr>
          <w:bCs/>
          <w:szCs w:val="22"/>
          <w:lang w:val="en-GB"/>
        </w:rPr>
        <w:t xml:space="preserve">esignated </w:t>
      </w:r>
      <w:r w:rsidR="00514E92">
        <w:rPr>
          <w:bCs/>
          <w:szCs w:val="22"/>
          <w:lang w:val="en-GB"/>
        </w:rPr>
        <w:t>V</w:t>
      </w:r>
      <w:r>
        <w:rPr>
          <w:bCs/>
          <w:szCs w:val="22"/>
          <w:lang w:val="en-GB"/>
        </w:rPr>
        <w:t xml:space="preserve">accine list, </w:t>
      </w:r>
      <w:r w:rsidR="00835BE8">
        <w:rPr>
          <w:bCs/>
          <w:szCs w:val="22"/>
          <w:lang w:val="en-GB"/>
        </w:rPr>
        <w:t>it</w:t>
      </w:r>
      <w:r>
        <w:rPr>
          <w:bCs/>
          <w:szCs w:val="22"/>
          <w:lang w:val="en-GB"/>
        </w:rPr>
        <w:t xml:space="preserve"> would be </w:t>
      </w:r>
      <w:r w:rsidR="00AD7081">
        <w:rPr>
          <w:bCs/>
          <w:szCs w:val="22"/>
          <w:lang w:val="en-GB"/>
        </w:rPr>
        <w:t xml:space="preserve">the </w:t>
      </w:r>
      <w:r>
        <w:rPr>
          <w:bCs/>
          <w:szCs w:val="22"/>
          <w:lang w:val="en-GB"/>
        </w:rPr>
        <w:t xml:space="preserve">third </w:t>
      </w:r>
      <w:r w:rsidR="00A0135D">
        <w:rPr>
          <w:bCs/>
          <w:szCs w:val="22"/>
          <w:lang w:val="en-GB"/>
        </w:rPr>
        <w:t xml:space="preserve">quadrivalent </w:t>
      </w:r>
      <w:r>
        <w:rPr>
          <w:bCs/>
          <w:szCs w:val="22"/>
          <w:lang w:val="en-GB"/>
        </w:rPr>
        <w:t>seasonal influenza vaccine</w:t>
      </w:r>
      <w:r w:rsidR="00514E92">
        <w:rPr>
          <w:bCs/>
          <w:szCs w:val="22"/>
          <w:lang w:val="en-GB"/>
        </w:rPr>
        <w:t xml:space="preserve"> </w:t>
      </w:r>
      <w:r>
        <w:rPr>
          <w:bCs/>
          <w:szCs w:val="22"/>
          <w:lang w:val="en-GB"/>
        </w:rPr>
        <w:t xml:space="preserve">able </w:t>
      </w:r>
      <w:r w:rsidR="00835BE8">
        <w:rPr>
          <w:bCs/>
          <w:szCs w:val="22"/>
          <w:lang w:val="en-GB"/>
        </w:rPr>
        <w:t>to be</w:t>
      </w:r>
      <w:r>
        <w:rPr>
          <w:bCs/>
          <w:szCs w:val="22"/>
          <w:lang w:val="en-GB"/>
        </w:rPr>
        <w:t xml:space="preserve"> </w:t>
      </w:r>
      <w:r w:rsidR="00514E92">
        <w:rPr>
          <w:bCs/>
          <w:szCs w:val="22"/>
          <w:lang w:val="en-GB"/>
        </w:rPr>
        <w:t>suppl</w:t>
      </w:r>
      <w:r w:rsidR="00835BE8">
        <w:rPr>
          <w:bCs/>
          <w:szCs w:val="22"/>
          <w:lang w:val="en-GB"/>
        </w:rPr>
        <w:t>ied</w:t>
      </w:r>
      <w:r>
        <w:rPr>
          <w:bCs/>
          <w:szCs w:val="22"/>
          <w:lang w:val="en-GB"/>
        </w:rPr>
        <w:t xml:space="preserve"> </w:t>
      </w:r>
      <w:r w:rsidR="00514E92">
        <w:rPr>
          <w:bCs/>
          <w:szCs w:val="22"/>
          <w:lang w:val="en-GB"/>
        </w:rPr>
        <w:t>under</w:t>
      </w:r>
      <w:r>
        <w:rPr>
          <w:bCs/>
          <w:szCs w:val="22"/>
          <w:lang w:val="en-GB"/>
        </w:rPr>
        <w:t xml:space="preserve"> the NIP </w:t>
      </w:r>
      <w:r w:rsidR="00835BE8">
        <w:rPr>
          <w:bCs/>
          <w:szCs w:val="22"/>
          <w:lang w:val="en-GB"/>
        </w:rPr>
        <w:t>to</w:t>
      </w:r>
      <w:r>
        <w:rPr>
          <w:bCs/>
          <w:szCs w:val="22"/>
          <w:lang w:val="en-GB"/>
        </w:rPr>
        <w:t xml:space="preserve"> </w:t>
      </w:r>
      <w:r w:rsidR="00C22CF6">
        <w:rPr>
          <w:bCs/>
          <w:szCs w:val="22"/>
          <w:lang w:val="en-GB"/>
        </w:rPr>
        <w:t xml:space="preserve">eligible </w:t>
      </w:r>
      <w:r>
        <w:rPr>
          <w:bCs/>
          <w:szCs w:val="22"/>
          <w:lang w:val="en-GB"/>
        </w:rPr>
        <w:t>persons aged 18</w:t>
      </w:r>
      <w:r w:rsidR="00514E92">
        <w:rPr>
          <w:bCs/>
          <w:szCs w:val="22"/>
          <w:lang w:val="en-GB"/>
        </w:rPr>
        <w:t> </w:t>
      </w:r>
      <w:r>
        <w:rPr>
          <w:bCs/>
          <w:szCs w:val="22"/>
          <w:lang w:val="en-GB"/>
        </w:rPr>
        <w:t>years and older.</w:t>
      </w:r>
    </w:p>
    <w:p w:rsidR="007C1E5D" w:rsidRDefault="007C1E5D" w:rsidP="007D1763">
      <w:pPr>
        <w:pStyle w:val="ListParagraph"/>
        <w:widowControl/>
        <w:rPr>
          <w:bCs/>
          <w:szCs w:val="22"/>
          <w:lang w:val="en-GB"/>
        </w:rPr>
      </w:pPr>
    </w:p>
    <w:p w:rsidR="007C1E5D" w:rsidRDefault="007C1E5D" w:rsidP="007D1763">
      <w:pPr>
        <w:widowControl/>
        <w:numPr>
          <w:ilvl w:val="1"/>
          <w:numId w:val="1"/>
        </w:numPr>
        <w:contextualSpacing/>
        <w:rPr>
          <w:bCs/>
          <w:szCs w:val="22"/>
          <w:lang w:val="en-GB"/>
        </w:rPr>
      </w:pPr>
      <w:r>
        <w:rPr>
          <w:bCs/>
          <w:szCs w:val="22"/>
          <w:lang w:val="en-GB"/>
        </w:rPr>
        <w:t xml:space="preserve">The PBAC accepted that Fluarix® Tetra was </w:t>
      </w:r>
      <w:r w:rsidR="00C11B95">
        <w:rPr>
          <w:bCs/>
          <w:szCs w:val="22"/>
          <w:lang w:val="en-GB"/>
        </w:rPr>
        <w:t>the</w:t>
      </w:r>
      <w:r>
        <w:rPr>
          <w:bCs/>
          <w:szCs w:val="22"/>
          <w:lang w:val="en-GB"/>
        </w:rPr>
        <w:t xml:space="preserve"> appropriate comparator. </w:t>
      </w:r>
      <w:r w:rsidR="00E61B66">
        <w:rPr>
          <w:bCs/>
          <w:szCs w:val="22"/>
          <w:lang w:val="en-GB"/>
        </w:rPr>
        <w:t>The PBAC recalled that i</w:t>
      </w:r>
      <w:r>
        <w:rPr>
          <w:bCs/>
          <w:szCs w:val="22"/>
          <w:lang w:val="en-GB"/>
        </w:rPr>
        <w:t>n July 2015</w:t>
      </w:r>
      <w:r w:rsidR="00E61B66">
        <w:rPr>
          <w:bCs/>
          <w:szCs w:val="22"/>
          <w:lang w:val="en-GB"/>
        </w:rPr>
        <w:t xml:space="preserve"> it </w:t>
      </w:r>
      <w:r>
        <w:rPr>
          <w:bCs/>
          <w:szCs w:val="22"/>
          <w:lang w:val="en-GB"/>
        </w:rPr>
        <w:t xml:space="preserve">considered that </w:t>
      </w:r>
      <w:r w:rsidR="00C11B95">
        <w:rPr>
          <w:bCs/>
          <w:szCs w:val="22"/>
          <w:lang w:val="en-GB"/>
        </w:rPr>
        <w:t>FluQ</w:t>
      </w:r>
      <w:r>
        <w:rPr>
          <w:bCs/>
          <w:szCs w:val="22"/>
          <w:lang w:val="en-GB"/>
        </w:rPr>
        <w:t xml:space="preserve">uadri® was non-inferior in efficacy and safety compared with Fluarix® Tetra and therefore recommended </w:t>
      </w:r>
      <w:r w:rsidR="00C11B95">
        <w:rPr>
          <w:bCs/>
          <w:szCs w:val="22"/>
          <w:lang w:val="en-GB"/>
        </w:rPr>
        <w:t>FluQ</w:t>
      </w:r>
      <w:r>
        <w:rPr>
          <w:bCs/>
          <w:szCs w:val="22"/>
          <w:lang w:val="en-GB"/>
        </w:rPr>
        <w:t>uadri® on a cost minimisation basis to Fluarix® Tetra.</w:t>
      </w:r>
    </w:p>
    <w:p w:rsidR="007C1E5D" w:rsidRDefault="007C1E5D" w:rsidP="007D1763">
      <w:pPr>
        <w:pStyle w:val="ListParagraph"/>
        <w:widowControl/>
        <w:rPr>
          <w:bCs/>
          <w:szCs w:val="22"/>
          <w:lang w:val="en-GB"/>
        </w:rPr>
      </w:pPr>
    </w:p>
    <w:p w:rsidR="00986529" w:rsidRDefault="00986529" w:rsidP="007D1763">
      <w:pPr>
        <w:widowControl/>
        <w:numPr>
          <w:ilvl w:val="1"/>
          <w:numId w:val="1"/>
        </w:numPr>
        <w:contextualSpacing/>
        <w:rPr>
          <w:bCs/>
          <w:szCs w:val="22"/>
          <w:lang w:val="en-GB"/>
        </w:rPr>
      </w:pPr>
      <w:r>
        <w:rPr>
          <w:bCs/>
          <w:szCs w:val="22"/>
          <w:lang w:val="en-GB"/>
        </w:rPr>
        <w:t xml:space="preserve">The PBAC noted that the submission </w:t>
      </w:r>
      <w:r w:rsidR="00E61B66">
        <w:rPr>
          <w:bCs/>
          <w:szCs w:val="22"/>
          <w:lang w:val="en-GB"/>
        </w:rPr>
        <w:t>w</w:t>
      </w:r>
      <w:r>
        <w:rPr>
          <w:bCs/>
          <w:szCs w:val="22"/>
          <w:lang w:val="en-GB"/>
        </w:rPr>
        <w:t>as based on an indirect comparison between Afluria®</w:t>
      </w:r>
      <w:r w:rsidR="00E61B66">
        <w:rPr>
          <w:bCs/>
          <w:szCs w:val="22"/>
          <w:lang w:val="en-GB"/>
        </w:rPr>
        <w:t xml:space="preserve"> Quad and Fluarix</w:t>
      </w:r>
      <w:r>
        <w:rPr>
          <w:bCs/>
          <w:szCs w:val="22"/>
          <w:lang w:val="en-GB"/>
        </w:rPr>
        <w:t>® Tetra using TIV as the common comparator. The non-inferiority claim was based on an indirect comparison of surrogate outcomes (haemagglutination antibody geometric titres and seroconversion rates). The PBAC noted that ATAGI accepted that the immunogenicity and safety of Alfuria® Quad is likely to be similar to that of other QIVs.</w:t>
      </w:r>
    </w:p>
    <w:p w:rsidR="00986529" w:rsidRDefault="00986529" w:rsidP="00986529">
      <w:pPr>
        <w:pStyle w:val="ListParagraph"/>
        <w:rPr>
          <w:bCs/>
          <w:szCs w:val="22"/>
          <w:lang w:val="en-GB"/>
        </w:rPr>
      </w:pPr>
    </w:p>
    <w:p w:rsidR="009D2844" w:rsidRPr="00BF4578" w:rsidRDefault="009D2844" w:rsidP="007D1763">
      <w:pPr>
        <w:widowControl/>
        <w:numPr>
          <w:ilvl w:val="1"/>
          <w:numId w:val="1"/>
        </w:numPr>
        <w:contextualSpacing/>
        <w:rPr>
          <w:bCs/>
          <w:szCs w:val="22"/>
          <w:lang w:val="en-GB"/>
        </w:rPr>
      </w:pPr>
      <w:r>
        <w:rPr>
          <w:bCs/>
          <w:szCs w:val="22"/>
          <w:lang w:val="en-GB"/>
        </w:rPr>
        <w:t>The PBAC noted that listing of Afluria</w:t>
      </w:r>
      <w:r w:rsidRPr="00BF4578">
        <w:t>®</w:t>
      </w:r>
      <w:r>
        <w:t xml:space="preserve"> Quad was requested on a cost-minimisation</w:t>
      </w:r>
      <w:r w:rsidR="00DD6F5D">
        <w:t xml:space="preserve"> basis compared </w:t>
      </w:r>
      <w:r w:rsidR="007D1763">
        <w:t xml:space="preserve">with </w:t>
      </w:r>
      <w:r w:rsidR="00DD6F5D">
        <w:t>Fluarix</w:t>
      </w:r>
      <w:r w:rsidR="00DD6F5D" w:rsidRPr="00BF4578">
        <w:t>®</w:t>
      </w:r>
      <w:r w:rsidR="00DD6F5D">
        <w:t xml:space="preserve"> Tetra and </w:t>
      </w:r>
      <w:r w:rsidR="007D1763">
        <w:t xml:space="preserve">accepted </w:t>
      </w:r>
      <w:r w:rsidR="00DD6F5D">
        <w:t xml:space="preserve">that </w:t>
      </w:r>
      <w:r w:rsidR="007D1763">
        <w:t xml:space="preserve">one dose of 0.5 mL </w:t>
      </w:r>
      <w:r w:rsidR="00DD6F5D">
        <w:t>Afluria®</w:t>
      </w:r>
      <w:r w:rsidR="00514E92">
        <w:t> </w:t>
      </w:r>
      <w:r w:rsidR="00DD6F5D">
        <w:t xml:space="preserve">Quad </w:t>
      </w:r>
      <w:r w:rsidR="007D1763">
        <w:t xml:space="preserve">is </w:t>
      </w:r>
      <w:r w:rsidR="00E61B66">
        <w:t xml:space="preserve">likely to be </w:t>
      </w:r>
      <w:r w:rsidR="007D1763">
        <w:t>equi-effective to one dose of 0.5</w:t>
      </w:r>
      <w:r w:rsidR="00514E92">
        <w:t xml:space="preserve"> </w:t>
      </w:r>
      <w:r w:rsidR="007D1763">
        <w:t xml:space="preserve">mL </w:t>
      </w:r>
      <w:r w:rsidR="00DD6F5D">
        <w:t>Fluarix® Tetra.</w:t>
      </w:r>
    </w:p>
    <w:p w:rsidR="00230CEA" w:rsidRDefault="00230CEA" w:rsidP="007D1763">
      <w:pPr>
        <w:pStyle w:val="ListParagraph"/>
        <w:widowControl/>
        <w:rPr>
          <w:bCs/>
          <w:szCs w:val="22"/>
          <w:lang w:val="en-GB"/>
        </w:rPr>
      </w:pPr>
    </w:p>
    <w:p w:rsidR="00230CEA" w:rsidRPr="00BF4578" w:rsidRDefault="00230CEA" w:rsidP="007D1763">
      <w:pPr>
        <w:widowControl/>
        <w:numPr>
          <w:ilvl w:val="1"/>
          <w:numId w:val="1"/>
        </w:numPr>
        <w:contextualSpacing/>
        <w:rPr>
          <w:bCs/>
          <w:szCs w:val="22"/>
          <w:lang w:val="en-GB"/>
        </w:rPr>
      </w:pPr>
      <w:r>
        <w:rPr>
          <w:bCs/>
          <w:szCs w:val="22"/>
          <w:lang w:val="en-GB"/>
        </w:rPr>
        <w:t>The PBAC considered that the</w:t>
      </w:r>
      <w:r w:rsidR="00986529">
        <w:rPr>
          <w:bCs/>
          <w:szCs w:val="22"/>
          <w:lang w:val="en-GB"/>
        </w:rPr>
        <w:t xml:space="preserve"> utilisation and</w:t>
      </w:r>
      <w:r>
        <w:rPr>
          <w:bCs/>
          <w:szCs w:val="22"/>
          <w:lang w:val="en-GB"/>
        </w:rPr>
        <w:t xml:space="preserve"> financial estimates presented in the submission </w:t>
      </w:r>
      <w:r w:rsidR="00986529">
        <w:rPr>
          <w:bCs/>
          <w:szCs w:val="22"/>
          <w:lang w:val="en-GB"/>
        </w:rPr>
        <w:t xml:space="preserve">appeared </w:t>
      </w:r>
      <w:r>
        <w:rPr>
          <w:bCs/>
          <w:szCs w:val="22"/>
          <w:lang w:val="en-GB"/>
        </w:rPr>
        <w:t xml:space="preserve">reasonable, </w:t>
      </w:r>
      <w:r w:rsidR="00986529">
        <w:rPr>
          <w:bCs/>
          <w:szCs w:val="22"/>
          <w:lang w:val="en-GB"/>
        </w:rPr>
        <w:t xml:space="preserve">noting that if </w:t>
      </w:r>
      <w:r>
        <w:rPr>
          <w:bCs/>
          <w:szCs w:val="22"/>
          <w:lang w:val="en-GB"/>
        </w:rPr>
        <w:t>Afluria</w:t>
      </w:r>
      <w:r w:rsidRPr="00BF4578">
        <w:t>®</w:t>
      </w:r>
      <w:r>
        <w:t xml:space="preserve"> Quad </w:t>
      </w:r>
      <w:r w:rsidR="00986529">
        <w:t xml:space="preserve">were included on the NIP it would be </w:t>
      </w:r>
      <w:r>
        <w:t xml:space="preserve">likely to replace other influenza vaccines and cost to Government </w:t>
      </w:r>
      <w:r w:rsidR="00986529">
        <w:t xml:space="preserve">would </w:t>
      </w:r>
      <w:r>
        <w:t xml:space="preserve">therefore </w:t>
      </w:r>
      <w:r w:rsidR="00986529">
        <w:t xml:space="preserve">be </w:t>
      </w:r>
      <w:r>
        <w:t>expected to be neutral.</w:t>
      </w:r>
    </w:p>
    <w:p w:rsidR="00BF4578" w:rsidRDefault="00BF4578" w:rsidP="007D1763">
      <w:pPr>
        <w:pStyle w:val="ListParagraph"/>
        <w:widowControl/>
        <w:rPr>
          <w:bCs/>
          <w:szCs w:val="22"/>
          <w:highlight w:val="yellow"/>
          <w:lang w:val="en-GB"/>
        </w:rPr>
      </w:pPr>
    </w:p>
    <w:p w:rsidR="00D16880" w:rsidRPr="00112089" w:rsidRDefault="00D16880" w:rsidP="00835BE8">
      <w:pPr>
        <w:keepNext/>
        <w:widowControl/>
        <w:rPr>
          <w:b/>
          <w:bCs/>
          <w:szCs w:val="22"/>
          <w:lang w:val="en-GB"/>
        </w:rPr>
      </w:pPr>
      <w:r w:rsidRPr="00112089">
        <w:rPr>
          <w:b/>
          <w:bCs/>
          <w:szCs w:val="22"/>
          <w:lang w:val="en-GB"/>
        </w:rPr>
        <w:t>Outcome:</w:t>
      </w:r>
    </w:p>
    <w:p w:rsidR="00D16880" w:rsidRDefault="00D16880" w:rsidP="007D1763">
      <w:pPr>
        <w:widowControl/>
        <w:rPr>
          <w:bCs/>
          <w:szCs w:val="22"/>
          <w:lang w:val="en-GB"/>
        </w:rPr>
      </w:pPr>
      <w:r w:rsidRPr="00112089">
        <w:rPr>
          <w:bCs/>
          <w:szCs w:val="22"/>
          <w:lang w:val="en-GB"/>
        </w:rPr>
        <w:t xml:space="preserve">Deferred </w:t>
      </w:r>
    </w:p>
    <w:p w:rsidR="00A0135D" w:rsidRDefault="00A0135D" w:rsidP="007D1763">
      <w:pPr>
        <w:widowControl/>
        <w:rPr>
          <w:bCs/>
          <w:szCs w:val="22"/>
          <w:lang w:val="en-GB"/>
        </w:rPr>
      </w:pPr>
    </w:p>
    <w:p w:rsidR="00A0135D" w:rsidRDefault="00A0135D" w:rsidP="007D1763">
      <w:pPr>
        <w:widowControl/>
        <w:rPr>
          <w:b/>
          <w:bCs/>
          <w:szCs w:val="22"/>
          <w:lang w:val="en-GB"/>
        </w:rPr>
      </w:pPr>
      <w:r w:rsidRPr="00A0135D">
        <w:rPr>
          <w:b/>
          <w:bCs/>
          <w:szCs w:val="22"/>
          <w:lang w:val="en-GB"/>
        </w:rPr>
        <w:t>ADDENDUM</w:t>
      </w:r>
    </w:p>
    <w:p w:rsidR="00A0135D" w:rsidRDefault="00A0135D" w:rsidP="007D1763">
      <w:pPr>
        <w:widowControl/>
        <w:rPr>
          <w:b/>
          <w:bCs/>
          <w:szCs w:val="22"/>
          <w:lang w:val="en-GB"/>
        </w:rPr>
      </w:pPr>
    </w:p>
    <w:p w:rsidR="00A0135D" w:rsidRDefault="00A0135D" w:rsidP="007D1763">
      <w:pPr>
        <w:widowControl/>
        <w:rPr>
          <w:bCs/>
          <w:szCs w:val="22"/>
          <w:lang w:val="en-GB"/>
        </w:rPr>
      </w:pPr>
      <w:r>
        <w:rPr>
          <w:bCs/>
          <w:szCs w:val="22"/>
          <w:lang w:val="en-GB"/>
        </w:rPr>
        <w:t>Subsequent to the August 2016 meeting, the sponsor provided the PBAC with a copy of a letter from the TGA</w:t>
      </w:r>
      <w:r w:rsidR="000966CF">
        <w:rPr>
          <w:bCs/>
          <w:szCs w:val="22"/>
          <w:lang w:val="en-GB"/>
        </w:rPr>
        <w:t>,</w:t>
      </w:r>
      <w:r>
        <w:rPr>
          <w:bCs/>
          <w:szCs w:val="22"/>
          <w:lang w:val="en-GB"/>
        </w:rPr>
        <w:t xml:space="preserve"> </w:t>
      </w:r>
      <w:r w:rsidR="0040697C">
        <w:rPr>
          <w:bCs/>
          <w:szCs w:val="22"/>
          <w:lang w:val="en-GB"/>
        </w:rPr>
        <w:t xml:space="preserve">which </w:t>
      </w:r>
      <w:r>
        <w:rPr>
          <w:bCs/>
          <w:szCs w:val="22"/>
          <w:lang w:val="en-GB"/>
        </w:rPr>
        <w:t>stat</w:t>
      </w:r>
      <w:r w:rsidR="0040697C">
        <w:rPr>
          <w:bCs/>
          <w:szCs w:val="22"/>
          <w:lang w:val="en-GB"/>
        </w:rPr>
        <w:t>ed</w:t>
      </w:r>
      <w:r>
        <w:rPr>
          <w:bCs/>
          <w:szCs w:val="22"/>
          <w:lang w:val="en-GB"/>
        </w:rPr>
        <w:t xml:space="preserve"> that </w:t>
      </w:r>
      <w:r w:rsidR="00076FEF">
        <w:rPr>
          <w:bCs/>
          <w:noProof/>
          <w:color w:val="000000"/>
          <w:szCs w:val="22"/>
          <w:highlight w:val="black"/>
          <w:lang w:val="en-GB"/>
        </w:rPr>
        <w:t>''''''''' '''''''''''''''''''''' ''''' ''''''''''''''''''''''''' '''''''''' '''''''''''' '''''''''''''''''''' '''''</w:t>
      </w:r>
      <w:r w:rsidR="0024471F">
        <w:rPr>
          <w:bCs/>
          <w:szCs w:val="22"/>
          <w:lang w:val="en-GB"/>
        </w:rPr>
        <w:t xml:space="preserve"> Seqirus had provided evidence sufficient to satisfy the TGA that the product can be supplied.</w:t>
      </w:r>
      <w:r>
        <w:rPr>
          <w:bCs/>
          <w:szCs w:val="22"/>
          <w:lang w:val="en-GB"/>
        </w:rPr>
        <w:t xml:space="preserve"> </w:t>
      </w:r>
    </w:p>
    <w:p w:rsidR="000966CF" w:rsidRDefault="000966CF" w:rsidP="007D1763">
      <w:pPr>
        <w:widowControl/>
        <w:rPr>
          <w:bCs/>
          <w:szCs w:val="22"/>
          <w:lang w:val="en-GB"/>
        </w:rPr>
      </w:pPr>
    </w:p>
    <w:p w:rsidR="000966CF" w:rsidRDefault="000966CF" w:rsidP="007D1763">
      <w:pPr>
        <w:widowControl/>
      </w:pPr>
      <w:r>
        <w:rPr>
          <w:bCs/>
          <w:szCs w:val="22"/>
          <w:lang w:val="en-GB"/>
        </w:rPr>
        <w:t>The PBAC recommended the listing of Afluria</w:t>
      </w:r>
      <w:r w:rsidRPr="00BF4578">
        <w:t>®</w:t>
      </w:r>
      <w:r>
        <w:rPr>
          <w:bCs/>
          <w:szCs w:val="22"/>
          <w:lang w:val="en-GB"/>
        </w:rPr>
        <w:t xml:space="preserve"> Quad on the NIP – Designated Vaccines List for the prevention of seasonal influenza</w:t>
      </w:r>
      <w:r w:rsidR="00925E26">
        <w:rPr>
          <w:bCs/>
          <w:szCs w:val="22"/>
          <w:lang w:val="en-GB"/>
        </w:rPr>
        <w:t xml:space="preserve"> for adults aged 18 years and older</w:t>
      </w:r>
      <w:r w:rsidR="00C22CF6">
        <w:rPr>
          <w:bCs/>
          <w:szCs w:val="22"/>
          <w:lang w:val="en-GB"/>
        </w:rPr>
        <w:t xml:space="preserve"> who are eligible to receive NIP-funded influenza vaccine</w:t>
      </w:r>
      <w:r>
        <w:rPr>
          <w:bCs/>
          <w:szCs w:val="22"/>
          <w:lang w:val="en-GB"/>
        </w:rPr>
        <w:t xml:space="preserve">. The recommendation was </w:t>
      </w:r>
      <w:r w:rsidR="008D682F">
        <w:rPr>
          <w:bCs/>
          <w:szCs w:val="22"/>
          <w:lang w:val="en-GB"/>
        </w:rPr>
        <w:t xml:space="preserve">made on </w:t>
      </w:r>
      <w:r>
        <w:rPr>
          <w:bCs/>
          <w:szCs w:val="22"/>
          <w:lang w:val="en-GB"/>
        </w:rPr>
        <w:t>a cost</w:t>
      </w:r>
      <w:r w:rsidR="008D682F">
        <w:rPr>
          <w:bCs/>
          <w:szCs w:val="22"/>
          <w:lang w:val="en-GB"/>
        </w:rPr>
        <w:noBreakHyphen/>
      </w:r>
      <w:r>
        <w:rPr>
          <w:bCs/>
          <w:szCs w:val="22"/>
          <w:lang w:val="en-GB"/>
        </w:rPr>
        <w:t>minimisation basis with Fluarix</w:t>
      </w:r>
      <w:r w:rsidRPr="00BF4578">
        <w:t>®</w:t>
      </w:r>
      <w:r>
        <w:t xml:space="preserve"> Tetra influenza vaccine, with </w:t>
      </w:r>
      <w:r w:rsidR="00925E26">
        <w:t xml:space="preserve">the equi-effective doses being </w:t>
      </w:r>
      <w:r>
        <w:t>one dose of 0.5 mL Afluria</w:t>
      </w:r>
      <w:r w:rsidRPr="00BF4578">
        <w:t>®</w:t>
      </w:r>
      <w:r w:rsidR="0040697C">
        <w:t> </w:t>
      </w:r>
      <w:r>
        <w:t xml:space="preserve">Quad </w:t>
      </w:r>
      <w:r w:rsidR="00925E26">
        <w:t>and</w:t>
      </w:r>
      <w:r>
        <w:t xml:space="preserve"> one dose of 0.5 mL Fluarix</w:t>
      </w:r>
      <w:r w:rsidRPr="00BF4578">
        <w:t>®</w:t>
      </w:r>
      <w:r>
        <w:t xml:space="preserve"> Tetra.</w:t>
      </w:r>
    </w:p>
    <w:p w:rsidR="00E01F40" w:rsidRDefault="00E01F40" w:rsidP="007D1763">
      <w:pPr>
        <w:widowControl/>
      </w:pPr>
    </w:p>
    <w:p w:rsidR="00E01F40" w:rsidRPr="00E01F40" w:rsidRDefault="00E01F40" w:rsidP="007D1763">
      <w:pPr>
        <w:widowControl/>
        <w:rPr>
          <w:b/>
        </w:rPr>
      </w:pPr>
      <w:r w:rsidRPr="00E01F40">
        <w:rPr>
          <w:b/>
        </w:rPr>
        <w:t>Outcome:</w:t>
      </w:r>
    </w:p>
    <w:p w:rsidR="00E01F40" w:rsidRPr="00A0135D" w:rsidRDefault="00E01F40" w:rsidP="007D1763">
      <w:pPr>
        <w:widowControl/>
        <w:rPr>
          <w:bCs/>
          <w:szCs w:val="22"/>
          <w:lang w:val="en-GB"/>
        </w:rPr>
      </w:pPr>
      <w:r>
        <w:t>Recommended</w:t>
      </w:r>
    </w:p>
    <w:p w:rsidR="00D16880" w:rsidRPr="00112089" w:rsidRDefault="00D16880" w:rsidP="007D1763">
      <w:pPr>
        <w:widowControl/>
        <w:rPr>
          <w:b/>
          <w:bCs/>
          <w:szCs w:val="22"/>
        </w:rPr>
      </w:pPr>
    </w:p>
    <w:p w:rsidR="00C63AD7" w:rsidRPr="0025173A" w:rsidRDefault="00C63AD7" w:rsidP="0079523D">
      <w:pPr>
        <w:pStyle w:val="Heading1"/>
        <w:keepNext/>
        <w:rPr>
          <w:rFonts w:cs="Times New Roman"/>
          <w:i/>
          <w:snapToGrid/>
          <w:lang w:eastAsia="en-AU"/>
        </w:rPr>
      </w:pPr>
      <w:r w:rsidRPr="0025173A">
        <w:rPr>
          <w:snapToGrid/>
          <w:lang w:eastAsia="en-AU"/>
        </w:rPr>
        <w:t>Recommended listing</w:t>
      </w:r>
    </w:p>
    <w:p w:rsidR="00C63AD7" w:rsidRPr="0025173A" w:rsidRDefault="00C63AD7" w:rsidP="00C63AD7">
      <w:pPr>
        <w:keepNext/>
        <w:keepLines/>
        <w:rPr>
          <w:rFonts w:cs="Times New Roman"/>
          <w:snapToGrid/>
          <w:szCs w:val="22"/>
          <w:lang w:eastAsia="en-AU"/>
        </w:rPr>
      </w:pPr>
    </w:p>
    <w:p w:rsidR="00C63AD7" w:rsidRPr="00CC3352" w:rsidRDefault="00C63AD7" w:rsidP="00C63AD7">
      <w:pPr>
        <w:pStyle w:val="ListParagraph"/>
        <w:keepNext/>
        <w:keepLines/>
        <w:numPr>
          <w:ilvl w:val="1"/>
          <w:numId w:val="1"/>
        </w:numPr>
        <w:rPr>
          <w:rFonts w:cs="Times New Roman"/>
          <w:snapToGrid/>
          <w:szCs w:val="22"/>
          <w:lang w:eastAsia="en-AU"/>
        </w:rPr>
      </w:pPr>
      <w:r w:rsidRPr="00CC3352">
        <w:rPr>
          <w:rFonts w:cs="Times New Roman"/>
          <w:snapToGrid/>
          <w:szCs w:val="22"/>
          <w:lang w:eastAsia="en-AU"/>
        </w:rPr>
        <w:t>Add new item</w:t>
      </w:r>
      <w:r>
        <w:rPr>
          <w:rFonts w:cs="Times New Roman"/>
          <w:snapToGrid/>
          <w:szCs w:val="22"/>
          <w:lang w:eastAsia="en-AU"/>
        </w:rPr>
        <w:t xml:space="preserve"> to the NIP</w:t>
      </w:r>
      <w:r w:rsidRPr="00CC3352">
        <w:rPr>
          <w:rFonts w:cs="Times New Roman"/>
          <w:snapToGrid/>
          <w:szCs w:val="22"/>
          <w:lang w:eastAsia="en-AU"/>
        </w:rPr>
        <w:t>:</w:t>
      </w:r>
    </w:p>
    <w:p w:rsidR="00C63AD7" w:rsidRPr="0025173A" w:rsidRDefault="00C63AD7" w:rsidP="00C63AD7">
      <w:pPr>
        <w:keepNext/>
        <w:keepLines/>
        <w:jc w:val="left"/>
        <w:rPr>
          <w:rFonts w:cs="Times New Roman"/>
          <w:snapToGrid/>
          <w:sz w:val="24"/>
          <w:szCs w:val="24"/>
          <w:lang w:eastAsia="en-AU"/>
        </w:rPr>
      </w:pPr>
    </w:p>
    <w:tbl>
      <w:tblPr>
        <w:tblW w:w="4605" w:type="pct"/>
        <w:tblInd w:w="736" w:type="dxa"/>
        <w:tblCellMar>
          <w:left w:w="28" w:type="dxa"/>
          <w:right w:w="28" w:type="dxa"/>
        </w:tblCellMar>
        <w:tblLook w:val="0000" w:firstRow="0" w:lastRow="0" w:firstColumn="0" w:lastColumn="0" w:noHBand="0" w:noVBand="0"/>
      </w:tblPr>
      <w:tblGrid>
        <w:gridCol w:w="3261"/>
        <w:gridCol w:w="709"/>
        <w:gridCol w:w="569"/>
        <w:gridCol w:w="937"/>
        <w:gridCol w:w="2889"/>
      </w:tblGrid>
      <w:tr w:rsidR="00C63AD7" w:rsidRPr="00A939CD" w:rsidTr="00C63AD7">
        <w:trPr>
          <w:cantSplit/>
          <w:trHeight w:val="471"/>
        </w:trPr>
        <w:tc>
          <w:tcPr>
            <w:tcW w:w="1949" w:type="pct"/>
            <w:tcBorders>
              <w:bottom w:val="single" w:sz="4" w:space="0" w:color="auto"/>
            </w:tcBorders>
          </w:tcPr>
          <w:p w:rsidR="00C63AD7" w:rsidRPr="0096308C" w:rsidRDefault="00C63AD7" w:rsidP="00C63AD7">
            <w:pPr>
              <w:keepNext/>
              <w:widowControl/>
              <w:rPr>
                <w:rFonts w:ascii="Arial Narrow" w:hAnsi="Arial Narrow"/>
                <w:sz w:val="20"/>
              </w:rPr>
            </w:pPr>
            <w:r w:rsidRPr="0096308C">
              <w:rPr>
                <w:rFonts w:ascii="Arial Narrow" w:hAnsi="Arial Narrow"/>
                <w:sz w:val="20"/>
              </w:rPr>
              <w:t>Name, Restriction,</w:t>
            </w:r>
          </w:p>
          <w:p w:rsidR="00C63AD7" w:rsidRPr="0096308C" w:rsidRDefault="00C63AD7" w:rsidP="00C63AD7">
            <w:pPr>
              <w:keepNext/>
              <w:widowControl/>
              <w:rPr>
                <w:rFonts w:ascii="Arial Narrow" w:hAnsi="Arial Narrow"/>
                <w:sz w:val="20"/>
              </w:rPr>
            </w:pPr>
            <w:r w:rsidRPr="0096308C">
              <w:rPr>
                <w:rFonts w:ascii="Arial Narrow" w:hAnsi="Arial Narrow"/>
                <w:sz w:val="20"/>
              </w:rPr>
              <w:t>Manner of administration and form</w:t>
            </w:r>
          </w:p>
        </w:tc>
        <w:tc>
          <w:tcPr>
            <w:tcW w:w="424" w:type="pct"/>
            <w:tcBorders>
              <w:bottom w:val="single" w:sz="4" w:space="0" w:color="auto"/>
            </w:tcBorders>
          </w:tcPr>
          <w:p w:rsidR="00C63AD7" w:rsidRPr="0096308C" w:rsidRDefault="00C63AD7" w:rsidP="00C63AD7">
            <w:pPr>
              <w:keepNext/>
              <w:widowControl/>
              <w:jc w:val="center"/>
              <w:rPr>
                <w:rFonts w:ascii="Arial Narrow" w:hAnsi="Arial Narrow"/>
                <w:sz w:val="20"/>
              </w:rPr>
            </w:pPr>
            <w:r w:rsidRPr="0096308C">
              <w:rPr>
                <w:rFonts w:ascii="Arial Narrow" w:hAnsi="Arial Narrow"/>
                <w:sz w:val="20"/>
              </w:rPr>
              <w:t>Max.</w:t>
            </w:r>
          </w:p>
          <w:p w:rsidR="00C63AD7" w:rsidRPr="0096308C" w:rsidRDefault="00C63AD7" w:rsidP="00C63AD7">
            <w:pPr>
              <w:keepNext/>
              <w:widowControl/>
              <w:jc w:val="center"/>
              <w:rPr>
                <w:rFonts w:ascii="Arial Narrow" w:hAnsi="Arial Narrow"/>
                <w:sz w:val="20"/>
              </w:rPr>
            </w:pPr>
            <w:r w:rsidRPr="0096308C">
              <w:rPr>
                <w:rFonts w:ascii="Arial Narrow" w:hAnsi="Arial Narrow"/>
                <w:sz w:val="20"/>
              </w:rPr>
              <w:t>Qty</w:t>
            </w:r>
          </w:p>
        </w:tc>
        <w:tc>
          <w:tcPr>
            <w:tcW w:w="340" w:type="pct"/>
            <w:tcBorders>
              <w:bottom w:val="single" w:sz="4" w:space="0" w:color="auto"/>
            </w:tcBorders>
          </w:tcPr>
          <w:p w:rsidR="00C63AD7" w:rsidRPr="0096308C" w:rsidRDefault="00C63AD7" w:rsidP="00C63AD7">
            <w:pPr>
              <w:keepNext/>
              <w:widowControl/>
              <w:jc w:val="center"/>
              <w:rPr>
                <w:rFonts w:ascii="Arial Narrow" w:hAnsi="Arial Narrow"/>
                <w:sz w:val="20"/>
              </w:rPr>
            </w:pPr>
            <w:r w:rsidRPr="0096308C">
              <w:rPr>
                <w:rFonts w:ascii="Arial Narrow" w:hAnsi="Arial Narrow"/>
                <w:sz w:val="20"/>
              </w:rPr>
              <w:t>№.of</w:t>
            </w:r>
          </w:p>
          <w:p w:rsidR="00C63AD7" w:rsidRPr="0096308C" w:rsidRDefault="00C63AD7" w:rsidP="00C63AD7">
            <w:pPr>
              <w:keepNext/>
              <w:widowControl/>
              <w:jc w:val="center"/>
              <w:rPr>
                <w:rFonts w:ascii="Arial Narrow" w:hAnsi="Arial Narrow"/>
                <w:sz w:val="20"/>
              </w:rPr>
            </w:pPr>
            <w:r w:rsidRPr="0096308C">
              <w:rPr>
                <w:rFonts w:ascii="Arial Narrow" w:hAnsi="Arial Narrow"/>
                <w:sz w:val="20"/>
              </w:rPr>
              <w:t>Rpts</w:t>
            </w:r>
          </w:p>
        </w:tc>
        <w:tc>
          <w:tcPr>
            <w:tcW w:w="2287" w:type="pct"/>
            <w:gridSpan w:val="2"/>
            <w:tcBorders>
              <w:bottom w:val="single" w:sz="4" w:space="0" w:color="auto"/>
            </w:tcBorders>
          </w:tcPr>
          <w:p w:rsidR="00C63AD7" w:rsidRPr="0096308C" w:rsidRDefault="00C63AD7" w:rsidP="00C63AD7">
            <w:pPr>
              <w:keepNext/>
              <w:widowControl/>
              <w:jc w:val="center"/>
              <w:rPr>
                <w:rFonts w:ascii="Arial Narrow" w:hAnsi="Arial Narrow"/>
                <w:sz w:val="20"/>
                <w:lang w:val="fr-FR"/>
              </w:rPr>
            </w:pPr>
            <w:r w:rsidRPr="0096308C">
              <w:rPr>
                <w:rFonts w:ascii="Arial Narrow" w:hAnsi="Arial Narrow"/>
                <w:sz w:val="20"/>
              </w:rPr>
              <w:t>Proprietary Name and Manufacturer</w:t>
            </w:r>
          </w:p>
        </w:tc>
      </w:tr>
      <w:tr w:rsidR="00C63AD7" w:rsidRPr="00A939CD" w:rsidTr="00C63AD7">
        <w:trPr>
          <w:cantSplit/>
          <w:trHeight w:val="577"/>
        </w:trPr>
        <w:tc>
          <w:tcPr>
            <w:tcW w:w="1949" w:type="pct"/>
          </w:tcPr>
          <w:p w:rsidR="00C63AD7" w:rsidRPr="0096308C" w:rsidRDefault="00C63AD7" w:rsidP="00C63AD7">
            <w:pPr>
              <w:keepNext/>
              <w:widowControl/>
              <w:jc w:val="left"/>
              <w:rPr>
                <w:rFonts w:ascii="Arial Narrow" w:hAnsi="Arial Narrow"/>
                <w:smallCaps/>
                <w:sz w:val="20"/>
              </w:rPr>
            </w:pPr>
            <w:r w:rsidRPr="0096308C">
              <w:rPr>
                <w:rFonts w:ascii="Arial Narrow" w:hAnsi="Arial Narrow"/>
                <w:smallCaps/>
                <w:sz w:val="20"/>
              </w:rPr>
              <w:t>Inactivated Quadrivalent influenza vaccine (split virion),</w:t>
            </w:r>
          </w:p>
          <w:p w:rsidR="00C63AD7" w:rsidRPr="0096308C" w:rsidRDefault="00C63AD7" w:rsidP="00C63AD7">
            <w:pPr>
              <w:keepNext/>
              <w:widowControl/>
              <w:jc w:val="left"/>
              <w:rPr>
                <w:rFonts w:ascii="Arial Narrow" w:hAnsi="Arial Narrow"/>
                <w:sz w:val="20"/>
              </w:rPr>
            </w:pPr>
            <w:r w:rsidRPr="0096308C">
              <w:rPr>
                <w:rFonts w:ascii="Arial Narrow" w:hAnsi="Arial Narrow"/>
                <w:sz w:val="20"/>
              </w:rPr>
              <w:t>15 μg HA/strain (4 strains) for IM injection (pre-filled syringe), 0.5 mL</w:t>
            </w:r>
          </w:p>
        </w:tc>
        <w:tc>
          <w:tcPr>
            <w:tcW w:w="424" w:type="pct"/>
          </w:tcPr>
          <w:p w:rsidR="00C63AD7" w:rsidRPr="0096308C" w:rsidRDefault="00C63AD7" w:rsidP="00C63AD7">
            <w:pPr>
              <w:keepNext/>
              <w:widowControl/>
              <w:jc w:val="center"/>
              <w:rPr>
                <w:rFonts w:ascii="Arial Narrow" w:hAnsi="Arial Narrow"/>
                <w:sz w:val="20"/>
              </w:rPr>
            </w:pPr>
          </w:p>
          <w:p w:rsidR="00C63AD7" w:rsidRPr="0096308C" w:rsidRDefault="00C63AD7" w:rsidP="00C63AD7">
            <w:pPr>
              <w:keepNext/>
              <w:widowControl/>
              <w:jc w:val="center"/>
              <w:rPr>
                <w:rFonts w:ascii="Arial Narrow" w:hAnsi="Arial Narrow"/>
                <w:sz w:val="20"/>
              </w:rPr>
            </w:pPr>
            <w:r w:rsidRPr="0096308C">
              <w:rPr>
                <w:rFonts w:ascii="Arial Narrow" w:hAnsi="Arial Narrow"/>
                <w:sz w:val="20"/>
              </w:rPr>
              <w:t>1</w:t>
            </w:r>
          </w:p>
        </w:tc>
        <w:tc>
          <w:tcPr>
            <w:tcW w:w="340" w:type="pct"/>
          </w:tcPr>
          <w:p w:rsidR="00C63AD7" w:rsidRPr="0096308C" w:rsidRDefault="00C63AD7" w:rsidP="00C63AD7">
            <w:pPr>
              <w:keepNext/>
              <w:widowControl/>
              <w:jc w:val="center"/>
              <w:rPr>
                <w:rFonts w:ascii="Arial Narrow" w:hAnsi="Arial Narrow"/>
                <w:sz w:val="20"/>
              </w:rPr>
            </w:pPr>
          </w:p>
          <w:p w:rsidR="00C63AD7" w:rsidRPr="0096308C" w:rsidRDefault="00C63AD7" w:rsidP="00C63AD7">
            <w:pPr>
              <w:keepNext/>
              <w:widowControl/>
              <w:jc w:val="center"/>
              <w:rPr>
                <w:rFonts w:ascii="Arial Narrow" w:hAnsi="Arial Narrow"/>
                <w:sz w:val="20"/>
              </w:rPr>
            </w:pPr>
            <w:r w:rsidRPr="0096308C">
              <w:rPr>
                <w:rFonts w:ascii="Arial Narrow" w:hAnsi="Arial Narrow"/>
                <w:sz w:val="20"/>
              </w:rPr>
              <w:t>0</w:t>
            </w:r>
          </w:p>
        </w:tc>
        <w:tc>
          <w:tcPr>
            <w:tcW w:w="560" w:type="pct"/>
          </w:tcPr>
          <w:p w:rsidR="00C63AD7" w:rsidRPr="0096308C" w:rsidRDefault="00C63AD7" w:rsidP="00C63AD7">
            <w:pPr>
              <w:keepNext/>
              <w:widowControl/>
              <w:jc w:val="center"/>
              <w:rPr>
                <w:rFonts w:ascii="Arial Narrow" w:hAnsi="Arial Narrow"/>
                <w:sz w:val="20"/>
              </w:rPr>
            </w:pPr>
            <w:r w:rsidRPr="0096308C">
              <w:rPr>
                <w:rFonts w:ascii="Arial Narrow" w:hAnsi="Arial Narrow"/>
                <w:sz w:val="20"/>
              </w:rPr>
              <w:t>Afluria® Quad</w:t>
            </w:r>
          </w:p>
        </w:tc>
        <w:tc>
          <w:tcPr>
            <w:tcW w:w="1727" w:type="pct"/>
          </w:tcPr>
          <w:p w:rsidR="00C63AD7" w:rsidRPr="0096308C" w:rsidRDefault="00C63AD7" w:rsidP="00C63AD7">
            <w:pPr>
              <w:keepNext/>
              <w:widowControl/>
              <w:jc w:val="center"/>
              <w:rPr>
                <w:rFonts w:ascii="Arial Narrow" w:hAnsi="Arial Narrow"/>
                <w:sz w:val="20"/>
              </w:rPr>
            </w:pPr>
            <w:r w:rsidRPr="0096308C">
              <w:rPr>
                <w:rFonts w:ascii="Arial Narrow" w:hAnsi="Arial Narrow"/>
                <w:sz w:val="20"/>
              </w:rPr>
              <w:t>Seqirus</w:t>
            </w:r>
          </w:p>
        </w:tc>
      </w:tr>
      <w:tr w:rsidR="00A874DE" w:rsidRPr="00A939CD" w:rsidTr="00A874DE">
        <w:trPr>
          <w:cantSplit/>
          <w:trHeight w:val="577"/>
        </w:trPr>
        <w:tc>
          <w:tcPr>
            <w:tcW w:w="5000" w:type="pct"/>
            <w:gridSpan w:val="5"/>
            <w:vAlign w:val="center"/>
          </w:tcPr>
          <w:p w:rsidR="00A874DE" w:rsidRPr="0096308C" w:rsidRDefault="00A874DE" w:rsidP="00A874DE">
            <w:pPr>
              <w:keepNext/>
              <w:widowControl/>
              <w:jc w:val="left"/>
              <w:rPr>
                <w:rFonts w:ascii="Arial Narrow" w:hAnsi="Arial Narrow"/>
                <w:sz w:val="20"/>
              </w:rPr>
            </w:pPr>
            <w:r w:rsidRPr="0096308C">
              <w:rPr>
                <w:rFonts w:ascii="Arial Narrow" w:hAnsi="Arial Narrow"/>
                <w:sz w:val="20"/>
              </w:rPr>
              <w:t>A single dose for adults aged 18 years or older</w:t>
            </w:r>
            <w:r w:rsidR="00C22CF6">
              <w:rPr>
                <w:rFonts w:ascii="Arial Narrow" w:hAnsi="Arial Narrow"/>
                <w:sz w:val="20"/>
              </w:rPr>
              <w:t xml:space="preserve"> who are eligible to receive NIP-funded influenza vaccine.</w:t>
            </w:r>
          </w:p>
        </w:tc>
      </w:tr>
    </w:tbl>
    <w:p w:rsidR="007D3DD1" w:rsidRPr="00485DD3" w:rsidRDefault="007D3DD1" w:rsidP="00746A1B">
      <w:pPr>
        <w:pStyle w:val="Heading1"/>
      </w:pPr>
      <w:r w:rsidRPr="00485DD3">
        <w:t>Context for Decision</w:t>
      </w:r>
    </w:p>
    <w:p w:rsidR="007D3DD1" w:rsidRDefault="007D3DD1" w:rsidP="007D3DD1">
      <w:pPr>
        <w:ind w:left="426"/>
      </w:pPr>
    </w:p>
    <w:p w:rsidR="007D3DD1" w:rsidRDefault="007D3DD1" w:rsidP="007D3DD1">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D3DD1" w:rsidRDefault="007D3DD1" w:rsidP="007D3DD1">
      <w:pPr>
        <w:rPr>
          <w:bCs/>
          <w:lang w:val="en-GB"/>
        </w:rPr>
      </w:pPr>
    </w:p>
    <w:p w:rsidR="007D3DD1" w:rsidRPr="00485DD3" w:rsidRDefault="007D3DD1" w:rsidP="00746A1B">
      <w:pPr>
        <w:pStyle w:val="Heading1"/>
      </w:pPr>
      <w:r w:rsidRPr="00485DD3">
        <w:t>Sponsor’s Comment</w:t>
      </w:r>
    </w:p>
    <w:p w:rsidR="007D3DD1" w:rsidRDefault="007D3DD1" w:rsidP="007D3DD1">
      <w:pPr>
        <w:ind w:left="426"/>
        <w:rPr>
          <w:bCs/>
          <w:highlight w:val="yellow"/>
          <w:lang w:val="en-GB"/>
        </w:rPr>
      </w:pPr>
    </w:p>
    <w:p w:rsidR="007D3DD1" w:rsidRDefault="007D3DD1" w:rsidP="007D3DD1">
      <w:pPr>
        <w:spacing w:after="120"/>
        <w:ind w:left="426" w:firstLine="283"/>
        <w:rPr>
          <w:bCs/>
        </w:rPr>
      </w:pPr>
      <w:r w:rsidRPr="003035CC">
        <w:rPr>
          <w:bCs/>
        </w:rPr>
        <w:t>The sponsor had no comment.</w:t>
      </w:r>
    </w:p>
    <w:p w:rsidR="00D16880" w:rsidRPr="006E221F" w:rsidRDefault="00D16880" w:rsidP="007D1763">
      <w:pPr>
        <w:widowControl/>
        <w:rPr>
          <w:szCs w:val="22"/>
        </w:rPr>
      </w:pPr>
    </w:p>
    <w:p w:rsidR="004E43B2" w:rsidRDefault="004E43B2" w:rsidP="005F0286">
      <w:pPr>
        <w:widowControl/>
        <w:jc w:val="left"/>
      </w:pPr>
    </w:p>
    <w:sectPr w:rsidR="004E43B2" w:rsidSect="005E65C0">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EF" w:rsidRDefault="00076FEF" w:rsidP="00124A51">
      <w:r>
        <w:separator/>
      </w:r>
    </w:p>
  </w:endnote>
  <w:endnote w:type="continuationSeparator" w:id="0">
    <w:p w:rsidR="00076FEF" w:rsidRDefault="00076FE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937756"/>
      <w:docPartObj>
        <w:docPartGallery w:val="Page Numbers (Bottom of Page)"/>
        <w:docPartUnique/>
      </w:docPartObj>
    </w:sdtPr>
    <w:sdtEndPr>
      <w:rPr>
        <w:noProof/>
      </w:rPr>
    </w:sdtEndPr>
    <w:sdtContent>
      <w:p w:rsidR="00D17DBF" w:rsidRDefault="00D17DBF">
        <w:pPr>
          <w:pStyle w:val="Footer"/>
          <w:jc w:val="center"/>
        </w:pPr>
        <w:r>
          <w:fldChar w:fldCharType="begin"/>
        </w:r>
        <w:r>
          <w:instrText xml:space="preserve"> PAGE   \* MERGEFORMAT </w:instrText>
        </w:r>
        <w:r>
          <w:fldChar w:fldCharType="separate"/>
        </w:r>
        <w:r w:rsidR="00076FEF">
          <w:rPr>
            <w:noProof/>
          </w:rPr>
          <w:t>1</w:t>
        </w:r>
        <w:r>
          <w:rPr>
            <w:noProof/>
          </w:rPr>
          <w:fldChar w:fldCharType="end"/>
        </w:r>
      </w:p>
    </w:sdtContent>
  </w:sdt>
  <w:p w:rsidR="00D17DBF" w:rsidRPr="00015886" w:rsidRDefault="00D17DBF"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EF" w:rsidRDefault="00076FEF" w:rsidP="00124A51">
      <w:r>
        <w:separator/>
      </w:r>
    </w:p>
  </w:footnote>
  <w:footnote w:type="continuationSeparator" w:id="0">
    <w:p w:rsidR="00076FEF" w:rsidRDefault="00076FE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BF" w:rsidRPr="00DF217D" w:rsidRDefault="00D17DBF" w:rsidP="002C18EE">
    <w:pPr>
      <w:pStyle w:val="Header"/>
      <w:ind w:left="360"/>
      <w:jc w:val="center"/>
      <w:rPr>
        <w:i/>
        <w:color w:val="808080"/>
      </w:rPr>
    </w:pPr>
    <w:r>
      <w:rPr>
        <w:i/>
        <w:color w:val="808080"/>
      </w:rPr>
      <w:t>Public Summary Document</w:t>
    </w:r>
    <w:r w:rsidRPr="00DF217D">
      <w:rPr>
        <w:i/>
        <w:color w:val="808080"/>
      </w:rPr>
      <w:t xml:space="preserve"> – </w:t>
    </w:r>
    <w:r>
      <w:rPr>
        <w:i/>
        <w:color w:val="808080"/>
      </w:rPr>
      <w:t xml:space="preserve">August 2016 </w:t>
    </w:r>
    <w:r w:rsidRPr="00DF217D">
      <w:rPr>
        <w:i/>
        <w:color w:val="808080"/>
      </w:rPr>
      <w:t>PBAC</w:t>
    </w:r>
    <w:r>
      <w:rPr>
        <w:i/>
        <w:color w:val="808080"/>
      </w:rPr>
      <w:t xml:space="preserve"> Special </w:t>
    </w:r>
    <w:r w:rsidRPr="00DF217D">
      <w:rPr>
        <w:i/>
        <w:color w:val="808080"/>
      </w:rPr>
      <w:t>Meeting</w:t>
    </w:r>
  </w:p>
  <w:p w:rsidR="00D17DBF" w:rsidRPr="00EE07D3" w:rsidRDefault="00D17DBF">
    <w:pPr>
      <w:pStyle w:val="Header"/>
      <w:rPr>
        <w:color w:val="D9D9D9" w:themeColor="background1" w:themeShade="D9"/>
      </w:rPr>
    </w:pPr>
  </w:p>
  <w:p w:rsidR="00D17DBF" w:rsidRPr="008C7ECB" w:rsidRDefault="00D17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FE4AF4"/>
    <w:multiLevelType w:val="hybridMultilevel"/>
    <w:tmpl w:val="D2D02B40"/>
    <w:lvl w:ilvl="0" w:tplc="B184C410">
      <w:start w:val="1"/>
      <w:numFmt w:val="bullet"/>
      <w:pStyle w:val="TableTextbullet"/>
      <w:lvlText w:val=""/>
      <w:lvlJc w:val="left"/>
      <w:pPr>
        <w:tabs>
          <w:tab w:val="num" w:pos="425"/>
        </w:tabs>
        <w:ind w:left="425" w:hanging="425"/>
      </w:pPr>
      <w:rPr>
        <w:rFonts w:ascii="Symbol" w:hAnsi="Symbol" w:hint="default"/>
        <w:sz w:val="18"/>
        <w:szCs w:val="18"/>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29C747E"/>
    <w:multiLevelType w:val="hybridMultilevel"/>
    <w:tmpl w:val="B2D08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2E94615"/>
    <w:multiLevelType w:val="multilevel"/>
    <w:tmpl w:val="AC6C43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94811A5"/>
    <w:multiLevelType w:val="hybridMultilevel"/>
    <w:tmpl w:val="38DA9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270CBB"/>
    <w:multiLevelType w:val="hybridMultilevel"/>
    <w:tmpl w:val="042E9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DD4972"/>
    <w:multiLevelType w:val="hybridMultilevel"/>
    <w:tmpl w:val="2BD87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D00A85"/>
    <w:multiLevelType w:val="hybridMultilevel"/>
    <w:tmpl w:val="AAD2D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4D033C"/>
    <w:multiLevelType w:val="multilevel"/>
    <w:tmpl w:val="F39E798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
  </w:num>
  <w:num w:numId="3">
    <w:abstractNumId w:val="9"/>
  </w:num>
  <w:num w:numId="4">
    <w:abstractNumId w:val="8"/>
  </w:num>
  <w:num w:numId="5">
    <w:abstractNumId w:val="1"/>
  </w:num>
  <w:num w:numId="6">
    <w:abstractNumId w:val="0"/>
  </w:num>
  <w:num w:numId="7">
    <w:abstractNumId w:val="4"/>
  </w:num>
  <w:num w:numId="8">
    <w:abstractNumId w:val="5"/>
  </w:num>
  <w:num w:numId="9">
    <w:abstractNumId w:val="6"/>
  </w:num>
  <w:num w:numId="10">
    <w:abstractNumId w:val="7"/>
  </w:num>
  <w:num w:numId="11">
    <w:abstractNumId w:val="3"/>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84C"/>
    <w:rsid w:val="00003499"/>
    <w:rsid w:val="00004C95"/>
    <w:rsid w:val="0001259A"/>
    <w:rsid w:val="00013247"/>
    <w:rsid w:val="00015886"/>
    <w:rsid w:val="000162EF"/>
    <w:rsid w:val="0002225F"/>
    <w:rsid w:val="00022ADB"/>
    <w:rsid w:val="00023763"/>
    <w:rsid w:val="000250D6"/>
    <w:rsid w:val="00034B89"/>
    <w:rsid w:val="000405FB"/>
    <w:rsid w:val="00040895"/>
    <w:rsid w:val="0004233E"/>
    <w:rsid w:val="00043C37"/>
    <w:rsid w:val="0004457C"/>
    <w:rsid w:val="0005316D"/>
    <w:rsid w:val="0005334C"/>
    <w:rsid w:val="000546D7"/>
    <w:rsid w:val="00061178"/>
    <w:rsid w:val="00062E9D"/>
    <w:rsid w:val="000638B1"/>
    <w:rsid w:val="00063984"/>
    <w:rsid w:val="000672FA"/>
    <w:rsid w:val="00071248"/>
    <w:rsid w:val="000720B9"/>
    <w:rsid w:val="00076FEF"/>
    <w:rsid w:val="000802CA"/>
    <w:rsid w:val="000812CA"/>
    <w:rsid w:val="00085B3E"/>
    <w:rsid w:val="0008605E"/>
    <w:rsid w:val="00090C7E"/>
    <w:rsid w:val="00090CFD"/>
    <w:rsid w:val="00091796"/>
    <w:rsid w:val="000966CF"/>
    <w:rsid w:val="000973AF"/>
    <w:rsid w:val="000A0380"/>
    <w:rsid w:val="000A0B05"/>
    <w:rsid w:val="000A1FF9"/>
    <w:rsid w:val="000A2088"/>
    <w:rsid w:val="000A3373"/>
    <w:rsid w:val="000B6648"/>
    <w:rsid w:val="000B718F"/>
    <w:rsid w:val="000C0C0F"/>
    <w:rsid w:val="000C0C10"/>
    <w:rsid w:val="000C41FC"/>
    <w:rsid w:val="000D1197"/>
    <w:rsid w:val="000D1BFC"/>
    <w:rsid w:val="000D60F2"/>
    <w:rsid w:val="000D6951"/>
    <w:rsid w:val="000F1471"/>
    <w:rsid w:val="000F1D94"/>
    <w:rsid w:val="000F4BB8"/>
    <w:rsid w:val="000F7127"/>
    <w:rsid w:val="00100F8A"/>
    <w:rsid w:val="00103CCF"/>
    <w:rsid w:val="00104592"/>
    <w:rsid w:val="0011032E"/>
    <w:rsid w:val="001113B0"/>
    <w:rsid w:val="00112089"/>
    <w:rsid w:val="00112C74"/>
    <w:rsid w:val="0011348B"/>
    <w:rsid w:val="00121799"/>
    <w:rsid w:val="00121EBD"/>
    <w:rsid w:val="001222FC"/>
    <w:rsid w:val="00124A51"/>
    <w:rsid w:val="00126621"/>
    <w:rsid w:val="00127C88"/>
    <w:rsid w:val="001301E9"/>
    <w:rsid w:val="00133F96"/>
    <w:rsid w:val="00137645"/>
    <w:rsid w:val="0014015A"/>
    <w:rsid w:val="00140E99"/>
    <w:rsid w:val="00145540"/>
    <w:rsid w:val="001456B0"/>
    <w:rsid w:val="00157130"/>
    <w:rsid w:val="00162913"/>
    <w:rsid w:val="00163EFF"/>
    <w:rsid w:val="001661FB"/>
    <w:rsid w:val="001667E0"/>
    <w:rsid w:val="00166C5D"/>
    <w:rsid w:val="0016715B"/>
    <w:rsid w:val="001719E2"/>
    <w:rsid w:val="00180078"/>
    <w:rsid w:val="00181543"/>
    <w:rsid w:val="00184447"/>
    <w:rsid w:val="001857D6"/>
    <w:rsid w:val="0018752F"/>
    <w:rsid w:val="00192202"/>
    <w:rsid w:val="0019395D"/>
    <w:rsid w:val="00195222"/>
    <w:rsid w:val="00196985"/>
    <w:rsid w:val="001975D8"/>
    <w:rsid w:val="00197D78"/>
    <w:rsid w:val="001A1854"/>
    <w:rsid w:val="001A1DEA"/>
    <w:rsid w:val="001A2405"/>
    <w:rsid w:val="001B297D"/>
    <w:rsid w:val="001B3443"/>
    <w:rsid w:val="001B41DE"/>
    <w:rsid w:val="001C4D5D"/>
    <w:rsid w:val="001C6E66"/>
    <w:rsid w:val="001D6F27"/>
    <w:rsid w:val="001E0991"/>
    <w:rsid w:val="001E238E"/>
    <w:rsid w:val="001E2B1E"/>
    <w:rsid w:val="001E52EB"/>
    <w:rsid w:val="001E6729"/>
    <w:rsid w:val="001E740C"/>
    <w:rsid w:val="001E7935"/>
    <w:rsid w:val="001F1235"/>
    <w:rsid w:val="001F1CB3"/>
    <w:rsid w:val="001F7361"/>
    <w:rsid w:val="00203560"/>
    <w:rsid w:val="0020385F"/>
    <w:rsid w:val="00203BAB"/>
    <w:rsid w:val="00207021"/>
    <w:rsid w:val="00207D00"/>
    <w:rsid w:val="00207DA9"/>
    <w:rsid w:val="002105C1"/>
    <w:rsid w:val="002110D5"/>
    <w:rsid w:val="00223B49"/>
    <w:rsid w:val="00224DD4"/>
    <w:rsid w:val="002301A5"/>
    <w:rsid w:val="002309CC"/>
    <w:rsid w:val="00230CAA"/>
    <w:rsid w:val="00230CEA"/>
    <w:rsid w:val="0023477F"/>
    <w:rsid w:val="002374E9"/>
    <w:rsid w:val="0024129F"/>
    <w:rsid w:val="00244021"/>
    <w:rsid w:val="00244571"/>
    <w:rsid w:val="0024471F"/>
    <w:rsid w:val="00250604"/>
    <w:rsid w:val="00254101"/>
    <w:rsid w:val="00254A71"/>
    <w:rsid w:val="00254DCF"/>
    <w:rsid w:val="0025534B"/>
    <w:rsid w:val="00255BB7"/>
    <w:rsid w:val="00255E44"/>
    <w:rsid w:val="002613B3"/>
    <w:rsid w:val="00261580"/>
    <w:rsid w:val="00261E9C"/>
    <w:rsid w:val="00262A87"/>
    <w:rsid w:val="002641AE"/>
    <w:rsid w:val="00267AA9"/>
    <w:rsid w:val="00270697"/>
    <w:rsid w:val="0027121C"/>
    <w:rsid w:val="00272247"/>
    <w:rsid w:val="00275C5A"/>
    <w:rsid w:val="00276529"/>
    <w:rsid w:val="00281014"/>
    <w:rsid w:val="00286262"/>
    <w:rsid w:val="00295836"/>
    <w:rsid w:val="002A14AB"/>
    <w:rsid w:val="002B10F9"/>
    <w:rsid w:val="002B1C1F"/>
    <w:rsid w:val="002B3440"/>
    <w:rsid w:val="002B432F"/>
    <w:rsid w:val="002B4863"/>
    <w:rsid w:val="002B6CCE"/>
    <w:rsid w:val="002B7155"/>
    <w:rsid w:val="002C18EE"/>
    <w:rsid w:val="002C202F"/>
    <w:rsid w:val="002C2775"/>
    <w:rsid w:val="002C27C1"/>
    <w:rsid w:val="002C284C"/>
    <w:rsid w:val="002C54E2"/>
    <w:rsid w:val="002C65F6"/>
    <w:rsid w:val="002D4555"/>
    <w:rsid w:val="002D5105"/>
    <w:rsid w:val="002E0179"/>
    <w:rsid w:val="002E06CF"/>
    <w:rsid w:val="002E33CB"/>
    <w:rsid w:val="002E6ACC"/>
    <w:rsid w:val="002F2636"/>
    <w:rsid w:val="002F2975"/>
    <w:rsid w:val="00301017"/>
    <w:rsid w:val="00301945"/>
    <w:rsid w:val="00302C07"/>
    <w:rsid w:val="003063D9"/>
    <w:rsid w:val="00307700"/>
    <w:rsid w:val="0030786C"/>
    <w:rsid w:val="0031031A"/>
    <w:rsid w:val="00310981"/>
    <w:rsid w:val="00315498"/>
    <w:rsid w:val="003366C9"/>
    <w:rsid w:val="003371B0"/>
    <w:rsid w:val="00341CBF"/>
    <w:rsid w:val="00343D20"/>
    <w:rsid w:val="00347AEF"/>
    <w:rsid w:val="0035620E"/>
    <w:rsid w:val="00356B3D"/>
    <w:rsid w:val="00356EAF"/>
    <w:rsid w:val="0036345E"/>
    <w:rsid w:val="0037411F"/>
    <w:rsid w:val="003758D8"/>
    <w:rsid w:val="00381476"/>
    <w:rsid w:val="00382463"/>
    <w:rsid w:val="0038365C"/>
    <w:rsid w:val="00393259"/>
    <w:rsid w:val="00393C5B"/>
    <w:rsid w:val="00396FD0"/>
    <w:rsid w:val="00397465"/>
    <w:rsid w:val="003A1A7A"/>
    <w:rsid w:val="003A20BD"/>
    <w:rsid w:val="003A7134"/>
    <w:rsid w:val="003D1828"/>
    <w:rsid w:val="003D2422"/>
    <w:rsid w:val="003D5A00"/>
    <w:rsid w:val="003E2B41"/>
    <w:rsid w:val="003E2DA9"/>
    <w:rsid w:val="003E5F08"/>
    <w:rsid w:val="003E7420"/>
    <w:rsid w:val="003F2D88"/>
    <w:rsid w:val="003F4156"/>
    <w:rsid w:val="003F64FC"/>
    <w:rsid w:val="00401B0D"/>
    <w:rsid w:val="004026BC"/>
    <w:rsid w:val="004031DE"/>
    <w:rsid w:val="0040697C"/>
    <w:rsid w:val="00410708"/>
    <w:rsid w:val="00410EC7"/>
    <w:rsid w:val="0041322D"/>
    <w:rsid w:val="00414476"/>
    <w:rsid w:val="004204DF"/>
    <w:rsid w:val="00420B9F"/>
    <w:rsid w:val="00422071"/>
    <w:rsid w:val="004316EA"/>
    <w:rsid w:val="004319F8"/>
    <w:rsid w:val="00432776"/>
    <w:rsid w:val="00433044"/>
    <w:rsid w:val="00434344"/>
    <w:rsid w:val="00441858"/>
    <w:rsid w:val="004443A7"/>
    <w:rsid w:val="004464EB"/>
    <w:rsid w:val="00447798"/>
    <w:rsid w:val="00453EB5"/>
    <w:rsid w:val="00455D45"/>
    <w:rsid w:val="00455FA3"/>
    <w:rsid w:val="004565E3"/>
    <w:rsid w:val="004566BB"/>
    <w:rsid w:val="00461A11"/>
    <w:rsid w:val="00464595"/>
    <w:rsid w:val="00471605"/>
    <w:rsid w:val="004817B2"/>
    <w:rsid w:val="00485BA7"/>
    <w:rsid w:val="004867E2"/>
    <w:rsid w:val="00486CD1"/>
    <w:rsid w:val="00491B3A"/>
    <w:rsid w:val="004921EC"/>
    <w:rsid w:val="00492CFD"/>
    <w:rsid w:val="004950EA"/>
    <w:rsid w:val="004962D2"/>
    <w:rsid w:val="004A0DA1"/>
    <w:rsid w:val="004A2214"/>
    <w:rsid w:val="004A6597"/>
    <w:rsid w:val="004B1CB4"/>
    <w:rsid w:val="004B2F18"/>
    <w:rsid w:val="004B3DDB"/>
    <w:rsid w:val="004B44FD"/>
    <w:rsid w:val="004B5CFC"/>
    <w:rsid w:val="004C4043"/>
    <w:rsid w:val="004C4AED"/>
    <w:rsid w:val="004D0681"/>
    <w:rsid w:val="004E0EB8"/>
    <w:rsid w:val="004E2ADC"/>
    <w:rsid w:val="004E43B2"/>
    <w:rsid w:val="004E6343"/>
    <w:rsid w:val="004E6A2E"/>
    <w:rsid w:val="004E7168"/>
    <w:rsid w:val="004F0153"/>
    <w:rsid w:val="004F1D02"/>
    <w:rsid w:val="004F2679"/>
    <w:rsid w:val="004F73D1"/>
    <w:rsid w:val="004F7865"/>
    <w:rsid w:val="004F78F2"/>
    <w:rsid w:val="00506928"/>
    <w:rsid w:val="005118A4"/>
    <w:rsid w:val="00514E92"/>
    <w:rsid w:val="005152B5"/>
    <w:rsid w:val="00521319"/>
    <w:rsid w:val="00523C28"/>
    <w:rsid w:val="0052450F"/>
    <w:rsid w:val="00525D48"/>
    <w:rsid w:val="0053031B"/>
    <w:rsid w:val="00530D81"/>
    <w:rsid w:val="00530DDD"/>
    <w:rsid w:val="00534EC0"/>
    <w:rsid w:val="00541003"/>
    <w:rsid w:val="00541D4C"/>
    <w:rsid w:val="00542535"/>
    <w:rsid w:val="0054440D"/>
    <w:rsid w:val="00550D68"/>
    <w:rsid w:val="00552BD3"/>
    <w:rsid w:val="00555109"/>
    <w:rsid w:val="00560EAE"/>
    <w:rsid w:val="0056481E"/>
    <w:rsid w:val="0056696F"/>
    <w:rsid w:val="00567956"/>
    <w:rsid w:val="00575D8D"/>
    <w:rsid w:val="00576972"/>
    <w:rsid w:val="005830B6"/>
    <w:rsid w:val="00583699"/>
    <w:rsid w:val="005842F5"/>
    <w:rsid w:val="00595FB0"/>
    <w:rsid w:val="005B03F9"/>
    <w:rsid w:val="005B358A"/>
    <w:rsid w:val="005B5857"/>
    <w:rsid w:val="005C1B83"/>
    <w:rsid w:val="005C346B"/>
    <w:rsid w:val="005C52E6"/>
    <w:rsid w:val="005D044D"/>
    <w:rsid w:val="005D18AD"/>
    <w:rsid w:val="005E1DE1"/>
    <w:rsid w:val="005E65C0"/>
    <w:rsid w:val="005E705F"/>
    <w:rsid w:val="005E73C0"/>
    <w:rsid w:val="005F0211"/>
    <w:rsid w:val="005F0286"/>
    <w:rsid w:val="005F2706"/>
    <w:rsid w:val="005F6A8F"/>
    <w:rsid w:val="005F7BEB"/>
    <w:rsid w:val="006068A3"/>
    <w:rsid w:val="00606979"/>
    <w:rsid w:val="00607669"/>
    <w:rsid w:val="00612F97"/>
    <w:rsid w:val="00612FD8"/>
    <w:rsid w:val="00616802"/>
    <w:rsid w:val="00617E12"/>
    <w:rsid w:val="00621477"/>
    <w:rsid w:val="00626219"/>
    <w:rsid w:val="00626A94"/>
    <w:rsid w:val="00631D6B"/>
    <w:rsid w:val="0063210E"/>
    <w:rsid w:val="00632D2B"/>
    <w:rsid w:val="0063479F"/>
    <w:rsid w:val="0063607D"/>
    <w:rsid w:val="006364A1"/>
    <w:rsid w:val="00637BFD"/>
    <w:rsid w:val="00645081"/>
    <w:rsid w:val="006471CC"/>
    <w:rsid w:val="0065079F"/>
    <w:rsid w:val="0066476E"/>
    <w:rsid w:val="00665C37"/>
    <w:rsid w:val="00666C64"/>
    <w:rsid w:val="00672E46"/>
    <w:rsid w:val="00674E42"/>
    <w:rsid w:val="0067576D"/>
    <w:rsid w:val="00675DEE"/>
    <w:rsid w:val="00676819"/>
    <w:rsid w:val="00682112"/>
    <w:rsid w:val="00683DAF"/>
    <w:rsid w:val="006872BA"/>
    <w:rsid w:val="006917D7"/>
    <w:rsid w:val="00694F44"/>
    <w:rsid w:val="006A7EBA"/>
    <w:rsid w:val="006B386F"/>
    <w:rsid w:val="006B4B6A"/>
    <w:rsid w:val="006C2A8E"/>
    <w:rsid w:val="006C38D9"/>
    <w:rsid w:val="006C566A"/>
    <w:rsid w:val="006D3C7D"/>
    <w:rsid w:val="006D5727"/>
    <w:rsid w:val="006D5D5F"/>
    <w:rsid w:val="006E0F34"/>
    <w:rsid w:val="006E1E9E"/>
    <w:rsid w:val="006E221F"/>
    <w:rsid w:val="006E459E"/>
    <w:rsid w:val="006E4D9E"/>
    <w:rsid w:val="006E64D5"/>
    <w:rsid w:val="006F0D6C"/>
    <w:rsid w:val="006F2EF1"/>
    <w:rsid w:val="006F42A7"/>
    <w:rsid w:val="006F45F3"/>
    <w:rsid w:val="006F63A5"/>
    <w:rsid w:val="0070276E"/>
    <w:rsid w:val="00702F8F"/>
    <w:rsid w:val="00711A36"/>
    <w:rsid w:val="00712A24"/>
    <w:rsid w:val="007172AD"/>
    <w:rsid w:val="0072039B"/>
    <w:rsid w:val="007214EB"/>
    <w:rsid w:val="0072416F"/>
    <w:rsid w:val="007241E1"/>
    <w:rsid w:val="00726755"/>
    <w:rsid w:val="007270B6"/>
    <w:rsid w:val="00727441"/>
    <w:rsid w:val="007312A4"/>
    <w:rsid w:val="0073134A"/>
    <w:rsid w:val="00733951"/>
    <w:rsid w:val="00735328"/>
    <w:rsid w:val="0073685B"/>
    <w:rsid w:val="00742D23"/>
    <w:rsid w:val="00746A1B"/>
    <w:rsid w:val="00746FC6"/>
    <w:rsid w:val="00746FF5"/>
    <w:rsid w:val="00762243"/>
    <w:rsid w:val="0076386D"/>
    <w:rsid w:val="00773D24"/>
    <w:rsid w:val="0077407B"/>
    <w:rsid w:val="00777472"/>
    <w:rsid w:val="00781B2A"/>
    <w:rsid w:val="00783922"/>
    <w:rsid w:val="00784763"/>
    <w:rsid w:val="00790913"/>
    <w:rsid w:val="007924E0"/>
    <w:rsid w:val="00793BF0"/>
    <w:rsid w:val="0079523D"/>
    <w:rsid w:val="007A0A12"/>
    <w:rsid w:val="007A2607"/>
    <w:rsid w:val="007B0D2D"/>
    <w:rsid w:val="007B251D"/>
    <w:rsid w:val="007B77D1"/>
    <w:rsid w:val="007C1CB5"/>
    <w:rsid w:val="007C1E5D"/>
    <w:rsid w:val="007C361D"/>
    <w:rsid w:val="007C63B8"/>
    <w:rsid w:val="007D0B38"/>
    <w:rsid w:val="007D1763"/>
    <w:rsid w:val="007D3731"/>
    <w:rsid w:val="007D3DD1"/>
    <w:rsid w:val="007E1B52"/>
    <w:rsid w:val="007F1017"/>
    <w:rsid w:val="007F4A3F"/>
    <w:rsid w:val="00804E53"/>
    <w:rsid w:val="00805142"/>
    <w:rsid w:val="00807A41"/>
    <w:rsid w:val="00807A8B"/>
    <w:rsid w:val="00812149"/>
    <w:rsid w:val="00812168"/>
    <w:rsid w:val="008166EF"/>
    <w:rsid w:val="00820468"/>
    <w:rsid w:val="008260FE"/>
    <w:rsid w:val="008264EB"/>
    <w:rsid w:val="008267D2"/>
    <w:rsid w:val="008268A7"/>
    <w:rsid w:val="00827C75"/>
    <w:rsid w:val="00832B60"/>
    <w:rsid w:val="00833B05"/>
    <w:rsid w:val="00833FCB"/>
    <w:rsid w:val="00835BE8"/>
    <w:rsid w:val="00835F1F"/>
    <w:rsid w:val="00836FB2"/>
    <w:rsid w:val="00840565"/>
    <w:rsid w:val="00840CA2"/>
    <w:rsid w:val="00847DE7"/>
    <w:rsid w:val="00856E9A"/>
    <w:rsid w:val="00862502"/>
    <w:rsid w:val="00867649"/>
    <w:rsid w:val="008711A7"/>
    <w:rsid w:val="00871D01"/>
    <w:rsid w:val="00876F67"/>
    <w:rsid w:val="00882874"/>
    <w:rsid w:val="00883787"/>
    <w:rsid w:val="00884CE4"/>
    <w:rsid w:val="0089096B"/>
    <w:rsid w:val="0089129E"/>
    <w:rsid w:val="00891AB0"/>
    <w:rsid w:val="00894489"/>
    <w:rsid w:val="008963A5"/>
    <w:rsid w:val="00897664"/>
    <w:rsid w:val="008A3C3E"/>
    <w:rsid w:val="008A79DE"/>
    <w:rsid w:val="008A7E7B"/>
    <w:rsid w:val="008B2372"/>
    <w:rsid w:val="008B426C"/>
    <w:rsid w:val="008B5EDB"/>
    <w:rsid w:val="008B7D7E"/>
    <w:rsid w:val="008C3A30"/>
    <w:rsid w:val="008C7342"/>
    <w:rsid w:val="008C7ECB"/>
    <w:rsid w:val="008D3042"/>
    <w:rsid w:val="008D333E"/>
    <w:rsid w:val="008D35E3"/>
    <w:rsid w:val="008D682F"/>
    <w:rsid w:val="008E1B9E"/>
    <w:rsid w:val="008E5CB2"/>
    <w:rsid w:val="008F120A"/>
    <w:rsid w:val="008F48EB"/>
    <w:rsid w:val="008F4F0B"/>
    <w:rsid w:val="008F52F7"/>
    <w:rsid w:val="008F57DB"/>
    <w:rsid w:val="008F6BB5"/>
    <w:rsid w:val="008F6E6C"/>
    <w:rsid w:val="009062A5"/>
    <w:rsid w:val="00911272"/>
    <w:rsid w:val="0091395D"/>
    <w:rsid w:val="0092074B"/>
    <w:rsid w:val="00925E26"/>
    <w:rsid w:val="009307EE"/>
    <w:rsid w:val="00932ACB"/>
    <w:rsid w:val="009372AF"/>
    <w:rsid w:val="0094628E"/>
    <w:rsid w:val="009537AF"/>
    <w:rsid w:val="00954EB4"/>
    <w:rsid w:val="0095633A"/>
    <w:rsid w:val="00962CB9"/>
    <w:rsid w:val="0096308C"/>
    <w:rsid w:val="00964312"/>
    <w:rsid w:val="00983E57"/>
    <w:rsid w:val="00986529"/>
    <w:rsid w:val="00993FDB"/>
    <w:rsid w:val="00996B1A"/>
    <w:rsid w:val="009A1544"/>
    <w:rsid w:val="009A398E"/>
    <w:rsid w:val="009A6843"/>
    <w:rsid w:val="009A763E"/>
    <w:rsid w:val="009B293E"/>
    <w:rsid w:val="009B3E26"/>
    <w:rsid w:val="009B741F"/>
    <w:rsid w:val="009C1AE3"/>
    <w:rsid w:val="009C6ABD"/>
    <w:rsid w:val="009D2844"/>
    <w:rsid w:val="009D353A"/>
    <w:rsid w:val="009D3C28"/>
    <w:rsid w:val="009D58BF"/>
    <w:rsid w:val="009D5B91"/>
    <w:rsid w:val="009D6BAE"/>
    <w:rsid w:val="009D7751"/>
    <w:rsid w:val="009E4C07"/>
    <w:rsid w:val="009F07B5"/>
    <w:rsid w:val="009F08DD"/>
    <w:rsid w:val="009F7698"/>
    <w:rsid w:val="00A0135D"/>
    <w:rsid w:val="00A0308E"/>
    <w:rsid w:val="00A03D43"/>
    <w:rsid w:val="00A04380"/>
    <w:rsid w:val="00A07F70"/>
    <w:rsid w:val="00A13948"/>
    <w:rsid w:val="00A16A80"/>
    <w:rsid w:val="00A20738"/>
    <w:rsid w:val="00A209E3"/>
    <w:rsid w:val="00A24B33"/>
    <w:rsid w:val="00A2564D"/>
    <w:rsid w:val="00A27AEC"/>
    <w:rsid w:val="00A35486"/>
    <w:rsid w:val="00A35D16"/>
    <w:rsid w:val="00A3722C"/>
    <w:rsid w:val="00A40434"/>
    <w:rsid w:val="00A43C59"/>
    <w:rsid w:val="00A44BCE"/>
    <w:rsid w:val="00A452BF"/>
    <w:rsid w:val="00A46535"/>
    <w:rsid w:val="00A4692F"/>
    <w:rsid w:val="00A50ECD"/>
    <w:rsid w:val="00A5159D"/>
    <w:rsid w:val="00A52729"/>
    <w:rsid w:val="00A52D3E"/>
    <w:rsid w:val="00A53675"/>
    <w:rsid w:val="00A56B6A"/>
    <w:rsid w:val="00A578DC"/>
    <w:rsid w:val="00A61E58"/>
    <w:rsid w:val="00A63952"/>
    <w:rsid w:val="00A66D7B"/>
    <w:rsid w:val="00A6725B"/>
    <w:rsid w:val="00A674A0"/>
    <w:rsid w:val="00A74078"/>
    <w:rsid w:val="00A86475"/>
    <w:rsid w:val="00A869F9"/>
    <w:rsid w:val="00A86E8B"/>
    <w:rsid w:val="00A874DE"/>
    <w:rsid w:val="00A877F1"/>
    <w:rsid w:val="00A93072"/>
    <w:rsid w:val="00A93B75"/>
    <w:rsid w:val="00A959D8"/>
    <w:rsid w:val="00AA2358"/>
    <w:rsid w:val="00AA37F6"/>
    <w:rsid w:val="00AB042A"/>
    <w:rsid w:val="00AB2D34"/>
    <w:rsid w:val="00AB3430"/>
    <w:rsid w:val="00AB46A4"/>
    <w:rsid w:val="00AB7CFA"/>
    <w:rsid w:val="00AD074F"/>
    <w:rsid w:val="00AD2B98"/>
    <w:rsid w:val="00AD3629"/>
    <w:rsid w:val="00AD7081"/>
    <w:rsid w:val="00AF06C0"/>
    <w:rsid w:val="00AF1082"/>
    <w:rsid w:val="00AF3494"/>
    <w:rsid w:val="00AF7DDE"/>
    <w:rsid w:val="00B05CB5"/>
    <w:rsid w:val="00B174F5"/>
    <w:rsid w:val="00B35980"/>
    <w:rsid w:val="00B36B29"/>
    <w:rsid w:val="00B40D20"/>
    <w:rsid w:val="00B41905"/>
    <w:rsid w:val="00B42851"/>
    <w:rsid w:val="00B4286B"/>
    <w:rsid w:val="00B44099"/>
    <w:rsid w:val="00B4723D"/>
    <w:rsid w:val="00B50DB8"/>
    <w:rsid w:val="00B53521"/>
    <w:rsid w:val="00B53905"/>
    <w:rsid w:val="00B54B5B"/>
    <w:rsid w:val="00B5562E"/>
    <w:rsid w:val="00B57000"/>
    <w:rsid w:val="00B60939"/>
    <w:rsid w:val="00B60AFD"/>
    <w:rsid w:val="00B61432"/>
    <w:rsid w:val="00B62715"/>
    <w:rsid w:val="00B64192"/>
    <w:rsid w:val="00B72521"/>
    <w:rsid w:val="00B76703"/>
    <w:rsid w:val="00B775DE"/>
    <w:rsid w:val="00B818A4"/>
    <w:rsid w:val="00B8649C"/>
    <w:rsid w:val="00B90914"/>
    <w:rsid w:val="00B92D0B"/>
    <w:rsid w:val="00B94945"/>
    <w:rsid w:val="00B97E1D"/>
    <w:rsid w:val="00BA489C"/>
    <w:rsid w:val="00BA4E59"/>
    <w:rsid w:val="00BB231E"/>
    <w:rsid w:val="00BB4875"/>
    <w:rsid w:val="00BB7405"/>
    <w:rsid w:val="00BC5059"/>
    <w:rsid w:val="00BC526F"/>
    <w:rsid w:val="00BC7850"/>
    <w:rsid w:val="00BD29F4"/>
    <w:rsid w:val="00BD6CF3"/>
    <w:rsid w:val="00BE053F"/>
    <w:rsid w:val="00BE2180"/>
    <w:rsid w:val="00BE4275"/>
    <w:rsid w:val="00BF09DE"/>
    <w:rsid w:val="00BF2433"/>
    <w:rsid w:val="00BF2750"/>
    <w:rsid w:val="00BF4578"/>
    <w:rsid w:val="00BF61C9"/>
    <w:rsid w:val="00C00351"/>
    <w:rsid w:val="00C006FD"/>
    <w:rsid w:val="00C01A6E"/>
    <w:rsid w:val="00C034B6"/>
    <w:rsid w:val="00C039BB"/>
    <w:rsid w:val="00C04440"/>
    <w:rsid w:val="00C05874"/>
    <w:rsid w:val="00C11B95"/>
    <w:rsid w:val="00C12000"/>
    <w:rsid w:val="00C16F4D"/>
    <w:rsid w:val="00C22CF6"/>
    <w:rsid w:val="00C23017"/>
    <w:rsid w:val="00C23643"/>
    <w:rsid w:val="00C25418"/>
    <w:rsid w:val="00C25BBE"/>
    <w:rsid w:val="00C25D9C"/>
    <w:rsid w:val="00C26522"/>
    <w:rsid w:val="00C30DA6"/>
    <w:rsid w:val="00C31649"/>
    <w:rsid w:val="00C32291"/>
    <w:rsid w:val="00C40385"/>
    <w:rsid w:val="00C40908"/>
    <w:rsid w:val="00C46FB8"/>
    <w:rsid w:val="00C474DF"/>
    <w:rsid w:val="00C5272E"/>
    <w:rsid w:val="00C63AD7"/>
    <w:rsid w:val="00C64DC3"/>
    <w:rsid w:val="00C65576"/>
    <w:rsid w:val="00C65D81"/>
    <w:rsid w:val="00C66165"/>
    <w:rsid w:val="00C72FAE"/>
    <w:rsid w:val="00C73652"/>
    <w:rsid w:val="00C74096"/>
    <w:rsid w:val="00C750C8"/>
    <w:rsid w:val="00C8213F"/>
    <w:rsid w:val="00C82751"/>
    <w:rsid w:val="00C82D17"/>
    <w:rsid w:val="00C8797A"/>
    <w:rsid w:val="00C87C36"/>
    <w:rsid w:val="00C87D9A"/>
    <w:rsid w:val="00C938CF"/>
    <w:rsid w:val="00CA5245"/>
    <w:rsid w:val="00CA5C02"/>
    <w:rsid w:val="00CA7B09"/>
    <w:rsid w:val="00CA7B68"/>
    <w:rsid w:val="00CB5B1A"/>
    <w:rsid w:val="00CC5CD1"/>
    <w:rsid w:val="00CC6BD5"/>
    <w:rsid w:val="00CD6ADC"/>
    <w:rsid w:val="00CE082C"/>
    <w:rsid w:val="00CE284A"/>
    <w:rsid w:val="00CE319D"/>
    <w:rsid w:val="00CE39E1"/>
    <w:rsid w:val="00CE5374"/>
    <w:rsid w:val="00CE5F9E"/>
    <w:rsid w:val="00CE6274"/>
    <w:rsid w:val="00CE6D37"/>
    <w:rsid w:val="00CE7193"/>
    <w:rsid w:val="00CE7C45"/>
    <w:rsid w:val="00CF0027"/>
    <w:rsid w:val="00CF0EF1"/>
    <w:rsid w:val="00CF456B"/>
    <w:rsid w:val="00CF5A22"/>
    <w:rsid w:val="00CF6FA5"/>
    <w:rsid w:val="00D0262E"/>
    <w:rsid w:val="00D033F6"/>
    <w:rsid w:val="00D03A3D"/>
    <w:rsid w:val="00D054FC"/>
    <w:rsid w:val="00D05C99"/>
    <w:rsid w:val="00D076C2"/>
    <w:rsid w:val="00D1017D"/>
    <w:rsid w:val="00D110BD"/>
    <w:rsid w:val="00D14F8A"/>
    <w:rsid w:val="00D15844"/>
    <w:rsid w:val="00D16880"/>
    <w:rsid w:val="00D17D6C"/>
    <w:rsid w:val="00D17DBF"/>
    <w:rsid w:val="00D228C4"/>
    <w:rsid w:val="00D25F98"/>
    <w:rsid w:val="00D357FF"/>
    <w:rsid w:val="00D413B1"/>
    <w:rsid w:val="00D516E0"/>
    <w:rsid w:val="00D53710"/>
    <w:rsid w:val="00D54B48"/>
    <w:rsid w:val="00D54BD1"/>
    <w:rsid w:val="00D55905"/>
    <w:rsid w:val="00D60A5B"/>
    <w:rsid w:val="00D65986"/>
    <w:rsid w:val="00D72C80"/>
    <w:rsid w:val="00D74063"/>
    <w:rsid w:val="00D76A44"/>
    <w:rsid w:val="00D83626"/>
    <w:rsid w:val="00D93753"/>
    <w:rsid w:val="00DA29DE"/>
    <w:rsid w:val="00DA6852"/>
    <w:rsid w:val="00DA77A5"/>
    <w:rsid w:val="00DB2838"/>
    <w:rsid w:val="00DC5501"/>
    <w:rsid w:val="00DC5E30"/>
    <w:rsid w:val="00DD31FE"/>
    <w:rsid w:val="00DD3F28"/>
    <w:rsid w:val="00DD4537"/>
    <w:rsid w:val="00DD4E15"/>
    <w:rsid w:val="00DD6F5D"/>
    <w:rsid w:val="00DE1E7D"/>
    <w:rsid w:val="00DE1FAD"/>
    <w:rsid w:val="00DE33B1"/>
    <w:rsid w:val="00DE4FCB"/>
    <w:rsid w:val="00DE6D03"/>
    <w:rsid w:val="00DE7770"/>
    <w:rsid w:val="00DE7D48"/>
    <w:rsid w:val="00DF18E1"/>
    <w:rsid w:val="00DF419A"/>
    <w:rsid w:val="00DF4F07"/>
    <w:rsid w:val="00DF5D2B"/>
    <w:rsid w:val="00E01F40"/>
    <w:rsid w:val="00E06534"/>
    <w:rsid w:val="00E07BA0"/>
    <w:rsid w:val="00E10149"/>
    <w:rsid w:val="00E1245F"/>
    <w:rsid w:val="00E1440F"/>
    <w:rsid w:val="00E16372"/>
    <w:rsid w:val="00E20B7E"/>
    <w:rsid w:val="00E20ED6"/>
    <w:rsid w:val="00E21358"/>
    <w:rsid w:val="00E2249B"/>
    <w:rsid w:val="00E22A0D"/>
    <w:rsid w:val="00E23FEB"/>
    <w:rsid w:val="00E2771E"/>
    <w:rsid w:val="00E30757"/>
    <w:rsid w:val="00E36C91"/>
    <w:rsid w:val="00E36D0D"/>
    <w:rsid w:val="00E3741D"/>
    <w:rsid w:val="00E37569"/>
    <w:rsid w:val="00E37D53"/>
    <w:rsid w:val="00E40F58"/>
    <w:rsid w:val="00E41E30"/>
    <w:rsid w:val="00E43D70"/>
    <w:rsid w:val="00E45AEC"/>
    <w:rsid w:val="00E461F7"/>
    <w:rsid w:val="00E47B2C"/>
    <w:rsid w:val="00E51560"/>
    <w:rsid w:val="00E5347F"/>
    <w:rsid w:val="00E55424"/>
    <w:rsid w:val="00E55BB5"/>
    <w:rsid w:val="00E56E2F"/>
    <w:rsid w:val="00E61B66"/>
    <w:rsid w:val="00E65E79"/>
    <w:rsid w:val="00E67416"/>
    <w:rsid w:val="00E718B6"/>
    <w:rsid w:val="00E73581"/>
    <w:rsid w:val="00E76413"/>
    <w:rsid w:val="00E818CA"/>
    <w:rsid w:val="00E81924"/>
    <w:rsid w:val="00E83BDF"/>
    <w:rsid w:val="00E944D9"/>
    <w:rsid w:val="00E95FD7"/>
    <w:rsid w:val="00E973BD"/>
    <w:rsid w:val="00EA3864"/>
    <w:rsid w:val="00EA4968"/>
    <w:rsid w:val="00EB15B6"/>
    <w:rsid w:val="00EB2342"/>
    <w:rsid w:val="00EB351E"/>
    <w:rsid w:val="00EB4757"/>
    <w:rsid w:val="00EB4916"/>
    <w:rsid w:val="00EC00C9"/>
    <w:rsid w:val="00EC407A"/>
    <w:rsid w:val="00EC6B19"/>
    <w:rsid w:val="00ED2853"/>
    <w:rsid w:val="00ED3960"/>
    <w:rsid w:val="00EE07D3"/>
    <w:rsid w:val="00EE5891"/>
    <w:rsid w:val="00EE692C"/>
    <w:rsid w:val="00F067A2"/>
    <w:rsid w:val="00F07713"/>
    <w:rsid w:val="00F11733"/>
    <w:rsid w:val="00F17695"/>
    <w:rsid w:val="00F2084C"/>
    <w:rsid w:val="00F24837"/>
    <w:rsid w:val="00F2575F"/>
    <w:rsid w:val="00F27643"/>
    <w:rsid w:val="00F301AA"/>
    <w:rsid w:val="00F307F7"/>
    <w:rsid w:val="00F337C4"/>
    <w:rsid w:val="00F33DE9"/>
    <w:rsid w:val="00F3619A"/>
    <w:rsid w:val="00F435C4"/>
    <w:rsid w:val="00F46CB6"/>
    <w:rsid w:val="00F50C39"/>
    <w:rsid w:val="00F512BB"/>
    <w:rsid w:val="00F53F53"/>
    <w:rsid w:val="00F55E73"/>
    <w:rsid w:val="00F60092"/>
    <w:rsid w:val="00F604E7"/>
    <w:rsid w:val="00F612C9"/>
    <w:rsid w:val="00F629E5"/>
    <w:rsid w:val="00F77E3F"/>
    <w:rsid w:val="00F80E5D"/>
    <w:rsid w:val="00F8480B"/>
    <w:rsid w:val="00F851CE"/>
    <w:rsid w:val="00F85CF9"/>
    <w:rsid w:val="00F929E4"/>
    <w:rsid w:val="00F94438"/>
    <w:rsid w:val="00F97A78"/>
    <w:rsid w:val="00FA24E7"/>
    <w:rsid w:val="00FA4F6B"/>
    <w:rsid w:val="00FA7B29"/>
    <w:rsid w:val="00FB2048"/>
    <w:rsid w:val="00FB28B0"/>
    <w:rsid w:val="00FB2FCB"/>
    <w:rsid w:val="00FB64C9"/>
    <w:rsid w:val="00FC1074"/>
    <w:rsid w:val="00FC1884"/>
    <w:rsid w:val="00FC2245"/>
    <w:rsid w:val="00FC30BA"/>
    <w:rsid w:val="00FD1A07"/>
    <w:rsid w:val="00FD2100"/>
    <w:rsid w:val="00FD446D"/>
    <w:rsid w:val="00FD5E84"/>
    <w:rsid w:val="00FE22B9"/>
    <w:rsid w:val="00FF3C18"/>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746A1B"/>
    <w:pPr>
      <w:outlineLvl w:val="0"/>
    </w:pPr>
  </w:style>
  <w:style w:type="paragraph" w:styleId="Heading2">
    <w:name w:val="heading 2"/>
    <w:basedOn w:val="Normal"/>
    <w:next w:val="Normal"/>
    <w:link w:val="Heading2Char"/>
    <w:qFormat/>
    <w:rsid w:val="00746A1B"/>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46A1B"/>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leftalign">
    <w:name w:val="Table Text left align"/>
    <w:basedOn w:val="TableTitlecentred"/>
    <w:link w:val="TableTextleftalignChar"/>
    <w:uiPriority w:val="99"/>
    <w:qFormat/>
    <w:rsid w:val="00A46535"/>
    <w:pPr>
      <w:spacing w:before="20" w:after="20"/>
      <w:jc w:val="left"/>
    </w:pPr>
    <w:rPr>
      <w:b w:val="0"/>
      <w:szCs w:val="18"/>
    </w:rPr>
  </w:style>
  <w:style w:type="character" w:customStyle="1" w:styleId="TableTextleftalignChar">
    <w:name w:val="Table Text left align Char"/>
    <w:basedOn w:val="DefaultParagraphFont"/>
    <w:link w:val="TableTextleftalign"/>
    <w:uiPriority w:val="99"/>
    <w:rsid w:val="00A46535"/>
    <w:rPr>
      <w:rFonts w:ascii="Calibri" w:hAnsi="Calibri"/>
      <w:sz w:val="18"/>
      <w:szCs w:val="18"/>
      <w:lang w:eastAsia="en-US"/>
    </w:rPr>
  </w:style>
  <w:style w:type="paragraph" w:customStyle="1" w:styleId="TableTitlecentred">
    <w:name w:val="Table Title centred"/>
    <w:basedOn w:val="Normal"/>
    <w:uiPriority w:val="99"/>
    <w:rsid w:val="00A46535"/>
    <w:pPr>
      <w:widowControl/>
      <w:jc w:val="center"/>
    </w:pPr>
    <w:rPr>
      <w:rFonts w:ascii="Calibri" w:hAnsi="Calibri" w:cs="Times New Roman"/>
      <w:b/>
      <w:snapToGrid/>
      <w:sz w:val="18"/>
    </w:rPr>
  </w:style>
  <w:style w:type="paragraph" w:customStyle="1" w:styleId="TableTextbullet">
    <w:name w:val="Table Text bullet"/>
    <w:basedOn w:val="Normal"/>
    <w:link w:val="TableTextbulletChar"/>
    <w:autoRedefine/>
    <w:uiPriority w:val="99"/>
    <w:qFormat/>
    <w:rsid w:val="00A46535"/>
    <w:pPr>
      <w:widowControl/>
      <w:numPr>
        <w:numId w:val="2"/>
      </w:numPr>
      <w:ind w:left="284" w:hanging="284"/>
      <w:jc w:val="left"/>
    </w:pPr>
    <w:rPr>
      <w:rFonts w:ascii="Calibri" w:hAnsi="Calibri" w:cs="Times New Roman"/>
      <w:snapToGrid/>
      <w:sz w:val="18"/>
      <w:lang w:val="en-US"/>
    </w:rPr>
  </w:style>
  <w:style w:type="character" w:customStyle="1" w:styleId="TableTextbulletChar">
    <w:name w:val="Table Text bullet Char"/>
    <w:basedOn w:val="DefaultParagraphFont"/>
    <w:link w:val="TableTextbullet"/>
    <w:uiPriority w:val="99"/>
    <w:rsid w:val="00A46535"/>
    <w:rPr>
      <w:rFonts w:ascii="Calibri" w:hAnsi="Calibri"/>
      <w:sz w:val="18"/>
      <w:lang w:val="en-US" w:eastAsia="en-US"/>
    </w:rPr>
  </w:style>
  <w:style w:type="paragraph" w:customStyle="1" w:styleId="TableSource">
    <w:name w:val="Table Source"/>
    <w:basedOn w:val="Normal"/>
    <w:next w:val="Normal"/>
    <w:link w:val="TableSourceChar"/>
    <w:uiPriority w:val="99"/>
    <w:qFormat/>
    <w:rsid w:val="00343D20"/>
    <w:pPr>
      <w:widowControl/>
      <w:tabs>
        <w:tab w:val="left" w:pos="709"/>
      </w:tabs>
      <w:ind w:left="709" w:hanging="709"/>
      <w:jc w:val="left"/>
    </w:pPr>
    <w:rPr>
      <w:rFonts w:ascii="Calibri" w:hAnsi="Calibri" w:cs="Times New Roman"/>
      <w:i/>
      <w:iCs/>
      <w:snapToGrid/>
      <w:sz w:val="16"/>
      <w:szCs w:val="22"/>
    </w:rPr>
  </w:style>
  <w:style w:type="character" w:customStyle="1" w:styleId="TableSourceChar">
    <w:name w:val="Table Source Char"/>
    <w:basedOn w:val="DefaultParagraphFont"/>
    <w:link w:val="TableSource"/>
    <w:uiPriority w:val="99"/>
    <w:rsid w:val="00343D20"/>
    <w:rPr>
      <w:rFonts w:ascii="Calibri" w:hAnsi="Calibri"/>
      <w:i/>
      <w:iCs/>
      <w:sz w:val="16"/>
      <w:szCs w:val="22"/>
      <w:lang w:eastAsia="en-US"/>
    </w:rPr>
  </w:style>
  <w:style w:type="paragraph" w:customStyle="1" w:styleId="TableTextcentred">
    <w:name w:val="Table Text centred"/>
    <w:basedOn w:val="Normal"/>
    <w:link w:val="TableTextcentredChar"/>
    <w:uiPriority w:val="99"/>
    <w:qFormat/>
    <w:rsid w:val="00343D20"/>
    <w:pPr>
      <w:widowControl/>
      <w:spacing w:before="20" w:after="20"/>
      <w:jc w:val="center"/>
    </w:pPr>
    <w:rPr>
      <w:rFonts w:ascii="Calibri" w:hAnsi="Calibri" w:cs="Times New Roman"/>
      <w:snapToGrid/>
      <w:sz w:val="18"/>
      <w:szCs w:val="18"/>
    </w:rPr>
  </w:style>
  <w:style w:type="character" w:customStyle="1" w:styleId="TableTextcentredChar">
    <w:name w:val="Table Text centred Char"/>
    <w:basedOn w:val="DefaultParagraphFont"/>
    <w:link w:val="TableTextcentred"/>
    <w:uiPriority w:val="99"/>
    <w:rsid w:val="00343D20"/>
    <w:rPr>
      <w:rFonts w:ascii="Calibri" w:hAnsi="Calibri"/>
      <w:sz w:val="18"/>
      <w:szCs w:val="18"/>
      <w:lang w:eastAsia="en-US"/>
    </w:rPr>
  </w:style>
  <w:style w:type="paragraph" w:styleId="FootnoteText">
    <w:name w:val="footnote text"/>
    <w:basedOn w:val="Normal"/>
    <w:link w:val="FootnoteTextChar"/>
    <w:unhideWhenUsed/>
    <w:rsid w:val="000250D6"/>
    <w:rPr>
      <w:sz w:val="20"/>
    </w:rPr>
  </w:style>
  <w:style w:type="character" w:customStyle="1" w:styleId="FootnoteTextChar">
    <w:name w:val="Footnote Text Char"/>
    <w:basedOn w:val="DefaultParagraphFont"/>
    <w:link w:val="FootnoteText"/>
    <w:rsid w:val="000250D6"/>
    <w:rPr>
      <w:rFonts w:ascii="Arial" w:hAnsi="Arial" w:cs="Arial"/>
      <w:snapToGrid w:val="0"/>
      <w:lang w:eastAsia="en-US"/>
    </w:rPr>
  </w:style>
  <w:style w:type="character" w:styleId="FootnoteReference">
    <w:name w:val="footnote reference"/>
    <w:basedOn w:val="DefaultParagraphFont"/>
    <w:unhideWhenUsed/>
    <w:rsid w:val="000250D6"/>
    <w:rPr>
      <w:vertAlign w:val="superscript"/>
    </w:rPr>
  </w:style>
  <w:style w:type="character" w:customStyle="1" w:styleId="apple-converted-space">
    <w:name w:val="apple-converted-space"/>
    <w:basedOn w:val="DefaultParagraphFont"/>
    <w:rsid w:val="009A763E"/>
  </w:style>
  <w:style w:type="paragraph" w:customStyle="1" w:styleId="TableFootnoteindent">
    <w:name w:val="Table Footnote indent"/>
    <w:basedOn w:val="Normal"/>
    <w:next w:val="Normal"/>
    <w:link w:val="TableFootnoteindentChar"/>
    <w:uiPriority w:val="99"/>
    <w:qFormat/>
    <w:rsid w:val="00121EBD"/>
    <w:pPr>
      <w:widowControl/>
      <w:tabs>
        <w:tab w:val="left" w:pos="284"/>
      </w:tabs>
      <w:ind w:left="284" w:hanging="284"/>
      <w:jc w:val="left"/>
    </w:pPr>
    <w:rPr>
      <w:rFonts w:ascii="Calibri" w:hAnsi="Calibri" w:cs="Times New Roman"/>
      <w:snapToGrid/>
      <w:sz w:val="16"/>
      <w:szCs w:val="22"/>
    </w:rPr>
  </w:style>
  <w:style w:type="character" w:customStyle="1" w:styleId="TableFootnoteindentChar">
    <w:name w:val="Table Footnote indent Char"/>
    <w:basedOn w:val="DefaultParagraphFont"/>
    <w:link w:val="TableFootnoteindent"/>
    <w:uiPriority w:val="99"/>
    <w:rsid w:val="00121EBD"/>
    <w:rPr>
      <w:rFonts w:ascii="Calibri" w:hAnsi="Calibri"/>
      <w:sz w:val="16"/>
      <w:szCs w:val="22"/>
      <w:lang w:eastAsia="en-US"/>
    </w:rPr>
  </w:style>
  <w:style w:type="table" w:customStyle="1" w:styleId="Submissionstandard">
    <w:name w:val="Submission standard"/>
    <w:basedOn w:val="TableNormal"/>
    <w:uiPriority w:val="99"/>
    <w:qFormat/>
    <w:rsid w:val="007A260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character" w:customStyle="1" w:styleId="Small">
    <w:name w:val="Small"/>
    <w:basedOn w:val="DefaultParagraphFont"/>
    <w:uiPriority w:val="99"/>
    <w:qFormat/>
    <w:rsid w:val="00891AB0"/>
    <w:rPr>
      <w:rFonts w:ascii="Candara" w:hAnsi="Candara" w:cs="Times New Roman"/>
      <w:sz w:val="20"/>
    </w:rPr>
  </w:style>
  <w:style w:type="character" w:customStyle="1" w:styleId="ListParagraphChar">
    <w:name w:val="List Paragraph Char"/>
    <w:aliases w:val="BulletPoints Char"/>
    <w:link w:val="ListParagraph"/>
    <w:uiPriority w:val="34"/>
    <w:rsid w:val="00CF6FA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746A1B"/>
    <w:pPr>
      <w:outlineLvl w:val="0"/>
    </w:pPr>
  </w:style>
  <w:style w:type="paragraph" w:styleId="Heading2">
    <w:name w:val="heading 2"/>
    <w:basedOn w:val="Normal"/>
    <w:next w:val="Normal"/>
    <w:link w:val="Heading2Char"/>
    <w:qFormat/>
    <w:rsid w:val="00746A1B"/>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46A1B"/>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leftalign">
    <w:name w:val="Table Text left align"/>
    <w:basedOn w:val="TableTitlecentred"/>
    <w:link w:val="TableTextleftalignChar"/>
    <w:uiPriority w:val="99"/>
    <w:qFormat/>
    <w:rsid w:val="00A46535"/>
    <w:pPr>
      <w:spacing w:before="20" w:after="20"/>
      <w:jc w:val="left"/>
    </w:pPr>
    <w:rPr>
      <w:b w:val="0"/>
      <w:szCs w:val="18"/>
    </w:rPr>
  </w:style>
  <w:style w:type="character" w:customStyle="1" w:styleId="TableTextleftalignChar">
    <w:name w:val="Table Text left align Char"/>
    <w:basedOn w:val="DefaultParagraphFont"/>
    <w:link w:val="TableTextleftalign"/>
    <w:uiPriority w:val="99"/>
    <w:rsid w:val="00A46535"/>
    <w:rPr>
      <w:rFonts w:ascii="Calibri" w:hAnsi="Calibri"/>
      <w:sz w:val="18"/>
      <w:szCs w:val="18"/>
      <w:lang w:eastAsia="en-US"/>
    </w:rPr>
  </w:style>
  <w:style w:type="paragraph" w:customStyle="1" w:styleId="TableTitlecentred">
    <w:name w:val="Table Title centred"/>
    <w:basedOn w:val="Normal"/>
    <w:uiPriority w:val="99"/>
    <w:rsid w:val="00A46535"/>
    <w:pPr>
      <w:widowControl/>
      <w:jc w:val="center"/>
    </w:pPr>
    <w:rPr>
      <w:rFonts w:ascii="Calibri" w:hAnsi="Calibri" w:cs="Times New Roman"/>
      <w:b/>
      <w:snapToGrid/>
      <w:sz w:val="18"/>
    </w:rPr>
  </w:style>
  <w:style w:type="paragraph" w:customStyle="1" w:styleId="TableTextbullet">
    <w:name w:val="Table Text bullet"/>
    <w:basedOn w:val="Normal"/>
    <w:link w:val="TableTextbulletChar"/>
    <w:autoRedefine/>
    <w:uiPriority w:val="99"/>
    <w:qFormat/>
    <w:rsid w:val="00A46535"/>
    <w:pPr>
      <w:widowControl/>
      <w:numPr>
        <w:numId w:val="2"/>
      </w:numPr>
      <w:ind w:left="284" w:hanging="284"/>
      <w:jc w:val="left"/>
    </w:pPr>
    <w:rPr>
      <w:rFonts w:ascii="Calibri" w:hAnsi="Calibri" w:cs="Times New Roman"/>
      <w:snapToGrid/>
      <w:sz w:val="18"/>
      <w:lang w:val="en-US"/>
    </w:rPr>
  </w:style>
  <w:style w:type="character" w:customStyle="1" w:styleId="TableTextbulletChar">
    <w:name w:val="Table Text bullet Char"/>
    <w:basedOn w:val="DefaultParagraphFont"/>
    <w:link w:val="TableTextbullet"/>
    <w:uiPriority w:val="99"/>
    <w:rsid w:val="00A46535"/>
    <w:rPr>
      <w:rFonts w:ascii="Calibri" w:hAnsi="Calibri"/>
      <w:sz w:val="18"/>
      <w:lang w:val="en-US" w:eastAsia="en-US"/>
    </w:rPr>
  </w:style>
  <w:style w:type="paragraph" w:customStyle="1" w:styleId="TableSource">
    <w:name w:val="Table Source"/>
    <w:basedOn w:val="Normal"/>
    <w:next w:val="Normal"/>
    <w:link w:val="TableSourceChar"/>
    <w:uiPriority w:val="99"/>
    <w:qFormat/>
    <w:rsid w:val="00343D20"/>
    <w:pPr>
      <w:widowControl/>
      <w:tabs>
        <w:tab w:val="left" w:pos="709"/>
      </w:tabs>
      <w:ind w:left="709" w:hanging="709"/>
      <w:jc w:val="left"/>
    </w:pPr>
    <w:rPr>
      <w:rFonts w:ascii="Calibri" w:hAnsi="Calibri" w:cs="Times New Roman"/>
      <w:i/>
      <w:iCs/>
      <w:snapToGrid/>
      <w:sz w:val="16"/>
      <w:szCs w:val="22"/>
    </w:rPr>
  </w:style>
  <w:style w:type="character" w:customStyle="1" w:styleId="TableSourceChar">
    <w:name w:val="Table Source Char"/>
    <w:basedOn w:val="DefaultParagraphFont"/>
    <w:link w:val="TableSource"/>
    <w:uiPriority w:val="99"/>
    <w:rsid w:val="00343D20"/>
    <w:rPr>
      <w:rFonts w:ascii="Calibri" w:hAnsi="Calibri"/>
      <w:i/>
      <w:iCs/>
      <w:sz w:val="16"/>
      <w:szCs w:val="22"/>
      <w:lang w:eastAsia="en-US"/>
    </w:rPr>
  </w:style>
  <w:style w:type="paragraph" w:customStyle="1" w:styleId="TableTextcentred">
    <w:name w:val="Table Text centred"/>
    <w:basedOn w:val="Normal"/>
    <w:link w:val="TableTextcentredChar"/>
    <w:uiPriority w:val="99"/>
    <w:qFormat/>
    <w:rsid w:val="00343D20"/>
    <w:pPr>
      <w:widowControl/>
      <w:spacing w:before="20" w:after="20"/>
      <w:jc w:val="center"/>
    </w:pPr>
    <w:rPr>
      <w:rFonts w:ascii="Calibri" w:hAnsi="Calibri" w:cs="Times New Roman"/>
      <w:snapToGrid/>
      <w:sz w:val="18"/>
      <w:szCs w:val="18"/>
    </w:rPr>
  </w:style>
  <w:style w:type="character" w:customStyle="1" w:styleId="TableTextcentredChar">
    <w:name w:val="Table Text centred Char"/>
    <w:basedOn w:val="DefaultParagraphFont"/>
    <w:link w:val="TableTextcentred"/>
    <w:uiPriority w:val="99"/>
    <w:rsid w:val="00343D20"/>
    <w:rPr>
      <w:rFonts w:ascii="Calibri" w:hAnsi="Calibri"/>
      <w:sz w:val="18"/>
      <w:szCs w:val="18"/>
      <w:lang w:eastAsia="en-US"/>
    </w:rPr>
  </w:style>
  <w:style w:type="paragraph" w:styleId="FootnoteText">
    <w:name w:val="footnote text"/>
    <w:basedOn w:val="Normal"/>
    <w:link w:val="FootnoteTextChar"/>
    <w:unhideWhenUsed/>
    <w:rsid w:val="000250D6"/>
    <w:rPr>
      <w:sz w:val="20"/>
    </w:rPr>
  </w:style>
  <w:style w:type="character" w:customStyle="1" w:styleId="FootnoteTextChar">
    <w:name w:val="Footnote Text Char"/>
    <w:basedOn w:val="DefaultParagraphFont"/>
    <w:link w:val="FootnoteText"/>
    <w:rsid w:val="000250D6"/>
    <w:rPr>
      <w:rFonts w:ascii="Arial" w:hAnsi="Arial" w:cs="Arial"/>
      <w:snapToGrid w:val="0"/>
      <w:lang w:eastAsia="en-US"/>
    </w:rPr>
  </w:style>
  <w:style w:type="character" w:styleId="FootnoteReference">
    <w:name w:val="footnote reference"/>
    <w:basedOn w:val="DefaultParagraphFont"/>
    <w:unhideWhenUsed/>
    <w:rsid w:val="000250D6"/>
    <w:rPr>
      <w:vertAlign w:val="superscript"/>
    </w:rPr>
  </w:style>
  <w:style w:type="character" w:customStyle="1" w:styleId="apple-converted-space">
    <w:name w:val="apple-converted-space"/>
    <w:basedOn w:val="DefaultParagraphFont"/>
    <w:rsid w:val="009A763E"/>
  </w:style>
  <w:style w:type="paragraph" w:customStyle="1" w:styleId="TableFootnoteindent">
    <w:name w:val="Table Footnote indent"/>
    <w:basedOn w:val="Normal"/>
    <w:next w:val="Normal"/>
    <w:link w:val="TableFootnoteindentChar"/>
    <w:uiPriority w:val="99"/>
    <w:qFormat/>
    <w:rsid w:val="00121EBD"/>
    <w:pPr>
      <w:widowControl/>
      <w:tabs>
        <w:tab w:val="left" w:pos="284"/>
      </w:tabs>
      <w:ind w:left="284" w:hanging="284"/>
      <w:jc w:val="left"/>
    </w:pPr>
    <w:rPr>
      <w:rFonts w:ascii="Calibri" w:hAnsi="Calibri" w:cs="Times New Roman"/>
      <w:snapToGrid/>
      <w:sz w:val="16"/>
      <w:szCs w:val="22"/>
    </w:rPr>
  </w:style>
  <w:style w:type="character" w:customStyle="1" w:styleId="TableFootnoteindentChar">
    <w:name w:val="Table Footnote indent Char"/>
    <w:basedOn w:val="DefaultParagraphFont"/>
    <w:link w:val="TableFootnoteindent"/>
    <w:uiPriority w:val="99"/>
    <w:rsid w:val="00121EBD"/>
    <w:rPr>
      <w:rFonts w:ascii="Calibri" w:hAnsi="Calibri"/>
      <w:sz w:val="16"/>
      <w:szCs w:val="22"/>
      <w:lang w:eastAsia="en-US"/>
    </w:rPr>
  </w:style>
  <w:style w:type="table" w:customStyle="1" w:styleId="Submissionstandard">
    <w:name w:val="Submission standard"/>
    <w:basedOn w:val="TableNormal"/>
    <w:uiPriority w:val="99"/>
    <w:qFormat/>
    <w:rsid w:val="007A260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character" w:customStyle="1" w:styleId="Small">
    <w:name w:val="Small"/>
    <w:basedOn w:val="DefaultParagraphFont"/>
    <w:uiPriority w:val="99"/>
    <w:qFormat/>
    <w:rsid w:val="00891AB0"/>
    <w:rPr>
      <w:rFonts w:ascii="Candara" w:hAnsi="Candara" w:cs="Times New Roman"/>
      <w:sz w:val="20"/>
    </w:rPr>
  </w:style>
  <w:style w:type="character" w:customStyle="1" w:styleId="ListParagraphChar">
    <w:name w:val="List Paragraph Char"/>
    <w:aliases w:val="BulletPoints Char"/>
    <w:link w:val="ListParagraph"/>
    <w:uiPriority w:val="34"/>
    <w:rsid w:val="00CF6FA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3927">
      <w:bodyDiv w:val="1"/>
      <w:marLeft w:val="0"/>
      <w:marRight w:val="0"/>
      <w:marTop w:val="0"/>
      <w:marBottom w:val="0"/>
      <w:divBdr>
        <w:top w:val="none" w:sz="0" w:space="0" w:color="auto"/>
        <w:left w:val="none" w:sz="0" w:space="0" w:color="auto"/>
        <w:bottom w:val="none" w:sz="0" w:space="0" w:color="auto"/>
        <w:right w:val="none" w:sz="0" w:space="0" w:color="auto"/>
      </w:divBdr>
    </w:div>
    <w:div w:id="17301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BB7D-DC48-4197-B0EE-D25B712A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2765</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2016-09-27T02:04:00Z</dcterms:created>
  <dcterms:modified xsi:type="dcterms:W3CDTF">2016-09-27T02:06:00Z</dcterms:modified>
</cp:coreProperties>
</file>