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A93F15" w:rsidRDefault="00F82029" w:rsidP="006C77AE">
      <w:pPr>
        <w:pStyle w:val="Heading1"/>
        <w:widowControl/>
        <w:jc w:val="left"/>
        <w:rPr>
          <w:caps w:val="0"/>
          <w:sz w:val="28"/>
        </w:rPr>
      </w:pPr>
      <w:bookmarkStart w:id="0" w:name="_Toc461530252"/>
      <w:bookmarkStart w:id="1" w:name="_GoBack"/>
      <w:bookmarkEnd w:id="1"/>
      <w:r w:rsidRPr="00A93F15">
        <w:rPr>
          <w:sz w:val="28"/>
        </w:rPr>
        <w:t>5.01</w:t>
      </w:r>
      <w:r w:rsidR="00B60939" w:rsidRPr="00A93F15">
        <w:rPr>
          <w:sz w:val="28"/>
        </w:rPr>
        <w:tab/>
      </w:r>
      <w:r w:rsidR="00036C12" w:rsidRPr="00A93F15">
        <w:rPr>
          <w:sz w:val="28"/>
        </w:rPr>
        <w:t>C</w:t>
      </w:r>
      <w:r w:rsidR="006C77AE" w:rsidRPr="00A93F15">
        <w:rPr>
          <w:sz w:val="28"/>
        </w:rPr>
        <w:t xml:space="preserve">alcipotriol </w:t>
      </w:r>
      <w:r w:rsidR="006C77AE" w:rsidRPr="00A93F15">
        <w:rPr>
          <w:caps w:val="0"/>
          <w:sz w:val="28"/>
        </w:rPr>
        <w:t>with</w:t>
      </w:r>
      <w:r w:rsidR="00996FB9" w:rsidRPr="00A93F15">
        <w:rPr>
          <w:sz w:val="28"/>
        </w:rPr>
        <w:t xml:space="preserve"> betamethasone</w:t>
      </w:r>
      <w:r w:rsidR="00B60939" w:rsidRPr="00A93F15">
        <w:rPr>
          <w:sz w:val="28"/>
        </w:rPr>
        <w:t xml:space="preserve">, </w:t>
      </w:r>
      <w:r w:rsidR="006C77AE" w:rsidRPr="00A93F15">
        <w:rPr>
          <w:sz w:val="28"/>
        </w:rPr>
        <w:br/>
      </w:r>
      <w:r w:rsidR="006C77AE" w:rsidRPr="00A93F15">
        <w:rPr>
          <w:caps w:val="0"/>
          <w:sz w:val="28"/>
        </w:rPr>
        <w:t xml:space="preserve">Foam containing </w:t>
      </w:r>
      <w:proofErr w:type="spellStart"/>
      <w:r w:rsidR="006C77AE" w:rsidRPr="00A93F15">
        <w:rPr>
          <w:caps w:val="0"/>
          <w:sz w:val="28"/>
        </w:rPr>
        <w:t>calcipotriol</w:t>
      </w:r>
      <w:proofErr w:type="spellEnd"/>
      <w:r w:rsidR="006C77AE" w:rsidRPr="00A93F15">
        <w:rPr>
          <w:caps w:val="0"/>
          <w:sz w:val="28"/>
        </w:rPr>
        <w:t xml:space="preserve"> 50 micrograms with betamethasone 500 micrograms (as </w:t>
      </w:r>
      <w:proofErr w:type="spellStart"/>
      <w:r w:rsidR="006C77AE" w:rsidRPr="00A93F15">
        <w:rPr>
          <w:caps w:val="0"/>
          <w:sz w:val="28"/>
        </w:rPr>
        <w:t>dipropionate</w:t>
      </w:r>
      <w:proofErr w:type="spellEnd"/>
      <w:r w:rsidR="006C77AE" w:rsidRPr="00A93F15">
        <w:rPr>
          <w:caps w:val="0"/>
          <w:sz w:val="28"/>
        </w:rPr>
        <w:t>) per g, 60 g</w:t>
      </w:r>
      <w:r w:rsidR="00996FB9" w:rsidRPr="00A93F15">
        <w:rPr>
          <w:sz w:val="28"/>
        </w:rPr>
        <w:t xml:space="preserve">, </w:t>
      </w:r>
      <w:r w:rsidR="006C77AE" w:rsidRPr="00A93F15">
        <w:rPr>
          <w:sz w:val="28"/>
        </w:rPr>
        <w:br/>
      </w:r>
      <w:proofErr w:type="spellStart"/>
      <w:r w:rsidR="00996FB9" w:rsidRPr="00A93F15">
        <w:rPr>
          <w:caps w:val="0"/>
          <w:sz w:val="28"/>
        </w:rPr>
        <w:t>Enstilar</w:t>
      </w:r>
      <w:proofErr w:type="spellEnd"/>
      <w:r w:rsidR="00996FB9" w:rsidRPr="00A93F15">
        <w:rPr>
          <w:sz w:val="28"/>
          <w:vertAlign w:val="superscript"/>
        </w:rPr>
        <w:t>®</w:t>
      </w:r>
      <w:r w:rsidR="00C478D6" w:rsidRPr="00A93F15">
        <w:rPr>
          <w:sz w:val="28"/>
        </w:rPr>
        <w:t>,</w:t>
      </w:r>
      <w:r w:rsidR="00C478D6" w:rsidRPr="00A93F15">
        <w:rPr>
          <w:caps w:val="0"/>
          <w:sz w:val="28"/>
        </w:rPr>
        <w:t xml:space="preserve"> </w:t>
      </w:r>
      <w:r w:rsidR="009C725D">
        <w:rPr>
          <w:caps w:val="0"/>
          <w:sz w:val="28"/>
        </w:rPr>
        <w:br/>
      </w:r>
      <w:r w:rsidR="00C478D6" w:rsidRPr="00A93F15">
        <w:rPr>
          <w:caps w:val="0"/>
          <w:sz w:val="28"/>
        </w:rPr>
        <w:t>L</w:t>
      </w:r>
      <w:r w:rsidR="001D648C">
        <w:rPr>
          <w:caps w:val="0"/>
          <w:sz w:val="28"/>
        </w:rPr>
        <w:t>EO</w:t>
      </w:r>
      <w:r w:rsidR="00DC47E8" w:rsidRPr="00A93F15">
        <w:rPr>
          <w:caps w:val="0"/>
          <w:sz w:val="28"/>
        </w:rPr>
        <w:t xml:space="preserve"> Pharma Pty Ltd</w:t>
      </w:r>
      <w:r w:rsidR="00DC47E8" w:rsidRPr="00A93F15">
        <w:rPr>
          <w:sz w:val="28"/>
        </w:rPr>
        <w:t>.</w:t>
      </w:r>
      <w:bookmarkEnd w:id="0"/>
    </w:p>
    <w:p w:rsidR="00C913DB" w:rsidRPr="00A93F15" w:rsidRDefault="00C913DB" w:rsidP="003A50ED">
      <w:pPr>
        <w:widowControl/>
        <w:jc w:val="left"/>
        <w:rPr>
          <w:b/>
          <w:sz w:val="24"/>
          <w:szCs w:val="22"/>
        </w:rPr>
      </w:pPr>
    </w:p>
    <w:p w:rsidR="00743E05" w:rsidRPr="00A93F15" w:rsidRDefault="00743E05" w:rsidP="006C77AE">
      <w:pPr>
        <w:widowControl/>
      </w:pPr>
    </w:p>
    <w:p w:rsidR="00B50DB8" w:rsidRPr="00A93F15" w:rsidRDefault="00B50DB8" w:rsidP="006C77AE">
      <w:pPr>
        <w:pStyle w:val="PBACHeading1"/>
        <w:keepNext/>
      </w:pPr>
      <w:bookmarkStart w:id="2" w:name="_Toc461530254"/>
      <w:r w:rsidRPr="00A93F15">
        <w:t>Purpose of Application</w:t>
      </w:r>
      <w:bookmarkEnd w:id="2"/>
    </w:p>
    <w:p w:rsidR="00B60939" w:rsidRPr="00A93F15" w:rsidRDefault="00B60939" w:rsidP="006C77AE">
      <w:pPr>
        <w:keepNext/>
        <w:widowControl/>
        <w:rPr>
          <w:szCs w:val="22"/>
        </w:rPr>
      </w:pPr>
    </w:p>
    <w:p w:rsidR="002C2775" w:rsidRPr="00A93F15" w:rsidRDefault="001E238E" w:rsidP="006C77AE">
      <w:pPr>
        <w:pStyle w:val="ListParagraph"/>
        <w:widowControl/>
        <w:numPr>
          <w:ilvl w:val="1"/>
          <w:numId w:val="5"/>
        </w:numPr>
        <w:rPr>
          <w:szCs w:val="22"/>
        </w:rPr>
      </w:pPr>
      <w:r w:rsidRPr="00A93F15">
        <w:t xml:space="preserve">Restricted Benefit listing for </w:t>
      </w:r>
      <w:r w:rsidR="006255BB" w:rsidRPr="00A93F15">
        <w:t>calcipotriol plus betamethasone foam spray for treatment of chronic stable plaque type psoriasis</w:t>
      </w:r>
      <w:r w:rsidRPr="00A93F15">
        <w:t>.</w:t>
      </w:r>
    </w:p>
    <w:p w:rsidR="004E43B2" w:rsidRPr="00A93F15" w:rsidRDefault="004E43B2" w:rsidP="006C77AE">
      <w:pPr>
        <w:widowControl/>
      </w:pPr>
    </w:p>
    <w:p w:rsidR="0029247A" w:rsidRPr="00A93F15" w:rsidRDefault="0029247A" w:rsidP="006C77AE">
      <w:pPr>
        <w:widowControl/>
      </w:pPr>
    </w:p>
    <w:p w:rsidR="00B50DB8" w:rsidRPr="00A93F15" w:rsidRDefault="00B50DB8" w:rsidP="006C77AE">
      <w:pPr>
        <w:pStyle w:val="PBACHeading1"/>
      </w:pPr>
      <w:bookmarkStart w:id="3" w:name="_Toc461530255"/>
      <w:r w:rsidRPr="00A93F15">
        <w:t>Requested listing</w:t>
      </w:r>
      <w:bookmarkEnd w:id="3"/>
    </w:p>
    <w:p w:rsidR="00B60939" w:rsidRPr="00A93F15" w:rsidRDefault="00B60939" w:rsidP="006C77AE">
      <w:pPr>
        <w:widowControl/>
      </w:pPr>
    </w:p>
    <w:p w:rsidR="00BF1550" w:rsidRPr="00A93F15" w:rsidRDefault="00BF1550" w:rsidP="00BF1550">
      <w:pPr>
        <w:widowControl/>
        <w:ind w:left="720"/>
      </w:pPr>
      <w:r w:rsidRPr="00A93F15">
        <w:t>Suggestions and additions proposed by the Secretariat to the requested listing are added in italics and suggested deletions are crossed out with strikethrough.</w:t>
      </w:r>
    </w:p>
    <w:p w:rsidR="00DB0398" w:rsidRPr="00A93F15" w:rsidRDefault="00DB0398" w:rsidP="00BF1550">
      <w:pPr>
        <w:widowControl/>
        <w:ind w:left="720"/>
        <w:rPr>
          <w:i/>
        </w:rPr>
      </w:pPr>
    </w:p>
    <w:p w:rsidR="00BF1550" w:rsidRPr="00A93F15" w:rsidRDefault="00BF1550" w:rsidP="00BF1550">
      <w:pPr>
        <w:widowControl/>
        <w:ind w:left="720"/>
        <w:rPr>
          <w:b/>
          <w:i/>
        </w:rPr>
      </w:pPr>
    </w:p>
    <w:tbl>
      <w:tblPr>
        <w:tblW w:w="4640" w:type="pct"/>
        <w:tblInd w:w="682" w:type="dxa"/>
        <w:tblCellMar>
          <w:left w:w="28" w:type="dxa"/>
          <w:right w:w="28" w:type="dxa"/>
        </w:tblCellMar>
        <w:tblLook w:val="0000" w:firstRow="0" w:lastRow="0" w:firstColumn="0" w:lastColumn="0" w:noHBand="0" w:noVBand="0"/>
      </w:tblPr>
      <w:tblGrid>
        <w:gridCol w:w="1088"/>
        <w:gridCol w:w="2486"/>
        <w:gridCol w:w="551"/>
        <w:gridCol w:w="850"/>
        <w:gridCol w:w="1640"/>
        <w:gridCol w:w="1055"/>
        <w:gridCol w:w="632"/>
        <w:gridCol w:w="126"/>
      </w:tblGrid>
      <w:tr w:rsidR="00C42FAE" w:rsidRPr="00A93F15" w:rsidTr="00AC64B8">
        <w:trPr>
          <w:gridAfter w:val="1"/>
          <w:wAfter w:w="75" w:type="pct"/>
          <w:cantSplit/>
          <w:trHeight w:val="471"/>
        </w:trPr>
        <w:tc>
          <w:tcPr>
            <w:tcW w:w="2120" w:type="pct"/>
            <w:gridSpan w:val="2"/>
            <w:tcBorders>
              <w:bottom w:val="single" w:sz="4" w:space="0" w:color="auto"/>
            </w:tcBorders>
          </w:tcPr>
          <w:p w:rsidR="00694051" w:rsidRPr="00A93F15" w:rsidRDefault="00694051" w:rsidP="006C77AE">
            <w:pPr>
              <w:keepNext/>
              <w:widowControl/>
              <w:rPr>
                <w:rFonts w:ascii="Arial Narrow" w:hAnsi="Arial Narrow"/>
                <w:sz w:val="20"/>
              </w:rPr>
            </w:pPr>
            <w:r w:rsidRPr="00A93F15">
              <w:rPr>
                <w:rFonts w:ascii="Arial Narrow" w:hAnsi="Arial Narrow"/>
                <w:sz w:val="20"/>
              </w:rPr>
              <w:t>Name, Restriction,</w:t>
            </w:r>
          </w:p>
          <w:p w:rsidR="00694051" w:rsidRPr="00A93F15" w:rsidRDefault="00694051" w:rsidP="006C77AE">
            <w:pPr>
              <w:keepNext/>
              <w:widowControl/>
              <w:rPr>
                <w:rFonts w:ascii="Arial Narrow" w:hAnsi="Arial Narrow"/>
                <w:sz w:val="20"/>
              </w:rPr>
            </w:pPr>
            <w:r w:rsidRPr="00A93F15">
              <w:rPr>
                <w:rFonts w:ascii="Arial Narrow" w:hAnsi="Arial Narrow"/>
                <w:sz w:val="20"/>
              </w:rPr>
              <w:t>Manner of administration and form</w:t>
            </w:r>
          </w:p>
        </w:tc>
        <w:tc>
          <w:tcPr>
            <w:tcW w:w="327" w:type="pct"/>
            <w:tcBorders>
              <w:bottom w:val="single" w:sz="4" w:space="0" w:color="auto"/>
            </w:tcBorders>
          </w:tcPr>
          <w:p w:rsidR="00694051" w:rsidRPr="00A93F15" w:rsidRDefault="00694051" w:rsidP="006C77AE">
            <w:pPr>
              <w:keepNext/>
              <w:widowControl/>
              <w:jc w:val="center"/>
              <w:rPr>
                <w:rFonts w:ascii="Arial Narrow" w:hAnsi="Arial Narrow"/>
                <w:sz w:val="20"/>
              </w:rPr>
            </w:pPr>
            <w:r w:rsidRPr="00A93F15">
              <w:rPr>
                <w:rFonts w:ascii="Arial Narrow" w:hAnsi="Arial Narrow"/>
                <w:sz w:val="20"/>
              </w:rPr>
              <w:t>Max.</w:t>
            </w:r>
          </w:p>
          <w:p w:rsidR="00694051" w:rsidRPr="00A93F15" w:rsidRDefault="00694051" w:rsidP="006C77AE">
            <w:pPr>
              <w:keepNext/>
              <w:widowControl/>
              <w:jc w:val="center"/>
              <w:rPr>
                <w:rFonts w:ascii="Arial Narrow" w:hAnsi="Arial Narrow"/>
                <w:sz w:val="20"/>
              </w:rPr>
            </w:pPr>
            <w:r w:rsidRPr="00A93F15">
              <w:rPr>
                <w:rFonts w:ascii="Arial Narrow" w:hAnsi="Arial Narrow"/>
                <w:sz w:val="20"/>
              </w:rPr>
              <w:t>Qty</w:t>
            </w:r>
          </w:p>
        </w:tc>
        <w:tc>
          <w:tcPr>
            <w:tcW w:w="504" w:type="pct"/>
            <w:tcBorders>
              <w:bottom w:val="single" w:sz="4" w:space="0" w:color="auto"/>
            </w:tcBorders>
          </w:tcPr>
          <w:p w:rsidR="00694051" w:rsidRPr="00A93F15" w:rsidRDefault="00694051" w:rsidP="006C77AE">
            <w:pPr>
              <w:keepNext/>
              <w:widowControl/>
              <w:jc w:val="center"/>
              <w:rPr>
                <w:rFonts w:ascii="Arial Narrow" w:hAnsi="Arial Narrow"/>
                <w:sz w:val="20"/>
              </w:rPr>
            </w:pPr>
            <w:r w:rsidRPr="00A93F15">
              <w:rPr>
                <w:rFonts w:ascii="Arial Narrow" w:hAnsi="Arial Narrow"/>
                <w:sz w:val="20"/>
              </w:rPr>
              <w:t>№.of</w:t>
            </w:r>
          </w:p>
          <w:p w:rsidR="00694051" w:rsidRPr="00A93F15" w:rsidRDefault="00694051" w:rsidP="006C77AE">
            <w:pPr>
              <w:keepNext/>
              <w:widowControl/>
              <w:jc w:val="center"/>
              <w:rPr>
                <w:rFonts w:ascii="Arial Narrow" w:hAnsi="Arial Narrow"/>
                <w:sz w:val="20"/>
              </w:rPr>
            </w:pPr>
            <w:r w:rsidRPr="00A93F15">
              <w:rPr>
                <w:rFonts w:ascii="Arial Narrow" w:hAnsi="Arial Narrow"/>
                <w:sz w:val="20"/>
              </w:rPr>
              <w:t>Rpts</w:t>
            </w:r>
          </w:p>
        </w:tc>
        <w:tc>
          <w:tcPr>
            <w:tcW w:w="973" w:type="pct"/>
            <w:tcBorders>
              <w:bottom w:val="single" w:sz="4" w:space="0" w:color="auto"/>
            </w:tcBorders>
          </w:tcPr>
          <w:p w:rsidR="00694051" w:rsidRPr="00A93F15" w:rsidRDefault="00694051" w:rsidP="006C77AE">
            <w:pPr>
              <w:keepNext/>
              <w:widowControl/>
              <w:jc w:val="center"/>
              <w:rPr>
                <w:rFonts w:ascii="Arial Narrow" w:hAnsi="Arial Narrow"/>
                <w:sz w:val="20"/>
              </w:rPr>
            </w:pPr>
            <w:r w:rsidRPr="00A93F15">
              <w:rPr>
                <w:rFonts w:ascii="Arial Narrow" w:hAnsi="Arial Narrow"/>
                <w:sz w:val="20"/>
              </w:rPr>
              <w:t>Dispensed Price for Max. Qty</w:t>
            </w:r>
          </w:p>
        </w:tc>
        <w:tc>
          <w:tcPr>
            <w:tcW w:w="1001" w:type="pct"/>
            <w:gridSpan w:val="2"/>
            <w:tcBorders>
              <w:bottom w:val="single" w:sz="4" w:space="0" w:color="auto"/>
            </w:tcBorders>
          </w:tcPr>
          <w:p w:rsidR="00694051" w:rsidRPr="00A93F15" w:rsidRDefault="00694051" w:rsidP="006C77AE">
            <w:pPr>
              <w:keepNext/>
              <w:widowControl/>
              <w:jc w:val="center"/>
              <w:rPr>
                <w:rFonts w:ascii="Arial Narrow" w:hAnsi="Arial Narrow"/>
                <w:sz w:val="20"/>
              </w:rPr>
            </w:pPr>
            <w:r w:rsidRPr="00A93F15">
              <w:rPr>
                <w:rFonts w:ascii="Arial Narrow" w:hAnsi="Arial Narrow"/>
                <w:sz w:val="20"/>
              </w:rPr>
              <w:t>Proprietary Name and Manufacturer</w:t>
            </w:r>
          </w:p>
        </w:tc>
      </w:tr>
      <w:tr w:rsidR="00C42FAE" w:rsidRPr="00A93F15" w:rsidTr="00AC64B8">
        <w:trPr>
          <w:gridAfter w:val="1"/>
          <w:wAfter w:w="75" w:type="pct"/>
          <w:cantSplit/>
          <w:trHeight w:val="577"/>
        </w:trPr>
        <w:tc>
          <w:tcPr>
            <w:tcW w:w="2120" w:type="pct"/>
            <w:gridSpan w:val="2"/>
          </w:tcPr>
          <w:p w:rsidR="00694051" w:rsidRPr="00A93F15" w:rsidRDefault="00694051" w:rsidP="00663CFE">
            <w:pPr>
              <w:keepNext/>
              <w:widowControl/>
              <w:ind w:left="27"/>
              <w:rPr>
                <w:rFonts w:ascii="Arial Narrow" w:hAnsi="Arial Narrow"/>
                <w:smallCaps/>
                <w:sz w:val="20"/>
              </w:rPr>
            </w:pPr>
            <w:proofErr w:type="spellStart"/>
            <w:r w:rsidRPr="00A93F15">
              <w:rPr>
                <w:rFonts w:ascii="Arial Narrow" w:hAnsi="Arial Narrow"/>
                <w:smallCaps/>
                <w:sz w:val="20"/>
              </w:rPr>
              <w:t>calcipotriol</w:t>
            </w:r>
            <w:proofErr w:type="spellEnd"/>
            <w:r w:rsidRPr="00A93F15">
              <w:rPr>
                <w:rFonts w:ascii="Arial Narrow" w:hAnsi="Arial Narrow"/>
                <w:smallCaps/>
                <w:sz w:val="20"/>
              </w:rPr>
              <w:t xml:space="preserve"> + betamethasone </w:t>
            </w:r>
            <w:proofErr w:type="spellStart"/>
            <w:r w:rsidRPr="00A93F15">
              <w:rPr>
                <w:rFonts w:ascii="Arial Narrow" w:hAnsi="Arial Narrow"/>
                <w:smallCaps/>
                <w:strike/>
                <w:sz w:val="20"/>
              </w:rPr>
              <w:t>dipropionate</w:t>
            </w:r>
            <w:proofErr w:type="spellEnd"/>
          </w:p>
          <w:p w:rsidR="00694051" w:rsidRPr="00A93F15" w:rsidRDefault="00694051" w:rsidP="00663CFE">
            <w:pPr>
              <w:keepNext/>
              <w:ind w:left="27"/>
              <w:rPr>
                <w:rFonts w:ascii="Arial Narrow" w:hAnsi="Arial Narrow"/>
                <w:sz w:val="20"/>
              </w:rPr>
            </w:pPr>
            <w:r w:rsidRPr="00A93F15">
              <w:rPr>
                <w:rFonts w:ascii="Arial Narrow" w:hAnsi="Arial Narrow"/>
                <w:strike/>
                <w:sz w:val="20"/>
              </w:rPr>
              <w:t>Foam spray, 50/500</w:t>
            </w:r>
            <w:r w:rsidR="00663CFE" w:rsidRPr="00A93F15">
              <w:rPr>
                <w:rFonts w:ascii="Arial Narrow" w:hAnsi="Arial Narrow"/>
                <w:sz w:val="20"/>
              </w:rPr>
              <w:t xml:space="preserve">calcipotriol 0.05% + </w:t>
            </w:r>
            <w:r w:rsidR="00751E34" w:rsidRPr="00A93F15">
              <w:rPr>
                <w:rFonts w:ascii="Arial Narrow" w:hAnsi="Arial Narrow"/>
                <w:sz w:val="20"/>
              </w:rPr>
              <w:t>betamethasone</w:t>
            </w:r>
            <w:r w:rsidR="00663CFE" w:rsidRPr="00A93F15">
              <w:rPr>
                <w:rFonts w:ascii="Arial Narrow" w:hAnsi="Arial Narrow"/>
                <w:sz w:val="20"/>
              </w:rPr>
              <w:t xml:space="preserve"> (as </w:t>
            </w:r>
            <w:proofErr w:type="spellStart"/>
            <w:r w:rsidR="00663CFE" w:rsidRPr="00A93F15">
              <w:rPr>
                <w:rFonts w:ascii="Arial Narrow" w:hAnsi="Arial Narrow"/>
                <w:sz w:val="20"/>
              </w:rPr>
              <w:t>dipropionate</w:t>
            </w:r>
            <w:proofErr w:type="spellEnd"/>
            <w:r w:rsidR="00663CFE" w:rsidRPr="00A93F15">
              <w:rPr>
                <w:rFonts w:ascii="Arial Narrow" w:hAnsi="Arial Narrow"/>
                <w:sz w:val="20"/>
              </w:rPr>
              <w:t>) 0.05% ,foam spray</w:t>
            </w:r>
            <w:r w:rsidRPr="00A93F15">
              <w:rPr>
                <w:rFonts w:ascii="Arial Narrow" w:hAnsi="Arial Narrow"/>
                <w:sz w:val="20"/>
              </w:rPr>
              <w:t xml:space="preserve">, 60g </w:t>
            </w:r>
          </w:p>
          <w:p w:rsidR="00694051" w:rsidRPr="00A93F15" w:rsidRDefault="00694051" w:rsidP="006C77AE">
            <w:pPr>
              <w:keepNext/>
              <w:widowControl/>
              <w:rPr>
                <w:rFonts w:ascii="Arial Narrow" w:hAnsi="Arial Narrow"/>
                <w:sz w:val="20"/>
              </w:rPr>
            </w:pPr>
          </w:p>
        </w:tc>
        <w:tc>
          <w:tcPr>
            <w:tcW w:w="327" w:type="pct"/>
          </w:tcPr>
          <w:p w:rsidR="00694051" w:rsidRPr="00A93F15" w:rsidRDefault="00694051" w:rsidP="006C77AE">
            <w:pPr>
              <w:keepNext/>
              <w:widowControl/>
              <w:rPr>
                <w:rFonts w:ascii="Arial Narrow" w:hAnsi="Arial Narrow"/>
                <w:sz w:val="20"/>
              </w:rPr>
            </w:pPr>
          </w:p>
          <w:p w:rsidR="00694051" w:rsidRPr="00A93F15" w:rsidRDefault="00694051" w:rsidP="006C77AE">
            <w:pPr>
              <w:keepNext/>
              <w:widowControl/>
              <w:jc w:val="center"/>
              <w:rPr>
                <w:rFonts w:ascii="Arial Narrow" w:hAnsi="Arial Narrow"/>
                <w:sz w:val="20"/>
              </w:rPr>
            </w:pPr>
            <w:r w:rsidRPr="00A93F15">
              <w:rPr>
                <w:rFonts w:ascii="Arial Narrow" w:hAnsi="Arial Narrow"/>
                <w:sz w:val="20"/>
              </w:rPr>
              <w:t>1</w:t>
            </w:r>
          </w:p>
          <w:p w:rsidR="00694051" w:rsidRPr="00A93F15" w:rsidRDefault="00694051" w:rsidP="006C77AE">
            <w:pPr>
              <w:keepNext/>
              <w:widowControl/>
              <w:jc w:val="center"/>
              <w:rPr>
                <w:rFonts w:ascii="Arial Narrow" w:hAnsi="Arial Narrow"/>
                <w:sz w:val="20"/>
              </w:rPr>
            </w:pPr>
          </w:p>
        </w:tc>
        <w:tc>
          <w:tcPr>
            <w:tcW w:w="504" w:type="pct"/>
          </w:tcPr>
          <w:p w:rsidR="00694051" w:rsidRPr="00A93F15" w:rsidRDefault="00694051" w:rsidP="006C77AE">
            <w:pPr>
              <w:keepNext/>
              <w:widowControl/>
              <w:jc w:val="center"/>
              <w:rPr>
                <w:rFonts w:ascii="Arial Narrow" w:hAnsi="Arial Narrow"/>
                <w:sz w:val="20"/>
              </w:rPr>
            </w:pPr>
          </w:p>
          <w:p w:rsidR="00694051" w:rsidRPr="00A93F15" w:rsidRDefault="00694051" w:rsidP="006C77AE">
            <w:pPr>
              <w:keepNext/>
              <w:widowControl/>
              <w:jc w:val="center"/>
              <w:rPr>
                <w:rFonts w:ascii="Arial Narrow" w:hAnsi="Arial Narrow"/>
                <w:sz w:val="20"/>
              </w:rPr>
            </w:pPr>
            <w:r w:rsidRPr="00A93F15">
              <w:rPr>
                <w:rFonts w:ascii="Arial Narrow" w:hAnsi="Arial Narrow"/>
                <w:sz w:val="20"/>
              </w:rPr>
              <w:t>1</w:t>
            </w:r>
          </w:p>
          <w:p w:rsidR="00694051" w:rsidRPr="00A93F15" w:rsidRDefault="00694051" w:rsidP="006C77AE">
            <w:pPr>
              <w:keepNext/>
              <w:widowControl/>
              <w:jc w:val="center"/>
              <w:rPr>
                <w:rFonts w:ascii="Arial Narrow" w:hAnsi="Arial Narrow"/>
                <w:sz w:val="20"/>
              </w:rPr>
            </w:pPr>
          </w:p>
        </w:tc>
        <w:tc>
          <w:tcPr>
            <w:tcW w:w="973" w:type="pct"/>
          </w:tcPr>
          <w:p w:rsidR="00694051" w:rsidRPr="00A93F15" w:rsidRDefault="00694051" w:rsidP="006C77AE">
            <w:pPr>
              <w:keepNext/>
              <w:widowControl/>
              <w:jc w:val="center"/>
              <w:rPr>
                <w:rFonts w:ascii="Arial Narrow" w:hAnsi="Arial Narrow"/>
                <w:sz w:val="20"/>
              </w:rPr>
            </w:pPr>
          </w:p>
          <w:p w:rsidR="00694051" w:rsidRPr="00A93F15" w:rsidRDefault="00694051"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p w:rsidR="00694051" w:rsidRPr="00A93F15" w:rsidRDefault="00694051" w:rsidP="006C77AE">
            <w:pPr>
              <w:keepNext/>
              <w:widowControl/>
              <w:jc w:val="center"/>
              <w:rPr>
                <w:rFonts w:ascii="Arial Narrow" w:hAnsi="Arial Narrow"/>
                <w:sz w:val="20"/>
              </w:rPr>
            </w:pPr>
          </w:p>
        </w:tc>
        <w:tc>
          <w:tcPr>
            <w:tcW w:w="626" w:type="pct"/>
          </w:tcPr>
          <w:p w:rsidR="00694051" w:rsidRPr="00A93F15" w:rsidRDefault="00694051" w:rsidP="006C77AE">
            <w:pPr>
              <w:keepNext/>
              <w:widowControl/>
              <w:jc w:val="center"/>
              <w:rPr>
                <w:rFonts w:ascii="Arial Narrow" w:hAnsi="Arial Narrow"/>
                <w:sz w:val="20"/>
              </w:rPr>
            </w:pPr>
            <w:proofErr w:type="spellStart"/>
            <w:r w:rsidRPr="00A93F15">
              <w:rPr>
                <w:rFonts w:ascii="Arial Narrow" w:hAnsi="Arial Narrow"/>
                <w:sz w:val="20"/>
              </w:rPr>
              <w:t>Enstilar</w:t>
            </w:r>
            <w:proofErr w:type="spellEnd"/>
            <w:r w:rsidRPr="00A93F15">
              <w:rPr>
                <w:rFonts w:ascii="Arial Narrow" w:hAnsi="Arial Narrow"/>
                <w:sz w:val="20"/>
                <w:vertAlign w:val="superscript"/>
              </w:rPr>
              <w:t>®</w:t>
            </w:r>
            <w:r w:rsidRPr="00A93F15">
              <w:rPr>
                <w:rFonts w:ascii="Arial Narrow" w:hAnsi="Arial Narrow"/>
                <w:sz w:val="20"/>
              </w:rPr>
              <w:t xml:space="preserve"> 50/500 foam spray</w:t>
            </w:r>
          </w:p>
        </w:tc>
        <w:tc>
          <w:tcPr>
            <w:tcW w:w="374" w:type="pct"/>
          </w:tcPr>
          <w:p w:rsidR="00694051" w:rsidRPr="00A93F15" w:rsidRDefault="00694051" w:rsidP="006C77AE">
            <w:pPr>
              <w:keepNext/>
              <w:widowControl/>
              <w:jc w:val="center"/>
              <w:rPr>
                <w:rFonts w:ascii="Arial Narrow" w:hAnsi="Arial Narrow"/>
                <w:sz w:val="20"/>
              </w:rPr>
            </w:pPr>
          </w:p>
          <w:p w:rsidR="00F24216" w:rsidRPr="00A93F15" w:rsidRDefault="00694051" w:rsidP="00F24216">
            <w:pPr>
              <w:keepNext/>
              <w:rPr>
                <w:rFonts w:ascii="Arial Narrow" w:hAnsi="Arial Narrow"/>
                <w:sz w:val="20"/>
              </w:rPr>
            </w:pPr>
            <w:r w:rsidRPr="00A93F15">
              <w:rPr>
                <w:rFonts w:ascii="Arial Narrow" w:hAnsi="Arial Narrow"/>
                <w:strike/>
                <w:sz w:val="20"/>
              </w:rPr>
              <w:t>LO</w:t>
            </w:r>
            <w:r w:rsidR="00F24216" w:rsidRPr="00A93F15">
              <w:rPr>
                <w:rFonts w:ascii="Arial Narrow" w:hAnsi="Arial Narrow"/>
                <w:sz w:val="20"/>
              </w:rPr>
              <w:t xml:space="preserve"> LEO Pharma</w:t>
            </w:r>
          </w:p>
          <w:p w:rsidR="00694051" w:rsidRPr="00A93F15" w:rsidRDefault="00F24216" w:rsidP="00F24216">
            <w:pPr>
              <w:keepNext/>
              <w:widowControl/>
              <w:jc w:val="center"/>
              <w:rPr>
                <w:rFonts w:ascii="Arial Narrow" w:hAnsi="Arial Narrow"/>
                <w:strike/>
                <w:sz w:val="20"/>
              </w:rPr>
            </w:pPr>
            <w:r w:rsidRPr="00A93F15">
              <w:rPr>
                <w:rFonts w:ascii="Arial Narrow" w:hAnsi="Arial Narrow"/>
                <w:sz w:val="20"/>
              </w:rPr>
              <w:t>Pty Ltd</w:t>
            </w:r>
          </w:p>
        </w:tc>
      </w:tr>
      <w:tr w:rsidR="00663CFE" w:rsidRPr="00A93F15" w:rsidTr="00663CFE">
        <w:tblPrEx>
          <w:tblCellMar>
            <w:left w:w="108" w:type="dxa"/>
            <w:right w:w="108" w:type="dxa"/>
          </w:tblCellMar>
        </w:tblPrEx>
        <w:trPr>
          <w:cantSplit/>
          <w:trHeight w:val="360"/>
        </w:trPr>
        <w:tc>
          <w:tcPr>
            <w:tcW w:w="645" w:type="pct"/>
            <w:tcBorders>
              <w:top w:val="single" w:sz="4" w:space="0" w:color="auto"/>
              <w:left w:val="single" w:sz="4" w:space="0" w:color="auto"/>
              <w:bottom w:val="single" w:sz="4" w:space="0" w:color="auto"/>
              <w:right w:val="single" w:sz="4" w:space="0" w:color="auto"/>
            </w:tcBorders>
          </w:tcPr>
          <w:p w:rsidR="00663CFE" w:rsidRPr="00A93F15" w:rsidRDefault="00663CFE" w:rsidP="001F2BF2">
            <w:pPr>
              <w:rPr>
                <w:rFonts w:ascii="Arial Narrow" w:hAnsi="Arial Narrow"/>
                <w:b/>
                <w:sz w:val="20"/>
              </w:rPr>
            </w:pPr>
            <w:r w:rsidRPr="00A93F15">
              <w:rPr>
                <w:rFonts w:ascii="Arial Narrow" w:hAnsi="Arial Narrow"/>
                <w:b/>
                <w:sz w:val="20"/>
              </w:rPr>
              <w:t xml:space="preserve">Category / </w:t>
            </w:r>
          </w:p>
          <w:p w:rsidR="00663CFE" w:rsidRPr="00A93F15" w:rsidRDefault="00663CFE" w:rsidP="001F2BF2">
            <w:pPr>
              <w:rPr>
                <w:rFonts w:ascii="Arial Narrow" w:hAnsi="Arial Narrow"/>
                <w:b/>
                <w:sz w:val="20"/>
              </w:rPr>
            </w:pPr>
            <w:r w:rsidRPr="00A93F15">
              <w:rPr>
                <w:rFonts w:ascii="Arial Narrow" w:hAnsi="Arial Narrow"/>
                <w:b/>
                <w:sz w:val="20"/>
              </w:rPr>
              <w:t>Program</w:t>
            </w:r>
          </w:p>
        </w:tc>
        <w:tc>
          <w:tcPr>
            <w:tcW w:w="4355" w:type="pct"/>
            <w:gridSpan w:val="7"/>
            <w:tcBorders>
              <w:top w:val="single" w:sz="4" w:space="0" w:color="auto"/>
              <w:left w:val="single" w:sz="4" w:space="0" w:color="auto"/>
              <w:bottom w:val="single" w:sz="4" w:space="0" w:color="auto"/>
              <w:right w:val="single" w:sz="4" w:space="0" w:color="auto"/>
            </w:tcBorders>
          </w:tcPr>
          <w:p w:rsidR="00663CFE" w:rsidRPr="00A93F15" w:rsidRDefault="00663CFE" w:rsidP="001F2BF2">
            <w:pPr>
              <w:rPr>
                <w:rFonts w:ascii="Arial Narrow" w:hAnsi="Arial Narrow"/>
                <w:sz w:val="20"/>
              </w:rPr>
            </w:pPr>
            <w:r w:rsidRPr="00A93F15">
              <w:rPr>
                <w:rFonts w:ascii="Arial Narrow" w:hAnsi="Arial Narrow"/>
                <w:sz w:val="20"/>
              </w:rPr>
              <w:t>GENERAL – General Schedule (</w:t>
            </w:r>
            <w:r w:rsidRPr="00A93F15">
              <w:rPr>
                <w:rFonts w:ascii="Arial Narrow" w:hAnsi="Arial Narrow"/>
                <w:strike/>
                <w:sz w:val="20"/>
              </w:rPr>
              <w:t>Code</w:t>
            </w:r>
            <w:r w:rsidRPr="00A93F15">
              <w:rPr>
                <w:rFonts w:ascii="Arial Narrow" w:hAnsi="Arial Narrow"/>
                <w:sz w:val="20"/>
              </w:rPr>
              <w:t xml:space="preserve"> GE)</w:t>
            </w:r>
          </w:p>
          <w:p w:rsidR="00663CFE" w:rsidRPr="00A93F15" w:rsidRDefault="00663CFE" w:rsidP="001F2BF2">
            <w:pPr>
              <w:rPr>
                <w:rFonts w:ascii="Arial Narrow" w:hAnsi="Arial Narrow"/>
                <w:sz w:val="20"/>
              </w:rPr>
            </w:pPr>
          </w:p>
        </w:tc>
      </w:tr>
      <w:tr w:rsidR="00663CFE" w:rsidRPr="00A93F15" w:rsidTr="00663CFE">
        <w:tblPrEx>
          <w:tblCellMar>
            <w:left w:w="108" w:type="dxa"/>
            <w:right w:w="108" w:type="dxa"/>
          </w:tblCellMar>
        </w:tblPrEx>
        <w:trPr>
          <w:cantSplit/>
          <w:trHeight w:val="360"/>
        </w:trPr>
        <w:tc>
          <w:tcPr>
            <w:tcW w:w="645" w:type="pct"/>
            <w:tcBorders>
              <w:top w:val="single" w:sz="4" w:space="0" w:color="auto"/>
              <w:left w:val="single" w:sz="4" w:space="0" w:color="auto"/>
              <w:bottom w:val="single" w:sz="4" w:space="0" w:color="auto"/>
              <w:right w:val="single" w:sz="4" w:space="0" w:color="auto"/>
            </w:tcBorders>
          </w:tcPr>
          <w:p w:rsidR="00663CFE" w:rsidRPr="00A93F15" w:rsidRDefault="00663CFE" w:rsidP="00663CFE">
            <w:pPr>
              <w:rPr>
                <w:rFonts w:ascii="Arial Narrow" w:hAnsi="Arial Narrow"/>
                <w:b/>
                <w:sz w:val="20"/>
              </w:rPr>
            </w:pPr>
            <w:r w:rsidRPr="00A93F15">
              <w:rPr>
                <w:rFonts w:ascii="Arial Narrow" w:hAnsi="Arial Narrow"/>
                <w:b/>
                <w:sz w:val="20"/>
              </w:rPr>
              <w:t>Prescriber type:</w:t>
            </w:r>
          </w:p>
        </w:tc>
        <w:tc>
          <w:tcPr>
            <w:tcW w:w="4355" w:type="pct"/>
            <w:gridSpan w:val="7"/>
            <w:tcBorders>
              <w:top w:val="single" w:sz="4" w:space="0" w:color="auto"/>
              <w:left w:val="single" w:sz="4" w:space="0" w:color="auto"/>
              <w:bottom w:val="single" w:sz="4" w:space="0" w:color="auto"/>
              <w:right w:val="single" w:sz="4" w:space="0" w:color="auto"/>
            </w:tcBorders>
          </w:tcPr>
          <w:p w:rsidR="00663CFE" w:rsidRPr="00A93F15" w:rsidRDefault="00663CFE" w:rsidP="001F2BF2">
            <w:pPr>
              <w:rPr>
                <w:rFonts w:ascii="Arial Narrow" w:hAnsi="Arial Narrow"/>
                <w:sz w:val="20"/>
              </w:rPr>
            </w:pPr>
            <w:r w:rsidRPr="00A93F15">
              <w:rPr>
                <w:rFonts w:ascii="Arial Narrow" w:hAnsi="Arial Narrow"/>
                <w:sz w:val="20"/>
              </w:rPr>
              <w:fldChar w:fldCharType="begin">
                <w:ffData>
                  <w:name w:val="Check1"/>
                  <w:enabled/>
                  <w:calcOnExit w:val="0"/>
                  <w:checkBox>
                    <w:sizeAuto/>
                    <w:default w:val="0"/>
                  </w:checkBox>
                </w:ffData>
              </w:fldChar>
            </w:r>
            <w:r w:rsidRPr="00A93F15">
              <w:rPr>
                <w:rFonts w:ascii="Arial Narrow" w:hAnsi="Arial Narrow"/>
                <w:sz w:val="20"/>
              </w:rPr>
              <w:instrText xml:space="preserve"> FORMCHECKBOX </w:instrText>
            </w:r>
            <w:r w:rsidR="00C04ADE">
              <w:rPr>
                <w:rFonts w:ascii="Arial Narrow" w:hAnsi="Arial Narrow"/>
                <w:sz w:val="20"/>
              </w:rPr>
            </w:r>
            <w:r w:rsidR="00C04ADE">
              <w:rPr>
                <w:rFonts w:ascii="Arial Narrow" w:hAnsi="Arial Narrow"/>
                <w:sz w:val="20"/>
              </w:rPr>
              <w:fldChar w:fldCharType="separate"/>
            </w:r>
            <w:r w:rsidRPr="00A93F15">
              <w:rPr>
                <w:rFonts w:ascii="Arial Narrow" w:hAnsi="Arial Narrow"/>
                <w:sz w:val="20"/>
              </w:rPr>
              <w:fldChar w:fldCharType="end"/>
            </w:r>
            <w:r w:rsidRPr="00A93F15">
              <w:rPr>
                <w:rFonts w:ascii="Arial Narrow" w:hAnsi="Arial Narrow"/>
                <w:sz w:val="20"/>
              </w:rPr>
              <w:t xml:space="preserve">Dental  </w:t>
            </w:r>
            <w:r w:rsidRPr="00A93F15">
              <w:rPr>
                <w:rFonts w:ascii="Arial Narrow" w:hAnsi="Arial Narrow"/>
                <w:sz w:val="20"/>
              </w:rPr>
              <w:fldChar w:fldCharType="begin">
                <w:ffData>
                  <w:name w:val=""/>
                  <w:enabled/>
                  <w:calcOnExit w:val="0"/>
                  <w:checkBox>
                    <w:sizeAuto/>
                    <w:default w:val="1"/>
                  </w:checkBox>
                </w:ffData>
              </w:fldChar>
            </w:r>
            <w:r w:rsidRPr="00A93F15">
              <w:rPr>
                <w:rFonts w:ascii="Arial Narrow" w:hAnsi="Arial Narrow"/>
                <w:sz w:val="20"/>
              </w:rPr>
              <w:instrText xml:space="preserve"> FORMCHECKBOX </w:instrText>
            </w:r>
            <w:r w:rsidR="00C04ADE">
              <w:rPr>
                <w:rFonts w:ascii="Arial Narrow" w:hAnsi="Arial Narrow"/>
                <w:sz w:val="20"/>
              </w:rPr>
            </w:r>
            <w:r w:rsidR="00C04ADE">
              <w:rPr>
                <w:rFonts w:ascii="Arial Narrow" w:hAnsi="Arial Narrow"/>
                <w:sz w:val="20"/>
              </w:rPr>
              <w:fldChar w:fldCharType="separate"/>
            </w:r>
            <w:r w:rsidRPr="00A93F15">
              <w:rPr>
                <w:rFonts w:ascii="Arial Narrow" w:hAnsi="Arial Narrow"/>
                <w:sz w:val="20"/>
              </w:rPr>
              <w:fldChar w:fldCharType="end"/>
            </w:r>
            <w:r w:rsidRPr="00A93F15">
              <w:rPr>
                <w:rFonts w:ascii="Arial Narrow" w:hAnsi="Arial Narrow"/>
                <w:sz w:val="20"/>
              </w:rPr>
              <w:t xml:space="preserve">Medical Practitioners  </w:t>
            </w:r>
            <w:r w:rsidRPr="00A93F15">
              <w:rPr>
                <w:rFonts w:ascii="Arial Narrow" w:hAnsi="Arial Narrow"/>
                <w:i/>
                <w:sz w:val="20"/>
              </w:rPr>
              <w:fldChar w:fldCharType="begin">
                <w:ffData>
                  <w:name w:val="Check3"/>
                  <w:enabled/>
                  <w:calcOnExit w:val="0"/>
                  <w:checkBox>
                    <w:sizeAuto/>
                    <w:default w:val="1"/>
                  </w:checkBox>
                </w:ffData>
              </w:fldChar>
            </w:r>
            <w:bookmarkStart w:id="4" w:name="Check3"/>
            <w:r w:rsidRPr="00A93F15">
              <w:rPr>
                <w:rFonts w:ascii="Arial Narrow" w:hAnsi="Arial Narrow"/>
                <w:i/>
                <w:sz w:val="20"/>
              </w:rPr>
              <w:instrText xml:space="preserve"> FORMCHECKBOX </w:instrText>
            </w:r>
            <w:r w:rsidR="00C04ADE">
              <w:rPr>
                <w:rFonts w:ascii="Arial Narrow" w:hAnsi="Arial Narrow"/>
                <w:i/>
                <w:sz w:val="20"/>
              </w:rPr>
            </w:r>
            <w:r w:rsidR="00C04ADE">
              <w:rPr>
                <w:rFonts w:ascii="Arial Narrow" w:hAnsi="Arial Narrow"/>
                <w:i/>
                <w:sz w:val="20"/>
              </w:rPr>
              <w:fldChar w:fldCharType="separate"/>
            </w:r>
            <w:r w:rsidRPr="00A93F15">
              <w:rPr>
                <w:rFonts w:ascii="Arial Narrow" w:hAnsi="Arial Narrow"/>
                <w:i/>
                <w:sz w:val="20"/>
              </w:rPr>
              <w:fldChar w:fldCharType="end"/>
            </w:r>
            <w:bookmarkEnd w:id="4"/>
            <w:r w:rsidRPr="00A93F15">
              <w:rPr>
                <w:rFonts w:ascii="Arial Narrow" w:hAnsi="Arial Narrow"/>
                <w:sz w:val="20"/>
              </w:rPr>
              <w:t xml:space="preserve">Nurse practitioners  </w:t>
            </w:r>
            <w:r w:rsidRPr="00A93F15">
              <w:rPr>
                <w:rFonts w:ascii="Arial Narrow" w:hAnsi="Arial Narrow"/>
                <w:sz w:val="20"/>
              </w:rPr>
              <w:fldChar w:fldCharType="begin">
                <w:ffData>
                  <w:name w:val=""/>
                  <w:enabled/>
                  <w:calcOnExit w:val="0"/>
                  <w:checkBox>
                    <w:sizeAuto/>
                    <w:default w:val="0"/>
                  </w:checkBox>
                </w:ffData>
              </w:fldChar>
            </w:r>
            <w:r w:rsidRPr="00A93F15">
              <w:rPr>
                <w:rFonts w:ascii="Arial Narrow" w:hAnsi="Arial Narrow"/>
                <w:sz w:val="20"/>
              </w:rPr>
              <w:instrText xml:space="preserve"> FORMCHECKBOX </w:instrText>
            </w:r>
            <w:r w:rsidR="00C04ADE">
              <w:rPr>
                <w:rFonts w:ascii="Arial Narrow" w:hAnsi="Arial Narrow"/>
                <w:sz w:val="20"/>
              </w:rPr>
            </w:r>
            <w:r w:rsidR="00C04ADE">
              <w:rPr>
                <w:rFonts w:ascii="Arial Narrow" w:hAnsi="Arial Narrow"/>
                <w:sz w:val="20"/>
              </w:rPr>
              <w:fldChar w:fldCharType="separate"/>
            </w:r>
            <w:r w:rsidRPr="00A93F15">
              <w:rPr>
                <w:rFonts w:ascii="Arial Narrow" w:hAnsi="Arial Narrow"/>
                <w:sz w:val="20"/>
              </w:rPr>
              <w:fldChar w:fldCharType="end"/>
            </w:r>
            <w:r w:rsidRPr="00A93F15">
              <w:rPr>
                <w:rFonts w:ascii="Arial Narrow" w:hAnsi="Arial Narrow"/>
                <w:sz w:val="20"/>
              </w:rPr>
              <w:t>Optometrists</w:t>
            </w:r>
          </w:p>
          <w:p w:rsidR="00663CFE" w:rsidRPr="00A93F15" w:rsidRDefault="00663CFE" w:rsidP="001F2BF2">
            <w:pPr>
              <w:rPr>
                <w:rFonts w:ascii="Arial Narrow" w:hAnsi="Arial Narrow"/>
                <w:sz w:val="20"/>
              </w:rPr>
            </w:pPr>
            <w:r w:rsidRPr="00A93F15">
              <w:rPr>
                <w:rFonts w:ascii="Arial Narrow" w:hAnsi="Arial Narrow"/>
                <w:sz w:val="20"/>
              </w:rPr>
              <w:fldChar w:fldCharType="begin">
                <w:ffData>
                  <w:name w:val="Check5"/>
                  <w:enabled/>
                  <w:calcOnExit w:val="0"/>
                  <w:checkBox>
                    <w:sizeAuto/>
                    <w:default w:val="0"/>
                  </w:checkBox>
                </w:ffData>
              </w:fldChar>
            </w:r>
            <w:r w:rsidRPr="00A93F15">
              <w:rPr>
                <w:rFonts w:ascii="Arial Narrow" w:hAnsi="Arial Narrow"/>
                <w:sz w:val="20"/>
              </w:rPr>
              <w:instrText xml:space="preserve"> FORMCHECKBOX </w:instrText>
            </w:r>
            <w:r w:rsidR="00C04ADE">
              <w:rPr>
                <w:rFonts w:ascii="Arial Narrow" w:hAnsi="Arial Narrow"/>
                <w:sz w:val="20"/>
              </w:rPr>
            </w:r>
            <w:r w:rsidR="00C04ADE">
              <w:rPr>
                <w:rFonts w:ascii="Arial Narrow" w:hAnsi="Arial Narrow"/>
                <w:sz w:val="20"/>
              </w:rPr>
              <w:fldChar w:fldCharType="separate"/>
            </w:r>
            <w:r w:rsidRPr="00A93F15">
              <w:rPr>
                <w:rFonts w:ascii="Arial Narrow" w:hAnsi="Arial Narrow"/>
                <w:sz w:val="20"/>
              </w:rPr>
              <w:fldChar w:fldCharType="end"/>
            </w:r>
            <w:r w:rsidRPr="00A93F15">
              <w:rPr>
                <w:rFonts w:ascii="Arial Narrow" w:hAnsi="Arial Narrow"/>
                <w:sz w:val="20"/>
              </w:rPr>
              <w:t>Midwives</w:t>
            </w:r>
          </w:p>
        </w:tc>
      </w:tr>
      <w:tr w:rsidR="00C42FA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rPr>
                <w:rFonts w:ascii="Arial Narrow" w:hAnsi="Arial Narrow"/>
                <w:sz w:val="20"/>
                <w:lang w:eastAsia="en-AU"/>
              </w:rPr>
            </w:pPr>
            <w:r w:rsidRPr="00A93F15">
              <w:rPr>
                <w:rFonts w:ascii="Arial Narrow" w:hAnsi="Arial Narrow"/>
                <w:sz w:val="20"/>
              </w:rPr>
              <w:t>Episodicity:</w:t>
            </w:r>
          </w:p>
        </w:tc>
        <w:tc>
          <w:tcPr>
            <w:tcW w:w="4355" w:type="pct"/>
            <w:gridSpan w:val="7"/>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Chronic</w:t>
            </w:r>
          </w:p>
        </w:tc>
      </w:tr>
      <w:tr w:rsidR="00C42FA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rPr>
                <w:rFonts w:ascii="Arial Narrow" w:hAnsi="Arial Narrow"/>
                <w:sz w:val="20"/>
                <w:lang w:eastAsia="en-AU"/>
              </w:rPr>
            </w:pPr>
            <w:r w:rsidRPr="00A93F15">
              <w:rPr>
                <w:rFonts w:ascii="Arial Narrow" w:hAnsi="Arial Narrow"/>
                <w:sz w:val="20"/>
              </w:rPr>
              <w:t>Severity:</w:t>
            </w:r>
          </w:p>
        </w:tc>
        <w:tc>
          <w:tcPr>
            <w:tcW w:w="4355" w:type="pct"/>
            <w:gridSpan w:val="7"/>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Stable</w:t>
            </w:r>
          </w:p>
        </w:tc>
      </w:tr>
      <w:tr w:rsidR="00C42FA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rPr>
                <w:rFonts w:ascii="Arial Narrow" w:hAnsi="Arial Narrow"/>
                <w:sz w:val="20"/>
                <w:lang w:eastAsia="en-AU"/>
              </w:rPr>
            </w:pPr>
            <w:r w:rsidRPr="00A93F15">
              <w:rPr>
                <w:rFonts w:ascii="Arial Narrow" w:hAnsi="Arial Narrow"/>
                <w:sz w:val="20"/>
              </w:rPr>
              <w:t>Condition:</w:t>
            </w:r>
          </w:p>
        </w:tc>
        <w:tc>
          <w:tcPr>
            <w:tcW w:w="4355" w:type="pct"/>
            <w:gridSpan w:val="7"/>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rPr>
              <w:t>Plaque type psoriasis vulgaris</w:t>
            </w:r>
          </w:p>
        </w:tc>
      </w:tr>
      <w:tr w:rsidR="00663CF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63CFE" w:rsidRPr="00A93F15" w:rsidRDefault="00663CFE" w:rsidP="00663CFE">
            <w:pPr>
              <w:widowControl/>
              <w:snapToGrid w:val="0"/>
              <w:rPr>
                <w:rFonts w:ascii="Arial Narrow" w:hAnsi="Arial Narrow"/>
                <w:i/>
                <w:sz w:val="20"/>
              </w:rPr>
            </w:pPr>
            <w:r w:rsidRPr="00A93F15">
              <w:rPr>
                <w:rFonts w:ascii="Arial Narrow" w:hAnsi="Arial Narrow"/>
                <w:i/>
                <w:sz w:val="20"/>
              </w:rPr>
              <w:t>PBS Indication:</w:t>
            </w:r>
          </w:p>
        </w:tc>
        <w:tc>
          <w:tcPr>
            <w:tcW w:w="4355" w:type="pct"/>
            <w:gridSpan w:val="7"/>
            <w:tcBorders>
              <w:top w:val="single" w:sz="4" w:space="0" w:color="auto"/>
              <w:left w:val="single" w:sz="4" w:space="0" w:color="auto"/>
              <w:bottom w:val="single" w:sz="4" w:space="0" w:color="auto"/>
              <w:right w:val="single" w:sz="4" w:space="0" w:color="auto"/>
            </w:tcBorders>
          </w:tcPr>
          <w:p w:rsidR="00663CFE" w:rsidRPr="00A93F15" w:rsidRDefault="00663CFE" w:rsidP="00663CFE">
            <w:pPr>
              <w:widowControl/>
              <w:snapToGrid w:val="0"/>
              <w:spacing w:line="20" w:lineRule="atLeast"/>
              <w:rPr>
                <w:rFonts w:ascii="Arial Narrow" w:hAnsi="Arial Narrow"/>
                <w:i/>
                <w:sz w:val="20"/>
              </w:rPr>
            </w:pPr>
            <w:r w:rsidRPr="00A93F15">
              <w:rPr>
                <w:rFonts w:ascii="Arial Narrow" w:hAnsi="Arial Narrow"/>
                <w:i/>
                <w:sz w:val="20"/>
              </w:rPr>
              <w:t>Chronic stable plaque type psoriasis vulgaris</w:t>
            </w:r>
          </w:p>
        </w:tc>
      </w:tr>
      <w:tr w:rsidR="00C42FA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rPr>
                <w:rFonts w:ascii="Arial Narrow" w:hAnsi="Arial Narrow"/>
                <w:sz w:val="20"/>
              </w:rPr>
            </w:pPr>
            <w:r w:rsidRPr="00A93F15">
              <w:rPr>
                <w:rFonts w:ascii="Arial Narrow" w:hAnsi="Arial Narrow"/>
                <w:sz w:val="20"/>
              </w:rPr>
              <w:t>Restriction:</w:t>
            </w:r>
          </w:p>
        </w:tc>
        <w:tc>
          <w:tcPr>
            <w:tcW w:w="4355" w:type="pct"/>
            <w:gridSpan w:val="7"/>
            <w:tcBorders>
              <w:top w:val="single" w:sz="4" w:space="0" w:color="auto"/>
              <w:left w:val="single" w:sz="4" w:space="0" w:color="auto"/>
              <w:bottom w:val="single" w:sz="4" w:space="0" w:color="auto"/>
              <w:right w:val="single" w:sz="4" w:space="0" w:color="auto"/>
            </w:tcBorders>
          </w:tcPr>
          <w:p w:rsidR="00663CFE" w:rsidRPr="00A93F15" w:rsidRDefault="00663CFE" w:rsidP="00663CFE">
            <w:pPr>
              <w:widowControl/>
              <w:jc w:val="left"/>
              <w:rPr>
                <w:rFonts w:ascii="Arial Narrow" w:hAnsi="Arial Narrow"/>
                <w:snapToGrid/>
                <w:sz w:val="20"/>
                <w:lang w:eastAsia="en-AU"/>
              </w:rPr>
            </w:pPr>
            <w:r w:rsidRPr="00A93F15">
              <w:rPr>
                <w:rFonts w:ascii="Arial Narrow" w:hAnsi="Arial Narrow"/>
                <w:snapToGrid/>
                <w:sz w:val="20"/>
                <w:lang w:eastAsia="en-AU"/>
              </w:rPr>
              <w:fldChar w:fldCharType="begin">
                <w:ffData>
                  <w:name w:val="Check1"/>
                  <w:enabled/>
                  <w:calcOnExit w:val="0"/>
                  <w:checkBox>
                    <w:sizeAuto/>
                    <w:default w:val="1"/>
                  </w:checkBox>
                </w:ffData>
              </w:fldChar>
            </w:r>
            <w:bookmarkStart w:id="5" w:name="Check1"/>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bookmarkEnd w:id="5"/>
            <w:r w:rsidRPr="00A93F15">
              <w:rPr>
                <w:rFonts w:ascii="Arial Narrow" w:hAnsi="Arial Narrow"/>
                <w:snapToGrid/>
                <w:sz w:val="20"/>
                <w:lang w:eastAsia="en-AU"/>
              </w:rPr>
              <w:t>Restricted benefit</w:t>
            </w:r>
          </w:p>
          <w:p w:rsidR="00663CFE" w:rsidRPr="00A93F15" w:rsidRDefault="00663CFE" w:rsidP="00663CFE">
            <w:pPr>
              <w:widowControl/>
              <w:jc w:val="left"/>
              <w:rPr>
                <w:rFonts w:ascii="Arial Narrow" w:hAnsi="Arial Narrow"/>
                <w:snapToGrid/>
                <w:sz w:val="20"/>
                <w:lang w:eastAsia="en-AU"/>
              </w:rPr>
            </w:pPr>
            <w:r w:rsidRPr="00A93F15">
              <w:rPr>
                <w:rFonts w:ascii="Arial Narrow" w:hAnsi="Arial Narrow"/>
                <w:snapToGrid/>
                <w:sz w:val="20"/>
                <w:lang w:eastAsia="en-AU"/>
              </w:rPr>
              <w:fldChar w:fldCharType="begin">
                <w:ffData>
                  <w:name w:val=""/>
                  <w:enabled/>
                  <w:calcOnExit w:val="0"/>
                  <w:checkBox>
                    <w:sizeAuto/>
                    <w:default w:val="0"/>
                  </w:checkBox>
                </w:ffData>
              </w:fldChar>
            </w:r>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r w:rsidRPr="00A93F15">
              <w:rPr>
                <w:rFonts w:ascii="Arial Narrow" w:hAnsi="Arial Narrow"/>
                <w:snapToGrid/>
                <w:sz w:val="20"/>
                <w:lang w:eastAsia="en-AU"/>
              </w:rPr>
              <w:t>Authority Required - In Writing</w:t>
            </w:r>
          </w:p>
          <w:p w:rsidR="00663CFE" w:rsidRPr="00A93F15" w:rsidRDefault="00663CFE" w:rsidP="00663CFE">
            <w:pPr>
              <w:widowControl/>
              <w:jc w:val="left"/>
              <w:rPr>
                <w:rFonts w:ascii="Arial Narrow" w:hAnsi="Arial Narrow"/>
                <w:snapToGrid/>
                <w:sz w:val="20"/>
                <w:lang w:eastAsia="en-AU"/>
              </w:rPr>
            </w:pPr>
            <w:r w:rsidRPr="00A93F15">
              <w:rPr>
                <w:rFonts w:ascii="Arial Narrow" w:hAnsi="Arial Narrow"/>
                <w:snapToGrid/>
                <w:sz w:val="20"/>
                <w:lang w:eastAsia="en-AU"/>
              </w:rPr>
              <w:fldChar w:fldCharType="begin">
                <w:ffData>
                  <w:name w:val="Check3"/>
                  <w:enabled/>
                  <w:calcOnExit w:val="0"/>
                  <w:checkBox>
                    <w:sizeAuto/>
                    <w:default w:val="0"/>
                  </w:checkBox>
                </w:ffData>
              </w:fldChar>
            </w:r>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r w:rsidRPr="00A93F15">
              <w:rPr>
                <w:rFonts w:ascii="Arial Narrow" w:hAnsi="Arial Narrow"/>
                <w:snapToGrid/>
                <w:sz w:val="20"/>
                <w:lang w:eastAsia="en-AU"/>
              </w:rPr>
              <w:t>Authority Required - Telephone</w:t>
            </w:r>
          </w:p>
          <w:p w:rsidR="00663CFE" w:rsidRPr="00A93F15" w:rsidRDefault="00663CFE" w:rsidP="00663CFE">
            <w:pPr>
              <w:widowControl/>
              <w:jc w:val="left"/>
              <w:rPr>
                <w:rFonts w:ascii="Arial Narrow" w:hAnsi="Arial Narrow"/>
                <w:snapToGrid/>
                <w:sz w:val="20"/>
                <w:lang w:eastAsia="en-AU"/>
              </w:rPr>
            </w:pPr>
            <w:r w:rsidRPr="00A93F15">
              <w:rPr>
                <w:rFonts w:ascii="Arial Narrow" w:hAnsi="Arial Narrow"/>
                <w:snapToGrid/>
                <w:sz w:val="20"/>
                <w:lang w:eastAsia="en-AU"/>
              </w:rPr>
              <w:fldChar w:fldCharType="begin">
                <w:ffData>
                  <w:name w:val=""/>
                  <w:enabled/>
                  <w:calcOnExit w:val="0"/>
                  <w:checkBox>
                    <w:sizeAuto/>
                    <w:default w:val="0"/>
                  </w:checkBox>
                </w:ffData>
              </w:fldChar>
            </w:r>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r w:rsidRPr="00A93F15">
              <w:rPr>
                <w:rFonts w:ascii="Arial Narrow" w:hAnsi="Arial Narrow"/>
                <w:snapToGrid/>
                <w:sz w:val="20"/>
                <w:lang w:eastAsia="en-AU"/>
              </w:rPr>
              <w:t>Authority Required - Emergency</w:t>
            </w:r>
          </w:p>
          <w:p w:rsidR="00663CFE" w:rsidRPr="00A93F15" w:rsidRDefault="00663CFE" w:rsidP="00663CFE">
            <w:pPr>
              <w:widowControl/>
              <w:jc w:val="left"/>
              <w:rPr>
                <w:rFonts w:ascii="Arial Narrow" w:hAnsi="Arial Narrow"/>
                <w:snapToGrid/>
                <w:sz w:val="20"/>
                <w:lang w:eastAsia="en-AU"/>
              </w:rPr>
            </w:pPr>
            <w:r w:rsidRPr="00A93F15">
              <w:rPr>
                <w:rFonts w:ascii="Arial Narrow" w:hAnsi="Arial Narrow"/>
                <w:snapToGrid/>
                <w:sz w:val="20"/>
                <w:lang w:eastAsia="en-AU"/>
              </w:rPr>
              <w:fldChar w:fldCharType="begin">
                <w:ffData>
                  <w:name w:val="Check5"/>
                  <w:enabled/>
                  <w:calcOnExit w:val="0"/>
                  <w:checkBox>
                    <w:sizeAuto/>
                    <w:default w:val="0"/>
                  </w:checkBox>
                </w:ffData>
              </w:fldChar>
            </w:r>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r w:rsidRPr="00A93F15">
              <w:rPr>
                <w:rFonts w:ascii="Arial Narrow" w:hAnsi="Arial Narrow"/>
                <w:snapToGrid/>
                <w:sz w:val="20"/>
                <w:lang w:eastAsia="en-AU"/>
              </w:rPr>
              <w:t>Authority Required - Electronic</w:t>
            </w:r>
          </w:p>
          <w:p w:rsidR="00663CFE" w:rsidRPr="00A93F15" w:rsidRDefault="00663CFE" w:rsidP="00663CFE">
            <w:pPr>
              <w:widowControl/>
              <w:snapToGrid w:val="0"/>
              <w:spacing w:line="20" w:lineRule="atLeast"/>
              <w:rPr>
                <w:rFonts w:ascii="Arial Narrow" w:hAnsi="Arial Narrow"/>
                <w:snapToGrid/>
                <w:sz w:val="20"/>
                <w:lang w:eastAsia="en-AU"/>
              </w:rPr>
            </w:pPr>
            <w:r w:rsidRPr="00A93F15">
              <w:rPr>
                <w:rFonts w:ascii="Arial Narrow" w:hAnsi="Arial Narrow"/>
                <w:snapToGrid/>
                <w:sz w:val="20"/>
                <w:lang w:eastAsia="en-AU"/>
              </w:rPr>
              <w:fldChar w:fldCharType="begin">
                <w:ffData>
                  <w:name w:val="Check5"/>
                  <w:enabled/>
                  <w:calcOnExit w:val="0"/>
                  <w:checkBox>
                    <w:sizeAuto/>
                    <w:default w:val="0"/>
                  </w:checkBox>
                </w:ffData>
              </w:fldChar>
            </w:r>
            <w:r w:rsidRPr="00A93F15">
              <w:rPr>
                <w:rFonts w:ascii="Arial Narrow" w:hAnsi="Arial Narrow"/>
                <w:snapToGrid/>
                <w:sz w:val="20"/>
                <w:lang w:eastAsia="en-AU"/>
              </w:rPr>
              <w:instrText xml:space="preserve"> FORMCHECKBOX </w:instrText>
            </w:r>
            <w:r w:rsidR="00C04ADE">
              <w:rPr>
                <w:rFonts w:ascii="Arial Narrow" w:hAnsi="Arial Narrow"/>
                <w:snapToGrid/>
                <w:sz w:val="20"/>
                <w:lang w:eastAsia="en-AU"/>
              </w:rPr>
            </w:r>
            <w:r w:rsidR="00C04ADE">
              <w:rPr>
                <w:rFonts w:ascii="Arial Narrow" w:hAnsi="Arial Narrow"/>
                <w:snapToGrid/>
                <w:sz w:val="20"/>
                <w:lang w:eastAsia="en-AU"/>
              </w:rPr>
              <w:fldChar w:fldCharType="separate"/>
            </w:r>
            <w:r w:rsidRPr="00A93F15">
              <w:rPr>
                <w:rFonts w:ascii="Arial Narrow" w:hAnsi="Arial Narrow"/>
                <w:snapToGrid/>
                <w:sz w:val="20"/>
                <w:lang w:eastAsia="en-AU"/>
              </w:rPr>
              <w:fldChar w:fldCharType="end"/>
            </w:r>
            <w:r w:rsidRPr="00A93F15">
              <w:rPr>
                <w:rFonts w:ascii="Arial Narrow" w:hAnsi="Arial Narrow"/>
                <w:snapToGrid/>
                <w:sz w:val="20"/>
                <w:lang w:eastAsia="en-AU"/>
              </w:rPr>
              <w:t>Streamlined</w:t>
            </w:r>
          </w:p>
          <w:p w:rsidR="00694051" w:rsidRPr="00A93F15" w:rsidRDefault="00694051" w:rsidP="00663CFE">
            <w:pPr>
              <w:widowControl/>
              <w:snapToGrid w:val="0"/>
              <w:spacing w:line="20" w:lineRule="atLeast"/>
              <w:rPr>
                <w:rFonts w:ascii="Arial Narrow" w:hAnsi="Arial Narrow"/>
                <w:strike/>
                <w:sz w:val="20"/>
                <w:lang w:eastAsia="en-AU"/>
              </w:rPr>
            </w:pPr>
            <w:r w:rsidRPr="00A93F15">
              <w:rPr>
                <w:rFonts w:ascii="Arial Narrow" w:hAnsi="Arial Narrow"/>
                <w:strike/>
                <w:sz w:val="20"/>
                <w:lang w:eastAsia="en-AU"/>
              </w:rPr>
              <w:t>Restricted benefit</w:t>
            </w:r>
          </w:p>
        </w:tc>
      </w:tr>
      <w:tr w:rsidR="00C42FAE"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rPr>
                <w:rFonts w:ascii="Arial Narrow" w:hAnsi="Arial Narrow"/>
                <w:sz w:val="20"/>
              </w:rPr>
            </w:pPr>
            <w:r w:rsidRPr="00A93F15">
              <w:rPr>
                <w:rFonts w:ascii="Arial Narrow" w:hAnsi="Arial Narrow"/>
                <w:sz w:val="20"/>
              </w:rPr>
              <w:t>Clinical criteria:</w:t>
            </w:r>
          </w:p>
        </w:tc>
        <w:tc>
          <w:tcPr>
            <w:tcW w:w="4355" w:type="pct"/>
            <w:gridSpan w:val="7"/>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 xml:space="preserve">Chronic stable plaque type psoriasis vulgaris </w:t>
            </w:r>
          </w:p>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AND</w:t>
            </w:r>
          </w:p>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The condition must be inadequately controlled with either a vitamin D analogue or potent topical corticosteroid monotherapy</w:t>
            </w:r>
          </w:p>
          <w:p w:rsidR="00663CFE" w:rsidRPr="00A93F15" w:rsidRDefault="00663CFE" w:rsidP="00663CFE">
            <w:pPr>
              <w:rPr>
                <w:rFonts w:ascii="Arial Narrow" w:hAnsi="Arial Narrow"/>
                <w:i/>
                <w:sz w:val="20"/>
              </w:rPr>
            </w:pPr>
            <w:r w:rsidRPr="00A93F15">
              <w:rPr>
                <w:rFonts w:ascii="Arial Narrow" w:hAnsi="Arial Narrow"/>
                <w:i/>
                <w:sz w:val="20"/>
              </w:rPr>
              <w:t>AND</w:t>
            </w:r>
          </w:p>
          <w:p w:rsidR="00663CFE" w:rsidRPr="00A93F15" w:rsidRDefault="00663CFE" w:rsidP="007912FA">
            <w:pPr>
              <w:rPr>
                <w:rFonts w:ascii="Arial Narrow" w:hAnsi="Arial Narrow"/>
                <w:i/>
                <w:sz w:val="20"/>
              </w:rPr>
            </w:pPr>
            <w:r w:rsidRPr="00A93F15">
              <w:rPr>
                <w:rFonts w:ascii="Arial Narrow" w:hAnsi="Arial Narrow"/>
                <w:i/>
                <w:sz w:val="20"/>
              </w:rPr>
              <w:t>Patient must require more than 30 grams of the product per month</w:t>
            </w:r>
          </w:p>
        </w:tc>
      </w:tr>
      <w:tr w:rsidR="00694051" w:rsidRPr="00A93F15" w:rsidTr="00AC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0"/>
        </w:trPr>
        <w:tc>
          <w:tcPr>
            <w:tcW w:w="645" w:type="pct"/>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rPr>
                <w:rFonts w:ascii="Arial Narrow" w:hAnsi="Arial Narrow"/>
                <w:sz w:val="20"/>
              </w:rPr>
            </w:pPr>
            <w:r w:rsidRPr="00A93F15">
              <w:rPr>
                <w:rFonts w:ascii="Arial Narrow" w:hAnsi="Arial Narrow"/>
                <w:sz w:val="20"/>
              </w:rPr>
              <w:t>Administrative Advice</w:t>
            </w:r>
          </w:p>
        </w:tc>
        <w:tc>
          <w:tcPr>
            <w:tcW w:w="4355" w:type="pct"/>
            <w:gridSpan w:val="7"/>
            <w:tcBorders>
              <w:top w:val="single" w:sz="4" w:space="0" w:color="auto"/>
              <w:left w:val="single" w:sz="4" w:space="0" w:color="auto"/>
              <w:bottom w:val="single" w:sz="4" w:space="0" w:color="auto"/>
              <w:right w:val="single" w:sz="4" w:space="0" w:color="auto"/>
            </w:tcBorders>
          </w:tcPr>
          <w:p w:rsidR="00694051" w:rsidRPr="00A93F15" w:rsidRDefault="00694051" w:rsidP="006C77AE">
            <w:pPr>
              <w:widowControl/>
              <w:snapToGrid w:val="0"/>
              <w:spacing w:line="20" w:lineRule="atLeast"/>
              <w:rPr>
                <w:rFonts w:ascii="Arial Narrow" w:hAnsi="Arial Narrow"/>
                <w:strike/>
                <w:sz w:val="20"/>
                <w:lang w:eastAsia="en-AU"/>
              </w:rPr>
            </w:pPr>
            <w:r w:rsidRPr="00A93F15">
              <w:rPr>
                <w:rFonts w:ascii="Arial Narrow" w:hAnsi="Arial Narrow"/>
                <w:strike/>
                <w:sz w:val="20"/>
                <w:lang w:eastAsia="en-AU"/>
              </w:rPr>
              <w:t>Note</w:t>
            </w:r>
          </w:p>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Continuing Therapy Only</w:t>
            </w:r>
          </w:p>
          <w:p w:rsidR="00694051" w:rsidRPr="00A93F15" w:rsidRDefault="00694051" w:rsidP="006C77AE">
            <w:pPr>
              <w:widowControl/>
              <w:snapToGrid w:val="0"/>
              <w:spacing w:line="20" w:lineRule="atLeast"/>
              <w:rPr>
                <w:rFonts w:ascii="Arial Narrow" w:hAnsi="Arial Narrow"/>
                <w:sz w:val="20"/>
                <w:lang w:eastAsia="en-AU"/>
              </w:rPr>
            </w:pPr>
            <w:r w:rsidRPr="00A93F15">
              <w:rPr>
                <w:rFonts w:ascii="Arial Narrow" w:hAnsi="Arial Narrow"/>
                <w:sz w:val="20"/>
                <w:lang w:eastAsia="en-AU"/>
              </w:rPr>
              <w:t>For prescribing by nurse practitioners as continuing therapy only, where the treatment of, and prescribing of medicine for, a patient has been initiated by a medical practitioner</w:t>
            </w:r>
            <w:r w:rsidR="00582E1B">
              <w:rPr>
                <w:rFonts w:ascii="Arial Narrow" w:hAnsi="Arial Narrow"/>
                <w:sz w:val="20"/>
                <w:lang w:eastAsia="en-AU"/>
              </w:rPr>
              <w:t xml:space="preserve">. </w:t>
            </w:r>
            <w:r w:rsidRPr="00A93F15">
              <w:rPr>
                <w:rFonts w:ascii="Arial Narrow" w:hAnsi="Arial Narrow"/>
                <w:sz w:val="20"/>
                <w:lang w:eastAsia="en-AU"/>
              </w:rPr>
              <w:t>Further information can be found in the Explanatory Notes for Nurse Practitioners.</w:t>
            </w:r>
          </w:p>
        </w:tc>
      </w:tr>
    </w:tbl>
    <w:p w:rsidR="00A938A3" w:rsidRPr="00A93F15" w:rsidRDefault="00A938A3" w:rsidP="006C77AE">
      <w:pPr>
        <w:widowControl/>
        <w:rPr>
          <w:szCs w:val="22"/>
        </w:rPr>
      </w:pPr>
    </w:p>
    <w:p w:rsidR="00FA10F7" w:rsidRPr="00A93F15" w:rsidRDefault="00F24216" w:rsidP="00FA10F7">
      <w:pPr>
        <w:pStyle w:val="ListParagraph"/>
        <w:widowControl/>
        <w:numPr>
          <w:ilvl w:val="1"/>
          <w:numId w:val="5"/>
        </w:numPr>
        <w:rPr>
          <w:szCs w:val="22"/>
        </w:rPr>
      </w:pPr>
      <w:r w:rsidRPr="00A93F15">
        <w:rPr>
          <w:szCs w:val="22"/>
        </w:rPr>
        <w:t xml:space="preserve">The </w:t>
      </w:r>
      <w:r w:rsidRPr="00A93F15">
        <w:t xml:space="preserve">Pre-Subcommittee Response (PSCR) (p3) claimed that the addition of the clinical </w:t>
      </w:r>
      <w:r w:rsidR="00FA10F7" w:rsidRPr="00A93F15">
        <w:t>criteria ‘Patient must require more than 30 grams of the product per month’ was not appropriate for the foam</w:t>
      </w:r>
      <w:r w:rsidR="00AC020E" w:rsidRPr="00A93F15">
        <w:t>. The criterion</w:t>
      </w:r>
      <w:r w:rsidR="00FA10F7" w:rsidRPr="00A93F15">
        <w:t xml:space="preserve"> was added specifically to the 60 g gel formulation due to its specific use in scalp psoriasis and the availability of the 30 g gel formulation. No 30 g foam formulation is intended to be developed.</w:t>
      </w:r>
      <w:r w:rsidR="0026312D" w:rsidRPr="00A93F15">
        <w:t xml:space="preserve"> The PBAC agreed with </w:t>
      </w:r>
      <w:r w:rsidR="00AC020E" w:rsidRPr="00A93F15">
        <w:t>the PSCR that this criterion</w:t>
      </w:r>
      <w:r w:rsidR="0026312D" w:rsidRPr="00A93F15">
        <w:t xml:space="preserve"> was not required for the foam spray.</w:t>
      </w:r>
    </w:p>
    <w:p w:rsidR="00DA39B8" w:rsidRPr="00A93F15" w:rsidRDefault="00DA39B8" w:rsidP="00DA39B8">
      <w:pPr>
        <w:pStyle w:val="ListParagraph"/>
        <w:widowControl/>
        <w:rPr>
          <w:szCs w:val="22"/>
        </w:rPr>
      </w:pPr>
    </w:p>
    <w:p w:rsidR="00DA39B8" w:rsidRPr="00A93F15" w:rsidRDefault="00DA39B8" w:rsidP="00FA10F7">
      <w:pPr>
        <w:pStyle w:val="ListParagraph"/>
        <w:widowControl/>
        <w:numPr>
          <w:ilvl w:val="1"/>
          <w:numId w:val="5"/>
        </w:numPr>
        <w:rPr>
          <w:szCs w:val="22"/>
        </w:rPr>
      </w:pPr>
      <w:r w:rsidRPr="00A93F15">
        <w:rPr>
          <w:szCs w:val="22"/>
        </w:rPr>
        <w:t xml:space="preserve">The ESC </w:t>
      </w:r>
      <w:r w:rsidR="003730D1" w:rsidRPr="00A93F15">
        <w:rPr>
          <w:szCs w:val="22"/>
        </w:rPr>
        <w:t>no</w:t>
      </w:r>
      <w:r w:rsidRPr="00A93F15">
        <w:rPr>
          <w:szCs w:val="22"/>
        </w:rPr>
        <w:t xml:space="preserve">ted </w:t>
      </w:r>
      <w:r w:rsidR="00F33696" w:rsidRPr="00A93F15">
        <w:rPr>
          <w:szCs w:val="22"/>
        </w:rPr>
        <w:t>that the restriction</w:t>
      </w:r>
      <w:r w:rsidR="004D6C7B" w:rsidRPr="00A93F15">
        <w:rPr>
          <w:szCs w:val="22"/>
        </w:rPr>
        <w:t xml:space="preserve"> for calcipotriol </w:t>
      </w:r>
      <w:r w:rsidR="00C44DC0" w:rsidRPr="00A93F15">
        <w:rPr>
          <w:szCs w:val="22"/>
        </w:rPr>
        <w:t xml:space="preserve">with </w:t>
      </w:r>
      <w:r w:rsidR="004D6C7B" w:rsidRPr="00A93F15">
        <w:rPr>
          <w:szCs w:val="22"/>
        </w:rPr>
        <w:t>betamethasone</w:t>
      </w:r>
      <w:r w:rsidR="00F33696" w:rsidRPr="00A93F15">
        <w:rPr>
          <w:szCs w:val="22"/>
        </w:rPr>
        <w:t xml:space="preserve"> </w:t>
      </w:r>
      <w:r w:rsidR="00C44DC0" w:rsidRPr="00A93F15">
        <w:rPr>
          <w:szCs w:val="22"/>
        </w:rPr>
        <w:t>may need adjustment as</w:t>
      </w:r>
      <w:r w:rsidR="00982DE3" w:rsidRPr="00A93F15">
        <w:rPr>
          <w:szCs w:val="22"/>
        </w:rPr>
        <w:t xml:space="preserve"> </w:t>
      </w:r>
      <w:r w:rsidR="00F33696" w:rsidRPr="00A93F15">
        <w:rPr>
          <w:szCs w:val="22"/>
        </w:rPr>
        <w:t xml:space="preserve">no calcipotriol </w:t>
      </w:r>
      <w:r w:rsidR="00C44DC0" w:rsidRPr="00A93F15">
        <w:rPr>
          <w:szCs w:val="22"/>
        </w:rPr>
        <w:t xml:space="preserve">monotherapy </w:t>
      </w:r>
      <w:r w:rsidR="00F33696" w:rsidRPr="00A93F15">
        <w:rPr>
          <w:szCs w:val="22"/>
        </w:rPr>
        <w:t>products are</w:t>
      </w:r>
      <w:r w:rsidR="00BC6436" w:rsidRPr="00A93F15">
        <w:rPr>
          <w:szCs w:val="22"/>
        </w:rPr>
        <w:t xml:space="preserve"> currently</w:t>
      </w:r>
      <w:r w:rsidR="00F33696" w:rsidRPr="00A93F15">
        <w:rPr>
          <w:szCs w:val="22"/>
        </w:rPr>
        <w:t xml:space="preserve"> listed on the PBS</w:t>
      </w:r>
      <w:r w:rsidR="00872FB9" w:rsidRPr="00A93F15">
        <w:rPr>
          <w:szCs w:val="22"/>
        </w:rPr>
        <w:t>. Additional</w:t>
      </w:r>
      <w:r w:rsidR="00C0102C" w:rsidRPr="00A93F15">
        <w:rPr>
          <w:szCs w:val="22"/>
        </w:rPr>
        <w:t>l</w:t>
      </w:r>
      <w:r w:rsidR="00872FB9" w:rsidRPr="00A93F15">
        <w:rPr>
          <w:szCs w:val="22"/>
        </w:rPr>
        <w:t>y</w:t>
      </w:r>
      <w:r w:rsidR="00F33696" w:rsidRPr="00A93F15">
        <w:rPr>
          <w:szCs w:val="22"/>
        </w:rPr>
        <w:t xml:space="preserve"> </w:t>
      </w:r>
      <w:r w:rsidR="00872FB9" w:rsidRPr="00A93F15">
        <w:rPr>
          <w:szCs w:val="22"/>
        </w:rPr>
        <w:t xml:space="preserve">the ESC suggested that the word </w:t>
      </w:r>
      <w:r w:rsidR="00F33696" w:rsidRPr="00A93F15">
        <w:rPr>
          <w:szCs w:val="22"/>
        </w:rPr>
        <w:t>stable</w:t>
      </w:r>
      <w:r w:rsidR="00872FB9" w:rsidRPr="00A93F15">
        <w:rPr>
          <w:szCs w:val="22"/>
        </w:rPr>
        <w:t xml:space="preserve"> included in the </w:t>
      </w:r>
      <w:r w:rsidR="00F36462" w:rsidRPr="00A93F15">
        <w:rPr>
          <w:szCs w:val="22"/>
        </w:rPr>
        <w:t>severity</w:t>
      </w:r>
      <w:r w:rsidR="00C44DC0" w:rsidRPr="00A93F15">
        <w:rPr>
          <w:szCs w:val="22"/>
        </w:rPr>
        <w:t xml:space="preserve"> section of the </w:t>
      </w:r>
      <w:r w:rsidR="00872FB9" w:rsidRPr="00A93F15">
        <w:rPr>
          <w:szCs w:val="22"/>
        </w:rPr>
        <w:t>restriction</w:t>
      </w:r>
      <w:r w:rsidR="00F33696" w:rsidRPr="00A93F15">
        <w:rPr>
          <w:szCs w:val="22"/>
        </w:rPr>
        <w:t xml:space="preserve"> </w:t>
      </w:r>
      <w:r w:rsidR="00AD5D9E" w:rsidRPr="00A93F15">
        <w:rPr>
          <w:szCs w:val="22"/>
        </w:rPr>
        <w:t>may not be the most appropriate wording for the indication</w:t>
      </w:r>
      <w:r w:rsidR="00C44DC0" w:rsidRPr="00A93F15">
        <w:rPr>
          <w:szCs w:val="22"/>
        </w:rPr>
        <w:t xml:space="preserve"> as the calcipotriol with betamethasone products are indicated for flare-ups not stable disease</w:t>
      </w:r>
      <w:r w:rsidR="00AD5D9E" w:rsidRPr="00A93F15">
        <w:rPr>
          <w:szCs w:val="22"/>
        </w:rPr>
        <w:t>.</w:t>
      </w:r>
    </w:p>
    <w:p w:rsidR="00F24216" w:rsidRPr="00A93F15" w:rsidRDefault="00FA10F7" w:rsidP="00FA10F7">
      <w:pPr>
        <w:pStyle w:val="ListParagraph"/>
        <w:widowControl/>
        <w:rPr>
          <w:szCs w:val="22"/>
        </w:rPr>
      </w:pPr>
      <w:r w:rsidRPr="00A93F15">
        <w:rPr>
          <w:i/>
        </w:rPr>
        <w:t xml:space="preserve"> </w:t>
      </w:r>
    </w:p>
    <w:p w:rsidR="002C2775" w:rsidRPr="00A93F15" w:rsidRDefault="00A938A3" w:rsidP="006C77AE">
      <w:pPr>
        <w:pStyle w:val="ListParagraph"/>
        <w:widowControl/>
        <w:numPr>
          <w:ilvl w:val="1"/>
          <w:numId w:val="5"/>
        </w:numPr>
        <w:rPr>
          <w:szCs w:val="22"/>
        </w:rPr>
      </w:pPr>
      <w:r w:rsidRPr="00A93F15">
        <w:rPr>
          <w:szCs w:val="22"/>
        </w:rPr>
        <w:t xml:space="preserve">The submission sought listing on the basis of a cost-utility analysis (CUA) </w:t>
      </w:r>
      <w:r w:rsidR="00B60939" w:rsidRPr="00A93F15">
        <w:rPr>
          <w:szCs w:val="22"/>
        </w:rPr>
        <w:t xml:space="preserve">compared </w:t>
      </w:r>
      <w:r w:rsidRPr="00A93F15">
        <w:rPr>
          <w:szCs w:val="22"/>
        </w:rPr>
        <w:t>with calcipotriol plus betamethasone gel</w:t>
      </w:r>
      <w:r w:rsidR="00B60939" w:rsidRPr="00A93F15">
        <w:rPr>
          <w:szCs w:val="22"/>
        </w:rPr>
        <w:t>.</w:t>
      </w:r>
      <w:r w:rsidR="0020385F" w:rsidRPr="00A93F15">
        <w:rPr>
          <w:szCs w:val="22"/>
        </w:rPr>
        <w:t xml:space="preserve"> </w:t>
      </w:r>
    </w:p>
    <w:p w:rsidR="00D46719" w:rsidRPr="00A93F15" w:rsidRDefault="00D46719" w:rsidP="00D46719">
      <w:pPr>
        <w:pStyle w:val="ListParagraph"/>
        <w:rPr>
          <w:szCs w:val="22"/>
        </w:rPr>
      </w:pPr>
    </w:p>
    <w:p w:rsidR="00D46719" w:rsidRPr="00A93F15" w:rsidRDefault="00D46719" w:rsidP="00D46719">
      <w:pPr>
        <w:pStyle w:val="ListParagraph"/>
        <w:widowControl/>
        <w:rPr>
          <w:i/>
          <w:szCs w:val="22"/>
        </w:rPr>
      </w:pPr>
      <w:r w:rsidRPr="00A93F15">
        <w:rPr>
          <w:i/>
          <w:szCs w:val="22"/>
        </w:rPr>
        <w:t>For more detail on PBAC’s view, see section 7 “PBAC outcome”.</w:t>
      </w:r>
    </w:p>
    <w:p w:rsidR="004E43B2" w:rsidRPr="00A93F15" w:rsidRDefault="004E43B2" w:rsidP="006C77AE">
      <w:pPr>
        <w:widowControl/>
      </w:pPr>
    </w:p>
    <w:p w:rsidR="0029247A" w:rsidRPr="00A93F15" w:rsidRDefault="0029247A" w:rsidP="006C77AE">
      <w:pPr>
        <w:widowControl/>
      </w:pPr>
    </w:p>
    <w:p w:rsidR="00B50DB8" w:rsidRPr="00A93F15" w:rsidRDefault="00B50DB8" w:rsidP="006C77AE">
      <w:pPr>
        <w:pStyle w:val="PBACHeading1"/>
      </w:pPr>
      <w:bookmarkStart w:id="6" w:name="_Toc461530256"/>
      <w:r w:rsidRPr="00A93F15">
        <w:t>Background</w:t>
      </w:r>
      <w:bookmarkEnd w:id="6"/>
    </w:p>
    <w:p w:rsidR="00B60939" w:rsidRPr="00A93F15" w:rsidRDefault="00B60939" w:rsidP="006C77AE">
      <w:pPr>
        <w:widowControl/>
        <w:rPr>
          <w:szCs w:val="22"/>
        </w:rPr>
      </w:pPr>
    </w:p>
    <w:p w:rsidR="00677773" w:rsidRPr="00A93F15" w:rsidRDefault="006D3BD1" w:rsidP="00126537">
      <w:pPr>
        <w:pStyle w:val="ListParagraph"/>
        <w:widowControl/>
        <w:numPr>
          <w:ilvl w:val="1"/>
          <w:numId w:val="5"/>
        </w:numPr>
      </w:pPr>
      <w:r w:rsidRPr="00A93F15">
        <w:t>C</w:t>
      </w:r>
      <w:r w:rsidR="00B72569" w:rsidRPr="00A93F15">
        <w:t>alcipotriol with betamethasone</w:t>
      </w:r>
      <w:r w:rsidR="00D077E2" w:rsidRPr="00A93F15">
        <w:t xml:space="preserve"> foam spray</w:t>
      </w:r>
      <w:r w:rsidR="009F1AFB" w:rsidRPr="00A93F15">
        <w:t xml:space="preserve"> </w:t>
      </w:r>
      <w:r w:rsidR="00B72569" w:rsidRPr="00A93F15">
        <w:t>was</w:t>
      </w:r>
      <w:r w:rsidR="00632D18" w:rsidRPr="00A93F15">
        <w:t xml:space="preserve"> approved for</w:t>
      </w:r>
      <w:r w:rsidR="00B72569" w:rsidRPr="00A93F15">
        <w:t xml:space="preserve"> TGA regist</w:t>
      </w:r>
      <w:r w:rsidR="00632D18" w:rsidRPr="00A93F15">
        <w:t>ration</w:t>
      </w:r>
      <w:r w:rsidR="00B72569" w:rsidRPr="00A93F15">
        <w:t xml:space="preserve"> on 5 October 2016 for </w:t>
      </w:r>
      <w:r w:rsidR="00632D18" w:rsidRPr="00A93F15">
        <w:t>the topical treatment of psoriasis vulgaris in adults</w:t>
      </w:r>
      <w:r w:rsidR="00B72569" w:rsidRPr="00A93F15">
        <w:t xml:space="preserve">. </w:t>
      </w:r>
      <w:r w:rsidR="00126537" w:rsidRPr="00A93F15">
        <w:t>At the time of the PBAC consideration calcipotriol with betamethasone foam spray was not listed on the ARTG.</w:t>
      </w:r>
    </w:p>
    <w:p w:rsidR="00B60939" w:rsidRPr="00A93F15" w:rsidRDefault="00B60939" w:rsidP="006C77AE">
      <w:pPr>
        <w:pStyle w:val="ListParagraph"/>
        <w:widowControl/>
        <w:rPr>
          <w:szCs w:val="22"/>
        </w:rPr>
      </w:pPr>
    </w:p>
    <w:p w:rsidR="00CD51F7" w:rsidRPr="00A93F15" w:rsidRDefault="006F6B75" w:rsidP="006C77AE">
      <w:pPr>
        <w:pStyle w:val="ListParagraph"/>
        <w:widowControl/>
        <w:numPr>
          <w:ilvl w:val="1"/>
          <w:numId w:val="5"/>
        </w:numPr>
        <w:rPr>
          <w:szCs w:val="22"/>
        </w:rPr>
      </w:pPr>
      <w:r w:rsidRPr="00A93F15">
        <w:rPr>
          <w:szCs w:val="22"/>
        </w:rPr>
        <w:t xml:space="preserve">This </w:t>
      </w:r>
      <w:r w:rsidR="00871F1C" w:rsidRPr="00A93F15">
        <w:rPr>
          <w:szCs w:val="22"/>
        </w:rPr>
        <w:t xml:space="preserve">is </w:t>
      </w:r>
      <w:r w:rsidRPr="00A93F15">
        <w:rPr>
          <w:szCs w:val="22"/>
        </w:rPr>
        <w:t>the first consideration of calcipotriol plus betamethasone foam spray by the PBAC</w:t>
      </w:r>
      <w:r w:rsidR="00582E1B">
        <w:rPr>
          <w:szCs w:val="22"/>
        </w:rPr>
        <w:t xml:space="preserve">. </w:t>
      </w:r>
      <w:r w:rsidR="004F2E32" w:rsidRPr="00A93F15">
        <w:rPr>
          <w:szCs w:val="22"/>
        </w:rPr>
        <w:t xml:space="preserve">Calcipotriol plus betamethasone gel and calcipotriol plus betamethasone ointment are both listed on the PBS for the treatment of chronic stable plaque type psoriasis. </w:t>
      </w:r>
      <w:r w:rsidR="0026312D" w:rsidRPr="00A93F15">
        <w:rPr>
          <w:szCs w:val="22"/>
        </w:rPr>
        <w:t>T</w:t>
      </w:r>
      <w:r w:rsidR="00064E2D" w:rsidRPr="00A93F15">
        <w:rPr>
          <w:szCs w:val="22"/>
        </w:rPr>
        <w:t xml:space="preserve">he PBAC </w:t>
      </w:r>
      <w:r w:rsidR="009140BE" w:rsidRPr="00A93F15">
        <w:rPr>
          <w:szCs w:val="22"/>
        </w:rPr>
        <w:t>recommended</w:t>
      </w:r>
      <w:r w:rsidR="00064E2D" w:rsidRPr="00A93F15">
        <w:rPr>
          <w:szCs w:val="22"/>
        </w:rPr>
        <w:t xml:space="preserve"> a Restricted Benefit listing for calcipotriol plus </w:t>
      </w:r>
      <w:r w:rsidR="00751E34" w:rsidRPr="00A93F15">
        <w:rPr>
          <w:szCs w:val="22"/>
        </w:rPr>
        <w:t>betamethasone</w:t>
      </w:r>
      <w:r w:rsidR="00C42FAE" w:rsidRPr="00A93F15">
        <w:rPr>
          <w:szCs w:val="22"/>
        </w:rPr>
        <w:t xml:space="preserve"> ointment</w:t>
      </w:r>
      <w:r w:rsidR="0026312D" w:rsidRPr="00A93F15">
        <w:rPr>
          <w:szCs w:val="22"/>
        </w:rPr>
        <w:t xml:space="preserve"> </w:t>
      </w:r>
      <w:r w:rsidR="00126537" w:rsidRPr="00A93F15">
        <w:rPr>
          <w:szCs w:val="22"/>
        </w:rPr>
        <w:t>a</w:t>
      </w:r>
      <w:r w:rsidR="0026312D" w:rsidRPr="00A93F15">
        <w:rPr>
          <w:szCs w:val="22"/>
        </w:rPr>
        <w:t>t the July 2009 meeting</w:t>
      </w:r>
      <w:r w:rsidR="00C42FAE" w:rsidRPr="00A93F15">
        <w:rPr>
          <w:szCs w:val="22"/>
        </w:rPr>
        <w:t>.</w:t>
      </w:r>
      <w:r w:rsidR="00064E2D" w:rsidRPr="00A93F15">
        <w:rPr>
          <w:szCs w:val="22"/>
        </w:rPr>
        <w:t xml:space="preserve"> The</w:t>
      </w:r>
      <w:r w:rsidR="00387DFD" w:rsidRPr="00A93F15">
        <w:rPr>
          <w:szCs w:val="22"/>
        </w:rPr>
        <w:t xml:space="preserve"> PBAC </w:t>
      </w:r>
      <w:r w:rsidR="009140BE" w:rsidRPr="00A93F15">
        <w:rPr>
          <w:szCs w:val="22"/>
        </w:rPr>
        <w:t>recommended</w:t>
      </w:r>
      <w:r w:rsidR="00387DFD" w:rsidRPr="00A93F15">
        <w:rPr>
          <w:szCs w:val="22"/>
        </w:rPr>
        <w:t xml:space="preserve"> a Restricted Benefit listing for calcipotriol plus </w:t>
      </w:r>
      <w:r w:rsidR="00751E34" w:rsidRPr="00A93F15">
        <w:rPr>
          <w:szCs w:val="22"/>
        </w:rPr>
        <w:t>betamethasone</w:t>
      </w:r>
      <w:r w:rsidR="00387DFD" w:rsidRPr="00A93F15">
        <w:rPr>
          <w:szCs w:val="22"/>
        </w:rPr>
        <w:t xml:space="preserve"> gel</w:t>
      </w:r>
      <w:r w:rsidR="00064E2D" w:rsidRPr="00A93F15">
        <w:rPr>
          <w:szCs w:val="22"/>
        </w:rPr>
        <w:t xml:space="preserve"> at the November 2015 meeting</w:t>
      </w:r>
      <w:r w:rsidR="00582E1B">
        <w:rPr>
          <w:szCs w:val="22"/>
        </w:rPr>
        <w:t xml:space="preserve">. </w:t>
      </w:r>
    </w:p>
    <w:p w:rsidR="004D2959" w:rsidRPr="00A93F15" w:rsidRDefault="004D2959" w:rsidP="006C77AE">
      <w:pPr>
        <w:widowControl/>
      </w:pPr>
    </w:p>
    <w:p w:rsidR="00D46719" w:rsidRPr="00A93F15" w:rsidRDefault="00D46719" w:rsidP="00D46719">
      <w:pPr>
        <w:pStyle w:val="ListParagraph"/>
        <w:widowControl/>
        <w:rPr>
          <w:i/>
          <w:szCs w:val="22"/>
        </w:rPr>
      </w:pPr>
      <w:r w:rsidRPr="00A93F15">
        <w:rPr>
          <w:i/>
          <w:szCs w:val="22"/>
        </w:rPr>
        <w:t>For more detail on PBAC’s view, see section 7 “PBAC outcome”.</w:t>
      </w:r>
    </w:p>
    <w:p w:rsidR="0029247A" w:rsidRPr="00A93F15" w:rsidRDefault="0029247A" w:rsidP="006C77AE">
      <w:pPr>
        <w:widowControl/>
      </w:pPr>
    </w:p>
    <w:p w:rsidR="00677773" w:rsidRPr="00A93F15" w:rsidRDefault="00677773" w:rsidP="006C77AE">
      <w:pPr>
        <w:widowControl/>
      </w:pPr>
    </w:p>
    <w:p w:rsidR="00B50DB8" w:rsidRPr="00A93F15" w:rsidRDefault="00B50DB8" w:rsidP="006C77AE">
      <w:pPr>
        <w:pStyle w:val="PBACHeading1"/>
      </w:pPr>
      <w:bookmarkStart w:id="7" w:name="_Toc461530257"/>
      <w:r w:rsidRPr="00A93F15">
        <w:t>Clinical place for the proposed therapy</w:t>
      </w:r>
      <w:bookmarkEnd w:id="7"/>
    </w:p>
    <w:p w:rsidR="00B60939" w:rsidRPr="00A93F15" w:rsidRDefault="00B60939" w:rsidP="006C77AE">
      <w:pPr>
        <w:widowControl/>
        <w:rPr>
          <w:szCs w:val="22"/>
        </w:rPr>
      </w:pPr>
    </w:p>
    <w:p w:rsidR="00866E23" w:rsidRPr="00A93F15" w:rsidRDefault="00866E23" w:rsidP="006C77AE">
      <w:pPr>
        <w:pStyle w:val="ListParagraph"/>
        <w:widowControl/>
        <w:numPr>
          <w:ilvl w:val="1"/>
          <w:numId w:val="5"/>
        </w:numPr>
        <w:rPr>
          <w:szCs w:val="22"/>
        </w:rPr>
      </w:pPr>
      <w:r w:rsidRPr="00A93F15">
        <w:rPr>
          <w:szCs w:val="22"/>
        </w:rPr>
        <w:t xml:space="preserve">Psoriasis is an inflammatory skin disease with symptoms such as red scaly plaques, itchiness and flaking of the skin. Calcipotriol plus betamethasone foam spray is expected to be used in patients who are not adequately controlled with a vitamin D analogue or potent topical corticosteroid monotherapy. </w:t>
      </w:r>
    </w:p>
    <w:p w:rsidR="00866E23" w:rsidRPr="00A93F15" w:rsidRDefault="00866E23" w:rsidP="005E1F85">
      <w:pPr>
        <w:pStyle w:val="BodyText"/>
      </w:pPr>
    </w:p>
    <w:p w:rsidR="00866E23" w:rsidRDefault="00866E23" w:rsidP="006C77AE">
      <w:pPr>
        <w:pStyle w:val="ListParagraph"/>
        <w:widowControl/>
        <w:numPr>
          <w:ilvl w:val="1"/>
          <w:numId w:val="5"/>
        </w:numPr>
        <w:rPr>
          <w:szCs w:val="22"/>
        </w:rPr>
      </w:pPr>
      <w:r w:rsidRPr="00A93F15">
        <w:rPr>
          <w:szCs w:val="22"/>
        </w:rPr>
        <w:t xml:space="preserve">The submission indicated that the requested listing </w:t>
      </w:r>
      <w:r w:rsidR="00025D8B" w:rsidRPr="00A93F15">
        <w:rPr>
          <w:szCs w:val="22"/>
        </w:rPr>
        <w:t xml:space="preserve">is </w:t>
      </w:r>
      <w:r w:rsidRPr="00A93F15">
        <w:rPr>
          <w:szCs w:val="22"/>
        </w:rPr>
        <w:t>not likely to change the clinical place of calcipotriol plus betamethasone products in therapy. This is reasonable</w:t>
      </w:r>
      <w:r w:rsidR="00582E1B">
        <w:rPr>
          <w:szCs w:val="22"/>
        </w:rPr>
        <w:t xml:space="preserve">. </w:t>
      </w:r>
    </w:p>
    <w:p w:rsidR="006305E6" w:rsidRPr="00A93F15" w:rsidRDefault="006305E6" w:rsidP="006305E6">
      <w:pPr>
        <w:pStyle w:val="ListParagraph"/>
        <w:widowControl/>
        <w:rPr>
          <w:szCs w:val="22"/>
        </w:rPr>
      </w:pPr>
    </w:p>
    <w:p w:rsidR="002206AE" w:rsidRPr="00A93F15" w:rsidRDefault="002206AE" w:rsidP="002206AE">
      <w:pPr>
        <w:pStyle w:val="ListParagraph"/>
        <w:widowControl/>
        <w:rPr>
          <w:i/>
          <w:szCs w:val="22"/>
        </w:rPr>
      </w:pPr>
      <w:r w:rsidRPr="00A93F15">
        <w:rPr>
          <w:i/>
          <w:szCs w:val="22"/>
        </w:rPr>
        <w:t>For more detail on PBAC’s view, see section 7 “PBAC outcome”.</w:t>
      </w:r>
    </w:p>
    <w:p w:rsidR="007912FA" w:rsidRPr="00A93F15" w:rsidRDefault="007912FA" w:rsidP="006C77AE">
      <w:pPr>
        <w:pStyle w:val="Header"/>
        <w:widowControl/>
        <w:rPr>
          <w:szCs w:val="22"/>
        </w:rPr>
      </w:pPr>
    </w:p>
    <w:p w:rsidR="006E637E" w:rsidRPr="00A93F15" w:rsidRDefault="006E637E" w:rsidP="006C77AE">
      <w:pPr>
        <w:pStyle w:val="Header"/>
        <w:widowControl/>
        <w:rPr>
          <w:szCs w:val="22"/>
        </w:rPr>
      </w:pPr>
    </w:p>
    <w:p w:rsidR="00B50DB8" w:rsidRPr="00A93F15" w:rsidRDefault="00B50DB8" w:rsidP="007912FA">
      <w:pPr>
        <w:pStyle w:val="PBACHeading1"/>
        <w:keepNext/>
      </w:pPr>
      <w:bookmarkStart w:id="8" w:name="_Toc461530258"/>
      <w:r w:rsidRPr="00A93F15">
        <w:lastRenderedPageBreak/>
        <w:t>Comparator</w:t>
      </w:r>
      <w:bookmarkEnd w:id="8"/>
    </w:p>
    <w:p w:rsidR="00B60939" w:rsidRPr="00A93F15" w:rsidRDefault="00B60939" w:rsidP="007912FA">
      <w:pPr>
        <w:keepNext/>
        <w:widowControl/>
      </w:pPr>
    </w:p>
    <w:p w:rsidR="00344C44" w:rsidRPr="00A93F15" w:rsidRDefault="00344C44" w:rsidP="006C77AE">
      <w:pPr>
        <w:pStyle w:val="ListParagraph"/>
        <w:widowControl/>
        <w:numPr>
          <w:ilvl w:val="1"/>
          <w:numId w:val="5"/>
        </w:numPr>
        <w:rPr>
          <w:szCs w:val="22"/>
        </w:rPr>
      </w:pPr>
      <w:r w:rsidRPr="00A93F15">
        <w:t xml:space="preserve">The submission nominated calcipotriol plus betamethasone gel as the main comparator. While calcipotriol plus betamethasone ointment </w:t>
      </w:r>
      <w:r w:rsidR="0026312D" w:rsidRPr="00A93F15">
        <w:t>was the most commonly used formulation in the 2015 calendar year, t</w:t>
      </w:r>
      <w:r w:rsidR="008448D9" w:rsidRPr="00A93F15">
        <w:t xml:space="preserve">he submission argued that </w:t>
      </w:r>
      <w:r w:rsidR="0026312D" w:rsidRPr="00A93F15">
        <w:t xml:space="preserve">the distribution would shift over time with more use of the gel as a result of </w:t>
      </w:r>
      <w:r w:rsidR="00171434" w:rsidRPr="00A93F15">
        <w:t xml:space="preserve">the </w:t>
      </w:r>
      <w:r w:rsidR="0026312D" w:rsidRPr="00A93F15">
        <w:t xml:space="preserve">revised PBS </w:t>
      </w:r>
      <w:r w:rsidR="00171434" w:rsidRPr="00A93F15">
        <w:t>listing</w:t>
      </w:r>
      <w:r w:rsidR="0026312D" w:rsidRPr="00A93F15">
        <w:t xml:space="preserve"> for the gel</w:t>
      </w:r>
      <w:r w:rsidR="00171434" w:rsidRPr="00A93F15">
        <w:t xml:space="preserve"> and the new 60</w:t>
      </w:r>
      <w:r w:rsidR="001F6AEC" w:rsidRPr="00A93F15">
        <w:t xml:space="preserve"> </w:t>
      </w:r>
      <w:r w:rsidR="00171434" w:rsidRPr="00A93F15">
        <w:t>g pack size</w:t>
      </w:r>
      <w:r w:rsidR="00582E1B">
        <w:t xml:space="preserve">. </w:t>
      </w:r>
      <w:r w:rsidR="00171434" w:rsidRPr="00A93F15">
        <w:t>The submission also argued that</w:t>
      </w:r>
      <w:r w:rsidRPr="00A93F15">
        <w:t xml:space="preserve"> </w:t>
      </w:r>
      <w:r w:rsidR="008448D9" w:rsidRPr="00A93F15">
        <w:t>since</w:t>
      </w:r>
      <w:r w:rsidRPr="00A93F15">
        <w:t xml:space="preserve"> both the foam spray and the gel are non-greasy aqueous </w:t>
      </w:r>
      <w:r w:rsidR="00171434" w:rsidRPr="00A93F15">
        <w:t xml:space="preserve">formulations that </w:t>
      </w:r>
      <w:r w:rsidRPr="00A93F15">
        <w:t>at the point of prescribing</w:t>
      </w:r>
      <w:r w:rsidR="00171434" w:rsidRPr="00A93F15">
        <w:t>,</w:t>
      </w:r>
      <w:r w:rsidRPr="00A93F15">
        <w:t xml:space="preserve"> a physician </w:t>
      </w:r>
      <w:r w:rsidR="00171434" w:rsidRPr="00A93F15">
        <w:t xml:space="preserve">who wished to prescribe a non-greasy formulation </w:t>
      </w:r>
      <w:r w:rsidRPr="00A93F15">
        <w:t>would choose between the foam spray and the gel</w:t>
      </w:r>
      <w:r w:rsidR="00582E1B">
        <w:t xml:space="preserve">. </w:t>
      </w:r>
      <w:r w:rsidR="00CD4880" w:rsidRPr="00A93F15">
        <w:t>The PSCR (p4)</w:t>
      </w:r>
      <w:r w:rsidR="00C80F41" w:rsidRPr="00A93F15">
        <w:t xml:space="preserve"> argued that the nominated calcipotriol plus </w:t>
      </w:r>
      <w:r w:rsidR="00751E34" w:rsidRPr="00A93F15">
        <w:t>betamethasone</w:t>
      </w:r>
      <w:r w:rsidR="00C80F41" w:rsidRPr="00A93F15">
        <w:t xml:space="preserve"> gel was</w:t>
      </w:r>
      <w:r w:rsidR="000C6183" w:rsidRPr="00A93F15">
        <w:t xml:space="preserve"> an appropriate comparator</w:t>
      </w:r>
      <w:r w:rsidR="00F24216" w:rsidRPr="00A93F15">
        <w:t xml:space="preserve"> based</w:t>
      </w:r>
      <w:r w:rsidR="00213E0D" w:rsidRPr="00A93F15">
        <w:t xml:space="preserve"> on international data where the gel formulation was mostly replaced by the foam spray</w:t>
      </w:r>
      <w:r w:rsidR="000C6183" w:rsidRPr="00A93F15">
        <w:t>. The ESC agreed with this response</w:t>
      </w:r>
      <w:r w:rsidR="00FA10F7" w:rsidRPr="00A93F15">
        <w:t xml:space="preserve"> </w:t>
      </w:r>
      <w:r w:rsidR="00A93F15" w:rsidRPr="00A93F15">
        <w:t>however,</w:t>
      </w:r>
      <w:r w:rsidR="00FA10F7" w:rsidRPr="00A93F15">
        <w:t xml:space="preserve"> it was noted that the 60 g gel formulation was initially targeted towards scalp psoriasis and this data was excluded from the comparison with the foam formulation</w:t>
      </w:r>
      <w:r w:rsidR="000C6183" w:rsidRPr="00A93F15">
        <w:t>.</w:t>
      </w:r>
      <w:r w:rsidR="000C6183" w:rsidRPr="00A93F15">
        <w:rPr>
          <w:i/>
        </w:rPr>
        <w:t xml:space="preserve"> </w:t>
      </w:r>
    </w:p>
    <w:p w:rsidR="00884F8F" w:rsidRPr="00A93F15" w:rsidRDefault="00884F8F" w:rsidP="00884F8F">
      <w:pPr>
        <w:pStyle w:val="ListParagraph"/>
        <w:widowControl/>
        <w:rPr>
          <w:szCs w:val="22"/>
        </w:rPr>
      </w:pPr>
    </w:p>
    <w:p w:rsidR="00884F8F" w:rsidRPr="00A93F15" w:rsidRDefault="00884F8F" w:rsidP="006C77AE">
      <w:pPr>
        <w:pStyle w:val="ListParagraph"/>
        <w:widowControl/>
        <w:numPr>
          <w:ilvl w:val="1"/>
          <w:numId w:val="5"/>
        </w:numPr>
        <w:rPr>
          <w:szCs w:val="22"/>
        </w:rPr>
      </w:pPr>
      <w:r w:rsidRPr="00A93F15">
        <w:rPr>
          <w:szCs w:val="22"/>
        </w:rPr>
        <w:t xml:space="preserve">The PBAC considered </w:t>
      </w:r>
      <w:r w:rsidRPr="00A93F15">
        <w:t>calcipotriol plus betamethasone gel to be the appropriate main comparator.</w:t>
      </w:r>
    </w:p>
    <w:p w:rsidR="00B60939" w:rsidRPr="00A93F15" w:rsidRDefault="00B60939" w:rsidP="006C77AE">
      <w:pPr>
        <w:widowControl/>
        <w:rPr>
          <w:szCs w:val="22"/>
        </w:rPr>
      </w:pPr>
    </w:p>
    <w:p w:rsidR="002206AE" w:rsidRPr="00A93F15" w:rsidRDefault="002206AE" w:rsidP="002206AE">
      <w:pPr>
        <w:pStyle w:val="ListParagraph"/>
        <w:widowControl/>
        <w:rPr>
          <w:i/>
          <w:szCs w:val="22"/>
        </w:rPr>
      </w:pPr>
      <w:r w:rsidRPr="00A93F15">
        <w:rPr>
          <w:i/>
          <w:szCs w:val="22"/>
        </w:rPr>
        <w:t>For more detail on PBAC’s view, see section 7 “PBAC outcome”.</w:t>
      </w:r>
    </w:p>
    <w:p w:rsidR="002206AE" w:rsidRPr="00A93F15" w:rsidRDefault="002206AE" w:rsidP="006C77AE">
      <w:pPr>
        <w:widowControl/>
        <w:rPr>
          <w:szCs w:val="22"/>
        </w:rPr>
      </w:pPr>
    </w:p>
    <w:p w:rsidR="0029247A" w:rsidRPr="00A93F15" w:rsidRDefault="0029247A" w:rsidP="006C77AE">
      <w:pPr>
        <w:widowControl/>
        <w:rPr>
          <w:szCs w:val="22"/>
        </w:rPr>
      </w:pPr>
    </w:p>
    <w:p w:rsidR="00B50DB8" w:rsidRPr="00A93F15" w:rsidRDefault="00BD6CF3" w:rsidP="006C77AE">
      <w:pPr>
        <w:pStyle w:val="PBACHeading1"/>
      </w:pPr>
      <w:bookmarkStart w:id="9" w:name="_Toc461530259"/>
      <w:r w:rsidRPr="00A93F15">
        <w:t>C</w:t>
      </w:r>
      <w:r w:rsidR="00B50DB8" w:rsidRPr="00A93F15">
        <w:t>onsideration of the evidence</w:t>
      </w:r>
      <w:bookmarkEnd w:id="9"/>
    </w:p>
    <w:p w:rsidR="00B60939" w:rsidRPr="00A93F15" w:rsidRDefault="00B60939" w:rsidP="006C77AE">
      <w:pPr>
        <w:widowControl/>
      </w:pPr>
    </w:p>
    <w:p w:rsidR="001F1B84" w:rsidRPr="00A93F15" w:rsidRDefault="001F1B84" w:rsidP="00CF2EDE">
      <w:pPr>
        <w:pStyle w:val="Heading2"/>
      </w:pPr>
      <w:r w:rsidRPr="00A93F15">
        <w:t>Sponsor hearing</w:t>
      </w:r>
    </w:p>
    <w:p w:rsidR="00F7723C" w:rsidRPr="00A93F15" w:rsidRDefault="00F7723C" w:rsidP="00F7723C"/>
    <w:p w:rsidR="001F1B84" w:rsidRPr="00A93F15" w:rsidRDefault="001F1B84" w:rsidP="006E637E">
      <w:pPr>
        <w:widowControl/>
        <w:numPr>
          <w:ilvl w:val="1"/>
          <w:numId w:val="5"/>
        </w:numPr>
        <w:spacing w:after="120"/>
        <w:contextualSpacing/>
        <w:jc w:val="left"/>
        <w:rPr>
          <w:bCs/>
          <w:szCs w:val="22"/>
        </w:rPr>
      </w:pPr>
      <w:r w:rsidRPr="00A93F15">
        <w:rPr>
          <w:bCs/>
          <w:szCs w:val="22"/>
        </w:rPr>
        <w:t>The</w:t>
      </w:r>
      <w:r w:rsidR="00F7723C" w:rsidRPr="00A93F15">
        <w:rPr>
          <w:bCs/>
          <w:szCs w:val="22"/>
        </w:rPr>
        <w:t>re was no hearing for this item</w:t>
      </w:r>
      <w:r w:rsidRPr="00A93F15">
        <w:rPr>
          <w:bCs/>
          <w:szCs w:val="22"/>
        </w:rPr>
        <w:t>.</w:t>
      </w:r>
    </w:p>
    <w:p w:rsidR="00CF2EDE" w:rsidRPr="00A93F15" w:rsidRDefault="00CF2EDE" w:rsidP="006E637E">
      <w:pPr>
        <w:widowControl/>
        <w:rPr>
          <w:bCs/>
          <w:szCs w:val="22"/>
          <w:highlight w:val="yellow"/>
        </w:rPr>
      </w:pPr>
    </w:p>
    <w:p w:rsidR="001F1B84" w:rsidRPr="00A93F15" w:rsidRDefault="00202D5E" w:rsidP="00CF2EDE">
      <w:pPr>
        <w:pStyle w:val="Heading2"/>
      </w:pPr>
      <w:r w:rsidRPr="00A93F15">
        <w:t>C</w:t>
      </w:r>
      <w:r w:rsidR="001F1B84" w:rsidRPr="00A93F15">
        <w:t>onsumer comments</w:t>
      </w:r>
    </w:p>
    <w:p w:rsidR="00CF2EDE" w:rsidRPr="00A93F15" w:rsidRDefault="00CF2EDE" w:rsidP="00CF2EDE"/>
    <w:p w:rsidR="001F1B84" w:rsidRPr="00A93F15" w:rsidRDefault="000C17EB" w:rsidP="006E637E">
      <w:pPr>
        <w:widowControl/>
        <w:numPr>
          <w:ilvl w:val="1"/>
          <w:numId w:val="5"/>
        </w:numPr>
        <w:spacing w:after="120"/>
        <w:contextualSpacing/>
        <w:jc w:val="left"/>
        <w:rPr>
          <w:bCs/>
          <w:szCs w:val="22"/>
        </w:rPr>
      </w:pPr>
      <w:r w:rsidRPr="00A93F15">
        <w:rPr>
          <w:bCs/>
          <w:szCs w:val="22"/>
        </w:rPr>
        <w:t>The PBAC noted that no consumer comments were received for this item.</w:t>
      </w:r>
    </w:p>
    <w:p w:rsidR="006E637E" w:rsidRPr="00A93F15" w:rsidRDefault="006E637E" w:rsidP="006E637E">
      <w:pPr>
        <w:widowControl/>
        <w:spacing w:after="120"/>
        <w:ind w:left="720"/>
        <w:contextualSpacing/>
        <w:jc w:val="left"/>
        <w:rPr>
          <w:bCs/>
          <w:szCs w:val="22"/>
          <w:highlight w:val="yellow"/>
        </w:rPr>
      </w:pPr>
    </w:p>
    <w:p w:rsidR="00B60939" w:rsidRPr="00A93F15" w:rsidRDefault="00B60939" w:rsidP="00CF2EDE">
      <w:pPr>
        <w:pStyle w:val="Heading2"/>
      </w:pPr>
      <w:bookmarkStart w:id="10" w:name="_Toc461530260"/>
      <w:r w:rsidRPr="00A93F15">
        <w:t>Clinical trials</w:t>
      </w:r>
      <w:bookmarkEnd w:id="10"/>
    </w:p>
    <w:p w:rsidR="00B60939" w:rsidRPr="00A93F15" w:rsidRDefault="00B60939" w:rsidP="006C77AE">
      <w:pPr>
        <w:widowControl/>
        <w:rPr>
          <w:szCs w:val="22"/>
        </w:rPr>
      </w:pPr>
    </w:p>
    <w:p w:rsidR="007F1017" w:rsidRPr="00A93F15" w:rsidRDefault="00862502" w:rsidP="006C77AE">
      <w:pPr>
        <w:pStyle w:val="ListParagraph"/>
        <w:widowControl/>
        <w:numPr>
          <w:ilvl w:val="1"/>
          <w:numId w:val="5"/>
        </w:numPr>
        <w:rPr>
          <w:szCs w:val="22"/>
        </w:rPr>
      </w:pPr>
      <w:r w:rsidRPr="00A93F15">
        <w:t xml:space="preserve">The submission is based on one head-to-head trial comparing </w:t>
      </w:r>
      <w:r w:rsidR="008749B8" w:rsidRPr="00A93F15">
        <w:t>calcipotriol plus betamethasone foam spray</w:t>
      </w:r>
      <w:r w:rsidRPr="00A93F15">
        <w:t xml:space="preserve"> to </w:t>
      </w:r>
      <w:r w:rsidR="008749B8" w:rsidRPr="00A93F15">
        <w:t>calcipotriol plus betamethasone gel</w:t>
      </w:r>
      <w:r w:rsidR="007A135D" w:rsidRPr="00A93F15">
        <w:t xml:space="preserve"> and to foam spray vehicle and gel vehicle</w:t>
      </w:r>
      <w:r w:rsidRPr="00A93F15">
        <w:t xml:space="preserve"> (</w:t>
      </w:r>
      <w:r w:rsidR="007A135D" w:rsidRPr="00A93F15">
        <w:t xml:space="preserve">LP0053-1003, </w:t>
      </w:r>
      <w:r w:rsidRPr="00A93F15">
        <w:t>n=</w:t>
      </w:r>
      <w:r w:rsidR="007A135D" w:rsidRPr="00A93F15">
        <w:t>463</w:t>
      </w:r>
      <w:r w:rsidRPr="00A93F15">
        <w:t>)</w:t>
      </w:r>
      <w:r w:rsidR="00582E1B">
        <w:t xml:space="preserve">. </w:t>
      </w:r>
      <w:r w:rsidR="008749B8" w:rsidRPr="00A93F15">
        <w:t xml:space="preserve">The submission also </w:t>
      </w:r>
      <w:r w:rsidR="00D36743" w:rsidRPr="00A93F15">
        <w:t xml:space="preserve">included </w:t>
      </w:r>
      <w:r w:rsidR="008749B8" w:rsidRPr="00A93F15">
        <w:t xml:space="preserve">a </w:t>
      </w:r>
      <w:r w:rsidR="00D36743" w:rsidRPr="00A93F15">
        <w:t>trial comparing</w:t>
      </w:r>
      <w:r w:rsidR="008749B8" w:rsidRPr="00A93F15">
        <w:t xml:space="preserve"> calcipotriol plus betamethasone foam spray to calcipotriol plus betamethasone ointment</w:t>
      </w:r>
      <w:r w:rsidR="00B36EC0" w:rsidRPr="00A93F15">
        <w:t>,</w:t>
      </w:r>
      <w:r w:rsidR="008749B8" w:rsidRPr="00A93F15">
        <w:t xml:space="preserve"> </w:t>
      </w:r>
      <w:r w:rsidR="007A135D" w:rsidRPr="00A93F15">
        <w:t xml:space="preserve">and to gel vehicle and ointment vehicle </w:t>
      </w:r>
      <w:r w:rsidR="008749B8" w:rsidRPr="00A93F15">
        <w:t>based on one head-to-head trial (</w:t>
      </w:r>
      <w:r w:rsidR="007A135D" w:rsidRPr="00A93F15">
        <w:t xml:space="preserve">LEO90100-35, </w:t>
      </w:r>
      <w:r w:rsidR="008749B8" w:rsidRPr="00A93F15">
        <w:t>n=</w:t>
      </w:r>
      <w:r w:rsidR="00036C12" w:rsidRPr="00A93F15">
        <w:t>376</w:t>
      </w:r>
      <w:r w:rsidR="008749B8" w:rsidRPr="00A93F15">
        <w:t>).</w:t>
      </w:r>
      <w:r w:rsidR="00D36743" w:rsidRPr="00A93F15">
        <w:t xml:space="preserve"> </w:t>
      </w:r>
      <w:r w:rsidR="00BD131F" w:rsidRPr="00A93F15">
        <w:t xml:space="preserve">The PSCR (p3) stated that the foam spray is intended to be used on both body </w:t>
      </w:r>
      <w:r w:rsidR="00CB7AF9" w:rsidRPr="00A93F15">
        <w:t xml:space="preserve">and </w:t>
      </w:r>
      <w:r w:rsidR="00BD131F" w:rsidRPr="00A93F15">
        <w:t>scalp. However, t</w:t>
      </w:r>
      <w:r w:rsidR="006A1FD5" w:rsidRPr="00A93F15">
        <w:t xml:space="preserve">he ESC noted the clinical trials used a modified PASI </w:t>
      </w:r>
      <w:r w:rsidR="00A93F15" w:rsidRPr="00A93F15">
        <w:t>score that</w:t>
      </w:r>
      <w:r w:rsidR="006A1FD5" w:rsidRPr="00A93F15">
        <w:t xml:space="preserve"> reflected the exclusion of administration to the scalp. </w:t>
      </w:r>
      <w:r w:rsidR="00A01218" w:rsidRPr="00A93F15">
        <w:t>In current clinical practice,</w:t>
      </w:r>
      <w:r w:rsidR="00ED6BB3" w:rsidRPr="00A93F15">
        <w:t xml:space="preserve"> the use of the product includes adm</w:t>
      </w:r>
      <w:r w:rsidR="0027646A" w:rsidRPr="00A93F15">
        <w:t xml:space="preserve">inistration to the scalp, which </w:t>
      </w:r>
      <w:r w:rsidR="00046C32" w:rsidRPr="00A93F15">
        <w:t>would be</w:t>
      </w:r>
      <w:r w:rsidR="0027646A" w:rsidRPr="00A93F15">
        <w:t xml:space="preserve"> the predominant use among</w:t>
      </w:r>
      <w:r w:rsidR="00046C32" w:rsidRPr="00A93F15">
        <w:t xml:space="preserve"> some</w:t>
      </w:r>
      <w:r w:rsidR="0027646A" w:rsidRPr="00A93F15">
        <w:t xml:space="preserve"> patients.</w:t>
      </w:r>
      <w:r w:rsidR="00A5097F" w:rsidRPr="00A93F15">
        <w:t xml:space="preserve"> </w:t>
      </w:r>
      <w:r w:rsidR="00997E93" w:rsidRPr="00A93F15">
        <w:t xml:space="preserve">The ESC questioned </w:t>
      </w:r>
      <w:r w:rsidR="006E02CF" w:rsidRPr="00A93F15">
        <w:t xml:space="preserve">the </w:t>
      </w:r>
      <w:r w:rsidR="00997E93" w:rsidRPr="00A93F15">
        <w:t xml:space="preserve">rationale </w:t>
      </w:r>
      <w:r w:rsidR="006E02CF" w:rsidRPr="00A93F15">
        <w:t>for</w:t>
      </w:r>
      <w:r w:rsidR="00997E93" w:rsidRPr="00A93F15">
        <w:t xml:space="preserve"> </w:t>
      </w:r>
      <w:r w:rsidR="00046C32" w:rsidRPr="00A93F15">
        <w:t>excluding the</w:t>
      </w:r>
      <w:r w:rsidR="00997E93" w:rsidRPr="00A93F15">
        <w:t xml:space="preserve"> administration to scalp psoriasis.</w:t>
      </w:r>
    </w:p>
    <w:p w:rsidR="00046C32" w:rsidRPr="00A93F15" w:rsidRDefault="00046C32" w:rsidP="00046C32">
      <w:pPr>
        <w:pStyle w:val="ListParagraph"/>
        <w:widowControl/>
        <w:rPr>
          <w:szCs w:val="22"/>
        </w:rPr>
      </w:pPr>
    </w:p>
    <w:p w:rsidR="00046C32" w:rsidRPr="00A93F15" w:rsidRDefault="00046C32" w:rsidP="00046C32">
      <w:pPr>
        <w:pStyle w:val="ListParagraph"/>
        <w:widowControl/>
        <w:numPr>
          <w:ilvl w:val="1"/>
          <w:numId w:val="5"/>
        </w:numPr>
        <w:rPr>
          <w:szCs w:val="22"/>
        </w:rPr>
      </w:pPr>
      <w:r w:rsidRPr="00A93F15">
        <w:t>The ESC noted that the application to the TGA for registration was made on the basis of LEO90100-35 which compared the calcipotriol plus betamethasone foam spray to calcipotriol plus betamethasone ointment.</w:t>
      </w:r>
    </w:p>
    <w:p w:rsidR="00862502" w:rsidRPr="00A93F15" w:rsidRDefault="00862502" w:rsidP="006C77AE">
      <w:pPr>
        <w:widowControl/>
        <w:rPr>
          <w:szCs w:val="22"/>
        </w:rPr>
      </w:pPr>
    </w:p>
    <w:p w:rsidR="00862502" w:rsidRPr="00A93F15" w:rsidRDefault="00862502" w:rsidP="006C77AE">
      <w:pPr>
        <w:pStyle w:val="ListParagraph"/>
        <w:widowControl/>
        <w:numPr>
          <w:ilvl w:val="1"/>
          <w:numId w:val="5"/>
        </w:numPr>
        <w:rPr>
          <w:szCs w:val="22"/>
        </w:rPr>
      </w:pPr>
      <w:r w:rsidRPr="00A93F15">
        <w:rPr>
          <w:szCs w:val="22"/>
        </w:rPr>
        <w:t xml:space="preserve">Details of the trials presented in the submission are provided in the table below. </w:t>
      </w:r>
    </w:p>
    <w:p w:rsidR="00862502" w:rsidRPr="00A93F15" w:rsidRDefault="00862502" w:rsidP="006C77AE">
      <w:pPr>
        <w:widowControl/>
        <w:rPr>
          <w:szCs w:val="22"/>
        </w:rPr>
      </w:pPr>
    </w:p>
    <w:p w:rsidR="008F120A" w:rsidRPr="00A93F15" w:rsidRDefault="008F120A" w:rsidP="006C77AE">
      <w:pPr>
        <w:keepNext/>
        <w:widowControl/>
        <w:ind w:firstLine="720"/>
        <w:rPr>
          <w:rStyle w:val="CommentReference"/>
        </w:rPr>
      </w:pPr>
      <w:r w:rsidRPr="00A93F15">
        <w:rPr>
          <w:rStyle w:val="CommentReference"/>
        </w:rPr>
        <w:t xml:space="preserve">Table </w:t>
      </w:r>
      <w:r w:rsidR="00950078" w:rsidRPr="00A93F15">
        <w:rPr>
          <w:rStyle w:val="CommentReference"/>
        </w:rPr>
        <w:t>1</w:t>
      </w:r>
      <w:r w:rsidRPr="00A93F15">
        <w:rPr>
          <w:rStyle w:val="CommentReference"/>
        </w:rPr>
        <w:t>: Trials and associated reports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4"/>
        <w:gridCol w:w="4689"/>
        <w:gridCol w:w="2661"/>
      </w:tblGrid>
      <w:tr w:rsidR="00C42FAE" w:rsidRPr="00A93F15" w:rsidTr="00950078">
        <w:tc>
          <w:tcPr>
            <w:tcW w:w="611" w:type="pct"/>
          </w:tcPr>
          <w:p w:rsidR="00950078" w:rsidRPr="00A93F15" w:rsidRDefault="00950078" w:rsidP="006C77AE">
            <w:pPr>
              <w:keepNext/>
              <w:widowControl/>
              <w:jc w:val="left"/>
              <w:rPr>
                <w:rFonts w:ascii="Arial Narrow" w:hAnsi="Arial Narrow"/>
                <w:b/>
                <w:sz w:val="20"/>
              </w:rPr>
            </w:pPr>
            <w:r w:rsidRPr="00A93F15">
              <w:rPr>
                <w:rFonts w:ascii="Arial Narrow" w:hAnsi="Arial Narrow"/>
                <w:b/>
                <w:sz w:val="20"/>
              </w:rPr>
              <w:t>Trial ID</w:t>
            </w:r>
          </w:p>
        </w:tc>
        <w:tc>
          <w:tcPr>
            <w:tcW w:w="2800" w:type="pct"/>
          </w:tcPr>
          <w:p w:rsidR="00950078" w:rsidRPr="00A93F15" w:rsidRDefault="00950078" w:rsidP="006C77AE">
            <w:pPr>
              <w:keepNext/>
              <w:widowControl/>
              <w:jc w:val="center"/>
              <w:rPr>
                <w:rFonts w:ascii="Arial Narrow" w:hAnsi="Arial Narrow"/>
                <w:b/>
                <w:sz w:val="20"/>
              </w:rPr>
            </w:pPr>
            <w:r w:rsidRPr="00A93F15">
              <w:rPr>
                <w:rFonts w:ascii="Arial Narrow" w:hAnsi="Arial Narrow"/>
                <w:b/>
                <w:sz w:val="20"/>
              </w:rPr>
              <w:t>Protocol title/ Publication title</w:t>
            </w:r>
          </w:p>
        </w:tc>
        <w:tc>
          <w:tcPr>
            <w:tcW w:w="1589" w:type="pct"/>
          </w:tcPr>
          <w:p w:rsidR="00950078" w:rsidRPr="00A93F15" w:rsidRDefault="00950078" w:rsidP="006C77AE">
            <w:pPr>
              <w:keepNext/>
              <w:widowControl/>
              <w:jc w:val="center"/>
              <w:rPr>
                <w:rFonts w:ascii="Arial Narrow" w:hAnsi="Arial Narrow"/>
                <w:b/>
                <w:sz w:val="20"/>
              </w:rPr>
            </w:pPr>
            <w:r w:rsidRPr="00A93F15">
              <w:rPr>
                <w:rFonts w:ascii="Arial Narrow" w:hAnsi="Arial Narrow"/>
                <w:b/>
                <w:sz w:val="20"/>
              </w:rPr>
              <w:t>Publication citation</w:t>
            </w:r>
          </w:p>
        </w:tc>
      </w:tr>
      <w:tr w:rsidR="00C42FAE" w:rsidRPr="00A93F15" w:rsidTr="00950078">
        <w:tc>
          <w:tcPr>
            <w:tcW w:w="5000" w:type="pct"/>
            <w:gridSpan w:val="3"/>
          </w:tcPr>
          <w:p w:rsidR="00950078" w:rsidRPr="00A93F15" w:rsidRDefault="00950078" w:rsidP="006C77AE">
            <w:pPr>
              <w:keepNext/>
              <w:widowControl/>
              <w:jc w:val="left"/>
              <w:rPr>
                <w:rFonts w:ascii="Arial Narrow" w:hAnsi="Arial Narrow"/>
                <w:b/>
                <w:sz w:val="20"/>
              </w:rPr>
            </w:pPr>
            <w:r w:rsidRPr="00A93F15">
              <w:rPr>
                <w:rFonts w:ascii="Arial Narrow" w:hAnsi="Arial Narrow"/>
                <w:b/>
                <w:sz w:val="20"/>
              </w:rPr>
              <w:t>Direct randomised trials</w:t>
            </w:r>
          </w:p>
        </w:tc>
      </w:tr>
      <w:tr w:rsidR="00C42FAE" w:rsidRPr="00A93F15" w:rsidTr="00950078">
        <w:tc>
          <w:tcPr>
            <w:tcW w:w="611" w:type="pct"/>
          </w:tcPr>
          <w:p w:rsidR="00950078" w:rsidRPr="00A93F15" w:rsidRDefault="00950078" w:rsidP="006C77AE">
            <w:pPr>
              <w:pStyle w:val="Table"/>
              <w:keepNext/>
              <w:rPr>
                <w:rFonts w:ascii="Arial Narrow" w:hAnsi="Arial Narrow"/>
              </w:rPr>
            </w:pPr>
            <w:r w:rsidRPr="00A93F15">
              <w:rPr>
                <w:rFonts w:ascii="Arial Narrow" w:hAnsi="Arial Narrow"/>
              </w:rPr>
              <w:t>LP0053-1003</w:t>
            </w:r>
          </w:p>
          <w:p w:rsidR="00950078" w:rsidRPr="00A93F15" w:rsidRDefault="00950078" w:rsidP="006C77AE">
            <w:pPr>
              <w:keepNext/>
              <w:widowControl/>
              <w:jc w:val="left"/>
              <w:rPr>
                <w:rFonts w:ascii="Arial Narrow" w:hAnsi="Arial Narrow"/>
                <w:sz w:val="20"/>
              </w:rPr>
            </w:pPr>
          </w:p>
        </w:tc>
        <w:tc>
          <w:tcPr>
            <w:tcW w:w="2800" w:type="pct"/>
          </w:tcPr>
          <w:p w:rsidR="00950078" w:rsidRPr="00A93F15" w:rsidRDefault="00950078" w:rsidP="006C77AE">
            <w:pPr>
              <w:keepNext/>
              <w:widowControl/>
              <w:jc w:val="left"/>
              <w:rPr>
                <w:rFonts w:ascii="Arial Narrow" w:hAnsi="Arial Narrow"/>
                <w:b/>
                <w:sz w:val="20"/>
              </w:rPr>
            </w:pPr>
            <w:r w:rsidRPr="00A93F15">
              <w:rPr>
                <w:rFonts w:ascii="Arial Narrow" w:hAnsi="Arial Narrow"/>
                <w:sz w:val="20"/>
              </w:rPr>
              <w:t xml:space="preserve">A phase 3 trial comparing LEO 90100 aerosol foam with </w:t>
            </w:r>
            <w:proofErr w:type="spellStart"/>
            <w:r w:rsidRPr="00A93F15">
              <w:rPr>
                <w:rFonts w:ascii="Arial Narrow" w:hAnsi="Arial Narrow"/>
                <w:sz w:val="20"/>
              </w:rPr>
              <w:t>calcipotriol</w:t>
            </w:r>
            <w:proofErr w:type="spellEnd"/>
            <w:r w:rsidRPr="00A93F15">
              <w:rPr>
                <w:rFonts w:ascii="Arial Narrow" w:hAnsi="Arial Narrow"/>
                <w:sz w:val="20"/>
              </w:rPr>
              <w:t xml:space="preserve"> plus betamethasone </w:t>
            </w:r>
            <w:proofErr w:type="spellStart"/>
            <w:r w:rsidRPr="00A93F15">
              <w:rPr>
                <w:rFonts w:ascii="Arial Narrow" w:hAnsi="Arial Narrow"/>
                <w:sz w:val="20"/>
              </w:rPr>
              <w:t>dipropionate</w:t>
            </w:r>
            <w:proofErr w:type="spellEnd"/>
            <w:r w:rsidRPr="00A93F15">
              <w:rPr>
                <w:rFonts w:ascii="Arial Narrow" w:hAnsi="Arial Narrow"/>
                <w:sz w:val="20"/>
              </w:rPr>
              <w:t xml:space="preserve"> gel, aerosol foam vehicle, and gel vehicle in subjects with psoriasis vulgaris. An international, multi-centre, prospective, randomised, active- and vehicle-controlled, investigator blinded, 4-arm, parallel group 12-week trial.</w:t>
            </w:r>
          </w:p>
        </w:tc>
        <w:tc>
          <w:tcPr>
            <w:tcW w:w="1589" w:type="pct"/>
          </w:tcPr>
          <w:p w:rsidR="00950078" w:rsidRPr="00A93F15" w:rsidRDefault="00950078" w:rsidP="006C77AE">
            <w:pPr>
              <w:keepNext/>
              <w:widowControl/>
              <w:jc w:val="left"/>
              <w:rPr>
                <w:rFonts w:ascii="Arial Narrow" w:hAnsi="Arial Narrow"/>
                <w:sz w:val="20"/>
              </w:rPr>
            </w:pPr>
            <w:r w:rsidRPr="00A93F15">
              <w:rPr>
                <w:rFonts w:ascii="Arial Narrow" w:hAnsi="Arial Narrow"/>
                <w:sz w:val="20"/>
              </w:rPr>
              <w:t>11 September 2015</w:t>
            </w:r>
          </w:p>
          <w:p w:rsidR="00950078" w:rsidRPr="00A93F15" w:rsidRDefault="00950078" w:rsidP="006C77AE">
            <w:pPr>
              <w:keepNext/>
              <w:widowControl/>
              <w:jc w:val="left"/>
              <w:rPr>
                <w:rFonts w:ascii="Arial Narrow" w:hAnsi="Arial Narrow"/>
                <w:sz w:val="20"/>
              </w:rPr>
            </w:pPr>
            <w:r w:rsidRPr="00A93F15">
              <w:rPr>
                <w:rFonts w:ascii="Arial Narrow" w:hAnsi="Arial Narrow"/>
                <w:sz w:val="20"/>
              </w:rPr>
              <w:t>Internal study publication</w:t>
            </w:r>
          </w:p>
          <w:p w:rsidR="00950078" w:rsidRPr="00A93F15" w:rsidRDefault="00950078" w:rsidP="006C77AE">
            <w:pPr>
              <w:keepNext/>
              <w:widowControl/>
              <w:jc w:val="left"/>
              <w:rPr>
                <w:rFonts w:ascii="Arial Narrow" w:hAnsi="Arial Narrow"/>
                <w:b/>
                <w:sz w:val="20"/>
              </w:rPr>
            </w:pPr>
          </w:p>
        </w:tc>
      </w:tr>
      <w:tr w:rsidR="00C42FAE" w:rsidRPr="00A93F15" w:rsidTr="00950078">
        <w:tc>
          <w:tcPr>
            <w:tcW w:w="611" w:type="pct"/>
          </w:tcPr>
          <w:p w:rsidR="00950078" w:rsidRPr="00A93F15" w:rsidRDefault="00950078" w:rsidP="006C77AE">
            <w:pPr>
              <w:keepNext/>
              <w:widowControl/>
              <w:jc w:val="left"/>
              <w:rPr>
                <w:rFonts w:ascii="Arial Narrow" w:hAnsi="Arial Narrow"/>
                <w:sz w:val="20"/>
              </w:rPr>
            </w:pPr>
            <w:r w:rsidRPr="00A93F15">
              <w:rPr>
                <w:rFonts w:ascii="Arial Narrow" w:hAnsi="Arial Narrow"/>
                <w:sz w:val="20"/>
              </w:rPr>
              <w:t>LEO 90100-35</w:t>
            </w:r>
          </w:p>
        </w:tc>
        <w:tc>
          <w:tcPr>
            <w:tcW w:w="2800" w:type="pct"/>
          </w:tcPr>
          <w:p w:rsidR="00950078" w:rsidRPr="00A93F15" w:rsidRDefault="00950078" w:rsidP="006C77AE">
            <w:pPr>
              <w:keepNext/>
              <w:widowControl/>
              <w:jc w:val="left"/>
              <w:rPr>
                <w:rFonts w:ascii="Arial Narrow" w:hAnsi="Arial Narrow"/>
                <w:sz w:val="20"/>
              </w:rPr>
            </w:pPr>
            <w:r w:rsidRPr="00A93F15">
              <w:rPr>
                <w:rFonts w:ascii="Arial Narrow" w:hAnsi="Arial Narrow"/>
                <w:sz w:val="20"/>
              </w:rPr>
              <w:t>A phase 2 study comparing treatment with LEO 90100 with calcipotriol plus betamethasone ointment, LEO 90100 vehicle and ointment vehicle in subjects with psoriasis vulgaris. A multi-centre, prospective, randomised, investigator blinded, 4-arm, parallel group, 4-week study in subjects with psoriasis vulgaris.</w:t>
            </w:r>
          </w:p>
          <w:p w:rsidR="00950078" w:rsidRPr="00A93F15" w:rsidRDefault="00950078" w:rsidP="006C77AE">
            <w:pPr>
              <w:keepNext/>
              <w:widowControl/>
              <w:jc w:val="left"/>
              <w:rPr>
                <w:rFonts w:ascii="Arial Narrow" w:hAnsi="Arial Narrow"/>
                <w:sz w:val="20"/>
              </w:rPr>
            </w:pPr>
          </w:p>
          <w:p w:rsidR="00950078" w:rsidRPr="00A93F15" w:rsidRDefault="00950078" w:rsidP="006C77AE">
            <w:pPr>
              <w:keepNext/>
              <w:widowControl/>
              <w:jc w:val="left"/>
              <w:rPr>
                <w:rFonts w:ascii="Arial Narrow" w:hAnsi="Arial Narrow"/>
                <w:b/>
                <w:sz w:val="20"/>
              </w:rPr>
            </w:pPr>
            <w:r w:rsidRPr="00A93F15">
              <w:rPr>
                <w:rFonts w:ascii="Arial Narrow" w:hAnsi="Arial Narrow"/>
                <w:sz w:val="20"/>
              </w:rPr>
              <w:t xml:space="preserve">Koo J, Tyring S, </w:t>
            </w:r>
            <w:proofErr w:type="spellStart"/>
            <w:r w:rsidRPr="00A93F15">
              <w:rPr>
                <w:rFonts w:ascii="Arial Narrow" w:hAnsi="Arial Narrow"/>
                <w:sz w:val="20"/>
              </w:rPr>
              <w:t>Werschler</w:t>
            </w:r>
            <w:proofErr w:type="spellEnd"/>
            <w:r w:rsidRPr="00A93F15">
              <w:rPr>
                <w:rFonts w:ascii="Arial Narrow" w:hAnsi="Arial Narrow"/>
                <w:sz w:val="20"/>
              </w:rPr>
              <w:t xml:space="preserve"> W et al</w:t>
            </w:r>
            <w:r w:rsidR="00582E1B">
              <w:rPr>
                <w:rFonts w:ascii="Arial Narrow" w:hAnsi="Arial Narrow"/>
                <w:sz w:val="20"/>
              </w:rPr>
              <w:t xml:space="preserve">. </w:t>
            </w:r>
            <w:r w:rsidRPr="00A93F15">
              <w:rPr>
                <w:rFonts w:ascii="Arial Narrow" w:hAnsi="Arial Narrow"/>
                <w:sz w:val="20"/>
              </w:rPr>
              <w:t xml:space="preserve">Superior efficacy of </w:t>
            </w:r>
            <w:proofErr w:type="spellStart"/>
            <w:r w:rsidRPr="00A93F15">
              <w:rPr>
                <w:rFonts w:ascii="Arial Narrow" w:hAnsi="Arial Narrow"/>
                <w:sz w:val="20"/>
              </w:rPr>
              <w:t>calcipotriene</w:t>
            </w:r>
            <w:proofErr w:type="spellEnd"/>
            <w:r w:rsidRPr="00A93F15">
              <w:rPr>
                <w:rFonts w:ascii="Arial Narrow" w:hAnsi="Arial Narrow"/>
                <w:sz w:val="20"/>
              </w:rPr>
              <w:t xml:space="preserve"> and betamethasone </w:t>
            </w:r>
            <w:proofErr w:type="spellStart"/>
            <w:r w:rsidRPr="00A93F15">
              <w:rPr>
                <w:rFonts w:ascii="Arial Narrow" w:hAnsi="Arial Narrow"/>
                <w:sz w:val="20"/>
              </w:rPr>
              <w:t>dipropionate</w:t>
            </w:r>
            <w:proofErr w:type="spellEnd"/>
            <w:r w:rsidRPr="00A93F15">
              <w:rPr>
                <w:rFonts w:ascii="Arial Narrow" w:hAnsi="Arial Narrow"/>
                <w:sz w:val="20"/>
              </w:rPr>
              <w:t xml:space="preserve"> aerosol foam versus ointment in patients with psoriasis vulgaris – A randomized phase II study.</w:t>
            </w:r>
          </w:p>
        </w:tc>
        <w:tc>
          <w:tcPr>
            <w:tcW w:w="1589" w:type="pct"/>
          </w:tcPr>
          <w:p w:rsidR="00950078" w:rsidRPr="00A93F15" w:rsidRDefault="00950078" w:rsidP="006C77AE">
            <w:pPr>
              <w:keepNext/>
              <w:widowControl/>
              <w:jc w:val="left"/>
              <w:rPr>
                <w:rFonts w:ascii="Arial Narrow" w:hAnsi="Arial Narrow"/>
                <w:sz w:val="20"/>
              </w:rPr>
            </w:pPr>
            <w:r w:rsidRPr="00A93F15">
              <w:rPr>
                <w:rFonts w:ascii="Arial Narrow" w:hAnsi="Arial Narrow"/>
                <w:sz w:val="20"/>
              </w:rPr>
              <w:t>5 October 2015</w:t>
            </w:r>
          </w:p>
          <w:p w:rsidR="00950078" w:rsidRPr="00A93F15" w:rsidRDefault="00950078" w:rsidP="006C77AE">
            <w:pPr>
              <w:keepNext/>
              <w:widowControl/>
              <w:jc w:val="left"/>
              <w:rPr>
                <w:rFonts w:ascii="Arial Narrow" w:hAnsi="Arial Narrow"/>
                <w:sz w:val="20"/>
              </w:rPr>
            </w:pPr>
            <w:r w:rsidRPr="00A93F15">
              <w:rPr>
                <w:rFonts w:ascii="Arial Narrow" w:hAnsi="Arial Narrow"/>
                <w:i/>
                <w:sz w:val="20"/>
              </w:rPr>
              <w:t xml:space="preserve">J </w:t>
            </w:r>
            <w:proofErr w:type="spellStart"/>
            <w:r w:rsidRPr="00A93F15">
              <w:rPr>
                <w:rFonts w:ascii="Arial Narrow" w:hAnsi="Arial Narrow"/>
                <w:i/>
                <w:sz w:val="20"/>
              </w:rPr>
              <w:t>Dermatolog</w:t>
            </w:r>
            <w:proofErr w:type="spellEnd"/>
            <w:r w:rsidRPr="00A93F15">
              <w:rPr>
                <w:rFonts w:ascii="Arial Narrow" w:hAnsi="Arial Narrow"/>
                <w:i/>
                <w:sz w:val="20"/>
              </w:rPr>
              <w:t xml:space="preserve"> Treat</w:t>
            </w:r>
            <w:r w:rsidRPr="00A93F15">
              <w:rPr>
                <w:rFonts w:ascii="Arial Narrow" w:hAnsi="Arial Narrow"/>
                <w:sz w:val="20"/>
              </w:rPr>
              <w:t xml:space="preserve"> 2016; 27(2):p120-127</w:t>
            </w:r>
          </w:p>
          <w:p w:rsidR="00950078" w:rsidRPr="00A93F15" w:rsidRDefault="00950078" w:rsidP="006C77AE">
            <w:pPr>
              <w:keepNext/>
              <w:widowControl/>
              <w:jc w:val="left"/>
              <w:rPr>
                <w:rFonts w:ascii="Arial Narrow" w:hAnsi="Arial Narrow"/>
                <w:b/>
                <w:sz w:val="20"/>
              </w:rPr>
            </w:pPr>
          </w:p>
        </w:tc>
      </w:tr>
    </w:tbl>
    <w:p w:rsidR="00862502" w:rsidRPr="00A93F15" w:rsidRDefault="00950078" w:rsidP="006C77AE">
      <w:pPr>
        <w:pStyle w:val="TableFooter"/>
        <w:widowControl/>
        <w:ind w:firstLine="720"/>
        <w:rPr>
          <w:szCs w:val="22"/>
        </w:rPr>
      </w:pPr>
      <w:r w:rsidRPr="00A93F15">
        <w:t xml:space="preserve">Source: </w:t>
      </w:r>
      <w:r w:rsidR="008F120A" w:rsidRPr="00A93F15">
        <w:t>Table</w:t>
      </w:r>
      <w:r w:rsidRPr="00A93F15">
        <w:t xml:space="preserve"> 8, p33</w:t>
      </w:r>
      <w:r w:rsidR="008F120A" w:rsidRPr="00A93F15">
        <w:t xml:space="preserve"> of the submission</w:t>
      </w:r>
    </w:p>
    <w:p w:rsidR="00862502" w:rsidRPr="00A93F15" w:rsidRDefault="00862502" w:rsidP="006C77AE">
      <w:pPr>
        <w:widowControl/>
        <w:rPr>
          <w:szCs w:val="22"/>
        </w:rPr>
      </w:pPr>
    </w:p>
    <w:p w:rsidR="00862502" w:rsidRPr="00A93F15" w:rsidRDefault="008F120A" w:rsidP="006C77AE">
      <w:pPr>
        <w:pStyle w:val="ListParagraph"/>
        <w:widowControl/>
        <w:numPr>
          <w:ilvl w:val="1"/>
          <w:numId w:val="5"/>
        </w:numPr>
        <w:rPr>
          <w:szCs w:val="22"/>
        </w:rPr>
      </w:pPr>
      <w:r w:rsidRPr="00A93F15">
        <w:rPr>
          <w:szCs w:val="22"/>
        </w:rPr>
        <w:t xml:space="preserve">The key features of the direct randomised trials are </w:t>
      </w:r>
      <w:r w:rsidR="0050075D" w:rsidRPr="00A93F15">
        <w:rPr>
          <w:szCs w:val="22"/>
        </w:rPr>
        <w:t>summarised in the table below.</w:t>
      </w:r>
    </w:p>
    <w:p w:rsidR="007F1017" w:rsidRPr="00A93F15" w:rsidRDefault="007F1017" w:rsidP="006C77AE">
      <w:pPr>
        <w:widowControl/>
        <w:rPr>
          <w:szCs w:val="22"/>
        </w:rPr>
      </w:pPr>
    </w:p>
    <w:p w:rsidR="007F1017" w:rsidRPr="00A93F15" w:rsidRDefault="007F1017" w:rsidP="006C77AE">
      <w:pPr>
        <w:keepNext/>
        <w:widowControl/>
        <w:ind w:firstLine="720"/>
        <w:rPr>
          <w:rStyle w:val="CommentReference"/>
        </w:rPr>
      </w:pPr>
      <w:r w:rsidRPr="00A93F15">
        <w:rPr>
          <w:rStyle w:val="CommentReference"/>
        </w:rPr>
        <w:t xml:space="preserve">Table </w:t>
      </w:r>
      <w:r w:rsidR="00A971DD" w:rsidRPr="00A93F15">
        <w:rPr>
          <w:rStyle w:val="CommentReference"/>
        </w:rPr>
        <w:t>2</w:t>
      </w:r>
      <w:r w:rsidRPr="00A93F15">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143"/>
        <w:gridCol w:w="1000"/>
        <w:gridCol w:w="1524"/>
      </w:tblGrid>
      <w:tr w:rsidR="00C42FAE" w:rsidRPr="00A93F15" w:rsidTr="00726FCB">
        <w:tc>
          <w:tcPr>
            <w:tcW w:w="679" w:type="pct"/>
            <w:shd w:val="clear" w:color="auto" w:fill="auto"/>
            <w:vAlign w:val="center"/>
          </w:tcPr>
          <w:p w:rsidR="007F1017" w:rsidRPr="00A93F15" w:rsidRDefault="007F1017" w:rsidP="006C77AE">
            <w:pPr>
              <w:keepNext/>
              <w:widowControl/>
              <w:jc w:val="left"/>
              <w:rPr>
                <w:rFonts w:ascii="Arial Narrow" w:hAnsi="Arial Narrow"/>
                <w:b/>
                <w:sz w:val="20"/>
              </w:rPr>
            </w:pPr>
            <w:r w:rsidRPr="00A93F15">
              <w:rPr>
                <w:rFonts w:ascii="Arial Narrow" w:hAnsi="Arial Narrow"/>
                <w:b/>
                <w:sz w:val="20"/>
              </w:rPr>
              <w:t>Trial</w:t>
            </w:r>
          </w:p>
        </w:tc>
        <w:tc>
          <w:tcPr>
            <w:tcW w:w="426" w:type="pct"/>
            <w:shd w:val="clear" w:color="auto" w:fill="auto"/>
            <w:vAlign w:val="center"/>
          </w:tcPr>
          <w:p w:rsidR="007F1017" w:rsidRPr="00A93F15" w:rsidRDefault="007F1017" w:rsidP="006C77AE">
            <w:pPr>
              <w:keepNext/>
              <w:widowControl/>
              <w:jc w:val="center"/>
              <w:rPr>
                <w:rFonts w:ascii="Arial Narrow" w:hAnsi="Arial Narrow"/>
                <w:b/>
                <w:sz w:val="20"/>
              </w:rPr>
            </w:pPr>
            <w:r w:rsidRPr="00A93F15">
              <w:rPr>
                <w:rFonts w:ascii="Arial Narrow" w:hAnsi="Arial Narrow"/>
                <w:b/>
                <w:sz w:val="20"/>
              </w:rPr>
              <w:t>N</w:t>
            </w:r>
          </w:p>
        </w:tc>
        <w:tc>
          <w:tcPr>
            <w:tcW w:w="1104" w:type="pct"/>
            <w:shd w:val="clear" w:color="auto" w:fill="auto"/>
            <w:vAlign w:val="center"/>
          </w:tcPr>
          <w:p w:rsidR="007F1017" w:rsidRPr="00A93F15" w:rsidRDefault="00FE3DF6" w:rsidP="006C77AE">
            <w:pPr>
              <w:keepNext/>
              <w:widowControl/>
              <w:jc w:val="center"/>
              <w:rPr>
                <w:rFonts w:ascii="Arial Narrow" w:hAnsi="Arial Narrow"/>
                <w:b/>
                <w:sz w:val="20"/>
              </w:rPr>
            </w:pPr>
            <w:r w:rsidRPr="00A93F15">
              <w:rPr>
                <w:rFonts w:ascii="Arial Narrow" w:hAnsi="Arial Narrow"/>
                <w:b/>
                <w:sz w:val="20"/>
              </w:rPr>
              <w:t>Design/</w:t>
            </w:r>
            <w:r w:rsidR="007F1017" w:rsidRPr="00A93F15">
              <w:rPr>
                <w:rFonts w:ascii="Arial Narrow" w:hAnsi="Arial Narrow"/>
                <w:b/>
                <w:sz w:val="20"/>
              </w:rPr>
              <w:t>duration</w:t>
            </w:r>
          </w:p>
        </w:tc>
        <w:tc>
          <w:tcPr>
            <w:tcW w:w="594" w:type="pct"/>
            <w:shd w:val="clear" w:color="auto" w:fill="auto"/>
            <w:vAlign w:val="center"/>
          </w:tcPr>
          <w:p w:rsidR="007F1017" w:rsidRPr="00A93F15" w:rsidRDefault="007F1017" w:rsidP="006C77AE">
            <w:pPr>
              <w:keepNext/>
              <w:widowControl/>
              <w:jc w:val="center"/>
              <w:rPr>
                <w:rFonts w:ascii="Arial Narrow" w:hAnsi="Arial Narrow"/>
                <w:b/>
                <w:sz w:val="20"/>
              </w:rPr>
            </w:pPr>
            <w:r w:rsidRPr="00A93F15">
              <w:rPr>
                <w:rFonts w:ascii="Arial Narrow" w:hAnsi="Arial Narrow"/>
                <w:b/>
                <w:sz w:val="20"/>
              </w:rPr>
              <w:t>Risk of bias</w:t>
            </w:r>
          </w:p>
        </w:tc>
        <w:tc>
          <w:tcPr>
            <w:tcW w:w="685" w:type="pct"/>
            <w:shd w:val="clear" w:color="auto" w:fill="auto"/>
            <w:vAlign w:val="center"/>
          </w:tcPr>
          <w:p w:rsidR="007F1017" w:rsidRPr="00A93F15" w:rsidRDefault="007F1017" w:rsidP="006C77AE">
            <w:pPr>
              <w:keepNext/>
              <w:widowControl/>
              <w:jc w:val="center"/>
              <w:rPr>
                <w:rFonts w:ascii="Arial Narrow" w:hAnsi="Arial Narrow"/>
                <w:b/>
                <w:sz w:val="20"/>
              </w:rPr>
            </w:pPr>
            <w:r w:rsidRPr="00A93F15">
              <w:rPr>
                <w:rFonts w:ascii="Arial Narrow" w:hAnsi="Arial Narrow"/>
                <w:b/>
                <w:sz w:val="20"/>
              </w:rPr>
              <w:t>Patient population</w:t>
            </w:r>
          </w:p>
        </w:tc>
        <w:tc>
          <w:tcPr>
            <w:tcW w:w="599" w:type="pct"/>
            <w:shd w:val="clear" w:color="auto" w:fill="auto"/>
            <w:vAlign w:val="center"/>
          </w:tcPr>
          <w:p w:rsidR="007F1017" w:rsidRPr="00A93F15" w:rsidRDefault="007F1017" w:rsidP="006C77AE">
            <w:pPr>
              <w:keepNext/>
              <w:widowControl/>
              <w:jc w:val="center"/>
              <w:rPr>
                <w:rFonts w:ascii="Arial Narrow" w:hAnsi="Arial Narrow"/>
                <w:b/>
                <w:sz w:val="20"/>
              </w:rPr>
            </w:pPr>
            <w:r w:rsidRPr="00A93F15">
              <w:rPr>
                <w:rFonts w:ascii="Arial Narrow" w:hAnsi="Arial Narrow"/>
                <w:b/>
                <w:sz w:val="20"/>
              </w:rPr>
              <w:t>Outcomes</w:t>
            </w:r>
          </w:p>
        </w:tc>
        <w:tc>
          <w:tcPr>
            <w:tcW w:w="913" w:type="pct"/>
            <w:shd w:val="clear" w:color="auto" w:fill="auto"/>
            <w:vAlign w:val="center"/>
          </w:tcPr>
          <w:p w:rsidR="007F1017" w:rsidRPr="00A93F15" w:rsidRDefault="007F1017" w:rsidP="006C77AE">
            <w:pPr>
              <w:keepNext/>
              <w:widowControl/>
              <w:jc w:val="center"/>
              <w:rPr>
                <w:rFonts w:ascii="Arial Narrow" w:hAnsi="Arial Narrow"/>
                <w:b/>
                <w:sz w:val="20"/>
              </w:rPr>
            </w:pPr>
            <w:r w:rsidRPr="00A93F15">
              <w:rPr>
                <w:rFonts w:ascii="Arial Narrow" w:hAnsi="Arial Narrow"/>
                <w:b/>
                <w:sz w:val="20"/>
              </w:rPr>
              <w:t xml:space="preserve">Use in </w:t>
            </w:r>
            <w:r w:rsidR="000861ED" w:rsidRPr="00A93F15">
              <w:rPr>
                <w:rFonts w:ascii="Arial Narrow" w:hAnsi="Arial Narrow"/>
                <w:b/>
                <w:sz w:val="20"/>
              </w:rPr>
              <w:t>economic analysis</w:t>
            </w:r>
          </w:p>
        </w:tc>
      </w:tr>
      <w:tr w:rsidR="00C42FAE" w:rsidRPr="00A93F15" w:rsidTr="00E22A0D">
        <w:tc>
          <w:tcPr>
            <w:tcW w:w="5000" w:type="pct"/>
            <w:gridSpan w:val="7"/>
            <w:shd w:val="clear" w:color="auto" w:fill="auto"/>
            <w:vAlign w:val="center"/>
          </w:tcPr>
          <w:p w:rsidR="007F1017" w:rsidRPr="00A93F15" w:rsidRDefault="00A971DD" w:rsidP="006C77AE">
            <w:pPr>
              <w:keepNext/>
              <w:widowControl/>
              <w:jc w:val="left"/>
              <w:rPr>
                <w:rFonts w:ascii="Arial Narrow" w:hAnsi="Arial Narrow"/>
                <w:b/>
                <w:sz w:val="20"/>
              </w:rPr>
            </w:pPr>
            <w:r w:rsidRPr="00A93F15">
              <w:rPr>
                <w:rFonts w:ascii="Arial Narrow" w:hAnsi="Arial Narrow"/>
                <w:b/>
                <w:sz w:val="20"/>
              </w:rPr>
              <w:t>Calcipotriol plus betamethasone foam spray versus gel</w:t>
            </w:r>
          </w:p>
        </w:tc>
      </w:tr>
      <w:tr w:rsidR="00C42FAE" w:rsidRPr="00A93F15" w:rsidTr="00726FCB">
        <w:tc>
          <w:tcPr>
            <w:tcW w:w="679" w:type="pct"/>
            <w:shd w:val="clear" w:color="auto" w:fill="auto"/>
            <w:vAlign w:val="center"/>
          </w:tcPr>
          <w:p w:rsidR="007F1017" w:rsidRPr="00A93F15" w:rsidRDefault="00A971DD" w:rsidP="006C77AE">
            <w:pPr>
              <w:keepNext/>
              <w:widowControl/>
              <w:jc w:val="left"/>
              <w:rPr>
                <w:rFonts w:ascii="Arial Narrow" w:hAnsi="Arial Narrow"/>
                <w:sz w:val="20"/>
              </w:rPr>
            </w:pPr>
            <w:r w:rsidRPr="00A93F15">
              <w:rPr>
                <w:rFonts w:ascii="Arial Narrow" w:hAnsi="Arial Narrow"/>
                <w:sz w:val="20"/>
              </w:rPr>
              <w:t>LP0053-1003</w:t>
            </w:r>
          </w:p>
        </w:tc>
        <w:tc>
          <w:tcPr>
            <w:tcW w:w="426"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463</w:t>
            </w:r>
          </w:p>
        </w:tc>
        <w:tc>
          <w:tcPr>
            <w:tcW w:w="1104" w:type="pct"/>
            <w:shd w:val="clear" w:color="auto" w:fill="auto"/>
            <w:vAlign w:val="center"/>
          </w:tcPr>
          <w:p w:rsidR="007F1017" w:rsidRPr="00A93F15" w:rsidRDefault="007F1017" w:rsidP="006C77AE">
            <w:pPr>
              <w:keepNext/>
              <w:widowControl/>
              <w:jc w:val="center"/>
              <w:rPr>
                <w:rFonts w:ascii="Arial Narrow" w:hAnsi="Arial Narrow"/>
                <w:sz w:val="20"/>
              </w:rPr>
            </w:pPr>
            <w:r w:rsidRPr="00A93F15">
              <w:rPr>
                <w:rFonts w:ascii="Arial Narrow" w:hAnsi="Arial Narrow"/>
                <w:sz w:val="20"/>
              </w:rPr>
              <w:t xml:space="preserve">R, </w:t>
            </w:r>
            <w:r w:rsidR="006516DD" w:rsidRPr="00A93F15">
              <w:rPr>
                <w:rFonts w:ascii="Arial Narrow" w:hAnsi="Arial Narrow"/>
                <w:sz w:val="20"/>
              </w:rPr>
              <w:t>MC, IB</w:t>
            </w:r>
          </w:p>
          <w:p w:rsidR="007F1017" w:rsidRPr="00A93F15" w:rsidRDefault="00A971DD" w:rsidP="006C77AE">
            <w:pPr>
              <w:keepNext/>
              <w:widowControl/>
              <w:jc w:val="center"/>
              <w:rPr>
                <w:rFonts w:ascii="Arial Narrow" w:hAnsi="Arial Narrow"/>
                <w:sz w:val="20"/>
              </w:rPr>
            </w:pPr>
            <w:r w:rsidRPr="00A93F15">
              <w:rPr>
                <w:rFonts w:ascii="Arial Narrow" w:hAnsi="Arial Narrow"/>
                <w:sz w:val="20"/>
              </w:rPr>
              <w:t>12 weeks</w:t>
            </w:r>
          </w:p>
        </w:tc>
        <w:tc>
          <w:tcPr>
            <w:tcW w:w="594"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High</w:t>
            </w:r>
          </w:p>
        </w:tc>
        <w:tc>
          <w:tcPr>
            <w:tcW w:w="685" w:type="pct"/>
            <w:shd w:val="clear" w:color="auto" w:fill="auto"/>
            <w:vAlign w:val="center"/>
          </w:tcPr>
          <w:p w:rsidR="007F1017" w:rsidRPr="00A93F15" w:rsidRDefault="000861ED" w:rsidP="006C77AE">
            <w:pPr>
              <w:keepNext/>
              <w:widowControl/>
              <w:jc w:val="center"/>
              <w:rPr>
                <w:rFonts w:ascii="Arial Narrow" w:hAnsi="Arial Narrow"/>
                <w:sz w:val="20"/>
              </w:rPr>
            </w:pPr>
            <w:r w:rsidRPr="00A93F15">
              <w:rPr>
                <w:rFonts w:ascii="Arial Narrow" w:hAnsi="Arial Narrow"/>
                <w:sz w:val="20"/>
              </w:rPr>
              <w:t>Adults with p</w:t>
            </w:r>
            <w:r w:rsidR="00726FCB" w:rsidRPr="00A93F15">
              <w:rPr>
                <w:rFonts w:ascii="Arial Narrow" w:hAnsi="Arial Narrow"/>
                <w:sz w:val="20"/>
              </w:rPr>
              <w:t>so</w:t>
            </w:r>
            <w:r w:rsidR="00A971DD" w:rsidRPr="00A93F15">
              <w:rPr>
                <w:rFonts w:ascii="Arial Narrow" w:hAnsi="Arial Narrow"/>
                <w:sz w:val="20"/>
              </w:rPr>
              <w:t>riasis vulgaris</w:t>
            </w:r>
          </w:p>
        </w:tc>
        <w:tc>
          <w:tcPr>
            <w:tcW w:w="599"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IGA, PASI75</w:t>
            </w:r>
          </w:p>
        </w:tc>
        <w:tc>
          <w:tcPr>
            <w:tcW w:w="913"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PASI75</w:t>
            </w:r>
          </w:p>
        </w:tc>
      </w:tr>
      <w:tr w:rsidR="00C42FAE" w:rsidRPr="00A93F15" w:rsidTr="00A971DD">
        <w:tc>
          <w:tcPr>
            <w:tcW w:w="5000" w:type="pct"/>
            <w:gridSpan w:val="7"/>
            <w:shd w:val="clear" w:color="auto" w:fill="auto"/>
            <w:vAlign w:val="center"/>
          </w:tcPr>
          <w:p w:rsidR="00A971DD" w:rsidRPr="00A93F15" w:rsidRDefault="00A971DD" w:rsidP="006C77AE">
            <w:pPr>
              <w:keepNext/>
              <w:widowControl/>
              <w:jc w:val="left"/>
              <w:rPr>
                <w:rFonts w:ascii="Arial Narrow" w:hAnsi="Arial Narrow"/>
                <w:b/>
                <w:sz w:val="20"/>
              </w:rPr>
            </w:pPr>
            <w:r w:rsidRPr="00A93F15">
              <w:rPr>
                <w:rFonts w:ascii="Arial Narrow" w:hAnsi="Arial Narrow"/>
                <w:b/>
                <w:sz w:val="20"/>
              </w:rPr>
              <w:t>Calcipotriol plus betamethasone foam spray versus ointment</w:t>
            </w:r>
          </w:p>
        </w:tc>
      </w:tr>
      <w:tr w:rsidR="00C42FAE" w:rsidRPr="00A93F15" w:rsidTr="00726FCB">
        <w:tc>
          <w:tcPr>
            <w:tcW w:w="679" w:type="pct"/>
            <w:shd w:val="clear" w:color="auto" w:fill="auto"/>
            <w:vAlign w:val="center"/>
          </w:tcPr>
          <w:p w:rsidR="007F1017" w:rsidRPr="00A93F15" w:rsidRDefault="00A971DD" w:rsidP="006C77AE">
            <w:pPr>
              <w:keepNext/>
              <w:widowControl/>
              <w:jc w:val="left"/>
              <w:rPr>
                <w:rFonts w:ascii="Arial Narrow" w:hAnsi="Arial Narrow"/>
                <w:sz w:val="20"/>
              </w:rPr>
            </w:pPr>
            <w:r w:rsidRPr="00A93F15">
              <w:rPr>
                <w:rFonts w:ascii="Arial Narrow" w:hAnsi="Arial Narrow"/>
                <w:sz w:val="20"/>
              </w:rPr>
              <w:t>LEO90100-35</w:t>
            </w:r>
          </w:p>
        </w:tc>
        <w:tc>
          <w:tcPr>
            <w:tcW w:w="426"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376</w:t>
            </w:r>
          </w:p>
        </w:tc>
        <w:tc>
          <w:tcPr>
            <w:tcW w:w="1104"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 xml:space="preserve">R, </w:t>
            </w:r>
            <w:r w:rsidR="006516DD" w:rsidRPr="00A93F15">
              <w:rPr>
                <w:rFonts w:ascii="Arial Narrow" w:hAnsi="Arial Narrow"/>
                <w:sz w:val="20"/>
              </w:rPr>
              <w:t>MC, IB</w:t>
            </w:r>
            <w:r w:rsidRPr="00A93F15">
              <w:rPr>
                <w:rFonts w:ascii="Arial Narrow" w:hAnsi="Arial Narrow"/>
                <w:sz w:val="20"/>
              </w:rPr>
              <w:t>, 4 weeks</w:t>
            </w:r>
          </w:p>
        </w:tc>
        <w:tc>
          <w:tcPr>
            <w:tcW w:w="594"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High</w:t>
            </w:r>
          </w:p>
        </w:tc>
        <w:tc>
          <w:tcPr>
            <w:tcW w:w="685" w:type="pct"/>
            <w:shd w:val="clear" w:color="auto" w:fill="auto"/>
            <w:vAlign w:val="center"/>
          </w:tcPr>
          <w:p w:rsidR="007F1017" w:rsidRPr="00A93F15" w:rsidRDefault="000861ED" w:rsidP="006C77AE">
            <w:pPr>
              <w:keepNext/>
              <w:widowControl/>
              <w:jc w:val="center"/>
              <w:rPr>
                <w:rFonts w:ascii="Arial Narrow" w:hAnsi="Arial Narrow"/>
                <w:sz w:val="20"/>
              </w:rPr>
            </w:pPr>
            <w:r w:rsidRPr="00A93F15">
              <w:rPr>
                <w:rFonts w:ascii="Arial Narrow" w:hAnsi="Arial Narrow"/>
                <w:sz w:val="20"/>
              </w:rPr>
              <w:t>Adults with p</w:t>
            </w:r>
            <w:r w:rsidR="00A971DD" w:rsidRPr="00A93F15">
              <w:rPr>
                <w:rFonts w:ascii="Arial Narrow" w:hAnsi="Arial Narrow"/>
                <w:sz w:val="20"/>
              </w:rPr>
              <w:t>soriasis vulgaris</w:t>
            </w:r>
          </w:p>
        </w:tc>
        <w:tc>
          <w:tcPr>
            <w:tcW w:w="599" w:type="pct"/>
            <w:shd w:val="clear" w:color="auto" w:fill="auto"/>
            <w:vAlign w:val="center"/>
          </w:tcPr>
          <w:p w:rsidR="007F1017" w:rsidRPr="00A93F15" w:rsidRDefault="006516DD" w:rsidP="006C77AE">
            <w:pPr>
              <w:keepNext/>
              <w:widowControl/>
              <w:jc w:val="center"/>
              <w:rPr>
                <w:rFonts w:ascii="Arial Narrow" w:hAnsi="Arial Narrow"/>
                <w:sz w:val="20"/>
              </w:rPr>
            </w:pPr>
            <w:r w:rsidRPr="00A93F15">
              <w:rPr>
                <w:rFonts w:ascii="Arial Narrow" w:hAnsi="Arial Narrow"/>
                <w:sz w:val="20"/>
              </w:rPr>
              <w:t>Controlled disease</w:t>
            </w:r>
            <w:r w:rsidR="00A971DD" w:rsidRPr="00A93F15">
              <w:rPr>
                <w:rFonts w:ascii="Arial Narrow" w:hAnsi="Arial Narrow"/>
                <w:sz w:val="20"/>
              </w:rPr>
              <w:t>, PASI75</w:t>
            </w:r>
          </w:p>
        </w:tc>
        <w:tc>
          <w:tcPr>
            <w:tcW w:w="913" w:type="pct"/>
            <w:shd w:val="clear" w:color="auto" w:fill="auto"/>
            <w:vAlign w:val="center"/>
          </w:tcPr>
          <w:p w:rsidR="007F1017" w:rsidRPr="00A93F15" w:rsidRDefault="00A971DD" w:rsidP="006C77AE">
            <w:pPr>
              <w:keepNext/>
              <w:widowControl/>
              <w:jc w:val="center"/>
              <w:rPr>
                <w:rFonts w:ascii="Arial Narrow" w:hAnsi="Arial Narrow"/>
                <w:sz w:val="20"/>
              </w:rPr>
            </w:pPr>
            <w:r w:rsidRPr="00A93F15">
              <w:rPr>
                <w:rFonts w:ascii="Arial Narrow" w:hAnsi="Arial Narrow"/>
                <w:sz w:val="20"/>
              </w:rPr>
              <w:t>Used for scenario analysis only based on PAS</w:t>
            </w:r>
            <w:r w:rsidR="00DB5908" w:rsidRPr="00A93F15">
              <w:rPr>
                <w:rFonts w:ascii="Arial Narrow" w:hAnsi="Arial Narrow"/>
                <w:sz w:val="20"/>
              </w:rPr>
              <w:t>I</w:t>
            </w:r>
            <w:r w:rsidRPr="00A93F15">
              <w:rPr>
                <w:rFonts w:ascii="Arial Narrow" w:hAnsi="Arial Narrow"/>
                <w:sz w:val="20"/>
              </w:rPr>
              <w:t>75</w:t>
            </w:r>
          </w:p>
        </w:tc>
      </w:tr>
    </w:tbl>
    <w:p w:rsidR="007F1017" w:rsidRPr="00A93F15" w:rsidRDefault="007F1017" w:rsidP="006C77AE">
      <w:pPr>
        <w:pStyle w:val="TableFooter"/>
        <w:keepNext/>
        <w:widowControl/>
        <w:ind w:left="720"/>
      </w:pPr>
      <w:r w:rsidRPr="00A93F15">
        <w:t>R=randomised</w:t>
      </w:r>
      <w:r w:rsidR="006516DD" w:rsidRPr="00A93F15">
        <w:t>; MC=multi-centre; IB=investigator blinded</w:t>
      </w:r>
      <w:r w:rsidR="00D6370A" w:rsidRPr="00A93F15">
        <w:t>; IGA=Investigator’s Global Assessment of disease severity; PASI75= Proportion of patients achieving at least a 75% reduction in the modified-Psoriasis Area and Severity Index from baseline</w:t>
      </w:r>
      <w:r w:rsidRPr="00A93F15">
        <w:t>.</w:t>
      </w:r>
    </w:p>
    <w:p w:rsidR="007F1017" w:rsidRPr="00A93F15" w:rsidRDefault="007F1017" w:rsidP="006C77AE">
      <w:pPr>
        <w:pStyle w:val="TableFooter"/>
        <w:widowControl/>
        <w:ind w:firstLine="720"/>
      </w:pPr>
      <w:r w:rsidRPr="00A93F15">
        <w:t>Source: compiled during the evaluation</w:t>
      </w:r>
    </w:p>
    <w:p w:rsidR="007F1017" w:rsidRPr="00A93F15" w:rsidRDefault="007F1017" w:rsidP="006C77AE">
      <w:pPr>
        <w:widowControl/>
      </w:pPr>
    </w:p>
    <w:p w:rsidR="0050075D" w:rsidRPr="00A93F15" w:rsidRDefault="00DB5908" w:rsidP="006C77AE">
      <w:pPr>
        <w:pStyle w:val="ListParagraph"/>
        <w:widowControl/>
        <w:numPr>
          <w:ilvl w:val="1"/>
          <w:numId w:val="5"/>
        </w:numPr>
        <w:rPr>
          <w:szCs w:val="22"/>
        </w:rPr>
      </w:pPr>
      <w:r w:rsidRPr="00A93F15">
        <w:t xml:space="preserve">The comparison of calcipotriol plus betamethasone foam spray to calcipotriol plus betamethasone ointment was only </w:t>
      </w:r>
      <w:r w:rsidR="001B537B" w:rsidRPr="00A93F15">
        <w:t xml:space="preserve">presented as a </w:t>
      </w:r>
      <w:r w:rsidR="00D36743" w:rsidRPr="00A93F15">
        <w:t>secondary comparison</w:t>
      </w:r>
      <w:r w:rsidRPr="00A93F15">
        <w:t>.</w:t>
      </w:r>
    </w:p>
    <w:p w:rsidR="0029247A" w:rsidRPr="00A93F15" w:rsidRDefault="0029247A" w:rsidP="006C77AE">
      <w:pPr>
        <w:widowControl/>
        <w:ind w:left="720"/>
      </w:pPr>
    </w:p>
    <w:p w:rsidR="006E637E" w:rsidRPr="00A93F15" w:rsidRDefault="006E637E" w:rsidP="006C77AE">
      <w:pPr>
        <w:widowControl/>
        <w:ind w:left="720"/>
      </w:pPr>
    </w:p>
    <w:p w:rsidR="00935DC0" w:rsidRDefault="00935DC0">
      <w:pPr>
        <w:widowControl/>
        <w:jc w:val="left"/>
        <w:rPr>
          <w:b/>
          <w:i/>
        </w:rPr>
      </w:pPr>
      <w:bookmarkStart w:id="11" w:name="_Toc461530261"/>
      <w:r>
        <w:br w:type="page"/>
      </w:r>
    </w:p>
    <w:p w:rsidR="00B60939" w:rsidRPr="00A93F15" w:rsidRDefault="00B60939" w:rsidP="00CF2EDE">
      <w:pPr>
        <w:pStyle w:val="Heading2"/>
      </w:pPr>
      <w:r w:rsidRPr="00A93F15">
        <w:lastRenderedPageBreak/>
        <w:t>Comparative effectiveness</w:t>
      </w:r>
      <w:bookmarkEnd w:id="11"/>
    </w:p>
    <w:p w:rsidR="00B60939" w:rsidRPr="00A93F15" w:rsidRDefault="00B60939" w:rsidP="006C77AE">
      <w:pPr>
        <w:keepNext/>
        <w:widowControl/>
        <w:rPr>
          <w:szCs w:val="22"/>
        </w:rPr>
      </w:pPr>
    </w:p>
    <w:p w:rsidR="002C2775" w:rsidRPr="00A93F15" w:rsidRDefault="00C811C3" w:rsidP="006C77AE">
      <w:pPr>
        <w:pStyle w:val="ListParagraph"/>
        <w:widowControl/>
        <w:numPr>
          <w:ilvl w:val="1"/>
          <w:numId w:val="5"/>
        </w:numPr>
        <w:rPr>
          <w:szCs w:val="22"/>
        </w:rPr>
      </w:pPr>
      <w:r w:rsidRPr="00A93F15">
        <w:rPr>
          <w:szCs w:val="22"/>
        </w:rPr>
        <w:t xml:space="preserve">Results for the primary outcome based on Investigator’s Global Assessment of disease severity (IGA) for LP0053-1003 and </w:t>
      </w:r>
      <w:r w:rsidR="00883181" w:rsidRPr="00A93F15">
        <w:rPr>
          <w:szCs w:val="22"/>
        </w:rPr>
        <w:t>C</w:t>
      </w:r>
      <w:r w:rsidRPr="00A93F15">
        <w:rPr>
          <w:szCs w:val="22"/>
        </w:rPr>
        <w:t>ontrolled disease for LEO90100-35 are outline</w:t>
      </w:r>
      <w:r w:rsidR="00FF0ACE" w:rsidRPr="00A93F15">
        <w:rPr>
          <w:szCs w:val="22"/>
        </w:rPr>
        <w:t>d</w:t>
      </w:r>
      <w:r w:rsidRPr="00A93F15">
        <w:rPr>
          <w:szCs w:val="22"/>
        </w:rPr>
        <w:t xml:space="preserve"> in Table 3 below. </w:t>
      </w:r>
    </w:p>
    <w:p w:rsidR="00C811C3" w:rsidRPr="00A93F15" w:rsidRDefault="00C811C3" w:rsidP="006C77AE">
      <w:pPr>
        <w:widowControl/>
        <w:rPr>
          <w:szCs w:val="22"/>
        </w:rPr>
      </w:pPr>
    </w:p>
    <w:p w:rsidR="007F1017" w:rsidRPr="00A93F15" w:rsidRDefault="007F1017" w:rsidP="006C77AE">
      <w:pPr>
        <w:keepNext/>
        <w:widowControl/>
        <w:ind w:left="720"/>
        <w:rPr>
          <w:rStyle w:val="CommentReference"/>
        </w:rPr>
      </w:pPr>
      <w:r w:rsidRPr="00A93F15">
        <w:rPr>
          <w:rStyle w:val="CommentReference"/>
        </w:rPr>
        <w:t xml:space="preserve">Table </w:t>
      </w:r>
      <w:r w:rsidR="002A4F3B" w:rsidRPr="00A93F15">
        <w:rPr>
          <w:rStyle w:val="CommentReference"/>
        </w:rPr>
        <w:t>3</w:t>
      </w:r>
      <w:r w:rsidRPr="00A93F15">
        <w:rPr>
          <w:rStyle w:val="CommentReference"/>
        </w:rPr>
        <w:t xml:space="preserve">: Results of </w:t>
      </w:r>
      <w:r w:rsidR="006E1C35" w:rsidRPr="00A93F15">
        <w:rPr>
          <w:rStyle w:val="CommentReference"/>
        </w:rPr>
        <w:t>the primary outcome of treatment success</w:t>
      </w:r>
      <w:r w:rsidR="003A7D5A" w:rsidRPr="00A93F15">
        <w:rPr>
          <w:rStyle w:val="CommentReference"/>
        </w:rPr>
        <w:t xml:space="preserve"> according to IGA</w:t>
      </w:r>
      <w:r w:rsidR="006E1C35" w:rsidRPr="00A93F15">
        <w:rPr>
          <w:rStyle w:val="CommentReference"/>
        </w:rPr>
        <w:t>/</w:t>
      </w:r>
      <w:r w:rsidR="003A7D5A" w:rsidRPr="00A93F15">
        <w:rPr>
          <w:rStyle w:val="CommentReference"/>
        </w:rPr>
        <w:t>C</w:t>
      </w:r>
      <w:r w:rsidR="006E1C35" w:rsidRPr="00A93F15">
        <w:rPr>
          <w:rStyle w:val="CommentReference"/>
        </w:rPr>
        <w:t>ontrolled disease*</w:t>
      </w:r>
      <w:r w:rsidR="002A4F3B" w:rsidRPr="00A93F15">
        <w:rPr>
          <w:rStyle w:val="CommentReference"/>
        </w:rPr>
        <w:t xml:space="preserve"> </w:t>
      </w:r>
      <w:r w:rsidRPr="00A93F15">
        <w:rPr>
          <w:rStyle w:val="CommentReference"/>
        </w:rPr>
        <w:t xml:space="preserve">across the direct randomised trials </w:t>
      </w:r>
    </w:p>
    <w:tbl>
      <w:tblPr>
        <w:tblW w:w="46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02"/>
        <w:gridCol w:w="1270"/>
        <w:gridCol w:w="1370"/>
        <w:gridCol w:w="946"/>
        <w:gridCol w:w="911"/>
        <w:gridCol w:w="921"/>
        <w:gridCol w:w="1070"/>
        <w:gridCol w:w="985"/>
      </w:tblGrid>
      <w:tr w:rsidR="00C42FAE" w:rsidRPr="00A93F15" w:rsidTr="00AE13EB">
        <w:tc>
          <w:tcPr>
            <w:tcW w:w="538" w:type="pct"/>
            <w:vAlign w:val="center"/>
          </w:tcPr>
          <w:p w:rsidR="0070798F" w:rsidRPr="00A93F15" w:rsidRDefault="0070798F" w:rsidP="006C77AE">
            <w:pPr>
              <w:keepNext/>
              <w:widowControl/>
              <w:jc w:val="left"/>
              <w:rPr>
                <w:rFonts w:ascii="Arial Narrow" w:hAnsi="Arial Narrow"/>
                <w:sz w:val="20"/>
              </w:rPr>
            </w:pPr>
          </w:p>
        </w:tc>
        <w:tc>
          <w:tcPr>
            <w:tcW w:w="75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b/>
                <w:sz w:val="20"/>
              </w:rPr>
              <w:t xml:space="preserve">Calcipotriol + betamethasone n/N (%) </w:t>
            </w:r>
          </w:p>
        </w:tc>
        <w:tc>
          <w:tcPr>
            <w:tcW w:w="81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b/>
                <w:sz w:val="20"/>
              </w:rPr>
              <w:t>Calcipotriol + betamethasone n/N (%)</w:t>
            </w:r>
          </w:p>
        </w:tc>
        <w:tc>
          <w:tcPr>
            <w:tcW w:w="565" w:type="pct"/>
          </w:tcPr>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Relative risk (95%CI)</w:t>
            </w:r>
          </w:p>
        </w:tc>
        <w:tc>
          <w:tcPr>
            <w:tcW w:w="544" w:type="pct"/>
          </w:tcPr>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Number need</w:t>
            </w:r>
            <w:r w:rsidR="003A7D5A" w:rsidRPr="00A93F15">
              <w:rPr>
                <w:rFonts w:ascii="Arial Narrow" w:hAnsi="Arial Narrow"/>
                <w:b/>
                <w:sz w:val="20"/>
              </w:rPr>
              <w:t>ed</w:t>
            </w:r>
            <w:r w:rsidRPr="00A93F15">
              <w:rPr>
                <w:rFonts w:ascii="Arial Narrow" w:hAnsi="Arial Narrow"/>
                <w:b/>
                <w:sz w:val="20"/>
              </w:rPr>
              <w:t xml:space="preserve"> to treat (95% CI)</w:t>
            </w:r>
          </w:p>
        </w:tc>
        <w:tc>
          <w:tcPr>
            <w:tcW w:w="550" w:type="pct"/>
          </w:tcPr>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Risk difference (95% CI)</w:t>
            </w:r>
          </w:p>
        </w:tc>
        <w:tc>
          <w:tcPr>
            <w:tcW w:w="639" w:type="pct"/>
            <w:vAlign w:val="center"/>
          </w:tcPr>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Odds ratio</w:t>
            </w:r>
          </w:p>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(95% CI)</w:t>
            </w:r>
          </w:p>
          <w:p w:rsidR="0070798F" w:rsidRPr="00A93F15" w:rsidRDefault="0070798F" w:rsidP="006C77AE">
            <w:pPr>
              <w:keepNext/>
              <w:widowControl/>
              <w:jc w:val="center"/>
              <w:rPr>
                <w:rFonts w:ascii="Arial Narrow" w:hAnsi="Arial Narrow"/>
                <w:b/>
                <w:sz w:val="20"/>
              </w:rPr>
            </w:pPr>
            <w:r w:rsidRPr="00A93F15">
              <w:rPr>
                <w:rFonts w:ascii="Arial Narrow" w:hAnsi="Arial Narrow"/>
                <w:b/>
                <w:sz w:val="20"/>
              </w:rPr>
              <w:t>p-value</w:t>
            </w:r>
          </w:p>
        </w:tc>
        <w:tc>
          <w:tcPr>
            <w:tcW w:w="58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b/>
                <w:sz w:val="20"/>
              </w:rPr>
              <w:t>Breslow-Day test p-value</w:t>
            </w:r>
          </w:p>
        </w:tc>
      </w:tr>
      <w:tr w:rsidR="00C42FAE" w:rsidRPr="00A93F15" w:rsidTr="00AE13EB">
        <w:tc>
          <w:tcPr>
            <w:tcW w:w="538" w:type="pct"/>
            <w:vMerge w:val="restart"/>
            <w:vAlign w:val="center"/>
          </w:tcPr>
          <w:p w:rsidR="00AE13EB" w:rsidRPr="00A93F15" w:rsidRDefault="00AE13EB" w:rsidP="006C77AE">
            <w:pPr>
              <w:keepNext/>
              <w:widowControl/>
              <w:jc w:val="left"/>
              <w:rPr>
                <w:rFonts w:ascii="Arial Narrow" w:hAnsi="Arial Narrow"/>
                <w:sz w:val="20"/>
              </w:rPr>
            </w:pPr>
            <w:r w:rsidRPr="00A93F15">
              <w:rPr>
                <w:rFonts w:ascii="Arial Narrow" w:hAnsi="Arial Narrow"/>
                <w:sz w:val="20"/>
              </w:rPr>
              <w:t>LP0053-1003</w:t>
            </w:r>
          </w:p>
        </w:tc>
        <w:tc>
          <w:tcPr>
            <w:tcW w:w="75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Foam spray: Week 4*</w:t>
            </w:r>
          </w:p>
        </w:tc>
        <w:tc>
          <w:tcPr>
            <w:tcW w:w="81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Gel: Week 8*</w:t>
            </w:r>
          </w:p>
        </w:tc>
        <w:tc>
          <w:tcPr>
            <w:tcW w:w="2886" w:type="pct"/>
            <w:gridSpan w:val="5"/>
          </w:tcPr>
          <w:p w:rsidR="00AE13EB" w:rsidRPr="00A93F15" w:rsidRDefault="00AE13EB" w:rsidP="006C77AE">
            <w:pPr>
              <w:keepNext/>
              <w:widowControl/>
              <w:jc w:val="center"/>
              <w:rPr>
                <w:rFonts w:ascii="Arial Narrow" w:hAnsi="Arial Narrow"/>
                <w:b/>
                <w:sz w:val="20"/>
              </w:rPr>
            </w:pPr>
          </w:p>
        </w:tc>
      </w:tr>
      <w:tr w:rsidR="00C42FAE" w:rsidRPr="00A93F15" w:rsidTr="00AE13EB">
        <w:tc>
          <w:tcPr>
            <w:tcW w:w="538" w:type="pct"/>
            <w:vMerge/>
            <w:vAlign w:val="center"/>
          </w:tcPr>
          <w:p w:rsidR="0070798F" w:rsidRPr="00A93F15" w:rsidRDefault="0070798F" w:rsidP="006C77AE">
            <w:pPr>
              <w:keepNext/>
              <w:widowControl/>
              <w:jc w:val="left"/>
              <w:rPr>
                <w:rFonts w:ascii="Arial Narrow" w:hAnsi="Arial Narrow"/>
                <w:sz w:val="20"/>
              </w:rPr>
            </w:pPr>
          </w:p>
        </w:tc>
        <w:tc>
          <w:tcPr>
            <w:tcW w:w="75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70.8/185 (38.3)</w:t>
            </w:r>
          </w:p>
        </w:tc>
        <w:tc>
          <w:tcPr>
            <w:tcW w:w="81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42.2/188 (22.5)</w:t>
            </w:r>
          </w:p>
        </w:tc>
        <w:tc>
          <w:tcPr>
            <w:tcW w:w="565"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1.70 (1.24, 2.35)</w:t>
            </w:r>
          </w:p>
        </w:tc>
        <w:tc>
          <w:tcPr>
            <w:tcW w:w="544"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6.32 (3.97, 14.83)</w:t>
            </w:r>
          </w:p>
        </w:tc>
        <w:tc>
          <w:tcPr>
            <w:tcW w:w="550"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0.16 (0.07, 0.25)</w:t>
            </w:r>
          </w:p>
        </w:tc>
        <w:tc>
          <w:tcPr>
            <w:tcW w:w="639"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2.55 (1.46, 4.46)</w:t>
            </w:r>
          </w:p>
          <w:p w:rsidR="0070798F" w:rsidRPr="00A93F15" w:rsidRDefault="0070798F" w:rsidP="006C77AE">
            <w:pPr>
              <w:keepNext/>
              <w:widowControl/>
              <w:jc w:val="center"/>
              <w:rPr>
                <w:rFonts w:ascii="Arial Narrow" w:hAnsi="Arial Narrow"/>
                <w:sz w:val="20"/>
              </w:rPr>
            </w:pPr>
            <w:r w:rsidRPr="00A93F15">
              <w:rPr>
                <w:rFonts w:ascii="Arial Narrow" w:hAnsi="Arial Narrow"/>
                <w:sz w:val="20"/>
              </w:rPr>
              <w:t>p&lt;0.001</w:t>
            </w:r>
          </w:p>
        </w:tc>
        <w:tc>
          <w:tcPr>
            <w:tcW w:w="58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0.47</w:t>
            </w:r>
          </w:p>
        </w:tc>
      </w:tr>
      <w:tr w:rsidR="00C42FAE" w:rsidRPr="00A93F15" w:rsidTr="00AE13EB">
        <w:tc>
          <w:tcPr>
            <w:tcW w:w="538" w:type="pct"/>
            <w:vMerge/>
            <w:vAlign w:val="center"/>
          </w:tcPr>
          <w:p w:rsidR="00AE13EB" w:rsidRPr="00A93F15" w:rsidRDefault="00AE13EB" w:rsidP="006C77AE">
            <w:pPr>
              <w:keepNext/>
              <w:widowControl/>
              <w:jc w:val="left"/>
              <w:rPr>
                <w:rFonts w:ascii="Arial Narrow" w:hAnsi="Arial Narrow"/>
                <w:sz w:val="20"/>
              </w:rPr>
            </w:pPr>
          </w:p>
        </w:tc>
        <w:tc>
          <w:tcPr>
            <w:tcW w:w="75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Foam spray: Week 4**</w:t>
            </w:r>
          </w:p>
        </w:tc>
        <w:tc>
          <w:tcPr>
            <w:tcW w:w="81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Gel: Week 4**</w:t>
            </w:r>
          </w:p>
        </w:tc>
        <w:tc>
          <w:tcPr>
            <w:tcW w:w="2886" w:type="pct"/>
            <w:gridSpan w:val="5"/>
          </w:tcPr>
          <w:p w:rsidR="00AE13EB" w:rsidRPr="00A93F15" w:rsidRDefault="00AE13EB" w:rsidP="006C77AE">
            <w:pPr>
              <w:keepNext/>
              <w:widowControl/>
              <w:jc w:val="center"/>
              <w:rPr>
                <w:rFonts w:ascii="Arial Narrow" w:hAnsi="Arial Narrow"/>
                <w:sz w:val="20"/>
              </w:rPr>
            </w:pPr>
          </w:p>
        </w:tc>
      </w:tr>
      <w:tr w:rsidR="00C42FAE" w:rsidRPr="00A93F15" w:rsidTr="00AE13EB">
        <w:tc>
          <w:tcPr>
            <w:tcW w:w="538" w:type="pct"/>
            <w:vMerge/>
            <w:vAlign w:val="center"/>
          </w:tcPr>
          <w:p w:rsidR="0070798F" w:rsidRPr="00A93F15" w:rsidRDefault="0070798F" w:rsidP="006C77AE">
            <w:pPr>
              <w:keepNext/>
              <w:widowControl/>
              <w:jc w:val="left"/>
              <w:rPr>
                <w:rFonts w:ascii="Arial Narrow" w:hAnsi="Arial Narrow"/>
                <w:sz w:val="20"/>
              </w:rPr>
            </w:pPr>
          </w:p>
        </w:tc>
        <w:tc>
          <w:tcPr>
            <w:tcW w:w="75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68/18</w:t>
            </w:r>
            <w:r w:rsidR="000518ED" w:rsidRPr="00A93F15">
              <w:rPr>
                <w:rFonts w:ascii="Arial Narrow" w:hAnsi="Arial Narrow"/>
                <w:sz w:val="20"/>
              </w:rPr>
              <w:t>0</w:t>
            </w:r>
            <w:r w:rsidRPr="00A93F15">
              <w:rPr>
                <w:rFonts w:ascii="Arial Narrow" w:hAnsi="Arial Narrow"/>
                <w:sz w:val="20"/>
              </w:rPr>
              <w:t xml:space="preserve"> (37.8)</w:t>
            </w:r>
          </w:p>
        </w:tc>
        <w:tc>
          <w:tcPr>
            <w:tcW w:w="81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36/18</w:t>
            </w:r>
            <w:r w:rsidR="000518ED" w:rsidRPr="00A93F15">
              <w:rPr>
                <w:rFonts w:ascii="Arial Narrow" w:hAnsi="Arial Narrow"/>
                <w:sz w:val="20"/>
              </w:rPr>
              <w:t>3</w:t>
            </w:r>
            <w:r w:rsidRPr="00A93F15">
              <w:rPr>
                <w:rFonts w:ascii="Arial Narrow" w:hAnsi="Arial Narrow"/>
                <w:sz w:val="20"/>
              </w:rPr>
              <w:t xml:space="preserve"> (19.7)</w:t>
            </w:r>
          </w:p>
        </w:tc>
        <w:tc>
          <w:tcPr>
            <w:tcW w:w="565"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1.92 (1.26 , 2.73)</w:t>
            </w:r>
          </w:p>
        </w:tc>
        <w:tc>
          <w:tcPr>
            <w:tcW w:w="544"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5.86 (3.86, 12.42)</w:t>
            </w:r>
          </w:p>
        </w:tc>
        <w:tc>
          <w:tcPr>
            <w:tcW w:w="550"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0.18 (0.09, 0.26)</w:t>
            </w:r>
          </w:p>
        </w:tc>
        <w:tc>
          <w:tcPr>
            <w:tcW w:w="639"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2.45 (1.53, 3.93)</w:t>
            </w:r>
          </w:p>
          <w:p w:rsidR="0070798F" w:rsidRPr="00A93F15" w:rsidRDefault="0070798F" w:rsidP="006C77AE">
            <w:pPr>
              <w:keepNext/>
              <w:widowControl/>
              <w:jc w:val="center"/>
              <w:rPr>
                <w:rFonts w:ascii="Arial Narrow" w:hAnsi="Arial Narrow"/>
                <w:sz w:val="20"/>
              </w:rPr>
            </w:pPr>
            <w:r w:rsidRPr="00A93F15">
              <w:rPr>
                <w:rFonts w:ascii="Arial Narrow" w:hAnsi="Arial Narrow"/>
                <w:sz w:val="20"/>
              </w:rPr>
              <w:t>p=0.0002</w:t>
            </w:r>
          </w:p>
        </w:tc>
        <w:tc>
          <w:tcPr>
            <w:tcW w:w="588" w:type="pct"/>
            <w:vAlign w:val="center"/>
          </w:tcPr>
          <w:p w:rsidR="0070798F" w:rsidRPr="00A93F15" w:rsidRDefault="0070798F" w:rsidP="006C77AE">
            <w:pPr>
              <w:keepNext/>
              <w:widowControl/>
              <w:jc w:val="center"/>
              <w:rPr>
                <w:rFonts w:ascii="Arial Narrow" w:hAnsi="Arial Narrow"/>
                <w:sz w:val="20"/>
              </w:rPr>
            </w:pPr>
          </w:p>
        </w:tc>
      </w:tr>
      <w:tr w:rsidR="00C42FAE" w:rsidRPr="00A93F15" w:rsidTr="00AE13EB">
        <w:tc>
          <w:tcPr>
            <w:tcW w:w="538" w:type="pct"/>
            <w:vAlign w:val="center"/>
          </w:tcPr>
          <w:p w:rsidR="00AE13EB" w:rsidRPr="00A93F15" w:rsidRDefault="00AE13EB" w:rsidP="006C77AE">
            <w:pPr>
              <w:keepNext/>
              <w:widowControl/>
              <w:jc w:val="left"/>
              <w:rPr>
                <w:rFonts w:ascii="Arial Narrow" w:hAnsi="Arial Narrow"/>
                <w:sz w:val="20"/>
              </w:rPr>
            </w:pPr>
          </w:p>
        </w:tc>
        <w:tc>
          <w:tcPr>
            <w:tcW w:w="75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Foam spray: Week 4***</w:t>
            </w:r>
          </w:p>
        </w:tc>
        <w:tc>
          <w:tcPr>
            <w:tcW w:w="818" w:type="pct"/>
            <w:vAlign w:val="center"/>
          </w:tcPr>
          <w:p w:rsidR="00AE13EB" w:rsidRPr="00A93F15" w:rsidRDefault="00AE13EB" w:rsidP="006C77AE">
            <w:pPr>
              <w:keepNext/>
              <w:widowControl/>
              <w:jc w:val="center"/>
              <w:rPr>
                <w:rFonts w:ascii="Arial Narrow" w:hAnsi="Arial Narrow"/>
                <w:b/>
                <w:sz w:val="20"/>
              </w:rPr>
            </w:pPr>
            <w:r w:rsidRPr="00A93F15">
              <w:rPr>
                <w:rFonts w:ascii="Arial Narrow" w:hAnsi="Arial Narrow"/>
                <w:b/>
                <w:sz w:val="20"/>
              </w:rPr>
              <w:t>Ointment: Week 4***</w:t>
            </w:r>
          </w:p>
        </w:tc>
        <w:tc>
          <w:tcPr>
            <w:tcW w:w="2886" w:type="pct"/>
            <w:gridSpan w:val="5"/>
          </w:tcPr>
          <w:p w:rsidR="00AE13EB" w:rsidRPr="00A93F15" w:rsidRDefault="00AE13EB" w:rsidP="006C77AE">
            <w:pPr>
              <w:keepNext/>
              <w:widowControl/>
              <w:jc w:val="center"/>
              <w:rPr>
                <w:rFonts w:ascii="Arial Narrow" w:hAnsi="Arial Narrow"/>
                <w:sz w:val="20"/>
              </w:rPr>
            </w:pPr>
          </w:p>
        </w:tc>
      </w:tr>
      <w:tr w:rsidR="00C42FAE" w:rsidRPr="00A93F15" w:rsidTr="00AE13EB">
        <w:tc>
          <w:tcPr>
            <w:tcW w:w="538" w:type="pct"/>
            <w:vAlign w:val="center"/>
          </w:tcPr>
          <w:p w:rsidR="0070798F" w:rsidRPr="00A93F15" w:rsidRDefault="0070798F" w:rsidP="006C77AE">
            <w:pPr>
              <w:keepNext/>
              <w:widowControl/>
              <w:jc w:val="left"/>
              <w:rPr>
                <w:rFonts w:ascii="Arial Narrow" w:hAnsi="Arial Narrow"/>
                <w:sz w:val="20"/>
              </w:rPr>
            </w:pPr>
            <w:r w:rsidRPr="00A93F15">
              <w:rPr>
                <w:rFonts w:ascii="Arial Narrow" w:hAnsi="Arial Narrow"/>
                <w:sz w:val="20"/>
              </w:rPr>
              <w:t>LEO90100-35</w:t>
            </w:r>
          </w:p>
        </w:tc>
        <w:tc>
          <w:tcPr>
            <w:tcW w:w="75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77/141 (54.6)</w:t>
            </w:r>
          </w:p>
        </w:tc>
        <w:tc>
          <w:tcPr>
            <w:tcW w:w="81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58/135 (43.0)</w:t>
            </w:r>
          </w:p>
        </w:tc>
        <w:tc>
          <w:tcPr>
            <w:tcW w:w="565"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1.27 (1.00, 1.63)</w:t>
            </w:r>
          </w:p>
        </w:tc>
        <w:tc>
          <w:tcPr>
            <w:tcW w:w="544"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8.59 (4.32, 5</w:t>
            </w:r>
            <w:r w:rsidR="00776E55" w:rsidRPr="00A93F15">
              <w:rPr>
                <w:rFonts w:ascii="Arial Narrow" w:hAnsi="Arial Narrow"/>
                <w:i/>
                <w:sz w:val="20"/>
              </w:rPr>
              <w:t>8</w:t>
            </w:r>
            <w:r w:rsidRPr="00A93F15">
              <w:rPr>
                <w:rFonts w:ascii="Arial Narrow" w:hAnsi="Arial Narrow"/>
                <w:i/>
                <w:sz w:val="20"/>
              </w:rPr>
              <w:t>1)</w:t>
            </w:r>
          </w:p>
        </w:tc>
        <w:tc>
          <w:tcPr>
            <w:tcW w:w="550" w:type="pct"/>
          </w:tcPr>
          <w:p w:rsidR="0070798F" w:rsidRPr="00A93F15" w:rsidRDefault="0070798F" w:rsidP="006C77AE">
            <w:pPr>
              <w:keepNext/>
              <w:widowControl/>
              <w:jc w:val="center"/>
              <w:rPr>
                <w:rFonts w:ascii="Arial Narrow" w:hAnsi="Arial Narrow"/>
                <w:i/>
                <w:sz w:val="20"/>
              </w:rPr>
            </w:pPr>
            <w:r w:rsidRPr="00A93F15">
              <w:rPr>
                <w:rFonts w:ascii="Arial Narrow" w:hAnsi="Arial Narrow"/>
                <w:i/>
                <w:sz w:val="20"/>
              </w:rPr>
              <w:t>0.12 (0.00, 0.23)</w:t>
            </w:r>
          </w:p>
        </w:tc>
        <w:tc>
          <w:tcPr>
            <w:tcW w:w="639"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1.7 (1.1, 2.8)</w:t>
            </w:r>
          </w:p>
          <w:p w:rsidR="0070798F" w:rsidRPr="00A93F15" w:rsidRDefault="0070798F" w:rsidP="006C77AE">
            <w:pPr>
              <w:keepNext/>
              <w:widowControl/>
              <w:jc w:val="center"/>
              <w:rPr>
                <w:rFonts w:ascii="Arial Narrow" w:hAnsi="Arial Narrow"/>
                <w:sz w:val="20"/>
              </w:rPr>
            </w:pPr>
            <w:r w:rsidRPr="00A93F15">
              <w:rPr>
                <w:rFonts w:ascii="Arial Narrow" w:hAnsi="Arial Narrow"/>
                <w:sz w:val="20"/>
              </w:rPr>
              <w:t>p=0.025</w:t>
            </w:r>
          </w:p>
        </w:tc>
        <w:tc>
          <w:tcPr>
            <w:tcW w:w="588" w:type="pct"/>
            <w:vAlign w:val="center"/>
          </w:tcPr>
          <w:p w:rsidR="0070798F" w:rsidRPr="00A93F15" w:rsidRDefault="0070798F" w:rsidP="006C77AE">
            <w:pPr>
              <w:keepNext/>
              <w:widowControl/>
              <w:jc w:val="center"/>
              <w:rPr>
                <w:rFonts w:ascii="Arial Narrow" w:hAnsi="Arial Narrow"/>
                <w:sz w:val="20"/>
              </w:rPr>
            </w:pPr>
            <w:r w:rsidRPr="00A93F15">
              <w:rPr>
                <w:rFonts w:ascii="Arial Narrow" w:hAnsi="Arial Narrow"/>
                <w:sz w:val="20"/>
              </w:rPr>
              <w:t>0.023</w:t>
            </w:r>
          </w:p>
        </w:tc>
      </w:tr>
    </w:tbl>
    <w:p w:rsidR="006E1C35" w:rsidRPr="00A93F15" w:rsidRDefault="006E1C35" w:rsidP="006C77AE">
      <w:pPr>
        <w:pStyle w:val="TableFooter"/>
        <w:keepNext/>
        <w:widowControl/>
        <w:ind w:left="720"/>
        <w:rPr>
          <w:i/>
        </w:rPr>
      </w:pPr>
      <w:r w:rsidRPr="00A93F15">
        <w:rPr>
          <w:i/>
        </w:rPr>
        <w:t>Figures in italics were calculated during the evaluation</w:t>
      </w:r>
    </w:p>
    <w:p w:rsidR="006E1C35" w:rsidRPr="00A93F15" w:rsidRDefault="006E1C35" w:rsidP="006C77AE">
      <w:pPr>
        <w:pStyle w:val="TableFooter"/>
        <w:keepNext/>
        <w:widowControl/>
        <w:ind w:left="720"/>
      </w:pPr>
      <w:r w:rsidRPr="00A93F15">
        <w:t>Treatment success</w:t>
      </w:r>
      <w:r w:rsidR="003A7D5A" w:rsidRPr="00A93F15">
        <w:t xml:space="preserve"> according to IGA</w:t>
      </w:r>
      <w:r w:rsidRPr="00A93F15">
        <w:t xml:space="preserve"> for LP0053-1003 and </w:t>
      </w:r>
      <w:r w:rsidR="003A7D5A" w:rsidRPr="00A93F15">
        <w:t>C</w:t>
      </w:r>
      <w:r w:rsidRPr="00A93F15">
        <w:t>ontrolled disease for LEO90100-35</w:t>
      </w:r>
    </w:p>
    <w:p w:rsidR="000518ED" w:rsidRPr="00A93F15" w:rsidRDefault="000518ED" w:rsidP="006C77AE">
      <w:pPr>
        <w:pStyle w:val="TableFooter"/>
        <w:keepNext/>
        <w:widowControl/>
        <w:ind w:left="720"/>
      </w:pPr>
      <w:r w:rsidRPr="00A93F15">
        <w:t>*</w:t>
      </w:r>
      <w:r w:rsidR="006E1C35" w:rsidRPr="00A93F15">
        <w:t xml:space="preserve">Note: Multiple </w:t>
      </w:r>
      <w:proofErr w:type="gramStart"/>
      <w:r w:rsidR="006E1C35" w:rsidRPr="00A93F15">
        <w:t>imputation</w:t>
      </w:r>
      <w:proofErr w:type="gramEnd"/>
      <w:r w:rsidR="006E1C35" w:rsidRPr="00A93F15">
        <w:t xml:space="preserve"> </w:t>
      </w:r>
      <w:r w:rsidR="00040AC6" w:rsidRPr="00A93F15">
        <w:t>wa</w:t>
      </w:r>
      <w:r w:rsidR="006E1C35" w:rsidRPr="00A93F15">
        <w:t xml:space="preserve">s used for missing data for the </w:t>
      </w:r>
      <w:r w:rsidRPr="00A93F15">
        <w:t>W</w:t>
      </w:r>
      <w:r w:rsidR="006E1C35" w:rsidRPr="00A93F15">
        <w:t xml:space="preserve">eek 4 to </w:t>
      </w:r>
      <w:r w:rsidRPr="00A93F15">
        <w:t>W</w:t>
      </w:r>
      <w:r w:rsidR="006E1C35" w:rsidRPr="00A93F15">
        <w:t>eek 8 comparison in LP0053-1003 with the proportion of patients achieving treatment success being the mean number of subjects across imputations</w:t>
      </w:r>
      <w:r w:rsidR="00582E1B">
        <w:t xml:space="preserve">. </w:t>
      </w:r>
    </w:p>
    <w:p w:rsidR="006E1C35" w:rsidRPr="00A93F15" w:rsidRDefault="004306BD" w:rsidP="006C77AE">
      <w:pPr>
        <w:pStyle w:val="TableFooter"/>
        <w:keepNext/>
        <w:widowControl/>
        <w:ind w:left="720"/>
        <w:rPr>
          <w:i/>
        </w:rPr>
      </w:pPr>
      <w:r w:rsidRPr="00A93F15">
        <w:rPr>
          <w:i/>
        </w:rPr>
        <w:t xml:space="preserve">**Note: The Week 4 to Week 4 comparison </w:t>
      </w:r>
      <w:r w:rsidR="003A22FF" w:rsidRPr="00A93F15">
        <w:rPr>
          <w:i/>
        </w:rPr>
        <w:t xml:space="preserve">was </w:t>
      </w:r>
      <w:r w:rsidRPr="00A93F15">
        <w:rPr>
          <w:i/>
        </w:rPr>
        <w:t>based on observed cases, and assume</w:t>
      </w:r>
      <w:r w:rsidR="003A22FF" w:rsidRPr="00A93F15">
        <w:rPr>
          <w:i/>
        </w:rPr>
        <w:t>d</w:t>
      </w:r>
      <w:r w:rsidRPr="00A93F15">
        <w:rPr>
          <w:i/>
        </w:rPr>
        <w:t xml:space="preserve"> missing data </w:t>
      </w:r>
      <w:r w:rsidR="00F51C27" w:rsidRPr="00A93F15">
        <w:rPr>
          <w:i/>
        </w:rPr>
        <w:t>wa</w:t>
      </w:r>
      <w:r w:rsidRPr="00A93F15">
        <w:rPr>
          <w:i/>
        </w:rPr>
        <w:t>s non-response</w:t>
      </w:r>
      <w:r w:rsidR="00582E1B">
        <w:rPr>
          <w:i/>
        </w:rPr>
        <w:t xml:space="preserve">. </w:t>
      </w:r>
      <w:r w:rsidRPr="00A93F15">
        <w:rPr>
          <w:i/>
        </w:rPr>
        <w:t>However, the percentages d</w:t>
      </w:r>
      <w:r w:rsidR="00F51C27" w:rsidRPr="00A93F15">
        <w:rPr>
          <w:i/>
        </w:rPr>
        <w:t>id</w:t>
      </w:r>
      <w:r w:rsidRPr="00A93F15">
        <w:rPr>
          <w:i/>
        </w:rPr>
        <w:t xml:space="preserve"> not include all patients randomised to treatment.</w:t>
      </w:r>
    </w:p>
    <w:p w:rsidR="008149DB" w:rsidRPr="00A93F15" w:rsidRDefault="008149DB" w:rsidP="006C77AE">
      <w:pPr>
        <w:pStyle w:val="TableFooter"/>
        <w:keepNext/>
        <w:widowControl/>
        <w:ind w:left="720"/>
      </w:pPr>
      <w:r w:rsidRPr="00A93F15">
        <w:t xml:space="preserve">***Note: </w:t>
      </w:r>
      <w:r w:rsidR="007852CB" w:rsidRPr="00A93F15">
        <w:t xml:space="preserve">Last observation carried forward used to account for </w:t>
      </w:r>
      <w:r w:rsidRPr="00A93F15">
        <w:t xml:space="preserve">missing data </w:t>
      </w:r>
    </w:p>
    <w:p w:rsidR="006E1C35" w:rsidRPr="00A93F15" w:rsidRDefault="006E1C35" w:rsidP="006C77AE">
      <w:pPr>
        <w:pStyle w:val="TableFooter"/>
        <w:widowControl/>
        <w:ind w:left="720"/>
      </w:pPr>
      <w:r w:rsidRPr="00A93F15">
        <w:t>Source: Table 2</w:t>
      </w:r>
      <w:r w:rsidR="000518ED" w:rsidRPr="00A93F15">
        <w:t xml:space="preserve">0, 21, p53-54 </w:t>
      </w:r>
      <w:r w:rsidRPr="00A93F15">
        <w:t>and Table 32, p64 of the submission</w:t>
      </w:r>
    </w:p>
    <w:p w:rsidR="00B60939" w:rsidRPr="00A93F15" w:rsidRDefault="00B60939" w:rsidP="006C77AE">
      <w:pPr>
        <w:widowControl/>
        <w:rPr>
          <w:szCs w:val="22"/>
        </w:rPr>
      </w:pPr>
    </w:p>
    <w:p w:rsidR="00916F66" w:rsidRPr="00A93F15" w:rsidRDefault="00916F66" w:rsidP="006C77AE">
      <w:pPr>
        <w:pStyle w:val="ListParagraph"/>
        <w:widowControl/>
        <w:numPr>
          <w:ilvl w:val="1"/>
          <w:numId w:val="5"/>
        </w:numPr>
        <w:rPr>
          <w:szCs w:val="22"/>
        </w:rPr>
      </w:pPr>
      <w:r w:rsidRPr="00A93F15">
        <w:rPr>
          <w:szCs w:val="22"/>
        </w:rPr>
        <w:t xml:space="preserve">While </w:t>
      </w:r>
      <w:r w:rsidR="00972552" w:rsidRPr="00A93F15">
        <w:rPr>
          <w:szCs w:val="22"/>
        </w:rPr>
        <w:t xml:space="preserve">patients in </w:t>
      </w:r>
      <w:r w:rsidRPr="00A93F15">
        <w:rPr>
          <w:szCs w:val="22"/>
        </w:rPr>
        <w:t xml:space="preserve">trial LP0053-1003 </w:t>
      </w:r>
      <w:r w:rsidR="00972552" w:rsidRPr="00A93F15">
        <w:rPr>
          <w:szCs w:val="22"/>
        </w:rPr>
        <w:t xml:space="preserve">could be treated for up to </w:t>
      </w:r>
      <w:r w:rsidRPr="00A93F15">
        <w:rPr>
          <w:szCs w:val="22"/>
        </w:rPr>
        <w:t>12 weeks</w:t>
      </w:r>
      <w:r w:rsidR="00972552" w:rsidRPr="00A93F15">
        <w:rPr>
          <w:szCs w:val="22"/>
        </w:rPr>
        <w:t xml:space="preserve"> (with the option for treatment to be stopped if IGA was clear)</w:t>
      </w:r>
      <w:r w:rsidRPr="00A93F15">
        <w:rPr>
          <w:szCs w:val="22"/>
        </w:rPr>
        <w:t xml:space="preserve">, the primary outcome was assessed at 4 weeks for </w:t>
      </w:r>
      <w:r w:rsidR="00DE7610" w:rsidRPr="00A93F15">
        <w:rPr>
          <w:szCs w:val="22"/>
        </w:rPr>
        <w:t>calcipotriol plus betamethasone</w:t>
      </w:r>
      <w:r w:rsidRPr="00A93F15">
        <w:rPr>
          <w:szCs w:val="22"/>
        </w:rPr>
        <w:t xml:space="preserve"> foam spray and at 8 weeks for </w:t>
      </w:r>
      <w:r w:rsidR="00DE7610" w:rsidRPr="00A93F15">
        <w:rPr>
          <w:szCs w:val="22"/>
        </w:rPr>
        <w:t>calcipotriol plus betamethasone</w:t>
      </w:r>
      <w:r w:rsidRPr="00A93F15">
        <w:rPr>
          <w:szCs w:val="22"/>
        </w:rPr>
        <w:t xml:space="preserve"> gel, consistent with the proposed duration for the foam spray and the recommended duration of therapy of up to 8 weeks for the gel. </w:t>
      </w:r>
    </w:p>
    <w:p w:rsidR="00916F66" w:rsidRPr="00A93F15" w:rsidRDefault="00916F66" w:rsidP="006C77AE">
      <w:pPr>
        <w:widowControl/>
        <w:rPr>
          <w:i/>
          <w:szCs w:val="22"/>
        </w:rPr>
      </w:pPr>
    </w:p>
    <w:p w:rsidR="00C811C3" w:rsidRPr="00A93F15" w:rsidRDefault="00D36743" w:rsidP="005C7FED">
      <w:pPr>
        <w:pStyle w:val="ListParagraph"/>
        <w:widowControl/>
        <w:numPr>
          <w:ilvl w:val="1"/>
          <w:numId w:val="5"/>
        </w:numPr>
        <w:rPr>
          <w:i/>
          <w:szCs w:val="22"/>
        </w:rPr>
      </w:pPr>
      <w:r w:rsidRPr="00A93F15">
        <w:rPr>
          <w:szCs w:val="22"/>
        </w:rPr>
        <w:t>For the IGA outcome t</w:t>
      </w:r>
      <w:r w:rsidR="00C811C3" w:rsidRPr="00A93F15">
        <w:rPr>
          <w:szCs w:val="22"/>
        </w:rPr>
        <w:t>here was a statistically significant difference in favour of calcipotriol plus betamethasone foam spray compared to calcipotriol plus betamethasone gel in LP0053-1003</w:t>
      </w:r>
      <w:r w:rsidR="00DE7610" w:rsidRPr="00A93F15">
        <w:rPr>
          <w:szCs w:val="22"/>
        </w:rPr>
        <w:t xml:space="preserve">. There was also a statistically significant difference in favour of calcipotriol plus betamethasone foam spray </w:t>
      </w:r>
      <w:r w:rsidR="00C811C3" w:rsidRPr="00A93F15">
        <w:rPr>
          <w:szCs w:val="22"/>
        </w:rPr>
        <w:t>compared to calcipotriol plus betamethasone ointment in LEO90100-35</w:t>
      </w:r>
      <w:r w:rsidR="00DE7610" w:rsidRPr="00A93F15">
        <w:rPr>
          <w:szCs w:val="22"/>
        </w:rPr>
        <w:t>,</w:t>
      </w:r>
      <w:r w:rsidR="00C811C3" w:rsidRPr="00A93F15">
        <w:rPr>
          <w:szCs w:val="22"/>
        </w:rPr>
        <w:t xml:space="preserve"> based on the primary outcome. </w:t>
      </w:r>
    </w:p>
    <w:p w:rsidR="006428ED" w:rsidRPr="00A93F15" w:rsidRDefault="006428ED" w:rsidP="006428ED">
      <w:pPr>
        <w:widowControl/>
        <w:rPr>
          <w:i/>
          <w:szCs w:val="22"/>
        </w:rPr>
      </w:pPr>
    </w:p>
    <w:p w:rsidR="001B537B" w:rsidRPr="00A93F15" w:rsidRDefault="00C811C3" w:rsidP="005C7FED">
      <w:pPr>
        <w:pStyle w:val="ListParagraph"/>
        <w:widowControl/>
        <w:numPr>
          <w:ilvl w:val="1"/>
          <w:numId w:val="5"/>
        </w:numPr>
        <w:rPr>
          <w:szCs w:val="22"/>
        </w:rPr>
      </w:pPr>
      <w:r w:rsidRPr="00A93F15">
        <w:rPr>
          <w:szCs w:val="22"/>
        </w:rPr>
        <w:t xml:space="preserve">The result </w:t>
      </w:r>
      <w:r w:rsidR="008C1346" w:rsidRPr="00A93F15">
        <w:rPr>
          <w:szCs w:val="22"/>
        </w:rPr>
        <w:t xml:space="preserve">for </w:t>
      </w:r>
      <w:r w:rsidRPr="00A93F15">
        <w:rPr>
          <w:szCs w:val="22"/>
        </w:rPr>
        <w:t xml:space="preserve">the secondary outcome </w:t>
      </w:r>
      <w:r w:rsidR="00DE7610" w:rsidRPr="00A93F15">
        <w:rPr>
          <w:szCs w:val="22"/>
        </w:rPr>
        <w:t xml:space="preserve">of </w:t>
      </w:r>
      <w:r w:rsidR="008C1346" w:rsidRPr="00A93F15">
        <w:rPr>
          <w:szCs w:val="22"/>
        </w:rPr>
        <w:t xml:space="preserve">PASI75 </w:t>
      </w:r>
      <w:r w:rsidR="00DE7610" w:rsidRPr="00A93F15">
        <w:rPr>
          <w:szCs w:val="22"/>
        </w:rPr>
        <w:t>(</w:t>
      </w:r>
      <w:r w:rsidR="00DE7610" w:rsidRPr="00A93F15">
        <w:t xml:space="preserve">the proportion of patients achieving at least a 75% reduction in the modified-Psoriasis Area and Severity Index from baseline) </w:t>
      </w:r>
      <w:r w:rsidR="00DE7610" w:rsidRPr="00A93F15">
        <w:rPr>
          <w:szCs w:val="22"/>
        </w:rPr>
        <w:t>are</w:t>
      </w:r>
      <w:r w:rsidR="008C1346" w:rsidRPr="00A93F15">
        <w:rPr>
          <w:szCs w:val="22"/>
        </w:rPr>
        <w:t xml:space="preserve"> reported below</w:t>
      </w:r>
      <w:r w:rsidR="00D36743" w:rsidRPr="00A93F15">
        <w:rPr>
          <w:szCs w:val="22"/>
        </w:rPr>
        <w:t>.</w:t>
      </w:r>
      <w:r w:rsidR="008C1346" w:rsidRPr="00A93F15">
        <w:rPr>
          <w:szCs w:val="22"/>
        </w:rPr>
        <w:t xml:space="preserve"> </w:t>
      </w:r>
      <w:r w:rsidR="00D36743" w:rsidRPr="00A93F15">
        <w:rPr>
          <w:szCs w:val="22"/>
        </w:rPr>
        <w:t>T</w:t>
      </w:r>
      <w:r w:rsidR="008C1346" w:rsidRPr="00A93F15">
        <w:rPr>
          <w:szCs w:val="22"/>
        </w:rPr>
        <w:t>he response based on PASI75 formed the basis of the outcomes used for the economic evaluation.</w:t>
      </w:r>
    </w:p>
    <w:p w:rsidR="008C1346" w:rsidRPr="00A93F15" w:rsidRDefault="008C1346" w:rsidP="001B537B">
      <w:pPr>
        <w:pStyle w:val="ListParagraph"/>
        <w:widowControl/>
        <w:rPr>
          <w:szCs w:val="22"/>
        </w:rPr>
      </w:pPr>
    </w:p>
    <w:p w:rsidR="008C1346" w:rsidRPr="00A93F15" w:rsidRDefault="008C1346" w:rsidP="006C77AE">
      <w:pPr>
        <w:widowControl/>
        <w:rPr>
          <w:szCs w:val="22"/>
        </w:rPr>
      </w:pPr>
    </w:p>
    <w:p w:rsidR="008C1346" w:rsidRPr="00A93F15" w:rsidRDefault="008C1346" w:rsidP="006C77AE">
      <w:pPr>
        <w:keepNext/>
        <w:widowControl/>
        <w:ind w:left="720"/>
        <w:rPr>
          <w:rStyle w:val="CommentReference"/>
        </w:rPr>
      </w:pPr>
      <w:r w:rsidRPr="00A93F15">
        <w:rPr>
          <w:rStyle w:val="CommentReference"/>
        </w:rPr>
        <w:lastRenderedPageBreak/>
        <w:t xml:space="preserve">Table </w:t>
      </w:r>
      <w:r w:rsidR="004F10AC" w:rsidRPr="00A93F15">
        <w:rPr>
          <w:rStyle w:val="CommentReference"/>
        </w:rPr>
        <w:t>4:</w:t>
      </w:r>
      <w:r w:rsidRPr="00A93F15">
        <w:rPr>
          <w:rStyle w:val="CommentReference"/>
        </w:rPr>
        <w:t xml:space="preserve"> Results for proportion of patients achieving PASI 75* for the direct randomised trials </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3"/>
        <w:gridCol w:w="2142"/>
        <w:gridCol w:w="2000"/>
        <w:gridCol w:w="1000"/>
        <w:gridCol w:w="1429"/>
        <w:gridCol w:w="1090"/>
      </w:tblGrid>
      <w:tr w:rsidR="00C42FAE" w:rsidRPr="00A93F15" w:rsidTr="0097226F">
        <w:tc>
          <w:tcPr>
            <w:tcW w:w="426" w:type="pct"/>
            <w:vAlign w:val="center"/>
          </w:tcPr>
          <w:p w:rsidR="008C1346" w:rsidRPr="00A93F15" w:rsidRDefault="008C1346" w:rsidP="006C77AE">
            <w:pPr>
              <w:keepNext/>
              <w:widowControl/>
              <w:jc w:val="left"/>
              <w:rPr>
                <w:rFonts w:ascii="Arial Narrow" w:hAnsi="Arial Narrow"/>
                <w:b/>
                <w:sz w:val="20"/>
              </w:rPr>
            </w:pPr>
            <w:r w:rsidRPr="00A93F15">
              <w:rPr>
                <w:rFonts w:ascii="Arial Narrow" w:hAnsi="Arial Narrow"/>
                <w:b/>
                <w:sz w:val="20"/>
              </w:rPr>
              <w:t xml:space="preserve">Trial </w:t>
            </w:r>
          </w:p>
        </w:tc>
        <w:tc>
          <w:tcPr>
            <w:tcW w:w="1279"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b/>
                <w:sz w:val="20"/>
              </w:rPr>
              <w:t xml:space="preserve">Calcipotriol + betamethasone n/N (%) </w:t>
            </w:r>
          </w:p>
        </w:tc>
        <w:tc>
          <w:tcPr>
            <w:tcW w:w="1194"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b/>
                <w:sz w:val="20"/>
              </w:rPr>
              <w:t>Calcipotriol + betamethasone n/N (%)</w:t>
            </w:r>
          </w:p>
        </w:tc>
        <w:tc>
          <w:tcPr>
            <w:tcW w:w="597" w:type="pct"/>
          </w:tcPr>
          <w:p w:rsidR="008C1346" w:rsidRPr="00A93F15" w:rsidRDefault="008C1346" w:rsidP="006C77AE">
            <w:pPr>
              <w:keepNext/>
              <w:widowControl/>
              <w:jc w:val="center"/>
              <w:rPr>
                <w:rFonts w:ascii="Arial Narrow" w:hAnsi="Arial Narrow"/>
                <w:b/>
                <w:sz w:val="20"/>
              </w:rPr>
            </w:pPr>
            <w:r w:rsidRPr="00A93F15">
              <w:rPr>
                <w:rFonts w:ascii="Arial Narrow" w:hAnsi="Arial Narrow"/>
                <w:b/>
                <w:sz w:val="20"/>
              </w:rPr>
              <w:t>Absolute difference</w:t>
            </w:r>
          </w:p>
        </w:tc>
        <w:tc>
          <w:tcPr>
            <w:tcW w:w="853" w:type="pct"/>
            <w:vAlign w:val="center"/>
          </w:tcPr>
          <w:p w:rsidR="008C1346" w:rsidRPr="00A93F15" w:rsidRDefault="008C1346" w:rsidP="006C77AE">
            <w:pPr>
              <w:keepNext/>
              <w:widowControl/>
              <w:jc w:val="center"/>
              <w:rPr>
                <w:rFonts w:ascii="Arial Narrow" w:hAnsi="Arial Narrow"/>
                <w:b/>
                <w:sz w:val="20"/>
              </w:rPr>
            </w:pPr>
            <w:r w:rsidRPr="00A93F15">
              <w:rPr>
                <w:rFonts w:ascii="Arial Narrow" w:hAnsi="Arial Narrow"/>
                <w:b/>
                <w:sz w:val="20"/>
              </w:rPr>
              <w:t>Odds ratio</w:t>
            </w:r>
          </w:p>
          <w:p w:rsidR="008C1346" w:rsidRPr="00A93F15" w:rsidRDefault="008C1346" w:rsidP="006C77AE">
            <w:pPr>
              <w:keepNext/>
              <w:widowControl/>
              <w:jc w:val="center"/>
              <w:rPr>
                <w:rFonts w:ascii="Arial Narrow" w:hAnsi="Arial Narrow"/>
                <w:b/>
                <w:sz w:val="20"/>
              </w:rPr>
            </w:pPr>
            <w:r w:rsidRPr="00A93F15">
              <w:rPr>
                <w:rFonts w:ascii="Arial Narrow" w:hAnsi="Arial Narrow"/>
                <w:b/>
                <w:sz w:val="20"/>
              </w:rPr>
              <w:t>(95% CI)</w:t>
            </w:r>
            <w:r w:rsidR="0097226F" w:rsidRPr="00A93F15">
              <w:rPr>
                <w:rFonts w:ascii="Arial Narrow" w:hAnsi="Arial Narrow"/>
                <w:b/>
                <w:sz w:val="20"/>
              </w:rPr>
              <w:t xml:space="preserve"> </w:t>
            </w:r>
            <w:r w:rsidRPr="00A93F15">
              <w:rPr>
                <w:rFonts w:ascii="Arial Narrow" w:hAnsi="Arial Narrow"/>
                <w:b/>
                <w:sz w:val="20"/>
              </w:rPr>
              <w:t>p-value</w:t>
            </w:r>
          </w:p>
        </w:tc>
        <w:tc>
          <w:tcPr>
            <w:tcW w:w="651"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b/>
                <w:sz w:val="20"/>
              </w:rPr>
              <w:t>Breslow-Day test p-value</w:t>
            </w:r>
          </w:p>
        </w:tc>
      </w:tr>
      <w:tr w:rsidR="00C42FAE" w:rsidRPr="00A93F15" w:rsidTr="000622FD">
        <w:tc>
          <w:tcPr>
            <w:tcW w:w="426" w:type="pct"/>
            <w:vMerge w:val="restart"/>
            <w:vAlign w:val="center"/>
          </w:tcPr>
          <w:p w:rsidR="000622FD" w:rsidRPr="00A93F15" w:rsidRDefault="000622FD" w:rsidP="006C77AE">
            <w:pPr>
              <w:keepNext/>
              <w:widowControl/>
              <w:jc w:val="left"/>
              <w:rPr>
                <w:rFonts w:ascii="Arial Narrow" w:hAnsi="Arial Narrow"/>
                <w:sz w:val="20"/>
              </w:rPr>
            </w:pPr>
            <w:r w:rsidRPr="00A93F15">
              <w:rPr>
                <w:rFonts w:ascii="Arial Narrow" w:hAnsi="Arial Narrow"/>
                <w:sz w:val="20"/>
              </w:rPr>
              <w:t>LP0053-1003</w:t>
            </w:r>
          </w:p>
        </w:tc>
        <w:tc>
          <w:tcPr>
            <w:tcW w:w="1279"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Foam spray: Week 4*</w:t>
            </w:r>
          </w:p>
        </w:tc>
        <w:tc>
          <w:tcPr>
            <w:tcW w:w="1194"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Gel: Week 8*</w:t>
            </w:r>
          </w:p>
        </w:tc>
        <w:tc>
          <w:tcPr>
            <w:tcW w:w="2101" w:type="pct"/>
            <w:gridSpan w:val="3"/>
          </w:tcPr>
          <w:p w:rsidR="000622FD" w:rsidRPr="00A93F15" w:rsidRDefault="000622FD" w:rsidP="006C77AE">
            <w:pPr>
              <w:keepNext/>
              <w:widowControl/>
              <w:jc w:val="center"/>
              <w:rPr>
                <w:rFonts w:ascii="Arial Narrow" w:hAnsi="Arial Narrow"/>
                <w:b/>
                <w:sz w:val="20"/>
              </w:rPr>
            </w:pPr>
          </w:p>
        </w:tc>
      </w:tr>
      <w:tr w:rsidR="00C42FAE" w:rsidRPr="00A93F15" w:rsidTr="0097226F">
        <w:tc>
          <w:tcPr>
            <w:tcW w:w="426" w:type="pct"/>
            <w:vMerge/>
            <w:vAlign w:val="center"/>
          </w:tcPr>
          <w:p w:rsidR="008C1346" w:rsidRPr="00A93F15" w:rsidRDefault="008C1346" w:rsidP="006C77AE">
            <w:pPr>
              <w:keepNext/>
              <w:widowControl/>
              <w:jc w:val="left"/>
              <w:rPr>
                <w:rFonts w:ascii="Arial Narrow" w:hAnsi="Arial Narrow"/>
                <w:sz w:val="20"/>
              </w:rPr>
            </w:pPr>
          </w:p>
        </w:tc>
        <w:tc>
          <w:tcPr>
            <w:tcW w:w="1279"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96.5/185 (52.1)</w:t>
            </w:r>
          </w:p>
        </w:tc>
        <w:tc>
          <w:tcPr>
            <w:tcW w:w="1194"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65.1/188 (34.6)</w:t>
            </w:r>
          </w:p>
        </w:tc>
        <w:tc>
          <w:tcPr>
            <w:tcW w:w="597" w:type="pct"/>
          </w:tcPr>
          <w:p w:rsidR="008C1346" w:rsidRPr="00A93F15" w:rsidRDefault="008C1346" w:rsidP="006C77AE">
            <w:pPr>
              <w:keepNext/>
              <w:widowControl/>
              <w:jc w:val="center"/>
              <w:rPr>
                <w:rFonts w:ascii="Arial Narrow" w:hAnsi="Arial Narrow"/>
                <w:i/>
                <w:sz w:val="20"/>
              </w:rPr>
            </w:pPr>
            <w:r w:rsidRPr="00A93F15">
              <w:rPr>
                <w:rFonts w:ascii="Arial Narrow" w:hAnsi="Arial Narrow"/>
                <w:i/>
                <w:sz w:val="20"/>
              </w:rPr>
              <w:t>17.5%</w:t>
            </w:r>
          </w:p>
        </w:tc>
        <w:tc>
          <w:tcPr>
            <w:tcW w:w="853"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2.18 (1.37 to 3.47)</w:t>
            </w:r>
          </w:p>
          <w:p w:rsidR="008C1346" w:rsidRPr="00A93F15" w:rsidRDefault="008C1346" w:rsidP="006C77AE">
            <w:pPr>
              <w:keepNext/>
              <w:widowControl/>
              <w:jc w:val="center"/>
              <w:rPr>
                <w:rFonts w:ascii="Arial Narrow" w:hAnsi="Arial Narrow"/>
                <w:sz w:val="20"/>
              </w:rPr>
            </w:pPr>
            <w:r w:rsidRPr="00A93F15">
              <w:rPr>
                <w:rFonts w:ascii="Arial Narrow" w:hAnsi="Arial Narrow"/>
                <w:sz w:val="20"/>
              </w:rPr>
              <w:t>p=0.001</w:t>
            </w:r>
          </w:p>
        </w:tc>
        <w:tc>
          <w:tcPr>
            <w:tcW w:w="651"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0.35</w:t>
            </w:r>
          </w:p>
        </w:tc>
      </w:tr>
      <w:tr w:rsidR="00C42FAE" w:rsidRPr="00A93F15" w:rsidTr="000622FD">
        <w:tc>
          <w:tcPr>
            <w:tcW w:w="426" w:type="pct"/>
            <w:vMerge/>
            <w:vAlign w:val="center"/>
          </w:tcPr>
          <w:p w:rsidR="000622FD" w:rsidRPr="00A93F15" w:rsidRDefault="000622FD" w:rsidP="006C77AE">
            <w:pPr>
              <w:keepNext/>
              <w:widowControl/>
              <w:jc w:val="left"/>
              <w:rPr>
                <w:rFonts w:ascii="Arial Narrow" w:hAnsi="Arial Narrow"/>
                <w:sz w:val="20"/>
              </w:rPr>
            </w:pPr>
          </w:p>
        </w:tc>
        <w:tc>
          <w:tcPr>
            <w:tcW w:w="1279"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Foam spray: Week 4**</w:t>
            </w:r>
          </w:p>
        </w:tc>
        <w:tc>
          <w:tcPr>
            <w:tcW w:w="1194"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Gel: Week 4**</w:t>
            </w:r>
          </w:p>
        </w:tc>
        <w:tc>
          <w:tcPr>
            <w:tcW w:w="2101" w:type="pct"/>
            <w:gridSpan w:val="3"/>
          </w:tcPr>
          <w:p w:rsidR="000622FD" w:rsidRPr="00A93F15" w:rsidRDefault="000622FD" w:rsidP="006C77AE">
            <w:pPr>
              <w:keepNext/>
              <w:widowControl/>
              <w:jc w:val="center"/>
              <w:rPr>
                <w:rFonts w:ascii="Arial Narrow" w:hAnsi="Arial Narrow"/>
                <w:sz w:val="20"/>
              </w:rPr>
            </w:pPr>
          </w:p>
        </w:tc>
      </w:tr>
      <w:tr w:rsidR="00C42FAE" w:rsidRPr="00A93F15" w:rsidTr="0097226F">
        <w:tc>
          <w:tcPr>
            <w:tcW w:w="426" w:type="pct"/>
            <w:vMerge/>
            <w:vAlign w:val="center"/>
          </w:tcPr>
          <w:p w:rsidR="008C1346" w:rsidRPr="00A93F15" w:rsidRDefault="008C1346" w:rsidP="006C77AE">
            <w:pPr>
              <w:keepNext/>
              <w:widowControl/>
              <w:jc w:val="left"/>
              <w:rPr>
                <w:rFonts w:ascii="Arial Narrow" w:hAnsi="Arial Narrow"/>
                <w:sz w:val="20"/>
              </w:rPr>
            </w:pPr>
          </w:p>
        </w:tc>
        <w:tc>
          <w:tcPr>
            <w:tcW w:w="1279"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93/18</w:t>
            </w:r>
            <w:r w:rsidR="0013420F" w:rsidRPr="00A93F15">
              <w:rPr>
                <w:rFonts w:ascii="Arial Narrow" w:hAnsi="Arial Narrow"/>
                <w:sz w:val="20"/>
              </w:rPr>
              <w:t>0</w:t>
            </w:r>
            <w:r w:rsidRPr="00A93F15">
              <w:rPr>
                <w:rFonts w:ascii="Arial Narrow" w:hAnsi="Arial Narrow"/>
                <w:sz w:val="20"/>
              </w:rPr>
              <w:t xml:space="preserve"> (51.7)</w:t>
            </w:r>
          </w:p>
        </w:tc>
        <w:tc>
          <w:tcPr>
            <w:tcW w:w="1194"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45/18</w:t>
            </w:r>
            <w:r w:rsidR="0013420F" w:rsidRPr="00A93F15">
              <w:rPr>
                <w:rFonts w:ascii="Arial Narrow" w:hAnsi="Arial Narrow"/>
                <w:sz w:val="20"/>
              </w:rPr>
              <w:t>3</w:t>
            </w:r>
            <w:r w:rsidRPr="00A93F15">
              <w:rPr>
                <w:rFonts w:ascii="Arial Narrow" w:hAnsi="Arial Narrow"/>
                <w:sz w:val="20"/>
              </w:rPr>
              <w:t xml:space="preserve"> (24.6)</w:t>
            </w:r>
          </w:p>
        </w:tc>
        <w:tc>
          <w:tcPr>
            <w:tcW w:w="597" w:type="pct"/>
          </w:tcPr>
          <w:p w:rsidR="008C1346" w:rsidRPr="00A93F15" w:rsidRDefault="008C1346" w:rsidP="006C77AE">
            <w:pPr>
              <w:keepNext/>
              <w:widowControl/>
              <w:jc w:val="center"/>
              <w:rPr>
                <w:rFonts w:ascii="Arial Narrow" w:hAnsi="Arial Narrow"/>
                <w:i/>
                <w:sz w:val="20"/>
              </w:rPr>
            </w:pPr>
            <w:r w:rsidRPr="00A93F15">
              <w:rPr>
                <w:rFonts w:ascii="Arial Narrow" w:hAnsi="Arial Narrow"/>
                <w:i/>
                <w:sz w:val="20"/>
              </w:rPr>
              <w:t>27.1%</w:t>
            </w:r>
          </w:p>
        </w:tc>
        <w:tc>
          <w:tcPr>
            <w:tcW w:w="853"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3.21 (2.07 to 4.99)</w:t>
            </w:r>
          </w:p>
          <w:p w:rsidR="008C1346" w:rsidRPr="00A93F15" w:rsidRDefault="008C1346" w:rsidP="006C77AE">
            <w:pPr>
              <w:keepNext/>
              <w:widowControl/>
              <w:jc w:val="center"/>
              <w:rPr>
                <w:rFonts w:ascii="Arial Narrow" w:hAnsi="Arial Narrow"/>
                <w:sz w:val="20"/>
              </w:rPr>
            </w:pPr>
            <w:r w:rsidRPr="00A93F15">
              <w:rPr>
                <w:rFonts w:ascii="Arial Narrow" w:hAnsi="Arial Narrow"/>
                <w:sz w:val="20"/>
              </w:rPr>
              <w:t>p&lt;0.00001</w:t>
            </w:r>
          </w:p>
        </w:tc>
        <w:tc>
          <w:tcPr>
            <w:tcW w:w="651" w:type="pct"/>
            <w:vAlign w:val="center"/>
          </w:tcPr>
          <w:p w:rsidR="008C1346" w:rsidRPr="00A93F15" w:rsidRDefault="008C1346" w:rsidP="006C77AE">
            <w:pPr>
              <w:keepNext/>
              <w:widowControl/>
              <w:jc w:val="center"/>
              <w:rPr>
                <w:rFonts w:ascii="Arial Narrow" w:hAnsi="Arial Narrow"/>
                <w:sz w:val="20"/>
              </w:rPr>
            </w:pPr>
          </w:p>
        </w:tc>
      </w:tr>
      <w:tr w:rsidR="00C42FAE" w:rsidRPr="00A93F15" w:rsidTr="000622FD">
        <w:trPr>
          <w:trHeight w:val="325"/>
        </w:trPr>
        <w:tc>
          <w:tcPr>
            <w:tcW w:w="426" w:type="pct"/>
            <w:vAlign w:val="center"/>
          </w:tcPr>
          <w:p w:rsidR="000622FD" w:rsidRPr="00A93F15" w:rsidRDefault="000622FD" w:rsidP="006C77AE">
            <w:pPr>
              <w:keepNext/>
              <w:widowControl/>
              <w:jc w:val="left"/>
              <w:rPr>
                <w:rFonts w:ascii="Arial Narrow" w:hAnsi="Arial Narrow"/>
                <w:sz w:val="20"/>
              </w:rPr>
            </w:pPr>
          </w:p>
        </w:tc>
        <w:tc>
          <w:tcPr>
            <w:tcW w:w="1279"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Foam spray: Week 4***</w:t>
            </w:r>
          </w:p>
        </w:tc>
        <w:tc>
          <w:tcPr>
            <w:tcW w:w="1194" w:type="pct"/>
            <w:vAlign w:val="center"/>
          </w:tcPr>
          <w:p w:rsidR="000622FD" w:rsidRPr="00A93F15" w:rsidRDefault="000622FD" w:rsidP="006C77AE">
            <w:pPr>
              <w:keepNext/>
              <w:widowControl/>
              <w:jc w:val="center"/>
              <w:rPr>
                <w:rFonts w:ascii="Arial Narrow" w:hAnsi="Arial Narrow"/>
                <w:b/>
                <w:sz w:val="20"/>
              </w:rPr>
            </w:pPr>
            <w:r w:rsidRPr="00A93F15">
              <w:rPr>
                <w:rFonts w:ascii="Arial Narrow" w:hAnsi="Arial Narrow"/>
                <w:b/>
                <w:sz w:val="20"/>
              </w:rPr>
              <w:t>Ointment: Week 4***</w:t>
            </w:r>
          </w:p>
        </w:tc>
        <w:tc>
          <w:tcPr>
            <w:tcW w:w="2101" w:type="pct"/>
            <w:gridSpan w:val="3"/>
          </w:tcPr>
          <w:p w:rsidR="000622FD" w:rsidRPr="00A93F15" w:rsidRDefault="000622FD" w:rsidP="006C77AE">
            <w:pPr>
              <w:keepNext/>
              <w:widowControl/>
              <w:jc w:val="center"/>
              <w:rPr>
                <w:rFonts w:ascii="Arial Narrow" w:hAnsi="Arial Narrow"/>
                <w:sz w:val="20"/>
              </w:rPr>
            </w:pPr>
          </w:p>
        </w:tc>
      </w:tr>
      <w:tr w:rsidR="00C42FAE" w:rsidRPr="00A93F15" w:rsidTr="0097226F">
        <w:tc>
          <w:tcPr>
            <w:tcW w:w="426" w:type="pct"/>
            <w:vAlign w:val="center"/>
          </w:tcPr>
          <w:p w:rsidR="008C1346" w:rsidRPr="00A93F15" w:rsidRDefault="008C1346" w:rsidP="006C77AE">
            <w:pPr>
              <w:keepNext/>
              <w:widowControl/>
              <w:jc w:val="left"/>
              <w:rPr>
                <w:rFonts w:ascii="Arial Narrow" w:hAnsi="Arial Narrow"/>
                <w:sz w:val="20"/>
              </w:rPr>
            </w:pPr>
            <w:r w:rsidRPr="00A93F15">
              <w:rPr>
                <w:rFonts w:ascii="Arial Narrow" w:hAnsi="Arial Narrow"/>
                <w:sz w:val="20"/>
              </w:rPr>
              <w:t>LEO90100-35</w:t>
            </w:r>
          </w:p>
        </w:tc>
        <w:tc>
          <w:tcPr>
            <w:tcW w:w="1279"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71/141 (50.4)</w:t>
            </w:r>
          </w:p>
        </w:tc>
        <w:tc>
          <w:tcPr>
            <w:tcW w:w="1194"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55/135 (40.7)</w:t>
            </w:r>
          </w:p>
        </w:tc>
        <w:tc>
          <w:tcPr>
            <w:tcW w:w="597" w:type="pct"/>
          </w:tcPr>
          <w:p w:rsidR="008C1346" w:rsidRPr="00A93F15" w:rsidRDefault="008C1346" w:rsidP="006C77AE">
            <w:pPr>
              <w:keepNext/>
              <w:widowControl/>
              <w:jc w:val="center"/>
              <w:rPr>
                <w:rFonts w:ascii="Arial Narrow" w:hAnsi="Arial Narrow"/>
                <w:i/>
                <w:sz w:val="20"/>
              </w:rPr>
            </w:pPr>
            <w:r w:rsidRPr="00A93F15">
              <w:rPr>
                <w:rFonts w:ascii="Arial Narrow" w:hAnsi="Arial Narrow"/>
                <w:i/>
                <w:sz w:val="20"/>
              </w:rPr>
              <w:t>9.7%</w:t>
            </w:r>
          </w:p>
        </w:tc>
        <w:tc>
          <w:tcPr>
            <w:tcW w:w="853"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1.7 (1.0 to 2.7)</w:t>
            </w:r>
          </w:p>
          <w:p w:rsidR="008C1346" w:rsidRPr="00A93F15" w:rsidRDefault="008C1346" w:rsidP="006C77AE">
            <w:pPr>
              <w:keepNext/>
              <w:widowControl/>
              <w:jc w:val="center"/>
              <w:rPr>
                <w:rFonts w:ascii="Arial Narrow" w:hAnsi="Arial Narrow"/>
                <w:sz w:val="20"/>
              </w:rPr>
            </w:pPr>
            <w:r w:rsidRPr="00A93F15">
              <w:rPr>
                <w:rFonts w:ascii="Arial Narrow" w:hAnsi="Arial Narrow"/>
                <w:sz w:val="20"/>
              </w:rPr>
              <w:t>p=0.052</w:t>
            </w:r>
          </w:p>
        </w:tc>
        <w:tc>
          <w:tcPr>
            <w:tcW w:w="651" w:type="pct"/>
            <w:vAlign w:val="center"/>
          </w:tcPr>
          <w:p w:rsidR="008C1346" w:rsidRPr="00A93F15" w:rsidRDefault="008C1346" w:rsidP="006C77AE">
            <w:pPr>
              <w:keepNext/>
              <w:widowControl/>
              <w:jc w:val="center"/>
              <w:rPr>
                <w:rFonts w:ascii="Arial Narrow" w:hAnsi="Arial Narrow"/>
                <w:sz w:val="20"/>
              </w:rPr>
            </w:pPr>
            <w:r w:rsidRPr="00A93F15">
              <w:rPr>
                <w:rFonts w:ascii="Arial Narrow" w:hAnsi="Arial Narrow"/>
                <w:sz w:val="20"/>
              </w:rPr>
              <w:t>0.85</w:t>
            </w:r>
          </w:p>
        </w:tc>
      </w:tr>
    </w:tbl>
    <w:p w:rsidR="0013420F" w:rsidRPr="00A93F15" w:rsidRDefault="0013420F" w:rsidP="006C77AE">
      <w:pPr>
        <w:pStyle w:val="TableFooter"/>
        <w:keepNext/>
        <w:widowControl/>
        <w:ind w:left="720"/>
        <w:rPr>
          <w:i/>
        </w:rPr>
      </w:pPr>
      <w:r w:rsidRPr="00A93F15">
        <w:rPr>
          <w:i/>
        </w:rPr>
        <w:t>Figures in italics were calculated during the evaluation</w:t>
      </w:r>
    </w:p>
    <w:p w:rsidR="001A2F9E" w:rsidRPr="00A93F15" w:rsidRDefault="001A2F9E" w:rsidP="006C77AE">
      <w:pPr>
        <w:pStyle w:val="TableFooter"/>
        <w:keepNext/>
        <w:widowControl/>
        <w:ind w:left="720"/>
        <w:rPr>
          <w:i/>
        </w:rPr>
      </w:pPr>
      <w:r w:rsidRPr="00A93F15">
        <w:t>PASI75</w:t>
      </w:r>
      <w:r w:rsidR="00F92011" w:rsidRPr="00A93F15">
        <w:t xml:space="preserve"> </w:t>
      </w:r>
      <w:r w:rsidRPr="00A93F15">
        <w:t>=</w:t>
      </w:r>
      <w:r w:rsidR="00F92011" w:rsidRPr="00A93F15">
        <w:t xml:space="preserve"> </w:t>
      </w:r>
      <w:r w:rsidRPr="00A93F15">
        <w:t>Proportion of patients achieving at least a 75% reduction in the modified-Psoriasis Area and Severity Index from baseline.</w:t>
      </w:r>
    </w:p>
    <w:p w:rsidR="0013420F" w:rsidRPr="00A93F15" w:rsidRDefault="0013420F" w:rsidP="006C77AE">
      <w:pPr>
        <w:pStyle w:val="TableFooter"/>
        <w:keepNext/>
        <w:widowControl/>
        <w:ind w:left="720"/>
      </w:pPr>
      <w:r w:rsidRPr="00A93F15">
        <w:t xml:space="preserve">*Note: Multiple </w:t>
      </w:r>
      <w:proofErr w:type="gramStart"/>
      <w:r w:rsidRPr="00A93F15">
        <w:t>imputation</w:t>
      </w:r>
      <w:proofErr w:type="gramEnd"/>
      <w:r w:rsidRPr="00A93F15">
        <w:t xml:space="preserve"> </w:t>
      </w:r>
      <w:r w:rsidR="001E0CC2" w:rsidRPr="00A93F15">
        <w:t>wa</w:t>
      </w:r>
      <w:r w:rsidRPr="00A93F15">
        <w:t>s used for missing data for the Week 4 to Week 8 comparison in LP0053-1003 with the proportion of patients achieving treatment success being the mean number of subjects across imputations</w:t>
      </w:r>
      <w:r w:rsidR="00582E1B">
        <w:t xml:space="preserve">. </w:t>
      </w:r>
    </w:p>
    <w:p w:rsidR="0013420F" w:rsidRPr="00A93F15" w:rsidRDefault="0013420F" w:rsidP="006C77AE">
      <w:pPr>
        <w:pStyle w:val="TableFooter"/>
        <w:keepNext/>
        <w:widowControl/>
        <w:ind w:left="720"/>
        <w:rPr>
          <w:i/>
        </w:rPr>
      </w:pPr>
      <w:r w:rsidRPr="00A93F15">
        <w:t xml:space="preserve">**Note: The Week 4 to Week 4 analysis </w:t>
      </w:r>
      <w:r w:rsidR="001E0CC2" w:rsidRPr="00A93F15">
        <w:t>wa</w:t>
      </w:r>
      <w:r w:rsidRPr="00A93F15">
        <w:t>s based on observed cases, and assume</w:t>
      </w:r>
      <w:r w:rsidR="00594C7C" w:rsidRPr="00A93F15">
        <w:t>d</w:t>
      </w:r>
      <w:r w:rsidRPr="00A93F15">
        <w:t xml:space="preserve"> missing data </w:t>
      </w:r>
      <w:r w:rsidR="00594C7C" w:rsidRPr="00A93F15">
        <w:t>wa</w:t>
      </w:r>
      <w:r w:rsidRPr="00A93F15">
        <w:t>s non-response</w:t>
      </w:r>
      <w:r w:rsidR="00582E1B">
        <w:t xml:space="preserve">. </w:t>
      </w:r>
      <w:r w:rsidRPr="00A93F15">
        <w:rPr>
          <w:i/>
          <w:szCs w:val="22"/>
        </w:rPr>
        <w:t>While the submission state</w:t>
      </w:r>
      <w:r w:rsidR="001E0CC2" w:rsidRPr="00A93F15">
        <w:rPr>
          <w:i/>
          <w:szCs w:val="22"/>
        </w:rPr>
        <w:t>d</w:t>
      </w:r>
      <w:r w:rsidRPr="00A93F15">
        <w:rPr>
          <w:i/>
          <w:szCs w:val="22"/>
        </w:rPr>
        <w:t xml:space="preserve"> that the results for the Week 4 to Week 4 comparison for trial LP0053-1003 were based on an intention-to-treat analysis (Table 24, p57), they were not. </w:t>
      </w:r>
      <w:r w:rsidR="00E046D9" w:rsidRPr="00A93F15">
        <w:rPr>
          <w:i/>
          <w:szCs w:val="22"/>
        </w:rPr>
        <w:t>The submission excluded the results of patients with missing data</w:t>
      </w:r>
      <w:r w:rsidR="00582E1B">
        <w:rPr>
          <w:i/>
          <w:szCs w:val="22"/>
        </w:rPr>
        <w:t xml:space="preserve">. </w:t>
      </w:r>
    </w:p>
    <w:p w:rsidR="007852CB" w:rsidRPr="00A93F15" w:rsidRDefault="007852CB" w:rsidP="006C77AE">
      <w:pPr>
        <w:pStyle w:val="TableFooter"/>
        <w:keepNext/>
        <w:widowControl/>
        <w:ind w:firstLine="720"/>
      </w:pPr>
      <w:r w:rsidRPr="00A93F15">
        <w:rPr>
          <w:szCs w:val="22"/>
        </w:rPr>
        <w:t xml:space="preserve">***Note: Full analysis set, no missing data </w:t>
      </w:r>
    </w:p>
    <w:p w:rsidR="0013420F" w:rsidRPr="00A93F15" w:rsidRDefault="0013420F" w:rsidP="006C77AE">
      <w:pPr>
        <w:pStyle w:val="TableFooter"/>
        <w:widowControl/>
        <w:ind w:left="720"/>
      </w:pPr>
      <w:r w:rsidRPr="00A93F15">
        <w:t>Source: Table 2</w:t>
      </w:r>
      <w:r w:rsidR="0001444C" w:rsidRPr="00A93F15">
        <w:t xml:space="preserve">3 and </w:t>
      </w:r>
      <w:r w:rsidRPr="00A93F15">
        <w:t>24, p5</w:t>
      </w:r>
      <w:r w:rsidR="00331C03" w:rsidRPr="00A93F15">
        <w:t>6-5</w:t>
      </w:r>
      <w:r w:rsidRPr="00A93F15">
        <w:t xml:space="preserve">7 </w:t>
      </w:r>
      <w:r w:rsidR="00181A43" w:rsidRPr="00A93F15">
        <w:t xml:space="preserve">and Table 33, p65 </w:t>
      </w:r>
      <w:r w:rsidRPr="00A93F15">
        <w:t>of the submission</w:t>
      </w:r>
    </w:p>
    <w:p w:rsidR="008C1346" w:rsidRPr="00A93F15" w:rsidRDefault="008C1346" w:rsidP="006C77AE">
      <w:pPr>
        <w:widowControl/>
        <w:rPr>
          <w:szCs w:val="22"/>
        </w:rPr>
      </w:pPr>
    </w:p>
    <w:p w:rsidR="00C05E56" w:rsidRPr="00A93F15" w:rsidRDefault="001A2F9E" w:rsidP="006C77AE">
      <w:pPr>
        <w:pStyle w:val="ListParagraph"/>
        <w:widowControl/>
        <w:numPr>
          <w:ilvl w:val="1"/>
          <w:numId w:val="5"/>
        </w:numPr>
        <w:rPr>
          <w:szCs w:val="22"/>
        </w:rPr>
      </w:pPr>
      <w:r w:rsidRPr="00A93F15">
        <w:rPr>
          <w:szCs w:val="22"/>
        </w:rPr>
        <w:t>Based on the PASI75 outcome in trial LP0053-1003</w:t>
      </w:r>
      <w:r w:rsidR="00C05E56" w:rsidRPr="00A93F15">
        <w:rPr>
          <w:szCs w:val="22"/>
        </w:rPr>
        <w:t xml:space="preserve">, there was a statistically significant difference in favour of </w:t>
      </w:r>
      <w:r w:rsidRPr="00A93F15">
        <w:rPr>
          <w:szCs w:val="22"/>
        </w:rPr>
        <w:t>calcipotriol plus betamethasone</w:t>
      </w:r>
      <w:r w:rsidR="00C05E56" w:rsidRPr="00A93F15">
        <w:rPr>
          <w:szCs w:val="22"/>
        </w:rPr>
        <w:t xml:space="preserve"> foam spray compared to </w:t>
      </w:r>
      <w:r w:rsidRPr="00A93F15">
        <w:rPr>
          <w:szCs w:val="22"/>
        </w:rPr>
        <w:t>calcipotriol plus betamethasone</w:t>
      </w:r>
      <w:r w:rsidR="00C05E56" w:rsidRPr="00A93F15">
        <w:rPr>
          <w:szCs w:val="22"/>
        </w:rPr>
        <w:t xml:space="preserve"> gel at both </w:t>
      </w:r>
      <w:r w:rsidRPr="00A93F15">
        <w:rPr>
          <w:szCs w:val="22"/>
        </w:rPr>
        <w:t>W</w:t>
      </w:r>
      <w:r w:rsidR="00C05E56" w:rsidRPr="00A93F15">
        <w:rPr>
          <w:szCs w:val="22"/>
        </w:rPr>
        <w:t xml:space="preserve">eek 4 and at </w:t>
      </w:r>
      <w:r w:rsidRPr="00A93F15">
        <w:rPr>
          <w:szCs w:val="22"/>
        </w:rPr>
        <w:t>W</w:t>
      </w:r>
      <w:r w:rsidR="00C05E56" w:rsidRPr="00A93F15">
        <w:rPr>
          <w:szCs w:val="22"/>
        </w:rPr>
        <w:t>eek 8 (</w:t>
      </w:r>
      <w:r w:rsidRPr="00A93F15">
        <w:rPr>
          <w:szCs w:val="22"/>
        </w:rPr>
        <w:t>with Week 8 being the pre-specified time point for analysis of the primary and secondary trial outcomes)</w:t>
      </w:r>
      <w:r w:rsidR="00582E1B">
        <w:rPr>
          <w:szCs w:val="22"/>
        </w:rPr>
        <w:t xml:space="preserve">. </w:t>
      </w:r>
      <w:r w:rsidRPr="00A93F15">
        <w:rPr>
          <w:szCs w:val="22"/>
        </w:rPr>
        <w:t>In trial LEO90100-35, c</w:t>
      </w:r>
      <w:r w:rsidR="00C05E56" w:rsidRPr="00A93F15">
        <w:rPr>
          <w:szCs w:val="22"/>
        </w:rPr>
        <w:t xml:space="preserve">ompared to </w:t>
      </w:r>
      <w:r w:rsidRPr="00A93F15">
        <w:rPr>
          <w:szCs w:val="22"/>
        </w:rPr>
        <w:t>calcipotriol plus betamethasone</w:t>
      </w:r>
      <w:r w:rsidR="00C05E56" w:rsidRPr="00A93F15">
        <w:rPr>
          <w:szCs w:val="22"/>
        </w:rPr>
        <w:t xml:space="preserve"> ointment, the difference in </w:t>
      </w:r>
      <w:r w:rsidRPr="00A93F15">
        <w:rPr>
          <w:szCs w:val="22"/>
        </w:rPr>
        <w:t>response based on PASI75</w:t>
      </w:r>
      <w:r w:rsidR="00C05E56" w:rsidRPr="00A93F15">
        <w:rPr>
          <w:szCs w:val="22"/>
        </w:rPr>
        <w:t xml:space="preserve"> was not significant</w:t>
      </w:r>
      <w:r w:rsidR="009B7348" w:rsidRPr="00A93F15">
        <w:rPr>
          <w:szCs w:val="22"/>
        </w:rPr>
        <w:t xml:space="preserve"> </w:t>
      </w:r>
      <w:r w:rsidR="009B7348" w:rsidRPr="00A93F15">
        <w:rPr>
          <w:i/>
          <w:szCs w:val="22"/>
        </w:rPr>
        <w:t>(p=0.052)</w:t>
      </w:r>
      <w:r w:rsidR="00582E1B">
        <w:rPr>
          <w:szCs w:val="22"/>
        </w:rPr>
        <w:t xml:space="preserve">. </w:t>
      </w:r>
    </w:p>
    <w:p w:rsidR="00C575AF" w:rsidRPr="00A93F15" w:rsidRDefault="00C575AF" w:rsidP="006C77AE">
      <w:pPr>
        <w:widowControl/>
        <w:rPr>
          <w:szCs w:val="22"/>
        </w:rPr>
      </w:pPr>
    </w:p>
    <w:p w:rsidR="00C575AF" w:rsidRDefault="00D36743" w:rsidP="003F29D2">
      <w:pPr>
        <w:pStyle w:val="ListParagraph"/>
        <w:widowControl/>
        <w:numPr>
          <w:ilvl w:val="1"/>
          <w:numId w:val="5"/>
        </w:numPr>
      </w:pPr>
      <w:r w:rsidRPr="00A93F15">
        <w:rPr>
          <w:szCs w:val="22"/>
        </w:rPr>
        <w:t>R</w:t>
      </w:r>
      <w:r w:rsidR="00C575AF" w:rsidRPr="00A93F15">
        <w:t xml:space="preserve">esults for the change in </w:t>
      </w:r>
      <w:r w:rsidR="00367B7C" w:rsidRPr="00A93F15">
        <w:t xml:space="preserve">utility </w:t>
      </w:r>
      <w:r w:rsidR="00C575AF" w:rsidRPr="00A93F15">
        <w:t xml:space="preserve">index score for the EQ-5D-5L, from baseline to Week 4 for </w:t>
      </w:r>
      <w:r w:rsidR="00367B7C" w:rsidRPr="00A93F15">
        <w:t>calcipotriol plus betamethasone</w:t>
      </w:r>
      <w:r w:rsidR="00C575AF" w:rsidRPr="00A93F15">
        <w:t xml:space="preserve"> foam spray compared to calcipotriol plus betamethasone gel at Week 8, are shown in Table 5.</w:t>
      </w:r>
    </w:p>
    <w:p w:rsidR="009C725D" w:rsidRPr="00A93F15" w:rsidRDefault="009C725D" w:rsidP="009C725D">
      <w:pPr>
        <w:widowControl/>
      </w:pPr>
    </w:p>
    <w:p w:rsidR="00C575AF" w:rsidRPr="00A93F15" w:rsidRDefault="00C575AF" w:rsidP="006C77AE">
      <w:pPr>
        <w:widowControl/>
        <w:ind w:left="720"/>
        <w:rPr>
          <w:rFonts w:ascii="Arial Narrow" w:hAnsi="Arial Narrow"/>
          <w:b/>
          <w:sz w:val="20"/>
        </w:rPr>
      </w:pPr>
      <w:r w:rsidRPr="00A93F15">
        <w:rPr>
          <w:rFonts w:ascii="Arial Narrow" w:hAnsi="Arial Narrow"/>
          <w:b/>
          <w:sz w:val="20"/>
        </w:rPr>
        <w:t>Table 5: Change in EQ-5D-5L index score from baseline (observed cases) in LP0053-1003</w:t>
      </w:r>
    </w:p>
    <w:tbl>
      <w:tblPr>
        <w:tblStyle w:val="TableGrid"/>
        <w:tblW w:w="8296" w:type="dxa"/>
        <w:tblInd w:w="720" w:type="dxa"/>
        <w:tblLook w:val="04A0" w:firstRow="1" w:lastRow="0" w:firstColumn="1" w:lastColumn="0" w:noHBand="0" w:noVBand="1"/>
        <w:tblCaption w:val="Table 5: Change in EQ-5D-5L index score from baseline (observed cases) in LP0053-1003"/>
        <w:tblDescription w:val="Table 5: Change in EQ-5D-5L index score from baseline (observed cases) in LP0053-1003"/>
      </w:tblPr>
      <w:tblGrid>
        <w:gridCol w:w="2538"/>
        <w:gridCol w:w="1947"/>
        <w:gridCol w:w="1946"/>
        <w:gridCol w:w="1865"/>
      </w:tblGrid>
      <w:tr w:rsidR="00C42FAE" w:rsidRPr="00A93F15" w:rsidTr="00C501E7">
        <w:trPr>
          <w:tblHeader/>
        </w:trPr>
        <w:tc>
          <w:tcPr>
            <w:tcW w:w="2538" w:type="dxa"/>
          </w:tcPr>
          <w:p w:rsidR="00C31B1A" w:rsidRPr="00A93F15" w:rsidRDefault="00C31B1A" w:rsidP="006C77AE">
            <w:pPr>
              <w:widowControl/>
              <w:rPr>
                <w:rFonts w:ascii="Arial Narrow" w:hAnsi="Arial Narrow"/>
                <w:sz w:val="20"/>
              </w:rPr>
            </w:pPr>
          </w:p>
        </w:tc>
        <w:tc>
          <w:tcPr>
            <w:tcW w:w="1947" w:type="dxa"/>
          </w:tcPr>
          <w:p w:rsidR="00C31B1A" w:rsidRPr="00A93F15" w:rsidRDefault="00C31B1A" w:rsidP="006C77AE">
            <w:pPr>
              <w:widowControl/>
              <w:jc w:val="center"/>
              <w:rPr>
                <w:rFonts w:ascii="Arial Narrow" w:hAnsi="Arial Narrow"/>
                <w:b/>
                <w:sz w:val="20"/>
              </w:rPr>
            </w:pPr>
            <w:r w:rsidRPr="00A93F15">
              <w:rPr>
                <w:rFonts w:ascii="Arial Narrow" w:hAnsi="Arial Narrow"/>
                <w:b/>
                <w:sz w:val="20"/>
              </w:rPr>
              <w:t>Calcipotriol plus betamethasone foam spray (n=185)</w:t>
            </w:r>
          </w:p>
        </w:tc>
        <w:tc>
          <w:tcPr>
            <w:tcW w:w="1946" w:type="dxa"/>
          </w:tcPr>
          <w:p w:rsidR="00C31B1A" w:rsidRPr="00A93F15" w:rsidRDefault="00C31B1A" w:rsidP="006C77AE">
            <w:pPr>
              <w:widowControl/>
              <w:jc w:val="center"/>
              <w:rPr>
                <w:rFonts w:ascii="Arial Narrow" w:hAnsi="Arial Narrow"/>
                <w:sz w:val="20"/>
              </w:rPr>
            </w:pPr>
            <w:r w:rsidRPr="00A93F15">
              <w:rPr>
                <w:rFonts w:ascii="Arial Narrow" w:hAnsi="Arial Narrow"/>
                <w:b/>
                <w:sz w:val="20"/>
              </w:rPr>
              <w:t>Calcipotriol plus betamethasone gel (n=188)</w:t>
            </w:r>
          </w:p>
        </w:tc>
        <w:tc>
          <w:tcPr>
            <w:tcW w:w="1865" w:type="dxa"/>
          </w:tcPr>
          <w:p w:rsidR="00C31B1A" w:rsidRPr="00A93F15" w:rsidRDefault="00C31B1A" w:rsidP="006C77AE">
            <w:pPr>
              <w:widowControl/>
              <w:jc w:val="center"/>
              <w:rPr>
                <w:rFonts w:ascii="Arial Narrow" w:hAnsi="Arial Narrow"/>
                <w:b/>
                <w:sz w:val="20"/>
              </w:rPr>
            </w:pPr>
            <w:r w:rsidRPr="00A93F15">
              <w:rPr>
                <w:rFonts w:ascii="Arial Narrow" w:hAnsi="Arial Narrow"/>
                <w:b/>
                <w:sz w:val="20"/>
              </w:rPr>
              <w:t>Difference (</w:t>
            </w:r>
            <w:r w:rsidR="00FD09FE" w:rsidRPr="00A93F15">
              <w:rPr>
                <w:rFonts w:ascii="Arial Narrow" w:hAnsi="Arial Narrow"/>
                <w:b/>
                <w:sz w:val="20"/>
              </w:rPr>
              <w:t xml:space="preserve">calcipotriol plus betamethasone </w:t>
            </w:r>
            <w:r w:rsidRPr="00A93F15">
              <w:rPr>
                <w:rFonts w:ascii="Arial Narrow" w:hAnsi="Arial Narrow"/>
                <w:b/>
                <w:sz w:val="20"/>
              </w:rPr>
              <w:t>foam</w:t>
            </w:r>
            <w:r w:rsidR="00FD09FE" w:rsidRPr="00A93F15">
              <w:rPr>
                <w:rFonts w:ascii="Arial Narrow" w:hAnsi="Arial Narrow"/>
                <w:b/>
                <w:sz w:val="20"/>
              </w:rPr>
              <w:t xml:space="preserve"> spray</w:t>
            </w:r>
            <w:r w:rsidRPr="00A93F15">
              <w:rPr>
                <w:rFonts w:ascii="Arial Narrow" w:hAnsi="Arial Narrow"/>
                <w:b/>
                <w:sz w:val="20"/>
              </w:rPr>
              <w:t xml:space="preserve"> – gel)</w:t>
            </w:r>
          </w:p>
        </w:tc>
      </w:tr>
      <w:tr w:rsidR="00C42FAE" w:rsidRPr="00A93F15" w:rsidTr="00C31B1A">
        <w:tc>
          <w:tcPr>
            <w:tcW w:w="2538" w:type="dxa"/>
          </w:tcPr>
          <w:p w:rsidR="00C31B1A" w:rsidRPr="00A93F15" w:rsidRDefault="00C31B1A" w:rsidP="006C77AE">
            <w:pPr>
              <w:widowControl/>
              <w:rPr>
                <w:rFonts w:ascii="Arial Narrow" w:hAnsi="Arial Narrow"/>
                <w:sz w:val="20"/>
              </w:rPr>
            </w:pPr>
            <w:r w:rsidRPr="00A93F15">
              <w:rPr>
                <w:rFonts w:ascii="Arial Narrow" w:hAnsi="Arial Narrow"/>
                <w:sz w:val="20"/>
              </w:rPr>
              <w:t>Mean at Week 4 (SD)</w:t>
            </w:r>
          </w:p>
        </w:tc>
        <w:tc>
          <w:tcPr>
            <w:tcW w:w="1947"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0.092 (0.130)</w:t>
            </w:r>
          </w:p>
        </w:tc>
        <w:tc>
          <w:tcPr>
            <w:tcW w:w="1946"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0.033 (0.147)</w:t>
            </w:r>
          </w:p>
        </w:tc>
        <w:tc>
          <w:tcPr>
            <w:tcW w:w="1865"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0.059</w:t>
            </w:r>
          </w:p>
        </w:tc>
      </w:tr>
      <w:tr w:rsidR="00C42FAE" w:rsidRPr="00A93F15" w:rsidTr="00C31B1A">
        <w:tc>
          <w:tcPr>
            <w:tcW w:w="2538" w:type="dxa"/>
          </w:tcPr>
          <w:p w:rsidR="00C31B1A" w:rsidRPr="00A93F15" w:rsidRDefault="00C31B1A" w:rsidP="006C77AE">
            <w:pPr>
              <w:widowControl/>
              <w:rPr>
                <w:rFonts w:ascii="Arial Narrow" w:hAnsi="Arial Narrow"/>
                <w:sz w:val="20"/>
              </w:rPr>
            </w:pPr>
            <w:r w:rsidRPr="00A93F15">
              <w:rPr>
                <w:rFonts w:ascii="Arial Narrow" w:hAnsi="Arial Narrow"/>
                <w:sz w:val="20"/>
              </w:rPr>
              <w:t>Mean at Week 8 (SD)</w:t>
            </w:r>
          </w:p>
        </w:tc>
        <w:tc>
          <w:tcPr>
            <w:tcW w:w="1947"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0.072 (0.146)</w:t>
            </w:r>
          </w:p>
        </w:tc>
        <w:tc>
          <w:tcPr>
            <w:tcW w:w="1946"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0.056 (0.141)</w:t>
            </w:r>
          </w:p>
        </w:tc>
        <w:tc>
          <w:tcPr>
            <w:tcW w:w="1865" w:type="dxa"/>
          </w:tcPr>
          <w:p w:rsidR="00C31B1A" w:rsidRPr="00A93F15" w:rsidRDefault="00C31B1A" w:rsidP="006C77AE">
            <w:pPr>
              <w:widowControl/>
              <w:jc w:val="center"/>
              <w:rPr>
                <w:rFonts w:ascii="Arial Narrow" w:hAnsi="Arial Narrow"/>
                <w:sz w:val="20"/>
              </w:rPr>
            </w:pPr>
            <w:r w:rsidRPr="00A93F15">
              <w:rPr>
                <w:rFonts w:ascii="Arial Narrow" w:hAnsi="Arial Narrow"/>
                <w:sz w:val="20"/>
              </w:rPr>
              <w:t>0.016</w:t>
            </w:r>
          </w:p>
        </w:tc>
      </w:tr>
    </w:tbl>
    <w:p w:rsidR="00C575AF" w:rsidRPr="00A93F15" w:rsidRDefault="00C575AF" w:rsidP="006C77AE">
      <w:pPr>
        <w:widowControl/>
        <w:ind w:left="720"/>
        <w:rPr>
          <w:rFonts w:ascii="Arial Narrow" w:hAnsi="Arial Narrow"/>
          <w:sz w:val="18"/>
          <w:szCs w:val="18"/>
        </w:rPr>
      </w:pPr>
      <w:r w:rsidRPr="00A93F15">
        <w:rPr>
          <w:rFonts w:ascii="Arial Narrow" w:hAnsi="Arial Narrow"/>
          <w:sz w:val="18"/>
          <w:szCs w:val="18"/>
        </w:rPr>
        <w:t>Note: The submission indicates that the index score excludes data from the two psoriasis bolt-on dimensions</w:t>
      </w:r>
    </w:p>
    <w:p w:rsidR="00C575AF" w:rsidRPr="00A93F15" w:rsidRDefault="00C575AF" w:rsidP="006C77AE">
      <w:pPr>
        <w:widowControl/>
        <w:ind w:left="720"/>
        <w:rPr>
          <w:rFonts w:ascii="Arial Narrow" w:hAnsi="Arial Narrow"/>
          <w:sz w:val="18"/>
          <w:szCs w:val="18"/>
        </w:rPr>
      </w:pPr>
      <w:r w:rsidRPr="00A93F15">
        <w:rPr>
          <w:rFonts w:ascii="Arial Narrow" w:hAnsi="Arial Narrow"/>
          <w:sz w:val="18"/>
          <w:szCs w:val="18"/>
        </w:rPr>
        <w:t>SD=standard deviation</w:t>
      </w:r>
    </w:p>
    <w:p w:rsidR="00C575AF" w:rsidRPr="00A93F15" w:rsidRDefault="00C575AF" w:rsidP="006C77AE">
      <w:pPr>
        <w:widowControl/>
        <w:ind w:left="720"/>
        <w:rPr>
          <w:rFonts w:ascii="Arial Narrow" w:hAnsi="Arial Narrow"/>
          <w:sz w:val="18"/>
          <w:szCs w:val="18"/>
        </w:rPr>
      </w:pPr>
      <w:r w:rsidRPr="00A93F15">
        <w:rPr>
          <w:rFonts w:ascii="Arial Narrow" w:hAnsi="Arial Narrow"/>
          <w:sz w:val="18"/>
          <w:szCs w:val="18"/>
        </w:rPr>
        <w:t>Source: Table 28, p61 of the submission</w:t>
      </w:r>
    </w:p>
    <w:p w:rsidR="00C575AF" w:rsidRPr="00A93F15" w:rsidRDefault="00C575AF" w:rsidP="006C77AE">
      <w:pPr>
        <w:widowControl/>
        <w:rPr>
          <w:rFonts w:ascii="Arial Narrow" w:hAnsi="Arial Narrow"/>
          <w:sz w:val="20"/>
        </w:rPr>
      </w:pPr>
    </w:p>
    <w:p w:rsidR="00C05E56" w:rsidRPr="00A93F15" w:rsidRDefault="00C575AF" w:rsidP="006C77AE">
      <w:pPr>
        <w:pStyle w:val="ListParagraph"/>
        <w:widowControl/>
        <w:numPr>
          <w:ilvl w:val="1"/>
          <w:numId w:val="5"/>
        </w:numPr>
        <w:rPr>
          <w:szCs w:val="22"/>
        </w:rPr>
      </w:pPr>
      <w:r w:rsidRPr="00A93F15">
        <w:t xml:space="preserve">For the pre-specified Week 4 to Week 8 comparison, the </w:t>
      </w:r>
      <w:r w:rsidR="004D39D4" w:rsidRPr="00A93F15">
        <w:t xml:space="preserve">difference in the mean change in utility index score at Week 4 for </w:t>
      </w:r>
      <w:r w:rsidRPr="00A93F15">
        <w:t xml:space="preserve">calcipotriol plus betamethasone foam spray compared to </w:t>
      </w:r>
      <w:r w:rsidR="004D39D4" w:rsidRPr="00A93F15">
        <w:t xml:space="preserve">Week 8 for </w:t>
      </w:r>
      <w:r w:rsidRPr="00A93F15">
        <w:t xml:space="preserve">calcipotriol plus betamethasone gel was </w:t>
      </w:r>
      <w:r w:rsidR="004D39D4" w:rsidRPr="00A93F15">
        <w:t>0.029</w:t>
      </w:r>
      <w:r w:rsidR="00582E1B">
        <w:t xml:space="preserve">. </w:t>
      </w:r>
      <w:r w:rsidR="004D39D4" w:rsidRPr="00A93F15">
        <w:t xml:space="preserve">This was statistically significant </w:t>
      </w:r>
      <w:r w:rsidRPr="00A93F15">
        <w:t>(p=0.023)</w:t>
      </w:r>
      <w:r w:rsidR="00582E1B">
        <w:t xml:space="preserve">. </w:t>
      </w:r>
      <w:r w:rsidRPr="00A93F15">
        <w:t>The submission stated that the utility scores derived from this instrument were used in the economic evaluation</w:t>
      </w:r>
      <w:r w:rsidR="00582E1B">
        <w:t xml:space="preserve">. </w:t>
      </w:r>
      <w:r w:rsidR="002066A1" w:rsidRPr="00A93F15">
        <w:t>H</w:t>
      </w:r>
      <w:r w:rsidR="00367B7C" w:rsidRPr="00A93F15">
        <w:t>owever</w:t>
      </w:r>
      <w:r w:rsidR="002066A1" w:rsidRPr="00A93F15">
        <w:t>,</w:t>
      </w:r>
      <w:r w:rsidR="00367B7C" w:rsidRPr="00A93F15">
        <w:t xml:space="preserve"> </w:t>
      </w:r>
      <w:r w:rsidR="000D530F" w:rsidRPr="00A93F15">
        <w:t>the</w:t>
      </w:r>
      <w:r w:rsidRPr="00A93F15">
        <w:t xml:space="preserve"> </w:t>
      </w:r>
      <w:r w:rsidR="002066A1" w:rsidRPr="00A93F15">
        <w:t xml:space="preserve">economic model presented by the </w:t>
      </w:r>
      <w:r w:rsidR="00367B7C" w:rsidRPr="00A93F15">
        <w:t xml:space="preserve">submission </w:t>
      </w:r>
      <w:r w:rsidR="000D530F" w:rsidRPr="00A93F15">
        <w:t xml:space="preserve">only </w:t>
      </w:r>
      <w:r w:rsidR="005B1450" w:rsidRPr="00A93F15">
        <w:t>used</w:t>
      </w:r>
      <w:r w:rsidR="00367B7C" w:rsidRPr="00A93F15">
        <w:t xml:space="preserve"> </w:t>
      </w:r>
      <w:r w:rsidRPr="00A93F15">
        <w:t xml:space="preserve">utility </w:t>
      </w:r>
      <w:r w:rsidR="00367B7C" w:rsidRPr="00A93F15">
        <w:t>index val</w:t>
      </w:r>
      <w:r w:rsidR="00560038" w:rsidRPr="00A93F15">
        <w:t>ues for</w:t>
      </w:r>
      <w:r w:rsidR="00560038" w:rsidRPr="00A93F15">
        <w:rPr>
          <w:i/>
        </w:rPr>
        <w:t xml:space="preserve"> </w:t>
      </w:r>
      <w:r w:rsidR="00560038" w:rsidRPr="00A93F15">
        <w:t xml:space="preserve">patients </w:t>
      </w:r>
      <w:r w:rsidR="000D530F" w:rsidRPr="00A93F15">
        <w:t xml:space="preserve">treated with calcipotriol plus betamethasone foam spray </w:t>
      </w:r>
      <w:r w:rsidR="00560038" w:rsidRPr="00A93F15">
        <w:t>who responded based on PASI75, and for patients treated with the vehicle foam spray who did not respond</w:t>
      </w:r>
      <w:r w:rsidR="00582E1B">
        <w:t xml:space="preserve">. </w:t>
      </w:r>
    </w:p>
    <w:p w:rsidR="00C575AF" w:rsidRPr="00A93F15" w:rsidRDefault="00C575AF" w:rsidP="006C77AE">
      <w:pPr>
        <w:widowControl/>
        <w:rPr>
          <w:szCs w:val="22"/>
        </w:rPr>
      </w:pPr>
    </w:p>
    <w:p w:rsidR="00B60939" w:rsidRPr="00A93F15" w:rsidRDefault="00B60939" w:rsidP="00CF2EDE">
      <w:pPr>
        <w:pStyle w:val="Heading2"/>
      </w:pPr>
      <w:bookmarkStart w:id="12" w:name="_Toc461530262"/>
      <w:r w:rsidRPr="00A93F15">
        <w:lastRenderedPageBreak/>
        <w:t>Comparative harms</w:t>
      </w:r>
      <w:bookmarkEnd w:id="12"/>
    </w:p>
    <w:p w:rsidR="00B60939" w:rsidRPr="00A93F15" w:rsidRDefault="00B60939" w:rsidP="006C77AE">
      <w:pPr>
        <w:widowControl/>
        <w:ind w:left="720" w:hanging="720"/>
        <w:rPr>
          <w:szCs w:val="22"/>
        </w:rPr>
      </w:pPr>
    </w:p>
    <w:p w:rsidR="0087153B" w:rsidRPr="00A93F15" w:rsidRDefault="0087153B" w:rsidP="006C77AE">
      <w:pPr>
        <w:pStyle w:val="ListParagraph"/>
        <w:widowControl/>
        <w:numPr>
          <w:ilvl w:val="1"/>
          <w:numId w:val="5"/>
        </w:numPr>
      </w:pPr>
      <w:r w:rsidRPr="00A93F15">
        <w:t>The submission presented detailed safety outcomes for the trials but did not provide statistical comparisons of the observed adverse events</w:t>
      </w:r>
      <w:r w:rsidR="00582E1B">
        <w:t xml:space="preserve">. </w:t>
      </w:r>
      <w:r w:rsidR="00B07C3D" w:rsidRPr="00A93F15">
        <w:t>Relative risk was calculated during the evaluation</w:t>
      </w:r>
      <w:r w:rsidR="00582E1B">
        <w:t xml:space="preserve">. </w:t>
      </w:r>
      <w:r w:rsidR="00B07C3D" w:rsidRPr="00A93F15">
        <w:t>Table 6 provides a summary of the key adverse events in trial LP0053-1003 and trial LEO90100-35.</w:t>
      </w:r>
    </w:p>
    <w:p w:rsidR="0087153B" w:rsidRPr="00A93F15" w:rsidRDefault="0087153B" w:rsidP="006C77AE">
      <w:pPr>
        <w:widowControl/>
        <w:rPr>
          <w:rStyle w:val="CommentReference"/>
        </w:rPr>
      </w:pPr>
    </w:p>
    <w:p w:rsidR="0087153B" w:rsidRPr="00A93F15" w:rsidRDefault="0087153B" w:rsidP="00BD1228">
      <w:pPr>
        <w:widowControl/>
        <w:ind w:firstLine="720"/>
        <w:jc w:val="left"/>
        <w:rPr>
          <w:rStyle w:val="CommentReference"/>
        </w:rPr>
      </w:pPr>
      <w:r w:rsidRPr="00A93F15">
        <w:rPr>
          <w:rStyle w:val="CommentReference"/>
        </w:rPr>
        <w:t xml:space="preserve">Table 6: Summary of key adverse events in the direct randomised trials </w:t>
      </w:r>
    </w:p>
    <w:tbl>
      <w:tblPr>
        <w:tblW w:w="4569"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02"/>
        <w:gridCol w:w="2284"/>
        <w:gridCol w:w="2143"/>
        <w:gridCol w:w="1570"/>
      </w:tblGrid>
      <w:tr w:rsidR="00C42FAE" w:rsidRPr="00A93F15" w:rsidTr="0022263D">
        <w:tc>
          <w:tcPr>
            <w:tcW w:w="1387" w:type="pct"/>
            <w:vAlign w:val="center"/>
          </w:tcPr>
          <w:p w:rsidR="0087153B" w:rsidRPr="00A93F15" w:rsidRDefault="0087153B" w:rsidP="006C77AE">
            <w:pPr>
              <w:widowControl/>
              <w:tabs>
                <w:tab w:val="left" w:pos="150"/>
              </w:tabs>
              <w:jc w:val="left"/>
              <w:rPr>
                <w:rFonts w:ascii="Arial Narrow" w:hAnsi="Arial Narrow"/>
                <w:sz w:val="20"/>
              </w:rPr>
            </w:pPr>
          </w:p>
        </w:tc>
        <w:tc>
          <w:tcPr>
            <w:tcW w:w="1376" w:type="pct"/>
            <w:vAlign w:val="center"/>
          </w:tcPr>
          <w:p w:rsidR="0087153B" w:rsidRPr="00A93F15" w:rsidRDefault="0087153B" w:rsidP="006C77AE">
            <w:pPr>
              <w:widowControl/>
              <w:jc w:val="center"/>
              <w:rPr>
                <w:rFonts w:ascii="Arial Narrow" w:hAnsi="Arial Narrow"/>
                <w:sz w:val="20"/>
              </w:rPr>
            </w:pPr>
            <w:r w:rsidRPr="00A93F15">
              <w:rPr>
                <w:rFonts w:ascii="Arial Narrow" w:hAnsi="Arial Narrow"/>
                <w:b/>
                <w:sz w:val="20"/>
              </w:rPr>
              <w:t>Calcipotriol plus betamethasone foam spray</w:t>
            </w:r>
            <w:r w:rsidR="00364EA5" w:rsidRPr="00A93F15">
              <w:rPr>
                <w:rFonts w:ascii="Arial Narrow" w:hAnsi="Arial Narrow"/>
                <w:b/>
                <w:sz w:val="20"/>
              </w:rPr>
              <w:t xml:space="preserve"> </w:t>
            </w:r>
            <w:r w:rsidRPr="00A93F15">
              <w:rPr>
                <w:rFonts w:ascii="Arial Narrow" w:hAnsi="Arial Narrow"/>
                <w:b/>
                <w:sz w:val="20"/>
              </w:rPr>
              <w:t>n=185</w:t>
            </w:r>
          </w:p>
        </w:tc>
        <w:tc>
          <w:tcPr>
            <w:tcW w:w="1291" w:type="pct"/>
            <w:vAlign w:val="center"/>
          </w:tcPr>
          <w:p w:rsidR="0087153B" w:rsidRPr="00A93F15" w:rsidRDefault="0087153B" w:rsidP="006C77AE">
            <w:pPr>
              <w:widowControl/>
              <w:jc w:val="center"/>
              <w:rPr>
                <w:rFonts w:ascii="Arial Narrow" w:hAnsi="Arial Narrow"/>
                <w:b/>
                <w:sz w:val="20"/>
              </w:rPr>
            </w:pPr>
            <w:r w:rsidRPr="00A93F15">
              <w:rPr>
                <w:rFonts w:ascii="Arial Narrow" w:hAnsi="Arial Narrow"/>
                <w:b/>
                <w:sz w:val="20"/>
              </w:rPr>
              <w:t>Calcipotriol plus betamethasone gel</w:t>
            </w:r>
          </w:p>
          <w:p w:rsidR="0087153B" w:rsidRPr="00A93F15" w:rsidRDefault="0087153B" w:rsidP="006C77AE">
            <w:pPr>
              <w:widowControl/>
              <w:jc w:val="center"/>
              <w:rPr>
                <w:rFonts w:ascii="Arial Narrow" w:hAnsi="Arial Narrow"/>
                <w:sz w:val="20"/>
              </w:rPr>
            </w:pPr>
            <w:r w:rsidRPr="00A93F15">
              <w:rPr>
                <w:rFonts w:ascii="Arial Narrow" w:hAnsi="Arial Narrow"/>
                <w:b/>
                <w:sz w:val="20"/>
              </w:rPr>
              <w:t>n =188</w:t>
            </w:r>
          </w:p>
        </w:tc>
        <w:tc>
          <w:tcPr>
            <w:tcW w:w="946" w:type="pct"/>
            <w:vAlign w:val="center"/>
          </w:tcPr>
          <w:p w:rsidR="0087153B" w:rsidRPr="00A93F15" w:rsidRDefault="0087153B" w:rsidP="006C77AE">
            <w:pPr>
              <w:widowControl/>
              <w:jc w:val="center"/>
              <w:rPr>
                <w:rFonts w:ascii="Arial Narrow" w:hAnsi="Arial Narrow"/>
                <w:b/>
                <w:sz w:val="20"/>
              </w:rPr>
            </w:pPr>
            <w:r w:rsidRPr="00A93F15">
              <w:rPr>
                <w:rFonts w:ascii="Arial Narrow" w:hAnsi="Arial Narrow"/>
                <w:b/>
                <w:sz w:val="20"/>
              </w:rPr>
              <w:t>RR</w:t>
            </w:r>
          </w:p>
          <w:p w:rsidR="0087153B" w:rsidRPr="00A93F15" w:rsidRDefault="0087153B" w:rsidP="006C77AE">
            <w:pPr>
              <w:widowControl/>
              <w:jc w:val="center"/>
              <w:rPr>
                <w:rFonts w:ascii="Arial Narrow" w:hAnsi="Arial Narrow"/>
                <w:sz w:val="20"/>
              </w:rPr>
            </w:pPr>
            <w:r w:rsidRPr="00A93F15">
              <w:rPr>
                <w:rFonts w:ascii="Arial Narrow" w:hAnsi="Arial Narrow"/>
                <w:b/>
                <w:sz w:val="20"/>
              </w:rPr>
              <w:t>(95% CI)</w:t>
            </w:r>
          </w:p>
        </w:tc>
      </w:tr>
      <w:tr w:rsidR="00C42FAE" w:rsidRPr="00A93F15" w:rsidTr="0022263D">
        <w:tc>
          <w:tcPr>
            <w:tcW w:w="1387" w:type="pct"/>
            <w:vAlign w:val="center"/>
          </w:tcPr>
          <w:p w:rsidR="0087153B" w:rsidRPr="00A93F15" w:rsidRDefault="0087153B" w:rsidP="006C77AE">
            <w:pPr>
              <w:widowControl/>
              <w:tabs>
                <w:tab w:val="left" w:pos="150"/>
              </w:tabs>
              <w:jc w:val="left"/>
              <w:rPr>
                <w:rFonts w:ascii="Arial Narrow" w:hAnsi="Arial Narrow"/>
                <w:sz w:val="20"/>
              </w:rPr>
            </w:pPr>
            <w:r w:rsidRPr="00A93F15">
              <w:rPr>
                <w:rFonts w:ascii="Arial Narrow" w:hAnsi="Arial Narrow"/>
                <w:sz w:val="20"/>
              </w:rPr>
              <w:t>LP0053-1003, n (%)*</w:t>
            </w:r>
          </w:p>
          <w:p w:rsidR="0087153B" w:rsidRPr="00A93F15" w:rsidRDefault="0087153B" w:rsidP="006C77AE">
            <w:pPr>
              <w:widowControl/>
              <w:tabs>
                <w:tab w:val="left" w:pos="150"/>
              </w:tabs>
              <w:jc w:val="left"/>
              <w:rPr>
                <w:rFonts w:ascii="Arial Narrow" w:hAnsi="Arial Narrow"/>
                <w:sz w:val="20"/>
              </w:rPr>
            </w:pPr>
            <w:r w:rsidRPr="00A93F15">
              <w:rPr>
                <w:rFonts w:ascii="Arial Narrow" w:hAnsi="Arial Narrow"/>
                <w:sz w:val="20"/>
              </w:rPr>
              <w:tab/>
              <w:t>All TEAEs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Severe TEAEs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ADRs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AEs leading to withdrawal</w:t>
            </w:r>
          </w:p>
        </w:tc>
        <w:tc>
          <w:tcPr>
            <w:tcW w:w="1376" w:type="pct"/>
            <w:vAlign w:val="center"/>
          </w:tcPr>
          <w:p w:rsidR="0087153B" w:rsidRPr="00A93F15" w:rsidRDefault="0087153B" w:rsidP="006C77AE">
            <w:pPr>
              <w:widowControl/>
              <w:jc w:val="center"/>
              <w:rPr>
                <w:rFonts w:ascii="Arial Narrow" w:hAnsi="Arial Narrow"/>
                <w:sz w:val="20"/>
              </w:rPr>
            </w:pPr>
          </w:p>
          <w:p w:rsidR="0087153B" w:rsidRPr="00A93F15" w:rsidRDefault="0087153B" w:rsidP="006C77AE">
            <w:pPr>
              <w:widowControl/>
              <w:jc w:val="center"/>
              <w:rPr>
                <w:rFonts w:ascii="Arial Narrow" w:hAnsi="Arial Narrow"/>
                <w:sz w:val="20"/>
              </w:rPr>
            </w:pPr>
            <w:r w:rsidRPr="00A93F15">
              <w:rPr>
                <w:rFonts w:ascii="Arial Narrow" w:hAnsi="Arial Narrow"/>
                <w:sz w:val="20"/>
              </w:rPr>
              <w:t>77 (41.6)</w:t>
            </w:r>
          </w:p>
          <w:p w:rsidR="0087153B" w:rsidRPr="00A93F15" w:rsidRDefault="0087153B" w:rsidP="006C77AE">
            <w:pPr>
              <w:widowControl/>
              <w:jc w:val="center"/>
              <w:rPr>
                <w:rFonts w:ascii="Arial Narrow" w:hAnsi="Arial Narrow"/>
                <w:sz w:val="20"/>
              </w:rPr>
            </w:pPr>
            <w:r w:rsidRPr="00A93F15">
              <w:rPr>
                <w:rFonts w:ascii="Arial Narrow" w:hAnsi="Arial Narrow"/>
                <w:sz w:val="20"/>
              </w:rPr>
              <w:t>6 (3.2)</w:t>
            </w:r>
          </w:p>
          <w:p w:rsidR="0087153B" w:rsidRPr="00A93F15" w:rsidRDefault="0087153B" w:rsidP="006C77AE">
            <w:pPr>
              <w:widowControl/>
              <w:jc w:val="center"/>
              <w:rPr>
                <w:rFonts w:ascii="Arial Narrow" w:hAnsi="Arial Narrow"/>
                <w:sz w:val="20"/>
              </w:rPr>
            </w:pPr>
            <w:r w:rsidRPr="00A93F15">
              <w:rPr>
                <w:rFonts w:ascii="Arial Narrow" w:hAnsi="Arial Narrow"/>
                <w:sz w:val="20"/>
              </w:rPr>
              <w:t>14 (7.6)</w:t>
            </w:r>
          </w:p>
          <w:p w:rsidR="0087153B" w:rsidRPr="00A93F15" w:rsidRDefault="0087153B" w:rsidP="006C77AE">
            <w:pPr>
              <w:widowControl/>
              <w:jc w:val="center"/>
              <w:rPr>
                <w:rFonts w:ascii="Arial Narrow" w:hAnsi="Arial Narrow"/>
                <w:sz w:val="20"/>
              </w:rPr>
            </w:pPr>
            <w:r w:rsidRPr="00A93F15">
              <w:rPr>
                <w:rFonts w:ascii="Arial Narrow" w:hAnsi="Arial Narrow"/>
                <w:sz w:val="20"/>
              </w:rPr>
              <w:t>4 (2.2)</w:t>
            </w:r>
          </w:p>
        </w:tc>
        <w:tc>
          <w:tcPr>
            <w:tcW w:w="1291" w:type="pct"/>
            <w:vAlign w:val="center"/>
          </w:tcPr>
          <w:p w:rsidR="0087153B" w:rsidRPr="00A93F15" w:rsidRDefault="0087153B" w:rsidP="006C77AE">
            <w:pPr>
              <w:widowControl/>
              <w:jc w:val="center"/>
              <w:rPr>
                <w:rFonts w:ascii="Arial Narrow" w:hAnsi="Arial Narrow"/>
                <w:sz w:val="20"/>
              </w:rPr>
            </w:pPr>
          </w:p>
          <w:p w:rsidR="0087153B" w:rsidRPr="00A93F15" w:rsidRDefault="0087153B" w:rsidP="006C77AE">
            <w:pPr>
              <w:widowControl/>
              <w:jc w:val="center"/>
              <w:rPr>
                <w:rFonts w:ascii="Arial Narrow" w:hAnsi="Arial Narrow"/>
                <w:sz w:val="20"/>
              </w:rPr>
            </w:pPr>
            <w:r w:rsidRPr="00A93F15">
              <w:rPr>
                <w:rFonts w:ascii="Arial Narrow" w:hAnsi="Arial Narrow"/>
                <w:sz w:val="20"/>
              </w:rPr>
              <w:t>85 (45.2)</w:t>
            </w:r>
          </w:p>
          <w:p w:rsidR="0087153B" w:rsidRPr="00A93F15" w:rsidRDefault="0087153B" w:rsidP="006C77AE">
            <w:pPr>
              <w:widowControl/>
              <w:jc w:val="center"/>
              <w:rPr>
                <w:rFonts w:ascii="Arial Narrow" w:hAnsi="Arial Narrow"/>
                <w:sz w:val="20"/>
              </w:rPr>
            </w:pPr>
            <w:r w:rsidRPr="00A93F15">
              <w:rPr>
                <w:rFonts w:ascii="Arial Narrow" w:hAnsi="Arial Narrow"/>
                <w:sz w:val="20"/>
              </w:rPr>
              <w:t>5 (2.7)</w:t>
            </w:r>
          </w:p>
          <w:p w:rsidR="0087153B" w:rsidRPr="00A93F15" w:rsidRDefault="0087153B" w:rsidP="006C77AE">
            <w:pPr>
              <w:widowControl/>
              <w:jc w:val="center"/>
              <w:rPr>
                <w:rFonts w:ascii="Arial Narrow" w:hAnsi="Arial Narrow"/>
                <w:sz w:val="20"/>
              </w:rPr>
            </w:pPr>
            <w:r w:rsidRPr="00A93F15">
              <w:rPr>
                <w:rFonts w:ascii="Arial Narrow" w:hAnsi="Arial Narrow"/>
                <w:sz w:val="20"/>
              </w:rPr>
              <w:t>7 (3.7)</w:t>
            </w:r>
          </w:p>
          <w:p w:rsidR="0087153B" w:rsidRPr="00A93F15" w:rsidRDefault="0087153B" w:rsidP="006C77AE">
            <w:pPr>
              <w:widowControl/>
              <w:jc w:val="center"/>
              <w:rPr>
                <w:rFonts w:ascii="Arial Narrow" w:hAnsi="Arial Narrow"/>
                <w:sz w:val="20"/>
              </w:rPr>
            </w:pPr>
            <w:r w:rsidRPr="00A93F15">
              <w:rPr>
                <w:rFonts w:ascii="Arial Narrow" w:hAnsi="Arial Narrow"/>
                <w:sz w:val="20"/>
              </w:rPr>
              <w:t>4 (2.1)</w:t>
            </w:r>
          </w:p>
        </w:tc>
        <w:tc>
          <w:tcPr>
            <w:tcW w:w="946" w:type="pct"/>
            <w:vAlign w:val="center"/>
          </w:tcPr>
          <w:p w:rsidR="0087153B" w:rsidRPr="00A93F15" w:rsidRDefault="0087153B" w:rsidP="006C77AE">
            <w:pPr>
              <w:widowControl/>
              <w:jc w:val="center"/>
              <w:rPr>
                <w:rFonts w:ascii="Arial Narrow" w:hAnsi="Arial Narrow"/>
                <w:sz w:val="20"/>
              </w:rPr>
            </w:pPr>
          </w:p>
          <w:p w:rsidR="0087153B" w:rsidRPr="00A93F15" w:rsidRDefault="0087153B" w:rsidP="006C77AE">
            <w:pPr>
              <w:widowControl/>
              <w:jc w:val="center"/>
              <w:rPr>
                <w:rFonts w:ascii="Arial Narrow" w:hAnsi="Arial Narrow"/>
                <w:i/>
                <w:sz w:val="20"/>
              </w:rPr>
            </w:pPr>
            <w:r w:rsidRPr="00A93F15">
              <w:rPr>
                <w:rFonts w:ascii="Arial Narrow" w:hAnsi="Arial Narrow"/>
                <w:i/>
                <w:sz w:val="20"/>
              </w:rPr>
              <w:t>0.92 (0.73, 1.16)</w:t>
            </w:r>
          </w:p>
          <w:p w:rsidR="0087153B" w:rsidRPr="00A93F15" w:rsidRDefault="0087153B" w:rsidP="006C77AE">
            <w:pPr>
              <w:widowControl/>
              <w:jc w:val="center"/>
              <w:rPr>
                <w:rFonts w:ascii="Arial Narrow" w:hAnsi="Arial Narrow"/>
                <w:i/>
                <w:sz w:val="20"/>
              </w:rPr>
            </w:pPr>
            <w:r w:rsidRPr="00A93F15">
              <w:rPr>
                <w:rFonts w:ascii="Arial Narrow" w:hAnsi="Arial Narrow"/>
                <w:i/>
                <w:sz w:val="20"/>
              </w:rPr>
              <w:t>1.22 (0.40, 3.71)</w:t>
            </w:r>
          </w:p>
          <w:p w:rsidR="0087153B" w:rsidRPr="00A93F15" w:rsidRDefault="0087153B" w:rsidP="006C77AE">
            <w:pPr>
              <w:widowControl/>
              <w:jc w:val="center"/>
              <w:rPr>
                <w:rFonts w:ascii="Arial Narrow" w:hAnsi="Arial Narrow"/>
                <w:i/>
                <w:sz w:val="20"/>
              </w:rPr>
            </w:pPr>
            <w:r w:rsidRPr="00A93F15">
              <w:rPr>
                <w:rFonts w:ascii="Arial Narrow" w:hAnsi="Arial Narrow"/>
                <w:i/>
                <w:sz w:val="20"/>
              </w:rPr>
              <w:t>2.03 (0.85, 4.81)</w:t>
            </w:r>
          </w:p>
          <w:p w:rsidR="0087153B" w:rsidRPr="00A93F15" w:rsidRDefault="0087153B" w:rsidP="006C77AE">
            <w:pPr>
              <w:widowControl/>
              <w:jc w:val="center"/>
              <w:rPr>
                <w:rFonts w:ascii="Arial Narrow" w:hAnsi="Arial Narrow"/>
                <w:sz w:val="20"/>
              </w:rPr>
            </w:pPr>
            <w:r w:rsidRPr="00A93F15">
              <w:rPr>
                <w:rFonts w:ascii="Arial Narrow" w:hAnsi="Arial Narrow"/>
                <w:i/>
                <w:sz w:val="20"/>
              </w:rPr>
              <w:t>1.02 (0.28, 3.66)</w:t>
            </w:r>
          </w:p>
        </w:tc>
      </w:tr>
      <w:tr w:rsidR="00C42FAE" w:rsidRPr="00A93F15" w:rsidTr="0022263D">
        <w:tc>
          <w:tcPr>
            <w:tcW w:w="1387" w:type="pct"/>
            <w:vAlign w:val="center"/>
          </w:tcPr>
          <w:p w:rsidR="0087153B" w:rsidRPr="00A93F15" w:rsidRDefault="0087153B" w:rsidP="006C77AE">
            <w:pPr>
              <w:widowControl/>
              <w:tabs>
                <w:tab w:val="left" w:pos="150"/>
              </w:tabs>
              <w:jc w:val="left"/>
              <w:rPr>
                <w:rFonts w:ascii="Arial Narrow" w:hAnsi="Arial Narrow"/>
                <w:sz w:val="20"/>
              </w:rPr>
            </w:pPr>
          </w:p>
        </w:tc>
        <w:tc>
          <w:tcPr>
            <w:tcW w:w="1376" w:type="pct"/>
            <w:vAlign w:val="center"/>
          </w:tcPr>
          <w:p w:rsidR="0087153B" w:rsidRPr="00A93F15" w:rsidRDefault="0087153B" w:rsidP="006C77AE">
            <w:pPr>
              <w:widowControl/>
              <w:jc w:val="center"/>
              <w:rPr>
                <w:rFonts w:ascii="Arial Narrow" w:hAnsi="Arial Narrow"/>
                <w:sz w:val="20"/>
              </w:rPr>
            </w:pPr>
            <w:r w:rsidRPr="00A93F15">
              <w:rPr>
                <w:rFonts w:ascii="Arial Narrow" w:hAnsi="Arial Narrow"/>
                <w:b/>
                <w:sz w:val="20"/>
              </w:rPr>
              <w:t>Calcipotriol plus betamethasone foam spray</w:t>
            </w:r>
            <w:r w:rsidR="00364EA5" w:rsidRPr="00A93F15">
              <w:rPr>
                <w:rFonts w:ascii="Arial Narrow" w:hAnsi="Arial Narrow"/>
                <w:b/>
                <w:sz w:val="20"/>
              </w:rPr>
              <w:t xml:space="preserve"> </w:t>
            </w:r>
            <w:r w:rsidRPr="00A93F15">
              <w:rPr>
                <w:rFonts w:ascii="Arial Narrow" w:hAnsi="Arial Narrow"/>
                <w:b/>
                <w:sz w:val="20"/>
              </w:rPr>
              <w:t>n=135</w:t>
            </w:r>
          </w:p>
        </w:tc>
        <w:tc>
          <w:tcPr>
            <w:tcW w:w="1291" w:type="pct"/>
            <w:vAlign w:val="center"/>
          </w:tcPr>
          <w:p w:rsidR="0087153B" w:rsidRPr="00A93F15" w:rsidRDefault="0087153B" w:rsidP="006C77AE">
            <w:pPr>
              <w:widowControl/>
              <w:jc w:val="center"/>
              <w:rPr>
                <w:rFonts w:ascii="Arial Narrow" w:hAnsi="Arial Narrow"/>
                <w:b/>
                <w:sz w:val="20"/>
              </w:rPr>
            </w:pPr>
            <w:r w:rsidRPr="00A93F15">
              <w:rPr>
                <w:rFonts w:ascii="Arial Narrow" w:hAnsi="Arial Narrow"/>
                <w:b/>
                <w:sz w:val="20"/>
              </w:rPr>
              <w:t>Calcipotriol plus betamethasone ointment</w:t>
            </w:r>
          </w:p>
          <w:p w:rsidR="0087153B" w:rsidRPr="00A93F15" w:rsidRDefault="0087153B" w:rsidP="006C77AE">
            <w:pPr>
              <w:widowControl/>
              <w:jc w:val="center"/>
              <w:rPr>
                <w:rFonts w:ascii="Arial Narrow" w:hAnsi="Arial Narrow"/>
                <w:sz w:val="20"/>
              </w:rPr>
            </w:pPr>
            <w:r w:rsidRPr="00A93F15">
              <w:rPr>
                <w:rFonts w:ascii="Arial Narrow" w:hAnsi="Arial Narrow"/>
                <w:b/>
                <w:sz w:val="20"/>
              </w:rPr>
              <w:t>n =141</w:t>
            </w:r>
          </w:p>
        </w:tc>
        <w:tc>
          <w:tcPr>
            <w:tcW w:w="946" w:type="pct"/>
            <w:vAlign w:val="center"/>
          </w:tcPr>
          <w:p w:rsidR="0087153B" w:rsidRPr="00A93F15" w:rsidRDefault="0087153B" w:rsidP="006C77AE">
            <w:pPr>
              <w:widowControl/>
              <w:jc w:val="center"/>
              <w:rPr>
                <w:rFonts w:ascii="Arial Narrow" w:hAnsi="Arial Narrow"/>
                <w:b/>
                <w:sz w:val="20"/>
              </w:rPr>
            </w:pPr>
            <w:r w:rsidRPr="00A93F15">
              <w:rPr>
                <w:rFonts w:ascii="Arial Narrow" w:hAnsi="Arial Narrow"/>
                <w:b/>
                <w:sz w:val="20"/>
              </w:rPr>
              <w:t>RR</w:t>
            </w:r>
          </w:p>
          <w:p w:rsidR="0087153B" w:rsidRPr="00A93F15" w:rsidRDefault="0087153B" w:rsidP="006C77AE">
            <w:pPr>
              <w:widowControl/>
              <w:jc w:val="center"/>
              <w:rPr>
                <w:rFonts w:ascii="Arial Narrow" w:hAnsi="Arial Narrow"/>
                <w:sz w:val="20"/>
              </w:rPr>
            </w:pPr>
            <w:r w:rsidRPr="00A93F15">
              <w:rPr>
                <w:rFonts w:ascii="Arial Narrow" w:hAnsi="Arial Narrow"/>
                <w:b/>
                <w:sz w:val="20"/>
              </w:rPr>
              <w:t>(95% CI)</w:t>
            </w:r>
          </w:p>
        </w:tc>
      </w:tr>
      <w:tr w:rsidR="00C42FAE" w:rsidRPr="00A93F15" w:rsidTr="0022263D">
        <w:tc>
          <w:tcPr>
            <w:tcW w:w="1387" w:type="pct"/>
            <w:vAlign w:val="center"/>
          </w:tcPr>
          <w:p w:rsidR="0087153B" w:rsidRPr="00A93F15" w:rsidRDefault="0087153B" w:rsidP="006C77AE">
            <w:pPr>
              <w:widowControl/>
              <w:tabs>
                <w:tab w:val="left" w:pos="150"/>
              </w:tabs>
              <w:jc w:val="left"/>
              <w:rPr>
                <w:rFonts w:ascii="Arial Narrow" w:hAnsi="Arial Narrow"/>
                <w:sz w:val="20"/>
              </w:rPr>
            </w:pPr>
            <w:r w:rsidRPr="00A93F15">
              <w:rPr>
                <w:rFonts w:ascii="Arial Narrow" w:hAnsi="Arial Narrow"/>
                <w:sz w:val="20"/>
              </w:rPr>
              <w:t>LEO90100-35</w:t>
            </w:r>
          </w:p>
          <w:p w:rsidR="0087153B" w:rsidRPr="00A93F15" w:rsidRDefault="0087153B" w:rsidP="006C77AE">
            <w:pPr>
              <w:widowControl/>
              <w:tabs>
                <w:tab w:val="left" w:pos="150"/>
              </w:tabs>
              <w:jc w:val="left"/>
              <w:rPr>
                <w:rFonts w:ascii="Arial Narrow" w:hAnsi="Arial Narrow"/>
                <w:sz w:val="20"/>
              </w:rPr>
            </w:pPr>
            <w:r w:rsidRPr="00A93F15">
              <w:rPr>
                <w:rFonts w:ascii="Arial Narrow" w:hAnsi="Arial Narrow"/>
                <w:sz w:val="20"/>
              </w:rPr>
              <w:tab/>
              <w:t>All TEAEs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Severe TEAEs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ADRs</w:t>
            </w:r>
          </w:p>
          <w:p w:rsidR="0087153B" w:rsidRPr="00A93F15" w:rsidRDefault="0087153B" w:rsidP="006C77AE">
            <w:pPr>
              <w:widowControl/>
              <w:tabs>
                <w:tab w:val="left" w:pos="150"/>
              </w:tabs>
              <w:ind w:left="150"/>
              <w:jc w:val="left"/>
              <w:rPr>
                <w:rFonts w:ascii="Arial Narrow" w:hAnsi="Arial Narrow"/>
                <w:sz w:val="20"/>
              </w:rPr>
            </w:pPr>
            <w:r w:rsidRPr="00A93F15">
              <w:rPr>
                <w:rFonts w:ascii="Arial Narrow" w:hAnsi="Arial Narrow"/>
                <w:sz w:val="20"/>
              </w:rPr>
              <w:t>AEs leading to withdrawal</w:t>
            </w:r>
          </w:p>
        </w:tc>
        <w:tc>
          <w:tcPr>
            <w:tcW w:w="1376" w:type="pct"/>
            <w:vAlign w:val="center"/>
          </w:tcPr>
          <w:p w:rsidR="0022263D" w:rsidRPr="00A93F15" w:rsidRDefault="0022263D" w:rsidP="006C77AE">
            <w:pPr>
              <w:widowControl/>
              <w:jc w:val="center"/>
              <w:rPr>
                <w:rFonts w:ascii="Arial Narrow" w:hAnsi="Arial Narrow"/>
                <w:sz w:val="20"/>
              </w:rPr>
            </w:pPr>
          </w:p>
          <w:p w:rsidR="0087153B" w:rsidRPr="00A93F15" w:rsidRDefault="0087153B" w:rsidP="006C77AE">
            <w:pPr>
              <w:widowControl/>
              <w:jc w:val="center"/>
              <w:rPr>
                <w:rFonts w:ascii="Arial Narrow" w:hAnsi="Arial Narrow"/>
                <w:sz w:val="20"/>
              </w:rPr>
            </w:pPr>
            <w:r w:rsidRPr="00A93F15">
              <w:rPr>
                <w:rFonts w:ascii="Arial Narrow" w:hAnsi="Arial Narrow"/>
                <w:sz w:val="20"/>
              </w:rPr>
              <w:t>16 (11.3)</w:t>
            </w:r>
          </w:p>
          <w:p w:rsidR="0087153B" w:rsidRPr="00A93F15" w:rsidRDefault="0087153B" w:rsidP="006C77AE">
            <w:pPr>
              <w:widowControl/>
              <w:jc w:val="center"/>
              <w:rPr>
                <w:rFonts w:ascii="Arial Narrow" w:hAnsi="Arial Narrow"/>
                <w:sz w:val="20"/>
              </w:rPr>
            </w:pPr>
            <w:r w:rsidRPr="00A93F15">
              <w:rPr>
                <w:rFonts w:ascii="Arial Narrow" w:hAnsi="Arial Narrow"/>
                <w:sz w:val="20"/>
              </w:rPr>
              <w:t>0 (0.0)</w:t>
            </w:r>
          </w:p>
          <w:p w:rsidR="0087153B" w:rsidRPr="00A93F15" w:rsidRDefault="0087153B" w:rsidP="006C77AE">
            <w:pPr>
              <w:widowControl/>
              <w:jc w:val="center"/>
              <w:rPr>
                <w:rFonts w:ascii="Arial Narrow" w:hAnsi="Arial Narrow"/>
                <w:sz w:val="20"/>
              </w:rPr>
            </w:pPr>
            <w:r w:rsidRPr="00A93F15">
              <w:rPr>
                <w:rFonts w:ascii="Arial Narrow" w:hAnsi="Arial Narrow"/>
                <w:sz w:val="20"/>
              </w:rPr>
              <w:t>1 (0.7)</w:t>
            </w:r>
          </w:p>
          <w:p w:rsidR="0087153B" w:rsidRPr="00A93F15" w:rsidRDefault="0087153B" w:rsidP="006C77AE">
            <w:pPr>
              <w:widowControl/>
              <w:jc w:val="center"/>
              <w:rPr>
                <w:rFonts w:ascii="Arial Narrow" w:hAnsi="Arial Narrow"/>
                <w:sz w:val="20"/>
              </w:rPr>
            </w:pPr>
            <w:r w:rsidRPr="00A93F15">
              <w:rPr>
                <w:rFonts w:ascii="Arial Narrow" w:hAnsi="Arial Narrow"/>
                <w:sz w:val="20"/>
              </w:rPr>
              <w:t>0 (0.0)</w:t>
            </w:r>
          </w:p>
        </w:tc>
        <w:tc>
          <w:tcPr>
            <w:tcW w:w="1291" w:type="pct"/>
            <w:vAlign w:val="center"/>
          </w:tcPr>
          <w:p w:rsidR="0022263D" w:rsidRPr="00A93F15" w:rsidRDefault="0022263D" w:rsidP="006C77AE">
            <w:pPr>
              <w:widowControl/>
              <w:jc w:val="center"/>
              <w:rPr>
                <w:rFonts w:ascii="Arial Narrow" w:hAnsi="Arial Narrow"/>
                <w:sz w:val="20"/>
              </w:rPr>
            </w:pPr>
          </w:p>
          <w:p w:rsidR="0087153B" w:rsidRPr="00A93F15" w:rsidRDefault="0087153B" w:rsidP="006C77AE">
            <w:pPr>
              <w:widowControl/>
              <w:jc w:val="center"/>
              <w:rPr>
                <w:rFonts w:ascii="Arial Narrow" w:hAnsi="Arial Narrow"/>
                <w:sz w:val="20"/>
              </w:rPr>
            </w:pPr>
            <w:r w:rsidRPr="00A93F15">
              <w:rPr>
                <w:rFonts w:ascii="Arial Narrow" w:hAnsi="Arial Narrow"/>
                <w:sz w:val="20"/>
              </w:rPr>
              <w:t>14 (10.4)</w:t>
            </w:r>
          </w:p>
          <w:p w:rsidR="0087153B" w:rsidRPr="00A93F15" w:rsidRDefault="0087153B" w:rsidP="006C77AE">
            <w:pPr>
              <w:widowControl/>
              <w:jc w:val="center"/>
              <w:rPr>
                <w:rFonts w:ascii="Arial Narrow" w:hAnsi="Arial Narrow"/>
                <w:sz w:val="20"/>
              </w:rPr>
            </w:pPr>
            <w:r w:rsidRPr="00A93F15">
              <w:rPr>
                <w:rFonts w:ascii="Arial Narrow" w:hAnsi="Arial Narrow"/>
                <w:sz w:val="20"/>
              </w:rPr>
              <w:t>1 (0.7)</w:t>
            </w:r>
          </w:p>
          <w:p w:rsidR="0087153B" w:rsidRPr="00A93F15" w:rsidRDefault="0087153B" w:rsidP="006C77AE">
            <w:pPr>
              <w:widowControl/>
              <w:jc w:val="center"/>
              <w:rPr>
                <w:rFonts w:ascii="Arial Narrow" w:hAnsi="Arial Narrow"/>
                <w:sz w:val="20"/>
              </w:rPr>
            </w:pPr>
            <w:r w:rsidRPr="00A93F15">
              <w:rPr>
                <w:rFonts w:ascii="Arial Narrow" w:hAnsi="Arial Narrow"/>
                <w:sz w:val="20"/>
              </w:rPr>
              <w:t>4 (3.0)</w:t>
            </w:r>
          </w:p>
          <w:p w:rsidR="0087153B" w:rsidRPr="00A93F15" w:rsidRDefault="0087153B" w:rsidP="006C77AE">
            <w:pPr>
              <w:widowControl/>
              <w:jc w:val="center"/>
              <w:rPr>
                <w:rFonts w:ascii="Arial Narrow" w:hAnsi="Arial Narrow"/>
                <w:sz w:val="20"/>
              </w:rPr>
            </w:pPr>
            <w:r w:rsidRPr="00A93F15">
              <w:rPr>
                <w:rFonts w:ascii="Arial Narrow" w:hAnsi="Arial Narrow"/>
                <w:sz w:val="20"/>
              </w:rPr>
              <w:t>1 (0.7)</w:t>
            </w:r>
          </w:p>
        </w:tc>
        <w:tc>
          <w:tcPr>
            <w:tcW w:w="946" w:type="pct"/>
            <w:vAlign w:val="center"/>
          </w:tcPr>
          <w:p w:rsidR="0087153B" w:rsidRPr="00A93F15" w:rsidRDefault="0087153B" w:rsidP="006C77AE">
            <w:pPr>
              <w:widowControl/>
              <w:jc w:val="center"/>
              <w:rPr>
                <w:rFonts w:ascii="Arial Narrow" w:hAnsi="Arial Narrow"/>
                <w:i/>
                <w:sz w:val="20"/>
              </w:rPr>
            </w:pPr>
          </w:p>
          <w:p w:rsidR="0087153B" w:rsidRPr="00A93F15" w:rsidRDefault="0087153B" w:rsidP="006C77AE">
            <w:pPr>
              <w:widowControl/>
              <w:jc w:val="center"/>
              <w:rPr>
                <w:rFonts w:ascii="Arial Narrow" w:hAnsi="Arial Narrow"/>
                <w:i/>
                <w:sz w:val="20"/>
              </w:rPr>
            </w:pPr>
            <w:r w:rsidRPr="00A93F15">
              <w:rPr>
                <w:rFonts w:ascii="Arial Narrow" w:hAnsi="Arial Narrow"/>
                <w:i/>
                <w:sz w:val="20"/>
              </w:rPr>
              <w:t>1.19 (0.61, 2.32)</w:t>
            </w:r>
          </w:p>
          <w:p w:rsidR="0087153B" w:rsidRPr="00A93F15" w:rsidRDefault="0087153B" w:rsidP="006C77AE">
            <w:pPr>
              <w:widowControl/>
              <w:jc w:val="center"/>
              <w:rPr>
                <w:rFonts w:ascii="Arial Narrow" w:hAnsi="Arial Narrow"/>
                <w:i/>
                <w:sz w:val="20"/>
              </w:rPr>
            </w:pPr>
            <w:r w:rsidRPr="00A93F15">
              <w:rPr>
                <w:rFonts w:ascii="Arial Narrow" w:hAnsi="Arial Narrow"/>
                <w:i/>
                <w:sz w:val="20"/>
              </w:rPr>
              <w:t>0 (0, 3.99)</w:t>
            </w:r>
          </w:p>
          <w:p w:rsidR="0087153B" w:rsidRPr="00A93F15" w:rsidRDefault="0087153B" w:rsidP="006C77AE">
            <w:pPr>
              <w:widowControl/>
              <w:jc w:val="center"/>
              <w:rPr>
                <w:rFonts w:ascii="Arial Narrow" w:hAnsi="Arial Narrow"/>
                <w:i/>
                <w:sz w:val="20"/>
              </w:rPr>
            </w:pPr>
            <w:r w:rsidRPr="00A93F15">
              <w:rPr>
                <w:rFonts w:ascii="Arial Narrow" w:hAnsi="Arial Narrow"/>
                <w:i/>
                <w:sz w:val="20"/>
              </w:rPr>
              <w:t>0.26 (0.04, 1.71)</w:t>
            </w:r>
          </w:p>
          <w:p w:rsidR="0087153B" w:rsidRPr="00A93F15" w:rsidRDefault="0087153B" w:rsidP="006C77AE">
            <w:pPr>
              <w:widowControl/>
              <w:jc w:val="center"/>
              <w:rPr>
                <w:rFonts w:ascii="Arial Narrow" w:hAnsi="Arial Narrow"/>
                <w:i/>
                <w:sz w:val="20"/>
              </w:rPr>
            </w:pPr>
            <w:r w:rsidRPr="00A93F15">
              <w:rPr>
                <w:rFonts w:ascii="Arial Narrow" w:hAnsi="Arial Narrow"/>
                <w:i/>
                <w:sz w:val="20"/>
              </w:rPr>
              <w:t>0 (0, 3.99)</w:t>
            </w:r>
          </w:p>
        </w:tc>
      </w:tr>
    </w:tbl>
    <w:p w:rsidR="0087153B" w:rsidRPr="00A93F15" w:rsidRDefault="0087153B" w:rsidP="006C77AE">
      <w:pPr>
        <w:pStyle w:val="TableFooter"/>
        <w:widowControl/>
        <w:ind w:left="720"/>
      </w:pPr>
      <w:r w:rsidRPr="00A93F15">
        <w:t>*Number of patients experiencing each event</w:t>
      </w:r>
    </w:p>
    <w:p w:rsidR="0087153B" w:rsidRPr="00A93F15" w:rsidRDefault="0087153B" w:rsidP="006C77AE">
      <w:pPr>
        <w:pStyle w:val="TableFooter"/>
        <w:widowControl/>
        <w:ind w:left="720"/>
        <w:rPr>
          <w:i/>
        </w:rPr>
      </w:pPr>
      <w:r w:rsidRPr="00A93F15">
        <w:rPr>
          <w:i/>
        </w:rPr>
        <w:t>Figures in italics were calculated during the evaluation</w:t>
      </w:r>
    </w:p>
    <w:p w:rsidR="0087153B" w:rsidRPr="00A93F15" w:rsidRDefault="0087153B" w:rsidP="006C77AE">
      <w:pPr>
        <w:pStyle w:val="TableFooter"/>
        <w:widowControl/>
        <w:ind w:left="720"/>
      </w:pPr>
      <w:r w:rsidRPr="00A93F15">
        <w:t>TEAE = treatment emergent adverse event; ADR = adverse drug reaction; AE = adverse event; SAE = serious adverse event; RR = relative risk</w:t>
      </w:r>
    </w:p>
    <w:p w:rsidR="0087153B" w:rsidRPr="00A93F15" w:rsidRDefault="0087153B" w:rsidP="006C77AE">
      <w:pPr>
        <w:pStyle w:val="TableFooter"/>
        <w:widowControl/>
        <w:ind w:left="720"/>
      </w:pPr>
      <w:r w:rsidRPr="00A93F15">
        <w:t>Source: Table 29, p62 and Table 36, p68 of the submission</w:t>
      </w:r>
    </w:p>
    <w:p w:rsidR="00881B7E" w:rsidRPr="00A93F15" w:rsidRDefault="00881B7E" w:rsidP="006C77AE">
      <w:pPr>
        <w:pStyle w:val="TableFooter"/>
        <w:widowControl/>
        <w:ind w:left="720"/>
        <w:rPr>
          <w:rFonts w:ascii="Arial" w:hAnsi="Arial"/>
          <w:sz w:val="22"/>
          <w:szCs w:val="22"/>
        </w:rPr>
      </w:pPr>
    </w:p>
    <w:p w:rsidR="00EB6064" w:rsidRPr="00A93F15" w:rsidRDefault="007C4A5C" w:rsidP="006C77AE">
      <w:pPr>
        <w:pStyle w:val="ListParagraph"/>
        <w:widowControl/>
        <w:numPr>
          <w:ilvl w:val="1"/>
          <w:numId w:val="5"/>
        </w:numPr>
        <w:rPr>
          <w:szCs w:val="22"/>
        </w:rPr>
      </w:pPr>
      <w:r w:rsidRPr="00A93F15">
        <w:t>Itch</w:t>
      </w:r>
      <w:r w:rsidR="004E2A90" w:rsidRPr="00A93F15">
        <w:t xml:space="preserve"> </w:t>
      </w:r>
      <w:r w:rsidR="000004FD" w:rsidRPr="00A93F15">
        <w:t>was experienced more often in patients using calcipotriol plus betamethasone foam spray compared to calcipotriol plus betamethasone gel (2.7% versus 0.5%) in trial LP0053-1003</w:t>
      </w:r>
      <w:r w:rsidR="00750146" w:rsidRPr="00A93F15">
        <w:t>.</w:t>
      </w:r>
    </w:p>
    <w:p w:rsidR="00EB6064" w:rsidRPr="00A93F15" w:rsidRDefault="00EB6064" w:rsidP="006C77AE">
      <w:pPr>
        <w:widowControl/>
        <w:rPr>
          <w:szCs w:val="22"/>
        </w:rPr>
      </w:pPr>
    </w:p>
    <w:p w:rsidR="000004FD" w:rsidRPr="00A93F15" w:rsidRDefault="000004FD" w:rsidP="006C77AE">
      <w:pPr>
        <w:pStyle w:val="ListParagraph"/>
        <w:widowControl/>
        <w:numPr>
          <w:ilvl w:val="1"/>
          <w:numId w:val="5"/>
        </w:numPr>
        <w:rPr>
          <w:szCs w:val="22"/>
        </w:rPr>
      </w:pPr>
      <w:r w:rsidRPr="00A93F15">
        <w:rPr>
          <w:szCs w:val="22"/>
        </w:rPr>
        <w:t xml:space="preserve">Overall, there were no significant differences in adverse events and adverse drug reactions between patients treated with </w:t>
      </w:r>
      <w:r w:rsidR="00847ECF" w:rsidRPr="00A93F15">
        <w:rPr>
          <w:szCs w:val="22"/>
        </w:rPr>
        <w:t>calcipotriol plus betamethasone</w:t>
      </w:r>
      <w:r w:rsidRPr="00A93F15">
        <w:rPr>
          <w:szCs w:val="22"/>
        </w:rPr>
        <w:t xml:space="preserve"> foam spray compared to either the gel or the ointment formulations</w:t>
      </w:r>
      <w:r w:rsidR="00582E1B">
        <w:rPr>
          <w:szCs w:val="22"/>
        </w:rPr>
        <w:t xml:space="preserve">. </w:t>
      </w:r>
    </w:p>
    <w:p w:rsidR="000004FD" w:rsidRPr="00A93F15" w:rsidRDefault="000004FD" w:rsidP="006C77AE">
      <w:pPr>
        <w:pStyle w:val="ListParagraph"/>
        <w:widowControl/>
        <w:rPr>
          <w:i/>
          <w:szCs w:val="22"/>
        </w:rPr>
      </w:pPr>
    </w:p>
    <w:p w:rsidR="00341DED" w:rsidRPr="00A93F15" w:rsidRDefault="000004FD" w:rsidP="006C77AE">
      <w:pPr>
        <w:pStyle w:val="ListParagraph"/>
        <w:widowControl/>
        <w:numPr>
          <w:ilvl w:val="1"/>
          <w:numId w:val="5"/>
        </w:numPr>
        <w:rPr>
          <w:szCs w:val="22"/>
        </w:rPr>
      </w:pPr>
      <w:r w:rsidRPr="00A93F15">
        <w:rPr>
          <w:szCs w:val="22"/>
        </w:rPr>
        <w:t>As the longest trial duration</w:t>
      </w:r>
      <w:r w:rsidR="00202E86" w:rsidRPr="00A93F15">
        <w:rPr>
          <w:szCs w:val="22"/>
        </w:rPr>
        <w:t xml:space="preserve"> (</w:t>
      </w:r>
      <w:r w:rsidR="00AA67CD" w:rsidRPr="00A93F15">
        <w:rPr>
          <w:szCs w:val="22"/>
        </w:rPr>
        <w:t xml:space="preserve">trial </w:t>
      </w:r>
      <w:r w:rsidR="00202E86" w:rsidRPr="00A93F15">
        <w:rPr>
          <w:szCs w:val="22"/>
        </w:rPr>
        <w:t>LP0053-1003)</w:t>
      </w:r>
      <w:r w:rsidRPr="00A93F15">
        <w:rPr>
          <w:szCs w:val="22"/>
        </w:rPr>
        <w:t xml:space="preserve"> </w:t>
      </w:r>
      <w:r w:rsidR="00202E86" w:rsidRPr="00A93F15">
        <w:rPr>
          <w:szCs w:val="22"/>
        </w:rPr>
        <w:t>included only</w:t>
      </w:r>
      <w:r w:rsidRPr="00A93F15">
        <w:rPr>
          <w:szCs w:val="22"/>
        </w:rPr>
        <w:t xml:space="preserve"> 12 weeks</w:t>
      </w:r>
      <w:r w:rsidR="00202E86" w:rsidRPr="00A93F15">
        <w:rPr>
          <w:szCs w:val="22"/>
        </w:rPr>
        <w:t xml:space="preserve"> of treatment with 2 weeks of follow-up for safety</w:t>
      </w:r>
      <w:r w:rsidRPr="00A93F15">
        <w:rPr>
          <w:szCs w:val="22"/>
        </w:rPr>
        <w:t xml:space="preserve">, there is a </w:t>
      </w:r>
      <w:r w:rsidR="00341DED" w:rsidRPr="00A93F15">
        <w:rPr>
          <w:szCs w:val="22"/>
        </w:rPr>
        <w:t>lack of long-term safety data</w:t>
      </w:r>
      <w:r w:rsidR="00582E1B">
        <w:rPr>
          <w:szCs w:val="22"/>
        </w:rPr>
        <w:t xml:space="preserve">. </w:t>
      </w:r>
      <w:r w:rsidRPr="00A93F15">
        <w:rPr>
          <w:szCs w:val="22"/>
        </w:rPr>
        <w:t xml:space="preserve">This lack of long-term safety data </w:t>
      </w:r>
      <w:r w:rsidR="00341DED" w:rsidRPr="00A93F15">
        <w:rPr>
          <w:szCs w:val="22"/>
        </w:rPr>
        <w:t xml:space="preserve">limits any conclusions that can be drawn regarding the comparative safety of </w:t>
      </w:r>
      <w:r w:rsidR="00847ECF" w:rsidRPr="00A93F15">
        <w:rPr>
          <w:szCs w:val="22"/>
        </w:rPr>
        <w:t>calcipotriol plus betamethasone</w:t>
      </w:r>
      <w:r w:rsidR="00341DED" w:rsidRPr="00A93F15">
        <w:rPr>
          <w:szCs w:val="22"/>
        </w:rPr>
        <w:t xml:space="preserve"> foam spray to the gel and ointment formulations.</w:t>
      </w:r>
    </w:p>
    <w:p w:rsidR="00D46719" w:rsidRPr="00935DC0" w:rsidRDefault="00D46719" w:rsidP="006C77AE">
      <w:pPr>
        <w:pStyle w:val="TableFooter"/>
        <w:widowControl/>
        <w:ind w:left="720"/>
        <w:rPr>
          <w:rFonts w:ascii="Arial" w:hAnsi="Arial"/>
          <w:sz w:val="22"/>
        </w:rPr>
      </w:pPr>
    </w:p>
    <w:p w:rsidR="007F1017" w:rsidRPr="00A93F15" w:rsidRDefault="007F1017" w:rsidP="00CF2EDE">
      <w:pPr>
        <w:pStyle w:val="Heading2"/>
        <w:rPr>
          <w:szCs w:val="22"/>
        </w:rPr>
      </w:pPr>
      <w:bookmarkStart w:id="13" w:name="_Toc461530263"/>
      <w:r w:rsidRPr="00A93F15">
        <w:t>Benefits/harms</w:t>
      </w:r>
      <w:bookmarkEnd w:id="13"/>
    </w:p>
    <w:p w:rsidR="007F1017" w:rsidRPr="00A93F15" w:rsidRDefault="007F1017" w:rsidP="006C77AE">
      <w:pPr>
        <w:pStyle w:val="ListParagraph"/>
        <w:widowControl/>
        <w:ind w:left="0"/>
        <w:rPr>
          <w:szCs w:val="22"/>
        </w:rPr>
      </w:pPr>
    </w:p>
    <w:p w:rsidR="00EC00C9" w:rsidRPr="00A93F15" w:rsidRDefault="00EC00C9" w:rsidP="006C77AE">
      <w:pPr>
        <w:pStyle w:val="ListParagraph"/>
        <w:widowControl/>
        <w:numPr>
          <w:ilvl w:val="1"/>
          <w:numId w:val="5"/>
        </w:numPr>
        <w:rPr>
          <w:szCs w:val="22"/>
        </w:rPr>
      </w:pPr>
      <w:r w:rsidRPr="00A93F15">
        <w:rPr>
          <w:szCs w:val="22"/>
        </w:rPr>
        <w:t xml:space="preserve">A summary of the comparative benefits and harms for </w:t>
      </w:r>
      <w:r w:rsidR="00AE50D4" w:rsidRPr="00A93F15">
        <w:rPr>
          <w:szCs w:val="22"/>
        </w:rPr>
        <w:t xml:space="preserve">calcipotriol plus betamethasone foam spray </w:t>
      </w:r>
      <w:r w:rsidRPr="00A93F15">
        <w:rPr>
          <w:szCs w:val="22"/>
        </w:rPr>
        <w:t xml:space="preserve">versus </w:t>
      </w:r>
      <w:r w:rsidR="00AE50D4" w:rsidRPr="00A93F15">
        <w:rPr>
          <w:szCs w:val="22"/>
        </w:rPr>
        <w:t>calcipotriol plus betamethasone gel</w:t>
      </w:r>
      <w:r w:rsidR="00D639EA" w:rsidRPr="00A93F15">
        <w:rPr>
          <w:szCs w:val="22"/>
        </w:rPr>
        <w:t>, and for calcipotriol plus betamethasone foam spray versus calcipotriol plus betamethasone ointment</w:t>
      </w:r>
      <w:r w:rsidRPr="00A93F15">
        <w:rPr>
          <w:szCs w:val="22"/>
        </w:rPr>
        <w:t xml:space="preserve"> is presented in the table below.</w:t>
      </w:r>
      <w:r w:rsidR="00410708" w:rsidRPr="00A93F15">
        <w:rPr>
          <w:szCs w:val="22"/>
        </w:rPr>
        <w:t xml:space="preserve"> </w:t>
      </w:r>
    </w:p>
    <w:p w:rsidR="00162913" w:rsidRPr="00A93F15" w:rsidRDefault="00162913" w:rsidP="006C77AE">
      <w:pPr>
        <w:widowControl/>
      </w:pPr>
    </w:p>
    <w:p w:rsidR="00B62715" w:rsidRPr="00A93F15" w:rsidRDefault="00B62715" w:rsidP="006C77AE">
      <w:pPr>
        <w:keepNext/>
        <w:widowControl/>
        <w:ind w:left="720"/>
        <w:rPr>
          <w:rStyle w:val="CommentReference"/>
        </w:rPr>
      </w:pPr>
      <w:r w:rsidRPr="00A93F15">
        <w:rPr>
          <w:rStyle w:val="CommentReference"/>
        </w:rPr>
        <w:lastRenderedPageBreak/>
        <w:t xml:space="preserve">Table </w:t>
      </w:r>
      <w:r w:rsidR="00C81911" w:rsidRPr="00A93F15">
        <w:rPr>
          <w:rStyle w:val="CommentReference"/>
        </w:rPr>
        <w:t>7</w:t>
      </w:r>
      <w:r w:rsidRPr="00A93F15">
        <w:rPr>
          <w:rStyle w:val="CommentReference"/>
        </w:rPr>
        <w:t xml:space="preserve">: Summary of comparative benefits and harms for </w:t>
      </w:r>
      <w:r w:rsidR="00C81911" w:rsidRPr="00A93F15">
        <w:rPr>
          <w:rStyle w:val="CommentReference"/>
        </w:rPr>
        <w:t>calcipotriol plus betamethasone foam spray</w:t>
      </w:r>
      <w:r w:rsidRPr="00A93F15">
        <w:rPr>
          <w:rStyle w:val="CommentReference"/>
        </w:rPr>
        <w:t xml:space="preserve"> and </w:t>
      </w:r>
      <w:r w:rsidR="00C81911" w:rsidRPr="00A93F15">
        <w:rPr>
          <w:rStyle w:val="CommentReference"/>
        </w:rPr>
        <w:t>calcipotriol plus betamethasone gel</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7: Summary of comparative benefits and harms for calcipotriol plus betamethasone foam spray and calcipotriol plus betamethasone gel"/>
        <w:tblDescription w:val="Table 7: Summary of comparative benefits and harms for calcipotriol plus betamethasone foam spray and calcipotriol plus betamethasone gel"/>
      </w:tblPr>
      <w:tblGrid>
        <w:gridCol w:w="722"/>
        <w:gridCol w:w="1428"/>
        <w:gridCol w:w="1456"/>
        <w:gridCol w:w="1567"/>
        <w:gridCol w:w="1084"/>
        <w:gridCol w:w="32"/>
        <w:gridCol w:w="24"/>
        <w:gridCol w:w="1082"/>
        <w:gridCol w:w="36"/>
        <w:gridCol w:w="1106"/>
      </w:tblGrid>
      <w:tr w:rsidR="00C42FAE" w:rsidRPr="00A93F15" w:rsidTr="00C501E7">
        <w:trPr>
          <w:trHeight w:val="554"/>
          <w:tblHeader/>
        </w:trPr>
        <w:tc>
          <w:tcPr>
            <w:tcW w:w="422" w:type="pct"/>
            <w:shd w:val="clear" w:color="auto" w:fill="auto"/>
            <w:vAlign w:val="center"/>
          </w:tcPr>
          <w:p w:rsidR="005E2E6E" w:rsidRPr="00A93F15" w:rsidRDefault="005E2E6E" w:rsidP="006C77AE">
            <w:pPr>
              <w:keepNext/>
              <w:widowControl/>
              <w:rPr>
                <w:rFonts w:ascii="Arial Narrow" w:hAnsi="Arial Narrow"/>
                <w:b/>
                <w:sz w:val="20"/>
                <w:szCs w:val="18"/>
              </w:rPr>
            </w:pPr>
            <w:r w:rsidRPr="00A93F15">
              <w:rPr>
                <w:rFonts w:ascii="Arial Narrow" w:hAnsi="Arial Narrow"/>
                <w:b/>
                <w:sz w:val="20"/>
                <w:szCs w:val="18"/>
              </w:rPr>
              <w:t>Trial</w:t>
            </w:r>
          </w:p>
        </w:tc>
        <w:tc>
          <w:tcPr>
            <w:tcW w:w="1689" w:type="pct"/>
            <w:gridSpan w:val="2"/>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Treatment</w:t>
            </w:r>
          </w:p>
        </w:tc>
        <w:tc>
          <w:tcPr>
            <w:tcW w:w="918" w:type="pct"/>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RR</w:t>
            </w:r>
          </w:p>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(95% CI)</w:t>
            </w:r>
          </w:p>
        </w:tc>
        <w:tc>
          <w:tcPr>
            <w:tcW w:w="1323" w:type="pct"/>
            <w:gridSpan w:val="5"/>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 xml:space="preserve">Event rate/100 patients* </w:t>
            </w:r>
          </w:p>
        </w:tc>
        <w:tc>
          <w:tcPr>
            <w:tcW w:w="648" w:type="pct"/>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RD</w:t>
            </w:r>
          </w:p>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(95% CI)</w:t>
            </w:r>
          </w:p>
        </w:tc>
      </w:tr>
      <w:tr w:rsidR="00C42FAE" w:rsidRPr="00A93F15" w:rsidTr="00552BD3">
        <w:tc>
          <w:tcPr>
            <w:tcW w:w="5000" w:type="pct"/>
            <w:gridSpan w:val="10"/>
            <w:shd w:val="clear" w:color="auto" w:fill="auto"/>
            <w:vAlign w:val="center"/>
          </w:tcPr>
          <w:p w:rsidR="00B62715" w:rsidRPr="00A93F15" w:rsidRDefault="00B62715" w:rsidP="006C77AE">
            <w:pPr>
              <w:keepNext/>
              <w:widowControl/>
              <w:rPr>
                <w:rFonts w:ascii="Arial Narrow" w:hAnsi="Arial Narrow"/>
                <w:b/>
                <w:sz w:val="20"/>
                <w:szCs w:val="18"/>
              </w:rPr>
            </w:pPr>
            <w:r w:rsidRPr="00A93F15">
              <w:rPr>
                <w:rFonts w:ascii="Arial Narrow" w:hAnsi="Arial Narrow"/>
                <w:b/>
                <w:sz w:val="20"/>
                <w:szCs w:val="18"/>
              </w:rPr>
              <w:t>Benefits</w:t>
            </w:r>
            <w:r w:rsidR="00501372" w:rsidRPr="00A93F15">
              <w:rPr>
                <w:rFonts w:ascii="Arial Narrow" w:hAnsi="Arial Narrow"/>
                <w:b/>
                <w:sz w:val="20"/>
                <w:szCs w:val="18"/>
              </w:rPr>
              <w:t xml:space="preserve"> :</w:t>
            </w:r>
            <w:r w:rsidR="004F6799" w:rsidRPr="00A93F15">
              <w:rPr>
                <w:rFonts w:ascii="Arial Narrow" w:hAnsi="Arial Narrow"/>
                <w:b/>
                <w:sz w:val="20"/>
                <w:szCs w:val="18"/>
              </w:rPr>
              <w:t>Treatment success</w:t>
            </w:r>
            <w:r w:rsidR="00501372" w:rsidRPr="00A93F15">
              <w:rPr>
                <w:rFonts w:ascii="Arial Narrow" w:hAnsi="Arial Narrow"/>
                <w:b/>
                <w:sz w:val="20"/>
                <w:szCs w:val="18"/>
              </w:rPr>
              <w:t xml:space="preserve"> according to IGA/</w:t>
            </w:r>
            <w:r w:rsidR="004F6799" w:rsidRPr="00A93F15">
              <w:rPr>
                <w:rFonts w:ascii="Arial Narrow" w:hAnsi="Arial Narrow"/>
                <w:b/>
                <w:sz w:val="20"/>
                <w:szCs w:val="18"/>
              </w:rPr>
              <w:t>C</w:t>
            </w:r>
            <w:r w:rsidR="00501372" w:rsidRPr="00A93F15">
              <w:rPr>
                <w:rFonts w:ascii="Arial Narrow" w:hAnsi="Arial Narrow"/>
                <w:b/>
                <w:sz w:val="20"/>
                <w:szCs w:val="18"/>
              </w:rPr>
              <w:t>ontrolled disease</w:t>
            </w:r>
          </w:p>
        </w:tc>
      </w:tr>
      <w:tr w:rsidR="00C42FAE" w:rsidRPr="00A93F15" w:rsidTr="002038F4">
        <w:tc>
          <w:tcPr>
            <w:tcW w:w="422" w:type="pct"/>
            <w:shd w:val="clear" w:color="auto" w:fill="auto"/>
            <w:vAlign w:val="center"/>
          </w:tcPr>
          <w:p w:rsidR="005E2E6E" w:rsidRPr="00A93F15" w:rsidRDefault="005E2E6E" w:rsidP="006C77AE">
            <w:pPr>
              <w:keepNext/>
              <w:widowControl/>
              <w:rPr>
                <w:rFonts w:ascii="Arial Narrow" w:hAnsi="Arial Narrow"/>
                <w:sz w:val="20"/>
                <w:szCs w:val="18"/>
              </w:rPr>
            </w:pPr>
          </w:p>
        </w:tc>
        <w:tc>
          <w:tcPr>
            <w:tcW w:w="836" w:type="pct"/>
            <w:vAlign w:val="center"/>
          </w:tcPr>
          <w:p w:rsidR="005E2E6E" w:rsidRPr="00A93F15" w:rsidRDefault="005E2E6E"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foam spray</w:t>
            </w:r>
          </w:p>
        </w:tc>
        <w:tc>
          <w:tcPr>
            <w:tcW w:w="853" w:type="pct"/>
            <w:vAlign w:val="center"/>
          </w:tcPr>
          <w:p w:rsidR="005E2E6E" w:rsidRPr="00A93F15" w:rsidRDefault="005E2E6E"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gel</w:t>
            </w:r>
          </w:p>
        </w:tc>
        <w:tc>
          <w:tcPr>
            <w:tcW w:w="918" w:type="pct"/>
            <w:vAlign w:val="center"/>
          </w:tcPr>
          <w:p w:rsidR="005E2E6E" w:rsidRPr="00A93F15" w:rsidRDefault="005E2E6E" w:rsidP="006C77AE">
            <w:pPr>
              <w:keepNext/>
              <w:widowControl/>
              <w:jc w:val="center"/>
              <w:rPr>
                <w:rFonts w:ascii="Arial Narrow" w:hAnsi="Arial Narrow"/>
                <w:i/>
                <w:sz w:val="20"/>
                <w:szCs w:val="18"/>
              </w:rPr>
            </w:pPr>
          </w:p>
        </w:tc>
        <w:tc>
          <w:tcPr>
            <w:tcW w:w="635" w:type="pct"/>
            <w:vAlign w:val="center"/>
          </w:tcPr>
          <w:p w:rsidR="005E2E6E" w:rsidRPr="00A93F15" w:rsidRDefault="005E2E6E"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foam spray</w:t>
            </w:r>
          </w:p>
        </w:tc>
        <w:tc>
          <w:tcPr>
            <w:tcW w:w="688" w:type="pct"/>
            <w:gridSpan w:val="4"/>
            <w:vAlign w:val="center"/>
          </w:tcPr>
          <w:p w:rsidR="005E2E6E" w:rsidRPr="00A93F15" w:rsidRDefault="005E2E6E"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gel</w:t>
            </w:r>
          </w:p>
        </w:tc>
        <w:tc>
          <w:tcPr>
            <w:tcW w:w="648" w:type="pct"/>
            <w:vAlign w:val="center"/>
          </w:tcPr>
          <w:p w:rsidR="005E2E6E" w:rsidRPr="00A93F15" w:rsidRDefault="005E2E6E" w:rsidP="006C77AE">
            <w:pPr>
              <w:keepNext/>
              <w:widowControl/>
              <w:jc w:val="center"/>
              <w:rPr>
                <w:rFonts w:ascii="Arial Narrow" w:hAnsi="Arial Narrow"/>
                <w:i/>
                <w:sz w:val="20"/>
                <w:szCs w:val="18"/>
              </w:rPr>
            </w:pPr>
          </w:p>
        </w:tc>
      </w:tr>
      <w:tr w:rsidR="00C42FAE" w:rsidRPr="00A93F15" w:rsidTr="002038F4">
        <w:tc>
          <w:tcPr>
            <w:tcW w:w="422" w:type="pct"/>
            <w:vMerge w:val="restart"/>
            <w:shd w:val="clear" w:color="auto" w:fill="auto"/>
            <w:vAlign w:val="center"/>
          </w:tcPr>
          <w:p w:rsidR="00542C4D" w:rsidRPr="00A93F15" w:rsidRDefault="00542C4D" w:rsidP="006C77AE">
            <w:pPr>
              <w:keepNext/>
              <w:widowControl/>
              <w:rPr>
                <w:rFonts w:ascii="Arial Narrow" w:hAnsi="Arial Narrow"/>
                <w:sz w:val="20"/>
                <w:szCs w:val="18"/>
              </w:rPr>
            </w:pPr>
            <w:r w:rsidRPr="00A93F15">
              <w:rPr>
                <w:rFonts w:ascii="Arial Narrow" w:hAnsi="Arial Narrow"/>
                <w:sz w:val="20"/>
                <w:szCs w:val="18"/>
              </w:rPr>
              <w:t>LP0053-1003</w:t>
            </w:r>
          </w:p>
        </w:tc>
        <w:tc>
          <w:tcPr>
            <w:tcW w:w="836"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70.8/185</w:t>
            </w:r>
            <w:r w:rsidR="00F63742" w:rsidRPr="00A93F15">
              <w:rPr>
                <w:rFonts w:ascii="Arial Narrow" w:hAnsi="Arial Narrow"/>
                <w:sz w:val="20"/>
                <w:szCs w:val="18"/>
              </w:rPr>
              <w:t xml:space="preserve"> (Week 4)</w:t>
            </w:r>
          </w:p>
        </w:tc>
        <w:tc>
          <w:tcPr>
            <w:tcW w:w="853"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42.2/188 (</w:t>
            </w:r>
            <w:r w:rsidR="00F63742" w:rsidRPr="00A93F15">
              <w:rPr>
                <w:rFonts w:ascii="Arial Narrow" w:hAnsi="Arial Narrow"/>
                <w:sz w:val="20"/>
                <w:szCs w:val="18"/>
              </w:rPr>
              <w:t>W</w:t>
            </w:r>
            <w:r w:rsidRPr="00A93F15">
              <w:rPr>
                <w:rFonts w:ascii="Arial Narrow" w:hAnsi="Arial Narrow"/>
                <w:sz w:val="20"/>
                <w:szCs w:val="18"/>
              </w:rPr>
              <w:t>eek 8)</w:t>
            </w:r>
          </w:p>
        </w:tc>
        <w:tc>
          <w:tcPr>
            <w:tcW w:w="918" w:type="pct"/>
            <w:vAlign w:val="center"/>
          </w:tcPr>
          <w:p w:rsidR="00542C4D" w:rsidRPr="00A93F15" w:rsidRDefault="00542C4D" w:rsidP="006C77AE">
            <w:pPr>
              <w:keepNext/>
              <w:widowControl/>
              <w:jc w:val="center"/>
              <w:rPr>
                <w:rFonts w:ascii="Arial Narrow" w:hAnsi="Arial Narrow"/>
                <w:i/>
                <w:sz w:val="20"/>
                <w:szCs w:val="18"/>
              </w:rPr>
            </w:pPr>
            <w:r w:rsidRPr="00A93F15">
              <w:rPr>
                <w:rFonts w:ascii="Arial Narrow" w:hAnsi="Arial Narrow"/>
                <w:i/>
                <w:sz w:val="20"/>
                <w:szCs w:val="18"/>
              </w:rPr>
              <w:t>1.70 (1.24, 2.35)</w:t>
            </w:r>
          </w:p>
        </w:tc>
        <w:tc>
          <w:tcPr>
            <w:tcW w:w="635"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38.3</w:t>
            </w:r>
          </w:p>
        </w:tc>
        <w:tc>
          <w:tcPr>
            <w:tcW w:w="688" w:type="pct"/>
            <w:gridSpan w:val="4"/>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22.5 (</w:t>
            </w:r>
            <w:r w:rsidR="00A13AC2" w:rsidRPr="00A93F15">
              <w:rPr>
                <w:rFonts w:ascii="Arial Narrow" w:hAnsi="Arial Narrow"/>
                <w:sz w:val="20"/>
                <w:szCs w:val="18"/>
              </w:rPr>
              <w:t>W</w:t>
            </w:r>
            <w:r w:rsidRPr="00A93F15">
              <w:rPr>
                <w:rFonts w:ascii="Arial Narrow" w:hAnsi="Arial Narrow"/>
                <w:sz w:val="20"/>
                <w:szCs w:val="18"/>
              </w:rPr>
              <w:t>eek 8)</w:t>
            </w:r>
          </w:p>
        </w:tc>
        <w:tc>
          <w:tcPr>
            <w:tcW w:w="648" w:type="pct"/>
            <w:vAlign w:val="center"/>
          </w:tcPr>
          <w:p w:rsidR="00542C4D" w:rsidRPr="00A93F15" w:rsidRDefault="003C6812" w:rsidP="006C77AE">
            <w:pPr>
              <w:keepNext/>
              <w:widowControl/>
              <w:jc w:val="center"/>
              <w:rPr>
                <w:rFonts w:ascii="Arial Narrow" w:hAnsi="Arial Narrow"/>
                <w:i/>
                <w:sz w:val="20"/>
                <w:szCs w:val="18"/>
              </w:rPr>
            </w:pPr>
            <w:r w:rsidRPr="00A93F15">
              <w:rPr>
                <w:rFonts w:ascii="Arial Narrow" w:hAnsi="Arial Narrow"/>
                <w:i/>
                <w:sz w:val="20"/>
                <w:szCs w:val="18"/>
              </w:rPr>
              <w:t>0.1</w:t>
            </w:r>
            <w:r w:rsidR="00FF4AF9" w:rsidRPr="00A93F15">
              <w:rPr>
                <w:rFonts w:ascii="Arial Narrow" w:hAnsi="Arial Narrow"/>
                <w:i/>
                <w:sz w:val="20"/>
                <w:szCs w:val="18"/>
              </w:rPr>
              <w:t xml:space="preserve">6 (0.07,0.25) </w:t>
            </w:r>
          </w:p>
        </w:tc>
      </w:tr>
      <w:tr w:rsidR="00C42FAE" w:rsidRPr="00A93F15" w:rsidTr="002038F4">
        <w:tc>
          <w:tcPr>
            <w:tcW w:w="422" w:type="pct"/>
            <w:vMerge/>
            <w:shd w:val="clear" w:color="auto" w:fill="auto"/>
            <w:vAlign w:val="center"/>
          </w:tcPr>
          <w:p w:rsidR="00542C4D" w:rsidRPr="00A93F15" w:rsidRDefault="00542C4D" w:rsidP="006C77AE">
            <w:pPr>
              <w:keepNext/>
              <w:widowControl/>
              <w:rPr>
                <w:rFonts w:ascii="Arial Narrow" w:hAnsi="Arial Narrow"/>
                <w:sz w:val="20"/>
                <w:szCs w:val="18"/>
              </w:rPr>
            </w:pPr>
          </w:p>
        </w:tc>
        <w:tc>
          <w:tcPr>
            <w:tcW w:w="836"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68/18</w:t>
            </w:r>
            <w:r w:rsidR="002038F4" w:rsidRPr="00A93F15">
              <w:rPr>
                <w:rFonts w:ascii="Arial Narrow" w:hAnsi="Arial Narrow"/>
                <w:sz w:val="20"/>
                <w:szCs w:val="18"/>
              </w:rPr>
              <w:t>0</w:t>
            </w:r>
            <w:r w:rsidR="00F63742" w:rsidRPr="00A93F15">
              <w:rPr>
                <w:rFonts w:ascii="Arial Narrow" w:hAnsi="Arial Narrow"/>
                <w:sz w:val="20"/>
                <w:szCs w:val="18"/>
              </w:rPr>
              <w:t xml:space="preserve"> (Week 4)</w:t>
            </w:r>
          </w:p>
        </w:tc>
        <w:tc>
          <w:tcPr>
            <w:tcW w:w="853"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36/18</w:t>
            </w:r>
            <w:r w:rsidR="002038F4" w:rsidRPr="00A93F15">
              <w:rPr>
                <w:rFonts w:ascii="Arial Narrow" w:hAnsi="Arial Narrow"/>
                <w:sz w:val="20"/>
                <w:szCs w:val="18"/>
              </w:rPr>
              <w:t>3</w:t>
            </w:r>
            <w:r w:rsidRPr="00A93F15">
              <w:rPr>
                <w:rFonts w:ascii="Arial Narrow" w:hAnsi="Arial Narrow"/>
                <w:sz w:val="20"/>
                <w:szCs w:val="18"/>
              </w:rPr>
              <w:t xml:space="preserve"> (</w:t>
            </w:r>
            <w:r w:rsidR="00F63742" w:rsidRPr="00A93F15">
              <w:rPr>
                <w:rFonts w:ascii="Arial Narrow" w:hAnsi="Arial Narrow"/>
                <w:sz w:val="20"/>
                <w:szCs w:val="18"/>
              </w:rPr>
              <w:t>W</w:t>
            </w:r>
            <w:r w:rsidRPr="00A93F15">
              <w:rPr>
                <w:rFonts w:ascii="Arial Narrow" w:hAnsi="Arial Narrow"/>
                <w:sz w:val="20"/>
                <w:szCs w:val="18"/>
              </w:rPr>
              <w:t>eek 4)</w:t>
            </w:r>
          </w:p>
        </w:tc>
        <w:tc>
          <w:tcPr>
            <w:tcW w:w="918" w:type="pct"/>
            <w:vAlign w:val="center"/>
          </w:tcPr>
          <w:p w:rsidR="00542C4D" w:rsidRPr="00A93F15" w:rsidRDefault="00542C4D" w:rsidP="006C77AE">
            <w:pPr>
              <w:keepNext/>
              <w:widowControl/>
              <w:jc w:val="center"/>
              <w:rPr>
                <w:rFonts w:ascii="Arial Narrow" w:hAnsi="Arial Narrow"/>
                <w:i/>
                <w:sz w:val="20"/>
                <w:szCs w:val="18"/>
              </w:rPr>
            </w:pPr>
            <w:r w:rsidRPr="00A93F15">
              <w:rPr>
                <w:rFonts w:ascii="Arial Narrow" w:hAnsi="Arial Narrow"/>
                <w:i/>
                <w:sz w:val="20"/>
                <w:szCs w:val="18"/>
              </w:rPr>
              <w:t>1.92 (1.26, 2.73)</w:t>
            </w:r>
          </w:p>
        </w:tc>
        <w:tc>
          <w:tcPr>
            <w:tcW w:w="635" w:type="pct"/>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37.8</w:t>
            </w:r>
          </w:p>
        </w:tc>
        <w:tc>
          <w:tcPr>
            <w:tcW w:w="688" w:type="pct"/>
            <w:gridSpan w:val="4"/>
            <w:vAlign w:val="center"/>
          </w:tcPr>
          <w:p w:rsidR="00542C4D"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19.7 (</w:t>
            </w:r>
            <w:r w:rsidR="00A13AC2" w:rsidRPr="00A93F15">
              <w:rPr>
                <w:rFonts w:ascii="Arial Narrow" w:hAnsi="Arial Narrow"/>
                <w:sz w:val="20"/>
                <w:szCs w:val="18"/>
              </w:rPr>
              <w:t>W</w:t>
            </w:r>
            <w:r w:rsidRPr="00A93F15">
              <w:rPr>
                <w:rFonts w:ascii="Arial Narrow" w:hAnsi="Arial Narrow"/>
                <w:sz w:val="20"/>
                <w:szCs w:val="18"/>
              </w:rPr>
              <w:t>eek 4)</w:t>
            </w:r>
          </w:p>
        </w:tc>
        <w:tc>
          <w:tcPr>
            <w:tcW w:w="648" w:type="pct"/>
            <w:vAlign w:val="center"/>
          </w:tcPr>
          <w:p w:rsidR="00542C4D" w:rsidRPr="00A93F15" w:rsidRDefault="003C6812" w:rsidP="006C77AE">
            <w:pPr>
              <w:keepNext/>
              <w:widowControl/>
              <w:jc w:val="center"/>
              <w:rPr>
                <w:rFonts w:ascii="Arial Narrow" w:hAnsi="Arial Narrow"/>
                <w:i/>
                <w:sz w:val="20"/>
                <w:szCs w:val="18"/>
              </w:rPr>
            </w:pPr>
            <w:r w:rsidRPr="00A93F15">
              <w:rPr>
                <w:rFonts w:ascii="Arial Narrow" w:hAnsi="Arial Narrow"/>
                <w:i/>
                <w:sz w:val="20"/>
                <w:szCs w:val="18"/>
              </w:rPr>
              <w:t>0.1</w:t>
            </w:r>
            <w:r w:rsidR="00FF4AF9" w:rsidRPr="00A93F15">
              <w:rPr>
                <w:rFonts w:ascii="Arial Narrow" w:hAnsi="Arial Narrow"/>
                <w:i/>
                <w:sz w:val="20"/>
                <w:szCs w:val="18"/>
              </w:rPr>
              <w:t>8 (0.09, 0.26)</w:t>
            </w:r>
          </w:p>
        </w:tc>
      </w:tr>
      <w:tr w:rsidR="00C42FAE" w:rsidRPr="00A93F15" w:rsidTr="002038F4">
        <w:tc>
          <w:tcPr>
            <w:tcW w:w="422" w:type="pct"/>
            <w:shd w:val="clear" w:color="auto" w:fill="auto"/>
            <w:vAlign w:val="center"/>
          </w:tcPr>
          <w:p w:rsidR="003C6812" w:rsidRPr="00A93F15" w:rsidRDefault="003C6812" w:rsidP="006C77AE">
            <w:pPr>
              <w:keepNext/>
              <w:widowControl/>
              <w:rPr>
                <w:rFonts w:ascii="Arial Narrow" w:hAnsi="Arial Narrow"/>
                <w:sz w:val="20"/>
                <w:szCs w:val="18"/>
              </w:rPr>
            </w:pPr>
          </w:p>
        </w:tc>
        <w:tc>
          <w:tcPr>
            <w:tcW w:w="836" w:type="pct"/>
            <w:vAlign w:val="center"/>
          </w:tcPr>
          <w:p w:rsidR="003C6812" w:rsidRPr="00A93F15" w:rsidRDefault="003C6812"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A13AC2" w:rsidRPr="00A93F15">
              <w:rPr>
                <w:rFonts w:ascii="Arial Narrow" w:hAnsi="Arial Narrow"/>
                <w:b/>
                <w:sz w:val="20"/>
                <w:szCs w:val="18"/>
              </w:rPr>
              <w:t>B</w:t>
            </w:r>
            <w:r w:rsidRPr="00A93F15">
              <w:rPr>
                <w:rFonts w:ascii="Arial Narrow" w:hAnsi="Arial Narrow"/>
                <w:b/>
                <w:sz w:val="20"/>
                <w:szCs w:val="18"/>
              </w:rPr>
              <w:t>et foam spray</w:t>
            </w:r>
          </w:p>
        </w:tc>
        <w:tc>
          <w:tcPr>
            <w:tcW w:w="853" w:type="pct"/>
            <w:vAlign w:val="center"/>
          </w:tcPr>
          <w:p w:rsidR="003C6812" w:rsidRPr="00A93F15" w:rsidRDefault="003C6812" w:rsidP="006C77AE">
            <w:pPr>
              <w:keepNext/>
              <w:widowControl/>
              <w:jc w:val="center"/>
              <w:rPr>
                <w:rFonts w:ascii="Arial Narrow" w:hAnsi="Arial Narrow"/>
                <w:sz w:val="20"/>
                <w:szCs w:val="18"/>
              </w:rPr>
            </w:pPr>
            <w:r w:rsidRPr="00A93F15">
              <w:rPr>
                <w:rFonts w:ascii="Arial Narrow" w:hAnsi="Arial Narrow"/>
                <w:b/>
                <w:sz w:val="20"/>
                <w:szCs w:val="18"/>
              </w:rPr>
              <w:t xml:space="preserve">Calc + </w:t>
            </w:r>
            <w:r w:rsidR="00A13AC2" w:rsidRPr="00A93F15">
              <w:rPr>
                <w:rFonts w:ascii="Arial Narrow" w:hAnsi="Arial Narrow"/>
                <w:b/>
                <w:sz w:val="20"/>
                <w:szCs w:val="18"/>
              </w:rPr>
              <w:t>B</w:t>
            </w:r>
            <w:r w:rsidRPr="00A93F15">
              <w:rPr>
                <w:rFonts w:ascii="Arial Narrow" w:hAnsi="Arial Narrow"/>
                <w:b/>
                <w:sz w:val="20"/>
                <w:szCs w:val="18"/>
              </w:rPr>
              <w:t>et ointment</w:t>
            </w:r>
          </w:p>
        </w:tc>
        <w:tc>
          <w:tcPr>
            <w:tcW w:w="2889" w:type="pct"/>
            <w:gridSpan w:val="7"/>
            <w:vAlign w:val="center"/>
          </w:tcPr>
          <w:p w:rsidR="003C6812" w:rsidRPr="00A93F15" w:rsidRDefault="003C6812" w:rsidP="006C77AE">
            <w:pPr>
              <w:keepNext/>
              <w:widowControl/>
              <w:jc w:val="center"/>
              <w:rPr>
                <w:rFonts w:ascii="Arial Narrow" w:hAnsi="Arial Narrow"/>
                <w:i/>
                <w:sz w:val="20"/>
                <w:szCs w:val="18"/>
              </w:rPr>
            </w:pPr>
          </w:p>
        </w:tc>
      </w:tr>
      <w:tr w:rsidR="00C42FAE" w:rsidRPr="00A93F15" w:rsidTr="002038F4">
        <w:tc>
          <w:tcPr>
            <w:tcW w:w="422" w:type="pct"/>
            <w:shd w:val="clear" w:color="auto" w:fill="auto"/>
            <w:vAlign w:val="center"/>
          </w:tcPr>
          <w:p w:rsidR="00C81911" w:rsidRPr="00A93F15" w:rsidRDefault="008569BA" w:rsidP="006C77AE">
            <w:pPr>
              <w:keepNext/>
              <w:widowControl/>
              <w:rPr>
                <w:rFonts w:ascii="Arial Narrow" w:hAnsi="Arial Narrow"/>
                <w:sz w:val="20"/>
                <w:szCs w:val="18"/>
              </w:rPr>
            </w:pPr>
            <w:r w:rsidRPr="00A93F15">
              <w:rPr>
                <w:rFonts w:ascii="Arial Narrow" w:hAnsi="Arial Narrow"/>
                <w:sz w:val="20"/>
                <w:szCs w:val="18"/>
              </w:rPr>
              <w:t>LEO90100-35</w:t>
            </w:r>
          </w:p>
        </w:tc>
        <w:tc>
          <w:tcPr>
            <w:tcW w:w="836" w:type="pct"/>
            <w:vAlign w:val="center"/>
          </w:tcPr>
          <w:p w:rsidR="00C81911"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77/141</w:t>
            </w:r>
          </w:p>
        </w:tc>
        <w:tc>
          <w:tcPr>
            <w:tcW w:w="853" w:type="pct"/>
            <w:vAlign w:val="center"/>
          </w:tcPr>
          <w:p w:rsidR="00C81911"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58/135</w:t>
            </w:r>
          </w:p>
        </w:tc>
        <w:tc>
          <w:tcPr>
            <w:tcW w:w="918" w:type="pct"/>
            <w:vAlign w:val="center"/>
          </w:tcPr>
          <w:p w:rsidR="00C81911" w:rsidRPr="00A93F15" w:rsidRDefault="00542C4D" w:rsidP="006C77AE">
            <w:pPr>
              <w:keepNext/>
              <w:widowControl/>
              <w:jc w:val="center"/>
              <w:rPr>
                <w:rFonts w:ascii="Arial Narrow" w:hAnsi="Arial Narrow"/>
                <w:i/>
                <w:sz w:val="20"/>
                <w:szCs w:val="18"/>
              </w:rPr>
            </w:pPr>
            <w:r w:rsidRPr="00A93F15">
              <w:rPr>
                <w:rFonts w:ascii="Arial Narrow" w:hAnsi="Arial Narrow"/>
                <w:i/>
                <w:sz w:val="20"/>
                <w:szCs w:val="18"/>
              </w:rPr>
              <w:t>1.27 (1.00, 1.63)</w:t>
            </w:r>
          </w:p>
        </w:tc>
        <w:tc>
          <w:tcPr>
            <w:tcW w:w="635" w:type="pct"/>
            <w:vAlign w:val="center"/>
          </w:tcPr>
          <w:p w:rsidR="00C81911"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54.6</w:t>
            </w:r>
          </w:p>
        </w:tc>
        <w:tc>
          <w:tcPr>
            <w:tcW w:w="688" w:type="pct"/>
            <w:gridSpan w:val="4"/>
            <w:vAlign w:val="center"/>
          </w:tcPr>
          <w:p w:rsidR="00C81911" w:rsidRPr="00A93F15" w:rsidRDefault="00542C4D" w:rsidP="006C77AE">
            <w:pPr>
              <w:keepNext/>
              <w:widowControl/>
              <w:jc w:val="center"/>
              <w:rPr>
                <w:rFonts w:ascii="Arial Narrow" w:hAnsi="Arial Narrow"/>
                <w:sz w:val="20"/>
                <w:szCs w:val="18"/>
              </w:rPr>
            </w:pPr>
            <w:r w:rsidRPr="00A93F15">
              <w:rPr>
                <w:rFonts w:ascii="Arial Narrow" w:hAnsi="Arial Narrow"/>
                <w:sz w:val="20"/>
                <w:szCs w:val="18"/>
              </w:rPr>
              <w:t>43.0</w:t>
            </w:r>
          </w:p>
        </w:tc>
        <w:tc>
          <w:tcPr>
            <w:tcW w:w="648" w:type="pct"/>
            <w:vAlign w:val="center"/>
          </w:tcPr>
          <w:p w:rsidR="00C81911" w:rsidRPr="00A93F15" w:rsidRDefault="003C6812" w:rsidP="006C77AE">
            <w:pPr>
              <w:keepNext/>
              <w:widowControl/>
              <w:jc w:val="center"/>
              <w:rPr>
                <w:rFonts w:ascii="Arial Narrow" w:hAnsi="Arial Narrow"/>
                <w:i/>
                <w:sz w:val="20"/>
                <w:szCs w:val="18"/>
              </w:rPr>
            </w:pPr>
            <w:r w:rsidRPr="00A93F15">
              <w:rPr>
                <w:rFonts w:ascii="Arial Narrow" w:hAnsi="Arial Narrow"/>
                <w:i/>
                <w:sz w:val="20"/>
                <w:szCs w:val="18"/>
              </w:rPr>
              <w:t>0.12</w:t>
            </w:r>
            <w:r w:rsidR="00F63742" w:rsidRPr="00A93F15">
              <w:rPr>
                <w:rFonts w:ascii="Arial Narrow" w:hAnsi="Arial Narrow"/>
                <w:i/>
                <w:sz w:val="20"/>
                <w:szCs w:val="18"/>
              </w:rPr>
              <w:t xml:space="preserve"> (0.00, 0.23)</w:t>
            </w:r>
          </w:p>
        </w:tc>
      </w:tr>
      <w:tr w:rsidR="00C42FAE" w:rsidRPr="00A93F15" w:rsidTr="00552BD3">
        <w:tc>
          <w:tcPr>
            <w:tcW w:w="5000" w:type="pct"/>
            <w:gridSpan w:val="10"/>
            <w:tcBorders>
              <w:top w:val="double" w:sz="4" w:space="0" w:color="auto"/>
            </w:tcBorders>
            <w:shd w:val="clear" w:color="auto" w:fill="auto"/>
            <w:vAlign w:val="center"/>
          </w:tcPr>
          <w:p w:rsidR="00B62715" w:rsidRPr="00A93F15" w:rsidRDefault="00B62715" w:rsidP="006C77AE">
            <w:pPr>
              <w:keepNext/>
              <w:widowControl/>
              <w:rPr>
                <w:rFonts w:ascii="Arial Narrow" w:hAnsi="Arial Narrow"/>
                <w:b/>
                <w:sz w:val="20"/>
                <w:szCs w:val="18"/>
              </w:rPr>
            </w:pPr>
            <w:r w:rsidRPr="00A93F15">
              <w:rPr>
                <w:rFonts w:ascii="Arial Narrow" w:hAnsi="Arial Narrow"/>
                <w:b/>
                <w:sz w:val="20"/>
                <w:szCs w:val="18"/>
              </w:rPr>
              <w:t xml:space="preserve">Harms </w:t>
            </w:r>
          </w:p>
        </w:tc>
      </w:tr>
      <w:tr w:rsidR="00C42FAE" w:rsidRPr="00A93F15" w:rsidTr="002038F4">
        <w:trPr>
          <w:trHeight w:val="698"/>
        </w:trPr>
        <w:tc>
          <w:tcPr>
            <w:tcW w:w="422" w:type="pct"/>
            <w:shd w:val="clear" w:color="auto" w:fill="auto"/>
            <w:vAlign w:val="center"/>
          </w:tcPr>
          <w:p w:rsidR="005E2E6E" w:rsidRPr="00A93F15" w:rsidRDefault="005E2E6E" w:rsidP="006C77AE">
            <w:pPr>
              <w:keepNext/>
              <w:widowControl/>
              <w:rPr>
                <w:rFonts w:ascii="Arial Narrow" w:hAnsi="Arial Narrow"/>
                <w:b/>
                <w:sz w:val="20"/>
                <w:szCs w:val="18"/>
              </w:rPr>
            </w:pPr>
          </w:p>
        </w:tc>
        <w:tc>
          <w:tcPr>
            <w:tcW w:w="836" w:type="pct"/>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foam spray</w:t>
            </w:r>
          </w:p>
        </w:tc>
        <w:tc>
          <w:tcPr>
            <w:tcW w:w="853" w:type="pct"/>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gel</w:t>
            </w:r>
          </w:p>
        </w:tc>
        <w:tc>
          <w:tcPr>
            <w:tcW w:w="918" w:type="pct"/>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RR</w:t>
            </w:r>
          </w:p>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(95% CI)</w:t>
            </w:r>
          </w:p>
        </w:tc>
        <w:tc>
          <w:tcPr>
            <w:tcW w:w="654" w:type="pct"/>
            <w:gridSpan w:val="2"/>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foam spray</w:t>
            </w:r>
          </w:p>
        </w:tc>
        <w:tc>
          <w:tcPr>
            <w:tcW w:w="648" w:type="pct"/>
            <w:gridSpan w:val="2"/>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 xml:space="preserve">Calc + </w:t>
            </w:r>
            <w:r w:rsidR="00847ECF" w:rsidRPr="00A93F15">
              <w:rPr>
                <w:rFonts w:ascii="Arial Narrow" w:hAnsi="Arial Narrow"/>
                <w:b/>
                <w:sz w:val="20"/>
                <w:szCs w:val="18"/>
              </w:rPr>
              <w:t>B</w:t>
            </w:r>
            <w:r w:rsidRPr="00A93F15">
              <w:rPr>
                <w:rFonts w:ascii="Arial Narrow" w:hAnsi="Arial Narrow"/>
                <w:b/>
                <w:sz w:val="20"/>
                <w:szCs w:val="18"/>
              </w:rPr>
              <w:t>et gel</w:t>
            </w:r>
          </w:p>
        </w:tc>
        <w:tc>
          <w:tcPr>
            <w:tcW w:w="669" w:type="pct"/>
            <w:gridSpan w:val="2"/>
            <w:vAlign w:val="center"/>
          </w:tcPr>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RD</w:t>
            </w:r>
          </w:p>
          <w:p w:rsidR="005E2E6E" w:rsidRPr="00A93F15" w:rsidRDefault="005E2E6E" w:rsidP="006C77AE">
            <w:pPr>
              <w:keepNext/>
              <w:widowControl/>
              <w:jc w:val="center"/>
              <w:rPr>
                <w:rFonts w:ascii="Arial Narrow" w:hAnsi="Arial Narrow"/>
                <w:b/>
                <w:sz w:val="20"/>
                <w:szCs w:val="18"/>
              </w:rPr>
            </w:pPr>
            <w:r w:rsidRPr="00A93F15">
              <w:rPr>
                <w:rFonts w:ascii="Arial Narrow" w:hAnsi="Arial Narrow"/>
                <w:b/>
                <w:sz w:val="20"/>
                <w:szCs w:val="18"/>
              </w:rPr>
              <w:t>(95% CI)</w:t>
            </w:r>
          </w:p>
        </w:tc>
      </w:tr>
      <w:tr w:rsidR="00C42FAE" w:rsidRPr="00A93F15" w:rsidTr="00552BD3">
        <w:tc>
          <w:tcPr>
            <w:tcW w:w="5000" w:type="pct"/>
            <w:gridSpan w:val="10"/>
            <w:shd w:val="clear" w:color="auto" w:fill="auto"/>
            <w:vAlign w:val="center"/>
          </w:tcPr>
          <w:p w:rsidR="00B62715" w:rsidRPr="00A93F15" w:rsidRDefault="00C81911" w:rsidP="006C77AE">
            <w:pPr>
              <w:keepNext/>
              <w:widowControl/>
              <w:rPr>
                <w:rFonts w:ascii="Arial Narrow" w:hAnsi="Arial Narrow"/>
                <w:b/>
                <w:sz w:val="20"/>
                <w:szCs w:val="18"/>
              </w:rPr>
            </w:pPr>
            <w:proofErr w:type="spellStart"/>
            <w:r w:rsidRPr="00A93F15">
              <w:rPr>
                <w:rFonts w:ascii="Arial Narrow" w:hAnsi="Arial Narrow"/>
                <w:b/>
                <w:sz w:val="20"/>
                <w:szCs w:val="18"/>
              </w:rPr>
              <w:t>Pruritis</w:t>
            </w:r>
            <w:proofErr w:type="spellEnd"/>
          </w:p>
        </w:tc>
      </w:tr>
      <w:tr w:rsidR="00C42FAE" w:rsidRPr="00A93F15" w:rsidTr="002038F4">
        <w:tc>
          <w:tcPr>
            <w:tcW w:w="422" w:type="pct"/>
            <w:shd w:val="clear" w:color="auto" w:fill="auto"/>
            <w:vAlign w:val="center"/>
          </w:tcPr>
          <w:p w:rsidR="00B62715" w:rsidRPr="00A93F15" w:rsidRDefault="00C81911" w:rsidP="006C77AE">
            <w:pPr>
              <w:keepNext/>
              <w:widowControl/>
              <w:rPr>
                <w:rFonts w:ascii="Arial Narrow" w:hAnsi="Arial Narrow"/>
                <w:sz w:val="20"/>
                <w:szCs w:val="18"/>
              </w:rPr>
            </w:pPr>
            <w:r w:rsidRPr="00A93F15">
              <w:rPr>
                <w:rFonts w:ascii="Arial Narrow" w:hAnsi="Arial Narrow"/>
                <w:sz w:val="20"/>
                <w:szCs w:val="18"/>
              </w:rPr>
              <w:t>LP0053-1003</w:t>
            </w:r>
          </w:p>
        </w:tc>
        <w:tc>
          <w:tcPr>
            <w:tcW w:w="836" w:type="pct"/>
            <w:vAlign w:val="center"/>
          </w:tcPr>
          <w:p w:rsidR="00B62715" w:rsidRPr="00A93F15" w:rsidRDefault="00AA2143" w:rsidP="006C77AE">
            <w:pPr>
              <w:keepNext/>
              <w:widowControl/>
              <w:jc w:val="center"/>
              <w:rPr>
                <w:rFonts w:ascii="Arial Narrow" w:hAnsi="Arial Narrow"/>
                <w:sz w:val="20"/>
                <w:szCs w:val="18"/>
              </w:rPr>
            </w:pPr>
            <w:r w:rsidRPr="00A93F15">
              <w:rPr>
                <w:rFonts w:ascii="Arial Narrow" w:hAnsi="Arial Narrow"/>
                <w:sz w:val="20"/>
                <w:szCs w:val="18"/>
              </w:rPr>
              <w:t>5/185</w:t>
            </w:r>
          </w:p>
        </w:tc>
        <w:tc>
          <w:tcPr>
            <w:tcW w:w="853" w:type="pct"/>
            <w:vAlign w:val="center"/>
          </w:tcPr>
          <w:p w:rsidR="00B62715" w:rsidRPr="00A93F15" w:rsidRDefault="00AA2143" w:rsidP="006C77AE">
            <w:pPr>
              <w:keepNext/>
              <w:widowControl/>
              <w:jc w:val="center"/>
              <w:rPr>
                <w:rFonts w:ascii="Arial Narrow" w:hAnsi="Arial Narrow"/>
                <w:sz w:val="20"/>
                <w:szCs w:val="18"/>
              </w:rPr>
            </w:pPr>
            <w:r w:rsidRPr="00A93F15">
              <w:rPr>
                <w:rFonts w:ascii="Arial Narrow" w:hAnsi="Arial Narrow"/>
                <w:sz w:val="20"/>
                <w:szCs w:val="18"/>
              </w:rPr>
              <w:t>1/188</w:t>
            </w:r>
          </w:p>
        </w:tc>
        <w:tc>
          <w:tcPr>
            <w:tcW w:w="918" w:type="pct"/>
            <w:vAlign w:val="center"/>
          </w:tcPr>
          <w:p w:rsidR="00B62715" w:rsidRPr="00A93F15" w:rsidRDefault="00F63742" w:rsidP="006C77AE">
            <w:pPr>
              <w:keepNext/>
              <w:widowControl/>
              <w:jc w:val="center"/>
              <w:rPr>
                <w:rFonts w:ascii="Arial Narrow" w:hAnsi="Arial Narrow"/>
                <w:i/>
                <w:sz w:val="20"/>
                <w:szCs w:val="18"/>
              </w:rPr>
            </w:pPr>
            <w:r w:rsidRPr="00A93F15">
              <w:rPr>
                <w:rFonts w:ascii="Arial Narrow" w:hAnsi="Arial Narrow"/>
                <w:i/>
                <w:sz w:val="20"/>
                <w:szCs w:val="18"/>
              </w:rPr>
              <w:t>5.08 (0.80, 32.65)</w:t>
            </w:r>
          </w:p>
        </w:tc>
        <w:tc>
          <w:tcPr>
            <w:tcW w:w="668" w:type="pct"/>
            <w:gridSpan w:val="3"/>
            <w:vAlign w:val="center"/>
          </w:tcPr>
          <w:p w:rsidR="00B62715" w:rsidRPr="00A93F15" w:rsidRDefault="00AA2143" w:rsidP="006C77AE">
            <w:pPr>
              <w:keepNext/>
              <w:widowControl/>
              <w:jc w:val="center"/>
              <w:rPr>
                <w:rFonts w:ascii="Arial Narrow" w:hAnsi="Arial Narrow"/>
                <w:sz w:val="20"/>
                <w:szCs w:val="18"/>
              </w:rPr>
            </w:pPr>
            <w:r w:rsidRPr="00A93F15">
              <w:rPr>
                <w:rFonts w:ascii="Arial Narrow" w:hAnsi="Arial Narrow"/>
                <w:sz w:val="20"/>
                <w:szCs w:val="18"/>
              </w:rPr>
              <w:t>2.7</w:t>
            </w:r>
          </w:p>
        </w:tc>
        <w:tc>
          <w:tcPr>
            <w:tcW w:w="634" w:type="pct"/>
            <w:vAlign w:val="center"/>
          </w:tcPr>
          <w:p w:rsidR="00B62715" w:rsidRPr="00A93F15" w:rsidRDefault="00AA2143" w:rsidP="006C77AE">
            <w:pPr>
              <w:keepNext/>
              <w:widowControl/>
              <w:jc w:val="center"/>
              <w:rPr>
                <w:rFonts w:ascii="Arial Narrow" w:hAnsi="Arial Narrow"/>
                <w:sz w:val="20"/>
                <w:szCs w:val="18"/>
              </w:rPr>
            </w:pPr>
            <w:r w:rsidRPr="00A93F15">
              <w:rPr>
                <w:rFonts w:ascii="Arial Narrow" w:hAnsi="Arial Narrow"/>
                <w:sz w:val="20"/>
                <w:szCs w:val="18"/>
              </w:rPr>
              <w:t>0.5</w:t>
            </w:r>
          </w:p>
        </w:tc>
        <w:tc>
          <w:tcPr>
            <w:tcW w:w="669" w:type="pct"/>
            <w:gridSpan w:val="2"/>
            <w:vAlign w:val="center"/>
          </w:tcPr>
          <w:p w:rsidR="00B62715" w:rsidRPr="00A93F15" w:rsidRDefault="003C6812" w:rsidP="006C77AE">
            <w:pPr>
              <w:keepNext/>
              <w:widowControl/>
              <w:jc w:val="center"/>
              <w:rPr>
                <w:rFonts w:ascii="Arial Narrow" w:hAnsi="Arial Narrow"/>
                <w:i/>
                <w:sz w:val="20"/>
                <w:szCs w:val="18"/>
              </w:rPr>
            </w:pPr>
            <w:r w:rsidRPr="00A93F15">
              <w:rPr>
                <w:rFonts w:ascii="Arial Narrow" w:hAnsi="Arial Narrow"/>
                <w:i/>
                <w:sz w:val="20"/>
                <w:szCs w:val="18"/>
              </w:rPr>
              <w:t>0.02</w:t>
            </w:r>
            <w:r w:rsidR="00F63742" w:rsidRPr="00A93F15">
              <w:rPr>
                <w:rFonts w:ascii="Arial Narrow" w:hAnsi="Arial Narrow"/>
                <w:i/>
                <w:sz w:val="20"/>
                <w:szCs w:val="18"/>
              </w:rPr>
              <w:t xml:space="preserve"> (-0.01, 0.06)</w:t>
            </w:r>
          </w:p>
        </w:tc>
      </w:tr>
    </w:tbl>
    <w:p w:rsidR="00B62715" w:rsidRPr="00A93F15" w:rsidRDefault="00B62715" w:rsidP="006C77AE">
      <w:pPr>
        <w:pStyle w:val="TableFooter"/>
        <w:keepNext/>
        <w:widowControl/>
        <w:ind w:left="720"/>
      </w:pPr>
      <w:r w:rsidRPr="00A93F15">
        <w:t xml:space="preserve">* </w:t>
      </w:r>
      <w:r w:rsidR="00C81911" w:rsidRPr="00A93F15">
        <w:t>Maximum</w:t>
      </w:r>
      <w:r w:rsidRPr="00A93F15">
        <w:t xml:space="preserve"> duration of exposure: </w:t>
      </w:r>
      <w:r w:rsidR="00C81911" w:rsidRPr="00A93F15">
        <w:t>LP0053-1003</w:t>
      </w:r>
      <w:r w:rsidRPr="00A93F15">
        <w:t xml:space="preserve"> = </w:t>
      </w:r>
      <w:r w:rsidR="00097593" w:rsidRPr="00A93F15">
        <w:t>12</w:t>
      </w:r>
      <w:r w:rsidR="00C81911" w:rsidRPr="00A93F15">
        <w:t xml:space="preserve"> weeks</w:t>
      </w:r>
      <w:r w:rsidRPr="00A93F15">
        <w:t xml:space="preserve">; </w:t>
      </w:r>
      <w:r w:rsidR="00097593" w:rsidRPr="00A93F15">
        <w:t>LEO90100-35 = 4 weeks</w:t>
      </w:r>
      <w:r w:rsidR="00F63742" w:rsidRPr="00A93F15">
        <w:t xml:space="preserve">. </w:t>
      </w:r>
    </w:p>
    <w:p w:rsidR="00B62715" w:rsidRPr="00A93F15" w:rsidRDefault="00B62715" w:rsidP="006C77AE">
      <w:pPr>
        <w:pStyle w:val="TableFooter"/>
        <w:keepNext/>
        <w:widowControl/>
        <w:ind w:left="720"/>
      </w:pPr>
      <w:r w:rsidRPr="00A93F15">
        <w:t>RD</w:t>
      </w:r>
      <w:r w:rsidR="006E594D" w:rsidRPr="00A93F15">
        <w:t xml:space="preserve"> </w:t>
      </w:r>
      <w:r w:rsidRPr="00A93F15">
        <w:t>=</w:t>
      </w:r>
      <w:r w:rsidR="006E594D" w:rsidRPr="00A93F15">
        <w:t xml:space="preserve"> </w:t>
      </w:r>
      <w:r w:rsidRPr="00A93F15">
        <w:t>risk difference; RR</w:t>
      </w:r>
      <w:r w:rsidR="006E594D" w:rsidRPr="00A93F15">
        <w:t xml:space="preserve"> </w:t>
      </w:r>
      <w:r w:rsidRPr="00A93F15">
        <w:t>=</w:t>
      </w:r>
      <w:r w:rsidR="006E594D" w:rsidRPr="00A93F15">
        <w:t xml:space="preserve"> </w:t>
      </w:r>
      <w:r w:rsidRPr="00A93F15">
        <w:t>risk ratio</w:t>
      </w:r>
      <w:r w:rsidR="00C81911" w:rsidRPr="00A93F15">
        <w:t xml:space="preserve">; Calc + </w:t>
      </w:r>
      <w:r w:rsidR="00945D49" w:rsidRPr="00A93F15">
        <w:t>B</w:t>
      </w:r>
      <w:r w:rsidR="00C81911" w:rsidRPr="00A93F15">
        <w:t>et</w:t>
      </w:r>
      <w:r w:rsidR="006E594D" w:rsidRPr="00A93F15">
        <w:t xml:space="preserve"> </w:t>
      </w:r>
      <w:r w:rsidR="00C81911" w:rsidRPr="00A93F15">
        <w:t>= calcipotriol plus betamethasone</w:t>
      </w:r>
      <w:r w:rsidR="00906C08" w:rsidRPr="00A93F15">
        <w:t>; IGA</w:t>
      </w:r>
      <w:r w:rsidR="006E594D" w:rsidRPr="00A93F15">
        <w:t xml:space="preserve"> </w:t>
      </w:r>
      <w:r w:rsidR="00906C08" w:rsidRPr="00A93F15">
        <w:t>=</w:t>
      </w:r>
      <w:r w:rsidR="006E594D" w:rsidRPr="00A93F15">
        <w:t xml:space="preserve"> </w:t>
      </w:r>
      <w:r w:rsidR="00906C08" w:rsidRPr="00A93F15">
        <w:t>Investigator’s Global Assessment of disease severity</w:t>
      </w:r>
    </w:p>
    <w:p w:rsidR="00CF76CF" w:rsidRPr="00A93F15" w:rsidRDefault="00CF76CF" w:rsidP="006C77AE">
      <w:pPr>
        <w:pStyle w:val="TableFooter"/>
        <w:widowControl/>
        <w:ind w:left="720"/>
        <w:rPr>
          <w:i/>
        </w:rPr>
      </w:pPr>
      <w:r w:rsidRPr="00A93F15">
        <w:rPr>
          <w:i/>
        </w:rPr>
        <w:t>Figures in italics were calculated during the evaluation</w:t>
      </w:r>
    </w:p>
    <w:p w:rsidR="00CF76CF" w:rsidRPr="00A93F15" w:rsidRDefault="00CF76CF" w:rsidP="006C77AE">
      <w:pPr>
        <w:pStyle w:val="TableFooter"/>
        <w:widowControl/>
        <w:ind w:left="720"/>
      </w:pPr>
      <w:r w:rsidRPr="00A93F15">
        <w:t xml:space="preserve">Treatment success for LP0053-1003 and </w:t>
      </w:r>
      <w:r w:rsidR="004F6799" w:rsidRPr="00A93F15">
        <w:t>C</w:t>
      </w:r>
      <w:r w:rsidRPr="00A93F15">
        <w:t>ontrolled disease for LEO90100-35</w:t>
      </w:r>
    </w:p>
    <w:p w:rsidR="00CF76CF" w:rsidRPr="00A93F15" w:rsidRDefault="00CF76CF" w:rsidP="006C77AE">
      <w:pPr>
        <w:pStyle w:val="TableFooter"/>
        <w:widowControl/>
        <w:ind w:left="720"/>
      </w:pPr>
      <w:r w:rsidRPr="00A93F15">
        <w:t xml:space="preserve">Note: Multiple </w:t>
      </w:r>
      <w:proofErr w:type="gramStart"/>
      <w:r w:rsidRPr="00A93F15">
        <w:t>imputation</w:t>
      </w:r>
      <w:proofErr w:type="gramEnd"/>
      <w:r w:rsidRPr="00A93F15">
        <w:t xml:space="preserve"> </w:t>
      </w:r>
      <w:r w:rsidR="006A45B5" w:rsidRPr="00A93F15">
        <w:t>wa</w:t>
      </w:r>
      <w:r w:rsidRPr="00A93F15">
        <w:t xml:space="preserve">s used for missing data for the </w:t>
      </w:r>
      <w:r w:rsidR="0081474D" w:rsidRPr="00A93F15">
        <w:t>W</w:t>
      </w:r>
      <w:r w:rsidRPr="00A93F15">
        <w:t xml:space="preserve">eek 4 to </w:t>
      </w:r>
      <w:r w:rsidR="0081474D" w:rsidRPr="00A93F15">
        <w:t>W</w:t>
      </w:r>
      <w:r w:rsidRPr="00A93F15">
        <w:t>eek 8 comparison in LP0053-1003 with the proportion of patients achieving treatment success being the mean number of subjects across imputations</w:t>
      </w:r>
      <w:r w:rsidR="00582E1B">
        <w:t xml:space="preserve">. </w:t>
      </w:r>
      <w:r w:rsidRPr="00A93F15">
        <w:t>T</w:t>
      </w:r>
      <w:r w:rsidRPr="00A93F15">
        <w:rPr>
          <w:i/>
        </w:rPr>
        <w:t xml:space="preserve">he </w:t>
      </w:r>
      <w:r w:rsidR="0081474D" w:rsidRPr="00A93F15">
        <w:rPr>
          <w:i/>
        </w:rPr>
        <w:t>W</w:t>
      </w:r>
      <w:r w:rsidRPr="00A93F15">
        <w:rPr>
          <w:i/>
        </w:rPr>
        <w:t>eek 4</w:t>
      </w:r>
      <w:r w:rsidR="0081474D" w:rsidRPr="00A93F15">
        <w:rPr>
          <w:i/>
        </w:rPr>
        <w:t xml:space="preserve"> to W</w:t>
      </w:r>
      <w:r w:rsidRPr="00A93F15">
        <w:rPr>
          <w:i/>
        </w:rPr>
        <w:t xml:space="preserve">eek 4 analysis </w:t>
      </w:r>
      <w:r w:rsidR="006A45B5" w:rsidRPr="00A93F15">
        <w:rPr>
          <w:i/>
        </w:rPr>
        <w:t>wa</w:t>
      </w:r>
      <w:r w:rsidRPr="00A93F15">
        <w:rPr>
          <w:i/>
        </w:rPr>
        <w:t>s based on observed cases, and assume</w:t>
      </w:r>
      <w:r w:rsidR="004F6799" w:rsidRPr="00A93F15">
        <w:rPr>
          <w:i/>
        </w:rPr>
        <w:t>d</w:t>
      </w:r>
      <w:r w:rsidRPr="00A93F15">
        <w:rPr>
          <w:i/>
        </w:rPr>
        <w:t xml:space="preserve"> missing data </w:t>
      </w:r>
      <w:r w:rsidR="004F6799" w:rsidRPr="00A93F15">
        <w:rPr>
          <w:i/>
        </w:rPr>
        <w:t>wa</w:t>
      </w:r>
      <w:r w:rsidRPr="00A93F15">
        <w:rPr>
          <w:i/>
        </w:rPr>
        <w:t>s non-response</w:t>
      </w:r>
      <w:r w:rsidR="00582E1B">
        <w:rPr>
          <w:i/>
        </w:rPr>
        <w:t xml:space="preserve">. </w:t>
      </w:r>
      <w:r w:rsidR="0081474D" w:rsidRPr="00A93F15">
        <w:rPr>
          <w:i/>
        </w:rPr>
        <w:t xml:space="preserve">However, </w:t>
      </w:r>
      <w:r w:rsidR="001631C0" w:rsidRPr="00A93F15">
        <w:rPr>
          <w:i/>
        </w:rPr>
        <w:t xml:space="preserve">the Week 4 to Week 4 analysis was not ITT as </w:t>
      </w:r>
      <w:r w:rsidR="0081474D" w:rsidRPr="00A93F15">
        <w:rPr>
          <w:i/>
        </w:rPr>
        <w:t xml:space="preserve">not all patients randomised to treatment were included in the analysis. </w:t>
      </w:r>
    </w:p>
    <w:p w:rsidR="00B62715" w:rsidRPr="00A93F15" w:rsidRDefault="00B62715" w:rsidP="006C77AE">
      <w:pPr>
        <w:pStyle w:val="TableFooter"/>
        <w:widowControl/>
        <w:ind w:firstLine="720"/>
      </w:pPr>
      <w:r w:rsidRPr="00A93F15">
        <w:t>Source: Compiled during the evaluation</w:t>
      </w:r>
      <w:r w:rsidR="0039252B" w:rsidRPr="00A93F15">
        <w:t xml:space="preserve"> from </w:t>
      </w:r>
      <w:r w:rsidRPr="00A93F15">
        <w:t>Table</w:t>
      </w:r>
      <w:r w:rsidR="006A45B5" w:rsidRPr="00A93F15">
        <w:t>s 20-21, p53-54 and Table 32, p64</w:t>
      </w:r>
      <w:r w:rsidRPr="00A93F15">
        <w:t xml:space="preserve"> of the submission</w:t>
      </w:r>
      <w:r w:rsidR="00945D49" w:rsidRPr="00A93F15">
        <w:t xml:space="preserve"> </w:t>
      </w:r>
    </w:p>
    <w:p w:rsidR="00B62715" w:rsidRPr="00A93F15" w:rsidRDefault="00B62715" w:rsidP="006C77AE">
      <w:pPr>
        <w:widowControl/>
      </w:pPr>
    </w:p>
    <w:p w:rsidR="00FC1884" w:rsidRPr="00A93F15" w:rsidRDefault="00EC00C9" w:rsidP="006C77AE">
      <w:pPr>
        <w:pStyle w:val="ListParagraph"/>
        <w:widowControl/>
        <w:numPr>
          <w:ilvl w:val="1"/>
          <w:numId w:val="5"/>
        </w:numPr>
        <w:rPr>
          <w:szCs w:val="22"/>
        </w:rPr>
      </w:pPr>
      <w:r w:rsidRPr="00A93F15">
        <w:t xml:space="preserve">On the basis of direct evidence presented by the submission, for every 100 patients treated with </w:t>
      </w:r>
      <w:r w:rsidR="0059329E" w:rsidRPr="00A93F15">
        <w:t xml:space="preserve">calcipotriol plus betamethasone foam spray </w:t>
      </w:r>
      <w:r w:rsidRPr="00A93F15">
        <w:t xml:space="preserve">in comparison to </w:t>
      </w:r>
      <w:r w:rsidR="0059329E" w:rsidRPr="00A93F15">
        <w:t>calcipotriol plus betamethasone gel</w:t>
      </w:r>
      <w:r w:rsidR="00D36743" w:rsidRPr="00A93F15">
        <w:t>:</w:t>
      </w:r>
    </w:p>
    <w:p w:rsidR="00FC1884" w:rsidRPr="00A93F15" w:rsidRDefault="00FC1884" w:rsidP="006C77AE">
      <w:pPr>
        <w:pStyle w:val="ListParagraph"/>
        <w:widowControl/>
        <w:numPr>
          <w:ilvl w:val="0"/>
          <w:numId w:val="4"/>
        </w:numPr>
        <w:ind w:left="993" w:hanging="284"/>
      </w:pPr>
      <w:r w:rsidRPr="00A93F15">
        <w:t xml:space="preserve">Approximately </w:t>
      </w:r>
      <w:r w:rsidR="006A6DDF" w:rsidRPr="00A93F15">
        <w:t>1</w:t>
      </w:r>
      <w:r w:rsidR="00FF4AF9" w:rsidRPr="00A93F15">
        <w:t>8</w:t>
      </w:r>
      <w:r w:rsidRPr="00A93F15">
        <w:t xml:space="preserve"> additional patients would </w:t>
      </w:r>
      <w:r w:rsidR="0059329E" w:rsidRPr="00A93F15">
        <w:t xml:space="preserve">experience </w:t>
      </w:r>
      <w:r w:rsidR="004F6799" w:rsidRPr="00A93F15">
        <w:t>treatment success</w:t>
      </w:r>
      <w:r w:rsidR="006A6DDF" w:rsidRPr="00A93F15">
        <w:t xml:space="preserve"> according to</w:t>
      </w:r>
      <w:r w:rsidR="009B7348" w:rsidRPr="00A93F15">
        <w:t xml:space="preserve"> Investigator’s Global Assessment of disease severity</w:t>
      </w:r>
      <w:r w:rsidR="006A6DDF" w:rsidRPr="00A93F15">
        <w:t xml:space="preserve"> </w:t>
      </w:r>
      <w:r w:rsidR="009B7348" w:rsidRPr="00A93F15">
        <w:t>(</w:t>
      </w:r>
      <w:r w:rsidR="006A6DDF" w:rsidRPr="00A93F15">
        <w:t>IGA</w:t>
      </w:r>
      <w:r w:rsidR="009B7348" w:rsidRPr="00A93F15">
        <w:t>)</w:t>
      </w:r>
      <w:r w:rsidR="006A6DDF" w:rsidRPr="00A93F15">
        <w:t xml:space="preserve"> </w:t>
      </w:r>
      <w:r w:rsidR="0059329E" w:rsidRPr="00A93F15">
        <w:t xml:space="preserve">over a mean duration of exposure of 4 weeks </w:t>
      </w:r>
      <w:r w:rsidR="006A6DDF" w:rsidRPr="00A93F15">
        <w:t>for both the foam spray and the gel</w:t>
      </w:r>
      <w:r w:rsidR="00D36743" w:rsidRPr="00A93F15">
        <w:t>.</w:t>
      </w:r>
    </w:p>
    <w:p w:rsidR="0029247A" w:rsidRPr="00A93F15" w:rsidRDefault="0029247A" w:rsidP="006C77AE">
      <w:pPr>
        <w:widowControl/>
      </w:pPr>
    </w:p>
    <w:p w:rsidR="00B60939" w:rsidRPr="00A93F15" w:rsidRDefault="00B60939" w:rsidP="00CF2EDE">
      <w:pPr>
        <w:pStyle w:val="Heading2"/>
      </w:pPr>
      <w:bookmarkStart w:id="14" w:name="_Toc461530264"/>
      <w:r w:rsidRPr="00A93F15">
        <w:t>Clinical claim</w:t>
      </w:r>
      <w:bookmarkEnd w:id="14"/>
    </w:p>
    <w:p w:rsidR="00B60939" w:rsidRPr="00A93F15" w:rsidRDefault="00B60939" w:rsidP="006C77AE">
      <w:pPr>
        <w:keepNext/>
        <w:widowControl/>
        <w:ind w:left="720" w:hanging="720"/>
        <w:rPr>
          <w:szCs w:val="22"/>
        </w:rPr>
      </w:pPr>
    </w:p>
    <w:p w:rsidR="00674214" w:rsidRPr="00A93F15" w:rsidRDefault="00674214" w:rsidP="006C77AE">
      <w:pPr>
        <w:pStyle w:val="ListParagraph"/>
        <w:widowControl/>
        <w:numPr>
          <w:ilvl w:val="1"/>
          <w:numId w:val="5"/>
        </w:numPr>
        <w:rPr>
          <w:i/>
        </w:rPr>
      </w:pPr>
      <w:r w:rsidRPr="00A93F15">
        <w:rPr>
          <w:szCs w:val="22"/>
        </w:rPr>
        <w:t xml:space="preserve">The </w:t>
      </w:r>
      <w:r w:rsidRPr="00A93F15">
        <w:t>submission claimed that calcipotriol plus betamethasone foam spray has superior efficacy and a non-inferior safety profile compared to calcipotriol plus betamethasone gel</w:t>
      </w:r>
      <w:r w:rsidR="00582E1B">
        <w:t xml:space="preserve">. </w:t>
      </w:r>
      <w:r w:rsidRPr="00A93F15">
        <w:t>This claim was based on the evidence provided by trial LP0053-1003. The claim for superior efficacy was adequately supported by the evidence</w:t>
      </w:r>
      <w:r w:rsidR="00582E1B">
        <w:t xml:space="preserve">. </w:t>
      </w:r>
      <w:r w:rsidRPr="00A93F15">
        <w:t xml:space="preserve">While safety was similar for </w:t>
      </w:r>
      <w:r w:rsidR="002F7AEA" w:rsidRPr="00A93F15">
        <w:t>calcipotriol plus betamethasone</w:t>
      </w:r>
      <w:r w:rsidRPr="00A93F15">
        <w:t xml:space="preserve"> foam spray and the gel, the short duration of the trial (12 weeks) was insufficient to </w:t>
      </w:r>
      <w:r w:rsidR="004F2FA3" w:rsidRPr="00A93F15">
        <w:t>determine</w:t>
      </w:r>
      <w:r w:rsidRPr="00A93F15">
        <w:t xml:space="preserve"> long-term safety outcomes.</w:t>
      </w:r>
      <w:r w:rsidRPr="00A93F15">
        <w:rPr>
          <w:i/>
        </w:rPr>
        <w:t xml:space="preserve"> </w:t>
      </w:r>
    </w:p>
    <w:p w:rsidR="00674214" w:rsidRPr="00A93F15" w:rsidRDefault="00674214" w:rsidP="005E1F85">
      <w:pPr>
        <w:pStyle w:val="BodyText"/>
      </w:pPr>
    </w:p>
    <w:p w:rsidR="00674214" w:rsidRPr="00A93F15" w:rsidRDefault="00674214" w:rsidP="006C77AE">
      <w:pPr>
        <w:pStyle w:val="ListParagraph"/>
        <w:widowControl/>
        <w:numPr>
          <w:ilvl w:val="1"/>
          <w:numId w:val="5"/>
        </w:numPr>
      </w:pPr>
      <w:r w:rsidRPr="00A93F15">
        <w:t>The submission did not put forward a claim for calcipotriol plus betamethasone foam spray compared to calcipotri</w:t>
      </w:r>
      <w:r w:rsidR="00D14138" w:rsidRPr="00A93F15">
        <w:t>ol plus betamethasone ointment.</w:t>
      </w:r>
    </w:p>
    <w:p w:rsidR="00F7723C" w:rsidRPr="00A93F15" w:rsidRDefault="00F7723C" w:rsidP="00F7723C">
      <w:pPr>
        <w:pStyle w:val="ListParagraph"/>
      </w:pPr>
    </w:p>
    <w:p w:rsidR="00F7723C" w:rsidRPr="00A93F15" w:rsidRDefault="00F7723C" w:rsidP="00F7723C">
      <w:pPr>
        <w:pStyle w:val="ListParagraph"/>
        <w:widowControl/>
        <w:numPr>
          <w:ilvl w:val="1"/>
          <w:numId w:val="5"/>
        </w:numPr>
        <w:jc w:val="left"/>
        <w:rPr>
          <w:bCs/>
        </w:rPr>
      </w:pPr>
      <w:r w:rsidRPr="00A93F15">
        <w:rPr>
          <w:bCs/>
          <w:szCs w:val="22"/>
        </w:rPr>
        <w:lastRenderedPageBreak/>
        <w:t xml:space="preserve">The PBAC considered that the claim </w:t>
      </w:r>
      <w:r w:rsidR="007A09D2" w:rsidRPr="00A93F15">
        <w:rPr>
          <w:bCs/>
          <w:szCs w:val="22"/>
        </w:rPr>
        <w:t xml:space="preserve">of </w:t>
      </w:r>
      <w:r w:rsidRPr="00A93F15">
        <w:rPr>
          <w:bCs/>
          <w:szCs w:val="22"/>
        </w:rPr>
        <w:t>superior comparative effectiveness</w:t>
      </w:r>
      <w:r w:rsidR="00D36743" w:rsidRPr="00A93F15">
        <w:rPr>
          <w:bCs/>
          <w:szCs w:val="22"/>
        </w:rPr>
        <w:t xml:space="preserve"> of the</w:t>
      </w:r>
      <w:r w:rsidR="00D36743" w:rsidRPr="00A93F15">
        <w:t xml:space="preserve"> calcipotriol plus betamethasone foam spray compared to calcipotriol plus betamethasone gel</w:t>
      </w:r>
      <w:r w:rsidRPr="00A93F15">
        <w:rPr>
          <w:bCs/>
          <w:szCs w:val="22"/>
        </w:rPr>
        <w:t xml:space="preserve"> was reasonable.</w:t>
      </w:r>
    </w:p>
    <w:p w:rsidR="001832F6" w:rsidRPr="00A93F15" w:rsidRDefault="001832F6" w:rsidP="001832F6">
      <w:pPr>
        <w:pStyle w:val="ListParagraph"/>
        <w:widowControl/>
        <w:jc w:val="left"/>
        <w:rPr>
          <w:bCs/>
        </w:rPr>
      </w:pPr>
    </w:p>
    <w:p w:rsidR="001832F6" w:rsidRPr="00A93F15" w:rsidRDefault="001832F6" w:rsidP="001832F6">
      <w:pPr>
        <w:pStyle w:val="ListParagraph"/>
        <w:widowControl/>
        <w:numPr>
          <w:ilvl w:val="1"/>
          <w:numId w:val="5"/>
        </w:numPr>
        <w:jc w:val="left"/>
        <w:rPr>
          <w:bCs/>
        </w:rPr>
      </w:pPr>
      <w:r w:rsidRPr="00A93F15">
        <w:rPr>
          <w:bCs/>
          <w:szCs w:val="22"/>
        </w:rPr>
        <w:t xml:space="preserve">The PBAC considered that the claim of non-inferior safety profile </w:t>
      </w:r>
      <w:r w:rsidR="00D36743" w:rsidRPr="00A93F15">
        <w:rPr>
          <w:bCs/>
          <w:szCs w:val="22"/>
        </w:rPr>
        <w:t>of the</w:t>
      </w:r>
      <w:r w:rsidR="00D36743" w:rsidRPr="00A93F15">
        <w:t xml:space="preserve"> calcipotriol plus betamethasone foam spray compared to calcipotriol plus betamethasone gel</w:t>
      </w:r>
      <w:r w:rsidR="00D36743" w:rsidRPr="00A93F15">
        <w:rPr>
          <w:bCs/>
          <w:szCs w:val="22"/>
        </w:rPr>
        <w:t xml:space="preserve"> </w:t>
      </w:r>
      <w:r w:rsidRPr="00A93F15">
        <w:rPr>
          <w:bCs/>
          <w:szCs w:val="22"/>
        </w:rPr>
        <w:t>was reasonable.</w:t>
      </w:r>
    </w:p>
    <w:p w:rsidR="00F7723C" w:rsidRPr="00A93F15" w:rsidRDefault="00F7723C" w:rsidP="00F7723C">
      <w:pPr>
        <w:pStyle w:val="ListParagraph"/>
        <w:widowControl/>
      </w:pPr>
    </w:p>
    <w:p w:rsidR="00D14138" w:rsidRPr="00A93F15" w:rsidRDefault="00D14138" w:rsidP="00133341">
      <w:pPr>
        <w:widowControl/>
        <w:rPr>
          <w:szCs w:val="22"/>
        </w:rPr>
      </w:pPr>
    </w:p>
    <w:p w:rsidR="00B60939" w:rsidRPr="00A93F15" w:rsidRDefault="00B60939" w:rsidP="00CF2EDE">
      <w:pPr>
        <w:pStyle w:val="Heading2"/>
      </w:pPr>
      <w:bookmarkStart w:id="15" w:name="_Toc461530265"/>
      <w:r w:rsidRPr="00A93F15">
        <w:t>Economic analysis</w:t>
      </w:r>
      <w:bookmarkEnd w:id="15"/>
      <w:r w:rsidR="00491B3A" w:rsidRPr="00A93F15">
        <w:t xml:space="preserve"> </w:t>
      </w:r>
    </w:p>
    <w:p w:rsidR="00B60939" w:rsidRPr="00A93F15" w:rsidRDefault="00B60939" w:rsidP="006C77AE">
      <w:pPr>
        <w:keepNext/>
        <w:widowControl/>
        <w:ind w:left="720" w:hanging="720"/>
        <w:rPr>
          <w:szCs w:val="22"/>
        </w:rPr>
      </w:pPr>
    </w:p>
    <w:p w:rsidR="00E47A05" w:rsidRPr="00A93F15" w:rsidRDefault="00E47A05" w:rsidP="006C77AE">
      <w:pPr>
        <w:pStyle w:val="ListParagraph"/>
        <w:widowControl/>
        <w:numPr>
          <w:ilvl w:val="1"/>
          <w:numId w:val="5"/>
        </w:numPr>
      </w:pPr>
      <w:r w:rsidRPr="00A93F15">
        <w:t xml:space="preserve">The submission presented a </w:t>
      </w:r>
      <w:r w:rsidR="006425EF" w:rsidRPr="00A93F15">
        <w:t>four state Markov model</w:t>
      </w:r>
      <w:r w:rsidR="00C252DF" w:rsidRPr="00A93F15">
        <w:t xml:space="preserve"> </w:t>
      </w:r>
      <w:r w:rsidR="00352CC5" w:rsidRPr="00A93F15">
        <w:t xml:space="preserve">(Flare, Response, Non-response and Post-topical) </w:t>
      </w:r>
      <w:r w:rsidR="00C252DF" w:rsidRPr="00A93F15">
        <w:t>comparing calcipotriol plus betamethasone foam spray to calcipotriol plus betamethasone gel</w:t>
      </w:r>
      <w:r w:rsidR="006425EF" w:rsidRPr="00A93F15">
        <w:t xml:space="preserve">. Treatment </w:t>
      </w:r>
      <w:r w:rsidR="009C3333" w:rsidRPr="00A93F15">
        <w:t>wa</w:t>
      </w:r>
      <w:r w:rsidR="006425EF" w:rsidRPr="00A93F15">
        <w:t>s modelled through the application of utilit</w:t>
      </w:r>
      <w:r w:rsidR="00243C48" w:rsidRPr="00A93F15">
        <w:t>y index scores from</w:t>
      </w:r>
      <w:r w:rsidR="00C252DF" w:rsidRPr="00A93F15">
        <w:t xml:space="preserve"> </w:t>
      </w:r>
      <w:r w:rsidR="00871454" w:rsidRPr="00A93F15">
        <w:t>trial LP0053-1003</w:t>
      </w:r>
      <w:r w:rsidR="00582E1B">
        <w:t xml:space="preserve">. </w:t>
      </w:r>
      <w:r w:rsidRPr="00A93F15">
        <w:t xml:space="preserve">A cost-utility analysis </w:t>
      </w:r>
      <w:r w:rsidR="00871454" w:rsidRPr="00A93F15">
        <w:t>wa</w:t>
      </w:r>
      <w:r w:rsidRPr="00A93F15">
        <w:t>s appropriate, given the available evidence.</w:t>
      </w:r>
    </w:p>
    <w:p w:rsidR="00871454" w:rsidRPr="00A93F15" w:rsidRDefault="00871454" w:rsidP="006C77AE">
      <w:pPr>
        <w:widowControl/>
      </w:pPr>
    </w:p>
    <w:p w:rsidR="00275C5A" w:rsidRPr="00A93F15" w:rsidRDefault="00275C5A" w:rsidP="006C77AE">
      <w:pPr>
        <w:keepNext/>
        <w:widowControl/>
        <w:ind w:firstLine="720"/>
        <w:rPr>
          <w:rStyle w:val="CommentReference"/>
        </w:rPr>
      </w:pPr>
      <w:r w:rsidRPr="00A93F15">
        <w:rPr>
          <w:rStyle w:val="CommentReference"/>
        </w:rPr>
        <w:t xml:space="preserve">Table </w:t>
      </w:r>
      <w:r w:rsidR="0027774C" w:rsidRPr="00A93F15">
        <w:rPr>
          <w:rStyle w:val="CommentReference"/>
        </w:rPr>
        <w:t>8</w:t>
      </w:r>
      <w:r w:rsidRPr="00A93F15">
        <w:rPr>
          <w:rStyle w:val="CommentReference"/>
        </w:rPr>
        <w:t>: Summary of model structure and rationale</w:t>
      </w:r>
    </w:p>
    <w:tbl>
      <w:tblPr>
        <w:tblW w:w="4594" w:type="pc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1"/>
        <w:gridCol w:w="6374"/>
      </w:tblGrid>
      <w:tr w:rsidR="00C42FAE" w:rsidRPr="00A93F15" w:rsidTr="0020212A">
        <w:trPr>
          <w:tblHeader/>
        </w:trPr>
        <w:tc>
          <w:tcPr>
            <w:tcW w:w="1181" w:type="pct"/>
            <w:shd w:val="clear" w:color="auto" w:fill="auto"/>
            <w:vAlign w:val="center"/>
          </w:tcPr>
          <w:p w:rsidR="00275C5A" w:rsidRPr="00A93F15" w:rsidRDefault="00275C5A" w:rsidP="006C77AE">
            <w:pPr>
              <w:keepNext/>
              <w:widowControl/>
              <w:jc w:val="left"/>
              <w:rPr>
                <w:rFonts w:ascii="Arial Narrow" w:hAnsi="Arial Narrow"/>
                <w:b/>
                <w:sz w:val="20"/>
              </w:rPr>
            </w:pPr>
            <w:r w:rsidRPr="00A93F15">
              <w:rPr>
                <w:rFonts w:ascii="Arial Narrow" w:hAnsi="Arial Narrow"/>
                <w:b/>
                <w:sz w:val="20"/>
              </w:rPr>
              <w:t>Component</w:t>
            </w:r>
          </w:p>
        </w:tc>
        <w:tc>
          <w:tcPr>
            <w:tcW w:w="3819" w:type="pct"/>
            <w:shd w:val="clear" w:color="auto" w:fill="auto"/>
            <w:vAlign w:val="center"/>
          </w:tcPr>
          <w:p w:rsidR="00275C5A" w:rsidRPr="00A93F15" w:rsidRDefault="00275C5A" w:rsidP="006C77AE">
            <w:pPr>
              <w:keepNext/>
              <w:widowControl/>
              <w:jc w:val="center"/>
              <w:rPr>
                <w:rFonts w:ascii="Arial Narrow" w:hAnsi="Arial Narrow"/>
                <w:b/>
                <w:sz w:val="20"/>
              </w:rPr>
            </w:pPr>
            <w:r w:rsidRPr="00A93F15">
              <w:rPr>
                <w:rFonts w:ascii="Arial Narrow" w:hAnsi="Arial Narrow"/>
                <w:b/>
                <w:sz w:val="20"/>
              </w:rPr>
              <w:t>Summary</w:t>
            </w:r>
          </w:p>
        </w:tc>
      </w:tr>
      <w:tr w:rsidR="00C42FAE" w:rsidRPr="00A93F15" w:rsidTr="0020212A">
        <w:trPr>
          <w:trHeight w:val="240"/>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Time horizon</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i/>
                <w:sz w:val="20"/>
              </w:rPr>
              <w:t>48 weeks</w:t>
            </w:r>
            <w:r w:rsidRPr="00A93F15">
              <w:rPr>
                <w:rFonts w:ascii="Arial Narrow" w:hAnsi="Arial Narrow"/>
                <w:sz w:val="20"/>
              </w:rPr>
              <w:t>* in the model base case versus 4 weeks in the trial</w:t>
            </w:r>
          </w:p>
        </w:tc>
      </w:tr>
      <w:tr w:rsidR="00C42FAE" w:rsidRPr="00A93F15" w:rsidTr="0020212A">
        <w:trPr>
          <w:trHeight w:val="217"/>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Outcomes</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Costs and QALYs</w:t>
            </w:r>
          </w:p>
        </w:tc>
      </w:tr>
      <w:tr w:rsidR="00C42FAE" w:rsidRPr="00A93F15" w:rsidTr="0020212A">
        <w:trPr>
          <w:trHeight w:val="404"/>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Methods used to generate results</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Expected value analysis, with results reported for a single hypothetical ‘average’ patient</w:t>
            </w:r>
          </w:p>
        </w:tc>
      </w:tr>
      <w:tr w:rsidR="00C42FAE" w:rsidRPr="00A93F15" w:rsidTr="0020212A">
        <w:trPr>
          <w:trHeight w:val="225"/>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Cycle length</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4 weeks</w:t>
            </w:r>
            <w:r w:rsidR="00582E1B">
              <w:rPr>
                <w:rFonts w:ascii="Arial Narrow" w:hAnsi="Arial Narrow"/>
                <w:sz w:val="20"/>
              </w:rPr>
              <w:t xml:space="preserve">. </w:t>
            </w:r>
            <w:r w:rsidRPr="00A93F15">
              <w:rPr>
                <w:rFonts w:ascii="Arial Narrow" w:hAnsi="Arial Narrow"/>
                <w:sz w:val="20"/>
              </w:rPr>
              <w:t xml:space="preserve">A half-cycle correction </w:t>
            </w:r>
            <w:r w:rsidR="00430FE3" w:rsidRPr="00A93F15">
              <w:rPr>
                <w:rFonts w:ascii="Arial Narrow" w:hAnsi="Arial Narrow"/>
                <w:sz w:val="20"/>
              </w:rPr>
              <w:t>wa</w:t>
            </w:r>
            <w:r w:rsidRPr="00A93F15">
              <w:rPr>
                <w:rFonts w:ascii="Arial Narrow" w:hAnsi="Arial Narrow"/>
                <w:sz w:val="20"/>
              </w:rPr>
              <w:t>s not used.</w:t>
            </w:r>
          </w:p>
        </w:tc>
      </w:tr>
      <w:tr w:rsidR="00C42FAE" w:rsidRPr="00A93F15" w:rsidTr="0020212A">
        <w:trPr>
          <w:trHeight w:val="448"/>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Transition probabilities</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Derived from rates of response in the trial LP0053-1003 and converted to ‘per cycle’ probabilities of transition using the function “</w:t>
            </w:r>
            <w:proofErr w:type="spellStart"/>
            <w:r w:rsidRPr="00A93F15">
              <w:rPr>
                <w:rFonts w:ascii="Arial Narrow" w:hAnsi="Arial Narrow"/>
                <w:sz w:val="20"/>
              </w:rPr>
              <w:t>Prob</w:t>
            </w:r>
            <w:proofErr w:type="spellEnd"/>
            <w:r w:rsidRPr="00A93F15">
              <w:rPr>
                <w:rFonts w:ascii="Arial Narrow" w:hAnsi="Arial Narrow"/>
                <w:sz w:val="20"/>
              </w:rPr>
              <w:t>=1-EXP(-rate × time)”</w:t>
            </w:r>
          </w:p>
        </w:tc>
      </w:tr>
      <w:tr w:rsidR="00C42FAE" w:rsidRPr="00A93F15" w:rsidTr="0020212A">
        <w:trPr>
          <w:trHeight w:val="240"/>
        </w:trPr>
        <w:tc>
          <w:tcPr>
            <w:tcW w:w="1181"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Discount rate</w:t>
            </w:r>
          </w:p>
        </w:tc>
        <w:tc>
          <w:tcPr>
            <w:tcW w:w="3819" w:type="pct"/>
            <w:shd w:val="clear" w:color="auto" w:fill="auto"/>
          </w:tcPr>
          <w:p w:rsidR="0020212A" w:rsidRPr="00A93F15" w:rsidRDefault="0020212A" w:rsidP="006C77AE">
            <w:pPr>
              <w:widowControl/>
              <w:rPr>
                <w:rFonts w:ascii="Arial Narrow" w:hAnsi="Arial Narrow"/>
                <w:sz w:val="20"/>
              </w:rPr>
            </w:pPr>
            <w:r w:rsidRPr="00A93F15">
              <w:rPr>
                <w:rFonts w:ascii="Arial Narrow" w:hAnsi="Arial Narrow"/>
                <w:sz w:val="20"/>
              </w:rPr>
              <w:t>5% for costs and outcomes</w:t>
            </w:r>
          </w:p>
        </w:tc>
      </w:tr>
    </w:tbl>
    <w:p w:rsidR="0020212A" w:rsidRPr="00A93F15" w:rsidRDefault="00F03271" w:rsidP="006C77AE">
      <w:pPr>
        <w:pStyle w:val="TableFooter"/>
        <w:widowControl/>
        <w:ind w:firstLine="720"/>
        <w:rPr>
          <w:i/>
        </w:rPr>
      </w:pPr>
      <w:r w:rsidRPr="00A93F15">
        <w:rPr>
          <w:i/>
        </w:rPr>
        <w:t>*The submission reported</w:t>
      </w:r>
      <w:r w:rsidR="0020212A" w:rsidRPr="00A93F15">
        <w:rPr>
          <w:i/>
        </w:rPr>
        <w:t xml:space="preserve"> results at 48 weeks assuming 12 cycles, rather than at 52 weeks as stated in the submission</w:t>
      </w:r>
    </w:p>
    <w:p w:rsidR="00FF25B1" w:rsidRPr="00A93F15" w:rsidRDefault="00FF25B1" w:rsidP="006C77AE">
      <w:pPr>
        <w:pStyle w:val="TableFooter"/>
        <w:widowControl/>
        <w:ind w:firstLine="720"/>
      </w:pPr>
      <w:r w:rsidRPr="00A93F15">
        <w:t>QALY</w:t>
      </w:r>
      <w:r w:rsidR="00477FD1" w:rsidRPr="00A93F15">
        <w:t xml:space="preserve"> </w:t>
      </w:r>
      <w:r w:rsidRPr="00A93F15">
        <w:t>=</w:t>
      </w:r>
      <w:r w:rsidR="00477FD1" w:rsidRPr="00A93F15">
        <w:t xml:space="preserve"> </w:t>
      </w:r>
      <w:r w:rsidRPr="00A93F15">
        <w:t>quality adjusted life year</w:t>
      </w:r>
    </w:p>
    <w:p w:rsidR="0020212A" w:rsidRPr="00A93F15" w:rsidRDefault="0020212A" w:rsidP="006C77AE">
      <w:pPr>
        <w:pStyle w:val="TableFooter"/>
        <w:widowControl/>
        <w:ind w:firstLine="720"/>
      </w:pPr>
      <w:r w:rsidRPr="00A93F15">
        <w:t>Source: constructed during the evaluation</w:t>
      </w:r>
    </w:p>
    <w:p w:rsidR="00275C5A" w:rsidRPr="00A93F15" w:rsidRDefault="00275C5A" w:rsidP="006C77AE">
      <w:pPr>
        <w:widowControl/>
        <w:rPr>
          <w:szCs w:val="22"/>
        </w:rPr>
      </w:pPr>
    </w:p>
    <w:p w:rsidR="00275C5A" w:rsidRPr="00A93F15" w:rsidRDefault="005513C1" w:rsidP="006C77AE">
      <w:pPr>
        <w:pStyle w:val="ListParagraph"/>
        <w:widowControl/>
        <w:numPr>
          <w:ilvl w:val="1"/>
          <w:numId w:val="5"/>
        </w:numPr>
        <w:rPr>
          <w:szCs w:val="22"/>
        </w:rPr>
      </w:pPr>
      <w:r w:rsidRPr="00A93F15">
        <w:t>Key drivers of the model are provided in the table below.</w:t>
      </w:r>
    </w:p>
    <w:p w:rsidR="00275C5A" w:rsidRPr="00A93F15" w:rsidRDefault="00275C5A" w:rsidP="006C77AE">
      <w:pPr>
        <w:widowControl/>
        <w:rPr>
          <w:szCs w:val="22"/>
        </w:rPr>
      </w:pPr>
    </w:p>
    <w:p w:rsidR="00D110BD" w:rsidRPr="00A93F15" w:rsidRDefault="00D110BD" w:rsidP="006C77AE">
      <w:pPr>
        <w:keepNext/>
        <w:widowControl/>
        <w:ind w:firstLine="720"/>
        <w:rPr>
          <w:rStyle w:val="CommentReference"/>
        </w:rPr>
      </w:pPr>
      <w:r w:rsidRPr="00A93F15">
        <w:rPr>
          <w:rStyle w:val="CommentReference"/>
        </w:rPr>
        <w:t xml:space="preserve">Table </w:t>
      </w:r>
      <w:r w:rsidR="005513C1" w:rsidRPr="00A93F15">
        <w:rPr>
          <w:rStyle w:val="CommentReference"/>
        </w:rPr>
        <w:t>9</w:t>
      </w:r>
      <w:r w:rsidRPr="00A93F15">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0"/>
        <w:gridCol w:w="5284"/>
        <w:gridCol w:w="1951"/>
      </w:tblGrid>
      <w:tr w:rsidR="00C42FAE" w:rsidRPr="00A93F15" w:rsidTr="00073F46">
        <w:trPr>
          <w:tblHeader/>
        </w:trPr>
        <w:tc>
          <w:tcPr>
            <w:tcW w:w="665" w:type="pct"/>
            <w:shd w:val="clear" w:color="auto" w:fill="auto"/>
            <w:vAlign w:val="center"/>
          </w:tcPr>
          <w:p w:rsidR="00D110BD" w:rsidRPr="00A93F15" w:rsidRDefault="00D110BD" w:rsidP="006C77AE">
            <w:pPr>
              <w:keepNext/>
              <w:widowControl/>
              <w:jc w:val="left"/>
              <w:rPr>
                <w:rFonts w:ascii="Arial Narrow" w:hAnsi="Arial Narrow"/>
                <w:b/>
                <w:sz w:val="20"/>
              </w:rPr>
            </w:pPr>
            <w:r w:rsidRPr="00A93F15">
              <w:rPr>
                <w:rFonts w:ascii="Arial Narrow" w:hAnsi="Arial Narrow"/>
                <w:b/>
                <w:sz w:val="20"/>
              </w:rPr>
              <w:t>Description</w:t>
            </w:r>
          </w:p>
        </w:tc>
        <w:tc>
          <w:tcPr>
            <w:tcW w:w="3166" w:type="pct"/>
            <w:shd w:val="clear" w:color="auto" w:fill="auto"/>
            <w:vAlign w:val="center"/>
          </w:tcPr>
          <w:p w:rsidR="00D110BD" w:rsidRPr="00A93F15" w:rsidRDefault="00D110BD" w:rsidP="006C77AE">
            <w:pPr>
              <w:keepNext/>
              <w:widowControl/>
              <w:jc w:val="center"/>
              <w:rPr>
                <w:rFonts w:ascii="Arial Narrow" w:hAnsi="Arial Narrow"/>
                <w:b/>
                <w:sz w:val="20"/>
              </w:rPr>
            </w:pPr>
            <w:r w:rsidRPr="00A93F15">
              <w:rPr>
                <w:rFonts w:ascii="Arial Narrow" w:hAnsi="Arial Narrow"/>
                <w:b/>
                <w:sz w:val="20"/>
              </w:rPr>
              <w:t>Method/Value</w:t>
            </w:r>
          </w:p>
        </w:tc>
        <w:tc>
          <w:tcPr>
            <w:tcW w:w="1169" w:type="pct"/>
            <w:shd w:val="clear" w:color="auto" w:fill="auto"/>
            <w:vAlign w:val="center"/>
          </w:tcPr>
          <w:p w:rsidR="00D110BD" w:rsidRPr="00A93F15" w:rsidRDefault="00D110BD" w:rsidP="006C77AE">
            <w:pPr>
              <w:keepNext/>
              <w:widowControl/>
              <w:jc w:val="center"/>
              <w:rPr>
                <w:rFonts w:ascii="Arial Narrow" w:hAnsi="Arial Narrow"/>
                <w:b/>
                <w:sz w:val="20"/>
              </w:rPr>
            </w:pPr>
            <w:r w:rsidRPr="00A93F15">
              <w:rPr>
                <w:rFonts w:ascii="Arial Narrow" w:hAnsi="Arial Narrow"/>
                <w:b/>
                <w:sz w:val="20"/>
              </w:rPr>
              <w:t>Impact</w:t>
            </w:r>
          </w:p>
        </w:tc>
      </w:tr>
      <w:tr w:rsidR="00C42FAE" w:rsidRPr="00A93F15" w:rsidTr="00367B7C">
        <w:tc>
          <w:tcPr>
            <w:tcW w:w="665" w:type="pct"/>
            <w:shd w:val="clear" w:color="auto" w:fill="auto"/>
            <w:vAlign w:val="center"/>
          </w:tcPr>
          <w:p w:rsidR="009D00DB" w:rsidRPr="00A93F15" w:rsidRDefault="009D00DB" w:rsidP="006C77AE">
            <w:pPr>
              <w:keepNext/>
              <w:widowControl/>
              <w:jc w:val="left"/>
              <w:rPr>
                <w:rFonts w:ascii="Arial Narrow" w:hAnsi="Arial Narrow"/>
                <w:sz w:val="20"/>
              </w:rPr>
            </w:pPr>
            <w:r w:rsidRPr="00A93F15">
              <w:rPr>
                <w:rFonts w:ascii="Arial Narrow" w:hAnsi="Arial Narrow"/>
                <w:sz w:val="20"/>
              </w:rPr>
              <w:t>Time point for analysis of response</w:t>
            </w:r>
          </w:p>
        </w:tc>
        <w:tc>
          <w:tcPr>
            <w:tcW w:w="3166" w:type="pct"/>
            <w:shd w:val="clear" w:color="auto" w:fill="auto"/>
            <w:vAlign w:val="center"/>
          </w:tcPr>
          <w:p w:rsidR="009D00DB" w:rsidRPr="00A93F15" w:rsidRDefault="009D00DB" w:rsidP="006C77AE">
            <w:pPr>
              <w:keepNext/>
              <w:widowControl/>
              <w:jc w:val="left"/>
              <w:rPr>
                <w:rFonts w:ascii="Arial Narrow" w:hAnsi="Arial Narrow"/>
                <w:sz w:val="20"/>
              </w:rPr>
            </w:pPr>
            <w:r w:rsidRPr="00A93F15">
              <w:rPr>
                <w:rFonts w:ascii="Arial Narrow" w:hAnsi="Arial Narrow"/>
                <w:sz w:val="20"/>
              </w:rPr>
              <w:t>The model use</w:t>
            </w:r>
            <w:r w:rsidR="00430FE3" w:rsidRPr="00A93F15">
              <w:rPr>
                <w:rFonts w:ascii="Arial Narrow" w:hAnsi="Arial Narrow"/>
                <w:sz w:val="20"/>
              </w:rPr>
              <w:t>d</w:t>
            </w:r>
            <w:r w:rsidRPr="00A93F15">
              <w:rPr>
                <w:rFonts w:ascii="Arial Narrow" w:hAnsi="Arial Narrow"/>
                <w:sz w:val="20"/>
              </w:rPr>
              <w:t xml:space="preserve"> Week 4 response rates for the foam spray and the gel rather than Week 4 for the foam spray and Week 8* for the gel, which was the primary endpoint in the trial</w:t>
            </w:r>
          </w:p>
        </w:tc>
        <w:tc>
          <w:tcPr>
            <w:tcW w:w="1169" w:type="pct"/>
            <w:shd w:val="clear" w:color="auto" w:fill="auto"/>
            <w:vAlign w:val="center"/>
          </w:tcPr>
          <w:p w:rsidR="009D00DB" w:rsidRPr="00A93F15" w:rsidRDefault="009D00DB" w:rsidP="006C77AE">
            <w:pPr>
              <w:keepNext/>
              <w:widowControl/>
              <w:jc w:val="center"/>
              <w:rPr>
                <w:rFonts w:ascii="Arial Narrow" w:hAnsi="Arial Narrow"/>
                <w:sz w:val="20"/>
              </w:rPr>
            </w:pPr>
            <w:r w:rsidRPr="00A93F15">
              <w:rPr>
                <w:rFonts w:ascii="Arial Narrow" w:hAnsi="Arial Narrow"/>
                <w:sz w:val="20"/>
              </w:rPr>
              <w:t>High, favours Cal + Bet gel</w:t>
            </w:r>
          </w:p>
        </w:tc>
      </w:tr>
      <w:tr w:rsidR="00C42FAE" w:rsidRPr="00A93F15" w:rsidTr="00073F46">
        <w:trPr>
          <w:trHeight w:val="527"/>
        </w:trPr>
        <w:tc>
          <w:tcPr>
            <w:tcW w:w="665" w:type="pct"/>
            <w:shd w:val="clear" w:color="auto" w:fill="auto"/>
            <w:vAlign w:val="center"/>
          </w:tcPr>
          <w:p w:rsidR="00D110BD" w:rsidRPr="00A93F15" w:rsidRDefault="00983B39" w:rsidP="006C77AE">
            <w:pPr>
              <w:keepNext/>
              <w:widowControl/>
              <w:jc w:val="left"/>
              <w:rPr>
                <w:rFonts w:ascii="Arial Narrow" w:hAnsi="Arial Narrow"/>
                <w:sz w:val="20"/>
              </w:rPr>
            </w:pPr>
            <w:r w:rsidRPr="00A93F15">
              <w:rPr>
                <w:rFonts w:ascii="Arial Narrow" w:hAnsi="Arial Narrow"/>
                <w:sz w:val="20"/>
              </w:rPr>
              <w:t xml:space="preserve">Utilities </w:t>
            </w:r>
          </w:p>
        </w:tc>
        <w:tc>
          <w:tcPr>
            <w:tcW w:w="3166" w:type="pct"/>
            <w:shd w:val="clear" w:color="auto" w:fill="auto"/>
            <w:vAlign w:val="center"/>
          </w:tcPr>
          <w:p w:rsidR="00D110BD" w:rsidRPr="00A93F15" w:rsidRDefault="008210A5" w:rsidP="006C77AE">
            <w:pPr>
              <w:keepNext/>
              <w:widowControl/>
              <w:jc w:val="left"/>
              <w:rPr>
                <w:rFonts w:ascii="Arial Narrow" w:hAnsi="Arial Narrow"/>
                <w:sz w:val="20"/>
              </w:rPr>
            </w:pPr>
            <w:r w:rsidRPr="00A93F15">
              <w:rPr>
                <w:rFonts w:ascii="Arial Narrow" w:hAnsi="Arial Narrow"/>
                <w:sz w:val="20"/>
              </w:rPr>
              <w:t>The model applie</w:t>
            </w:r>
            <w:r w:rsidR="00430FE3" w:rsidRPr="00A93F15">
              <w:rPr>
                <w:rFonts w:ascii="Arial Narrow" w:hAnsi="Arial Narrow"/>
                <w:sz w:val="20"/>
              </w:rPr>
              <w:t>d</w:t>
            </w:r>
            <w:r w:rsidRPr="00A93F15">
              <w:rPr>
                <w:rFonts w:ascii="Arial Narrow" w:hAnsi="Arial Narrow"/>
                <w:sz w:val="20"/>
              </w:rPr>
              <w:t xml:space="preserve"> the baseline utility index score of 0.80 to responders and non-responders, resulting in a mean change in utilities of 0.10 for responders and 0.03 for non-responders</w:t>
            </w:r>
            <w:r w:rsidR="00582E1B">
              <w:rPr>
                <w:rFonts w:ascii="Arial Narrow" w:hAnsi="Arial Narrow"/>
                <w:sz w:val="20"/>
              </w:rPr>
              <w:t xml:space="preserve">. </w:t>
            </w:r>
            <w:r w:rsidRPr="00A93F15">
              <w:rPr>
                <w:rFonts w:ascii="Arial Narrow" w:hAnsi="Arial Narrow"/>
                <w:sz w:val="20"/>
              </w:rPr>
              <w:t xml:space="preserve">Based on the higher baseline utility index score of 0.81 for non-responders in the trial, the mean change in utility index score for non-responders </w:t>
            </w:r>
            <w:r w:rsidR="00430FE3" w:rsidRPr="00A93F15">
              <w:rPr>
                <w:rFonts w:ascii="Arial Narrow" w:hAnsi="Arial Narrow"/>
                <w:sz w:val="20"/>
              </w:rPr>
              <w:t>wa</w:t>
            </w:r>
            <w:r w:rsidRPr="00A93F15">
              <w:rPr>
                <w:rFonts w:ascii="Arial Narrow" w:hAnsi="Arial Narrow"/>
                <w:sz w:val="20"/>
              </w:rPr>
              <w:t>s 0.02</w:t>
            </w:r>
          </w:p>
        </w:tc>
        <w:tc>
          <w:tcPr>
            <w:tcW w:w="1169" w:type="pct"/>
            <w:shd w:val="clear" w:color="auto" w:fill="auto"/>
            <w:vAlign w:val="center"/>
          </w:tcPr>
          <w:p w:rsidR="00983B39" w:rsidRPr="00A93F15" w:rsidRDefault="00983B39" w:rsidP="006C77AE">
            <w:pPr>
              <w:keepNext/>
              <w:widowControl/>
              <w:jc w:val="center"/>
              <w:rPr>
                <w:rFonts w:ascii="Arial Narrow" w:hAnsi="Arial Narrow"/>
                <w:sz w:val="20"/>
              </w:rPr>
            </w:pPr>
          </w:p>
          <w:p w:rsidR="00D110BD" w:rsidRPr="00A93F15" w:rsidRDefault="00983B39" w:rsidP="006C77AE">
            <w:pPr>
              <w:keepNext/>
              <w:widowControl/>
              <w:jc w:val="center"/>
              <w:rPr>
                <w:rFonts w:ascii="Arial Narrow" w:hAnsi="Arial Narrow"/>
                <w:sz w:val="20"/>
              </w:rPr>
            </w:pPr>
            <w:r w:rsidRPr="00A93F15">
              <w:rPr>
                <w:rFonts w:ascii="Arial Narrow" w:hAnsi="Arial Narrow"/>
                <w:sz w:val="20"/>
              </w:rPr>
              <w:t>Moderate</w:t>
            </w:r>
            <w:r w:rsidR="00D110BD" w:rsidRPr="00A93F15">
              <w:rPr>
                <w:rFonts w:ascii="Arial Narrow" w:hAnsi="Arial Narrow"/>
                <w:sz w:val="20"/>
              </w:rPr>
              <w:t xml:space="preserve">, favours </w:t>
            </w:r>
            <w:r w:rsidRPr="00A93F15">
              <w:rPr>
                <w:rFonts w:ascii="Arial Narrow" w:hAnsi="Arial Narrow"/>
                <w:sz w:val="20"/>
              </w:rPr>
              <w:t>Calc + Bet gel</w:t>
            </w:r>
          </w:p>
        </w:tc>
      </w:tr>
      <w:tr w:rsidR="00C42FAE" w:rsidRPr="00A93F15" w:rsidTr="00367B7C">
        <w:trPr>
          <w:trHeight w:val="527"/>
        </w:trPr>
        <w:tc>
          <w:tcPr>
            <w:tcW w:w="665" w:type="pct"/>
            <w:shd w:val="clear" w:color="auto" w:fill="auto"/>
            <w:vAlign w:val="center"/>
          </w:tcPr>
          <w:p w:rsidR="009D00DB" w:rsidRPr="00A93F15" w:rsidRDefault="009D00DB" w:rsidP="006C77AE">
            <w:pPr>
              <w:keepNext/>
              <w:widowControl/>
              <w:jc w:val="left"/>
              <w:rPr>
                <w:rFonts w:ascii="Arial Narrow" w:hAnsi="Arial Narrow"/>
                <w:sz w:val="20"/>
              </w:rPr>
            </w:pPr>
            <w:r w:rsidRPr="00A93F15">
              <w:rPr>
                <w:rFonts w:ascii="Arial Narrow" w:hAnsi="Arial Narrow"/>
                <w:sz w:val="20"/>
              </w:rPr>
              <w:t>Response rate</w:t>
            </w:r>
          </w:p>
        </w:tc>
        <w:tc>
          <w:tcPr>
            <w:tcW w:w="3166" w:type="pct"/>
            <w:shd w:val="clear" w:color="auto" w:fill="auto"/>
            <w:vAlign w:val="center"/>
          </w:tcPr>
          <w:p w:rsidR="009D00DB" w:rsidRPr="00A93F15" w:rsidRDefault="009D00DB" w:rsidP="006C77AE">
            <w:pPr>
              <w:keepNext/>
              <w:widowControl/>
              <w:jc w:val="left"/>
              <w:rPr>
                <w:rFonts w:ascii="Arial Narrow" w:hAnsi="Arial Narrow"/>
                <w:sz w:val="20"/>
              </w:rPr>
            </w:pPr>
            <w:r w:rsidRPr="00A93F15">
              <w:rPr>
                <w:rFonts w:ascii="Arial Narrow" w:hAnsi="Arial Narrow"/>
                <w:sz w:val="20"/>
              </w:rPr>
              <w:t>The higher response rate with the foam spray compared to the gel results in delayed movement into the post-topical state</w:t>
            </w:r>
            <w:r w:rsidR="00582E1B">
              <w:rPr>
                <w:rFonts w:ascii="Arial Narrow" w:hAnsi="Arial Narrow"/>
                <w:sz w:val="20"/>
              </w:rPr>
              <w:t xml:space="preserve">. </w:t>
            </w:r>
            <w:r w:rsidRPr="00A93F15">
              <w:rPr>
                <w:rFonts w:ascii="Arial Narrow" w:hAnsi="Arial Narrow"/>
                <w:sz w:val="20"/>
              </w:rPr>
              <w:t>While the model us</w:t>
            </w:r>
            <w:r w:rsidR="00430FE3" w:rsidRPr="00A93F15">
              <w:rPr>
                <w:rFonts w:ascii="Arial Narrow" w:hAnsi="Arial Narrow"/>
                <w:sz w:val="20"/>
              </w:rPr>
              <w:t xml:space="preserve">ed </w:t>
            </w:r>
            <w:r w:rsidRPr="00A93F15">
              <w:rPr>
                <w:rFonts w:ascii="Arial Narrow" w:hAnsi="Arial Narrow"/>
                <w:sz w:val="20"/>
              </w:rPr>
              <w:t xml:space="preserve">results based on the modified PASI75 score, results based on IGA result in a higher incremental cost/QALY </w:t>
            </w:r>
          </w:p>
        </w:tc>
        <w:tc>
          <w:tcPr>
            <w:tcW w:w="1169" w:type="pct"/>
            <w:shd w:val="clear" w:color="auto" w:fill="auto"/>
            <w:vAlign w:val="center"/>
          </w:tcPr>
          <w:p w:rsidR="009D00DB" w:rsidRPr="00A93F15" w:rsidRDefault="009D00DB" w:rsidP="006C77AE">
            <w:pPr>
              <w:keepNext/>
              <w:widowControl/>
              <w:jc w:val="center"/>
              <w:rPr>
                <w:rFonts w:ascii="Arial Narrow" w:hAnsi="Arial Narrow"/>
                <w:sz w:val="20"/>
              </w:rPr>
            </w:pPr>
            <w:r w:rsidRPr="00A93F15">
              <w:rPr>
                <w:rFonts w:ascii="Arial Narrow" w:hAnsi="Arial Narrow"/>
                <w:sz w:val="20"/>
              </w:rPr>
              <w:t>Low, favours Calc + Bet foam spray</w:t>
            </w:r>
          </w:p>
        </w:tc>
      </w:tr>
    </w:tbl>
    <w:p w:rsidR="003973A7" w:rsidRPr="00A93F15" w:rsidRDefault="003973A7" w:rsidP="006C77AE">
      <w:pPr>
        <w:pStyle w:val="TableFooter"/>
        <w:widowControl/>
        <w:ind w:left="720"/>
      </w:pPr>
      <w:r w:rsidRPr="00A93F15">
        <w:t>*The recommended treatment duration for calcipotriol plus betamethasone gel is 4 weeks for scalp psoriasis and up to 8 weeks for body psoriasis</w:t>
      </w:r>
    </w:p>
    <w:p w:rsidR="00983B39" w:rsidRPr="00A93F15" w:rsidRDefault="00983B39" w:rsidP="006C77AE">
      <w:pPr>
        <w:pStyle w:val="TableFooter"/>
        <w:widowControl/>
        <w:ind w:left="720"/>
      </w:pPr>
      <w:r w:rsidRPr="00A93F15">
        <w:t>Calc + Bet</w:t>
      </w:r>
      <w:r w:rsidR="00477FD1" w:rsidRPr="00A93F15">
        <w:t xml:space="preserve"> </w:t>
      </w:r>
      <w:r w:rsidRPr="00A93F15">
        <w:t>=</w:t>
      </w:r>
      <w:r w:rsidR="00477FD1" w:rsidRPr="00A93F15">
        <w:t xml:space="preserve"> </w:t>
      </w:r>
      <w:r w:rsidRPr="00A93F15">
        <w:t>calcipotriol plus betamethasone</w:t>
      </w:r>
      <w:r w:rsidR="009D00DB" w:rsidRPr="00A93F15">
        <w:t xml:space="preserve">; </w:t>
      </w:r>
      <w:r w:rsidR="0027490F" w:rsidRPr="00A93F15">
        <w:t>PASI75</w:t>
      </w:r>
      <w:r w:rsidR="00477FD1" w:rsidRPr="00A93F15">
        <w:t xml:space="preserve"> </w:t>
      </w:r>
      <w:r w:rsidR="0027490F" w:rsidRPr="00A93F15">
        <w:t xml:space="preserve">= Proportion of patients achieving at least a 75% reduction in the modified-Psoriasis Area and Severity Index from baseline; </w:t>
      </w:r>
      <w:r w:rsidR="009D00DB" w:rsidRPr="00A93F15">
        <w:t>IGA</w:t>
      </w:r>
      <w:r w:rsidR="00477FD1" w:rsidRPr="00A93F15">
        <w:t xml:space="preserve"> </w:t>
      </w:r>
      <w:r w:rsidR="009D00DB" w:rsidRPr="00A93F15">
        <w:t>=</w:t>
      </w:r>
      <w:r w:rsidR="00477FD1" w:rsidRPr="00A93F15">
        <w:t xml:space="preserve"> </w:t>
      </w:r>
      <w:r w:rsidR="009D00DB" w:rsidRPr="00A93F15">
        <w:t>Investigator’s Global Assessment of disease severity</w:t>
      </w:r>
    </w:p>
    <w:p w:rsidR="00D110BD" w:rsidRPr="00A93F15" w:rsidRDefault="00D110BD" w:rsidP="006C77AE">
      <w:pPr>
        <w:pStyle w:val="TableFooter"/>
        <w:widowControl/>
        <w:ind w:firstLine="720"/>
      </w:pPr>
      <w:r w:rsidRPr="00A93F15">
        <w:t>Source: compiled during the evaluation</w:t>
      </w:r>
    </w:p>
    <w:p w:rsidR="00D110BD" w:rsidRPr="00A93F15" w:rsidRDefault="00D110BD" w:rsidP="006C77AE">
      <w:pPr>
        <w:widowControl/>
        <w:rPr>
          <w:szCs w:val="22"/>
        </w:rPr>
      </w:pPr>
    </w:p>
    <w:p w:rsidR="00275C5A" w:rsidRPr="00A93F15" w:rsidRDefault="00C252DF" w:rsidP="006C77AE">
      <w:pPr>
        <w:pStyle w:val="ListParagraph"/>
        <w:widowControl/>
        <w:numPr>
          <w:ilvl w:val="1"/>
          <w:numId w:val="5"/>
        </w:numPr>
        <w:rPr>
          <w:szCs w:val="22"/>
        </w:rPr>
      </w:pPr>
      <w:r w:rsidRPr="00A93F15">
        <w:t xml:space="preserve">The results of the cost-utility analysis </w:t>
      </w:r>
      <w:r w:rsidR="000A3DBF" w:rsidRPr="00A93F15">
        <w:t>are presented in Table 10 below</w:t>
      </w:r>
      <w:r w:rsidR="00582E1B">
        <w:t xml:space="preserve">. </w:t>
      </w:r>
    </w:p>
    <w:p w:rsidR="00D110BD" w:rsidRPr="00A93F15" w:rsidRDefault="00D110BD" w:rsidP="006C77AE">
      <w:pPr>
        <w:widowControl/>
        <w:rPr>
          <w:szCs w:val="22"/>
        </w:rPr>
      </w:pPr>
    </w:p>
    <w:p w:rsidR="00D110BD" w:rsidRPr="00A93F15" w:rsidRDefault="00D110BD" w:rsidP="006C77AE">
      <w:pPr>
        <w:keepNext/>
        <w:widowControl/>
        <w:ind w:firstLine="720"/>
        <w:rPr>
          <w:rStyle w:val="CommentReference"/>
        </w:rPr>
      </w:pPr>
      <w:r w:rsidRPr="00A93F15">
        <w:rPr>
          <w:rStyle w:val="CommentReference"/>
        </w:rPr>
        <w:lastRenderedPageBreak/>
        <w:t xml:space="preserve">Table </w:t>
      </w:r>
      <w:r w:rsidR="00514709" w:rsidRPr="00A93F15">
        <w:rPr>
          <w:rStyle w:val="CommentReference"/>
        </w:rPr>
        <w:t>10</w:t>
      </w:r>
      <w:r w:rsidRPr="00A93F15">
        <w:rPr>
          <w:rStyle w:val="CommentReference"/>
        </w:rPr>
        <w:t>: Results of the economic evaluation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1"/>
        <w:gridCol w:w="2380"/>
        <w:gridCol w:w="2380"/>
        <w:gridCol w:w="2053"/>
      </w:tblGrid>
      <w:tr w:rsidR="00C42FAE" w:rsidRPr="00A93F15" w:rsidTr="00D25D18">
        <w:tc>
          <w:tcPr>
            <w:tcW w:w="932" w:type="pct"/>
          </w:tcPr>
          <w:p w:rsidR="00D25D18" w:rsidRPr="00A93F15" w:rsidRDefault="00D25D18" w:rsidP="006C77AE">
            <w:pPr>
              <w:keepNext/>
              <w:widowControl/>
              <w:rPr>
                <w:rFonts w:ascii="Arial Narrow" w:hAnsi="Arial Narrow"/>
                <w:b/>
                <w:sz w:val="20"/>
              </w:rPr>
            </w:pPr>
            <w:r w:rsidRPr="00A93F15">
              <w:rPr>
                <w:rFonts w:ascii="Arial Narrow" w:hAnsi="Arial Narrow"/>
                <w:b/>
                <w:sz w:val="20"/>
              </w:rPr>
              <w:t>Component</w:t>
            </w:r>
          </w:p>
        </w:tc>
        <w:tc>
          <w:tcPr>
            <w:tcW w:w="1421" w:type="pct"/>
          </w:tcPr>
          <w:p w:rsidR="00D25D18" w:rsidRPr="00A93F15" w:rsidRDefault="00D25D18" w:rsidP="006C77AE">
            <w:pPr>
              <w:keepNext/>
              <w:widowControl/>
              <w:jc w:val="center"/>
              <w:rPr>
                <w:rFonts w:ascii="Arial Narrow" w:hAnsi="Arial Narrow"/>
                <w:b/>
                <w:sz w:val="20"/>
              </w:rPr>
            </w:pPr>
            <w:r w:rsidRPr="00A93F15">
              <w:rPr>
                <w:rFonts w:ascii="Arial Narrow" w:hAnsi="Arial Narrow"/>
                <w:b/>
                <w:sz w:val="20"/>
              </w:rPr>
              <w:t>Calcipotriol plus betamethasone foam spray</w:t>
            </w:r>
          </w:p>
        </w:tc>
        <w:tc>
          <w:tcPr>
            <w:tcW w:w="1421" w:type="pct"/>
          </w:tcPr>
          <w:p w:rsidR="00D25D18" w:rsidRPr="00A93F15" w:rsidRDefault="00D25D18" w:rsidP="006C77AE">
            <w:pPr>
              <w:keepNext/>
              <w:widowControl/>
              <w:jc w:val="center"/>
              <w:rPr>
                <w:rFonts w:ascii="Arial Narrow" w:hAnsi="Arial Narrow"/>
                <w:b/>
                <w:sz w:val="20"/>
              </w:rPr>
            </w:pPr>
            <w:r w:rsidRPr="00A93F15">
              <w:rPr>
                <w:rFonts w:ascii="Arial Narrow" w:hAnsi="Arial Narrow"/>
                <w:b/>
                <w:sz w:val="20"/>
              </w:rPr>
              <w:t>Calcipotriol plus betamethasone gel</w:t>
            </w:r>
          </w:p>
        </w:tc>
        <w:tc>
          <w:tcPr>
            <w:tcW w:w="1227" w:type="pct"/>
          </w:tcPr>
          <w:p w:rsidR="00D25D18" w:rsidRPr="00A93F15" w:rsidRDefault="00D25D18" w:rsidP="006C77AE">
            <w:pPr>
              <w:keepNext/>
              <w:widowControl/>
              <w:jc w:val="center"/>
              <w:rPr>
                <w:rFonts w:ascii="Arial Narrow" w:hAnsi="Arial Narrow"/>
                <w:b/>
                <w:sz w:val="20"/>
              </w:rPr>
            </w:pPr>
            <w:r w:rsidRPr="00A93F15">
              <w:rPr>
                <w:rFonts w:ascii="Arial Narrow" w:hAnsi="Arial Narrow"/>
                <w:b/>
                <w:sz w:val="20"/>
              </w:rPr>
              <w:t>Increment</w:t>
            </w:r>
          </w:p>
        </w:tc>
      </w:tr>
      <w:tr w:rsidR="00C42FAE" w:rsidRPr="00A93F15" w:rsidTr="00D25D18">
        <w:tc>
          <w:tcPr>
            <w:tcW w:w="932" w:type="pct"/>
          </w:tcPr>
          <w:p w:rsidR="00D25D18" w:rsidRPr="00A93F15" w:rsidRDefault="00D25D18" w:rsidP="006C77AE">
            <w:pPr>
              <w:keepNext/>
              <w:widowControl/>
              <w:rPr>
                <w:rFonts w:ascii="Arial Narrow" w:hAnsi="Arial Narrow"/>
                <w:sz w:val="20"/>
              </w:rPr>
            </w:pPr>
            <w:r w:rsidRPr="00A93F15">
              <w:rPr>
                <w:rFonts w:ascii="Arial Narrow" w:hAnsi="Arial Narrow"/>
                <w:sz w:val="20"/>
              </w:rPr>
              <w:t>Costs</w:t>
            </w:r>
          </w:p>
        </w:tc>
        <w:tc>
          <w:tcPr>
            <w:tcW w:w="1421" w:type="pct"/>
            <w:tcBorders>
              <w:top w:val="single" w:sz="4" w:space="0" w:color="auto"/>
              <w:left w:val="single" w:sz="4" w:space="0" w:color="auto"/>
              <w:bottom w:val="single" w:sz="4" w:space="0" w:color="auto"/>
              <w:right w:val="single" w:sz="4" w:space="0" w:color="auto"/>
            </w:tcBorders>
            <w:vAlign w:val="center"/>
          </w:tcPr>
          <w:p w:rsidR="00D25D18" w:rsidRPr="00A93F15" w:rsidRDefault="00D25D18" w:rsidP="006C77AE">
            <w:pPr>
              <w:keepNext/>
              <w:widowControl/>
              <w:jc w:val="center"/>
              <w:rPr>
                <w:rFonts w:ascii="Arial Narrow" w:hAnsi="Arial Narrow"/>
                <w:sz w:val="20"/>
              </w:rPr>
            </w:pPr>
            <w:r w:rsidRPr="00A93F15">
              <w:rPr>
                <w:rFonts w:ascii="Arial Narrow" w:hAnsi="Arial Narrow" w:cs="Times New Roman"/>
                <w:sz w:val="20"/>
              </w:rPr>
              <w:t>$</w:t>
            </w:r>
            <w:r w:rsidR="00801ABB">
              <w:rPr>
                <w:rFonts w:ascii="Arial Narrow" w:hAnsi="Arial Narrow" w:cs="Times New Roman"/>
                <w:noProof/>
                <w:color w:val="000000"/>
                <w:sz w:val="20"/>
                <w:highlight w:val="black"/>
              </w:rPr>
              <w:t>'''''''''''''''</w:t>
            </w:r>
          </w:p>
        </w:tc>
        <w:tc>
          <w:tcPr>
            <w:tcW w:w="1421" w:type="pct"/>
            <w:tcBorders>
              <w:top w:val="single" w:sz="4" w:space="0" w:color="auto"/>
              <w:left w:val="single" w:sz="4" w:space="0" w:color="auto"/>
              <w:bottom w:val="single" w:sz="4" w:space="0" w:color="auto"/>
              <w:right w:val="single" w:sz="4" w:space="0" w:color="auto"/>
            </w:tcBorders>
            <w:vAlign w:val="center"/>
          </w:tcPr>
          <w:p w:rsidR="00D25D18" w:rsidRPr="00A93F15" w:rsidRDefault="00D25D18" w:rsidP="006C77AE">
            <w:pPr>
              <w:keepNext/>
              <w:widowControl/>
              <w:jc w:val="center"/>
              <w:rPr>
                <w:rFonts w:ascii="Arial Narrow" w:hAnsi="Arial Narrow"/>
                <w:sz w:val="20"/>
              </w:rPr>
            </w:pPr>
            <w:r w:rsidRPr="00A93F15">
              <w:rPr>
                <w:rFonts w:ascii="Arial Narrow" w:hAnsi="Arial Narrow" w:cs="Times New Roman"/>
                <w:sz w:val="20"/>
              </w:rPr>
              <w:t>$</w:t>
            </w:r>
            <w:r w:rsidRPr="009C725D">
              <w:rPr>
                <w:rFonts w:ascii="Arial Narrow" w:hAnsi="Arial Narrow" w:cs="Times New Roman"/>
                <w:sz w:val="20"/>
              </w:rPr>
              <w:t>302.66</w:t>
            </w:r>
          </w:p>
        </w:tc>
        <w:tc>
          <w:tcPr>
            <w:tcW w:w="1227" w:type="pct"/>
          </w:tcPr>
          <w:p w:rsidR="00D25D18" w:rsidRPr="00A93F15" w:rsidRDefault="00D25D1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r>
      <w:tr w:rsidR="00C42FAE" w:rsidRPr="00A93F15" w:rsidTr="00D25D18">
        <w:tc>
          <w:tcPr>
            <w:tcW w:w="932" w:type="pct"/>
          </w:tcPr>
          <w:p w:rsidR="00D25D18" w:rsidRPr="00A93F15" w:rsidRDefault="00D25D18" w:rsidP="006C77AE">
            <w:pPr>
              <w:keepNext/>
              <w:widowControl/>
              <w:rPr>
                <w:rFonts w:ascii="Arial Narrow" w:hAnsi="Arial Narrow"/>
                <w:sz w:val="20"/>
              </w:rPr>
            </w:pPr>
            <w:r w:rsidRPr="00A93F15">
              <w:rPr>
                <w:rFonts w:ascii="Arial Narrow" w:hAnsi="Arial Narrow"/>
                <w:sz w:val="20"/>
              </w:rPr>
              <w:t>QALY</w:t>
            </w:r>
          </w:p>
        </w:tc>
        <w:tc>
          <w:tcPr>
            <w:tcW w:w="1421" w:type="pct"/>
            <w:tcBorders>
              <w:top w:val="single" w:sz="4" w:space="0" w:color="auto"/>
              <w:left w:val="single" w:sz="4" w:space="0" w:color="auto"/>
              <w:bottom w:val="single" w:sz="4" w:space="0" w:color="auto"/>
              <w:right w:val="single" w:sz="4" w:space="0" w:color="auto"/>
            </w:tcBorders>
            <w:vAlign w:val="center"/>
          </w:tcPr>
          <w:p w:rsidR="00D25D18" w:rsidRPr="00A93F15" w:rsidRDefault="00D25D18" w:rsidP="006C77AE">
            <w:pPr>
              <w:keepNext/>
              <w:widowControl/>
              <w:jc w:val="center"/>
              <w:rPr>
                <w:rFonts w:ascii="Arial Narrow" w:hAnsi="Arial Narrow"/>
                <w:sz w:val="20"/>
              </w:rPr>
            </w:pPr>
            <w:r w:rsidRPr="00A93F15">
              <w:rPr>
                <w:rFonts w:ascii="Arial Narrow" w:hAnsi="Arial Narrow"/>
                <w:sz w:val="20"/>
              </w:rPr>
              <w:t>0.8403</w:t>
            </w:r>
          </w:p>
        </w:tc>
        <w:tc>
          <w:tcPr>
            <w:tcW w:w="1421" w:type="pct"/>
            <w:tcBorders>
              <w:top w:val="single" w:sz="4" w:space="0" w:color="auto"/>
              <w:left w:val="single" w:sz="4" w:space="0" w:color="auto"/>
              <w:bottom w:val="single" w:sz="4" w:space="0" w:color="auto"/>
              <w:right w:val="single" w:sz="4" w:space="0" w:color="auto"/>
            </w:tcBorders>
            <w:vAlign w:val="center"/>
          </w:tcPr>
          <w:p w:rsidR="00D25D18" w:rsidRPr="00A93F15" w:rsidRDefault="00D25D18" w:rsidP="006C77AE">
            <w:pPr>
              <w:keepNext/>
              <w:widowControl/>
              <w:jc w:val="center"/>
              <w:rPr>
                <w:rFonts w:ascii="Arial Narrow" w:hAnsi="Arial Narrow"/>
                <w:sz w:val="20"/>
              </w:rPr>
            </w:pPr>
            <w:r w:rsidRPr="00A93F15">
              <w:rPr>
                <w:rFonts w:ascii="Arial Narrow" w:hAnsi="Arial Narrow"/>
                <w:sz w:val="20"/>
              </w:rPr>
              <w:t>0.8337</w:t>
            </w:r>
          </w:p>
        </w:tc>
        <w:tc>
          <w:tcPr>
            <w:tcW w:w="1227" w:type="pct"/>
            <w:tcBorders>
              <w:top w:val="single" w:sz="4" w:space="0" w:color="auto"/>
              <w:left w:val="single" w:sz="4" w:space="0" w:color="auto"/>
              <w:bottom w:val="single" w:sz="4" w:space="0" w:color="auto"/>
              <w:right w:val="single" w:sz="4" w:space="0" w:color="auto"/>
            </w:tcBorders>
            <w:vAlign w:val="center"/>
          </w:tcPr>
          <w:p w:rsidR="00D25D18" w:rsidRPr="00A93F15" w:rsidRDefault="00D25D18" w:rsidP="006C77AE">
            <w:pPr>
              <w:keepNext/>
              <w:widowControl/>
              <w:jc w:val="center"/>
              <w:rPr>
                <w:rFonts w:ascii="Arial Narrow" w:hAnsi="Arial Narrow"/>
                <w:sz w:val="20"/>
              </w:rPr>
            </w:pPr>
            <w:r w:rsidRPr="00A93F15">
              <w:rPr>
                <w:rFonts w:ascii="Arial Narrow" w:hAnsi="Arial Narrow"/>
                <w:sz w:val="20"/>
              </w:rPr>
              <w:t>0.0067</w:t>
            </w:r>
          </w:p>
        </w:tc>
      </w:tr>
      <w:tr w:rsidR="00C42FAE" w:rsidRPr="00A93F15" w:rsidTr="00D25D18">
        <w:tc>
          <w:tcPr>
            <w:tcW w:w="3773" w:type="pct"/>
            <w:gridSpan w:val="3"/>
          </w:tcPr>
          <w:p w:rsidR="00D25D18" w:rsidRPr="00A93F15" w:rsidRDefault="00D25D18" w:rsidP="006C77AE">
            <w:pPr>
              <w:keepNext/>
              <w:widowControl/>
              <w:rPr>
                <w:rFonts w:ascii="Arial Narrow" w:hAnsi="Arial Narrow"/>
                <w:b/>
                <w:sz w:val="20"/>
              </w:rPr>
            </w:pPr>
            <w:r w:rsidRPr="00A93F15">
              <w:rPr>
                <w:rFonts w:ascii="Arial Narrow" w:hAnsi="Arial Narrow"/>
                <w:b/>
                <w:sz w:val="20"/>
              </w:rPr>
              <w:t>Incremental cost/QALY gained at 48-week time point</w:t>
            </w:r>
          </w:p>
        </w:tc>
        <w:tc>
          <w:tcPr>
            <w:tcW w:w="1227" w:type="pct"/>
          </w:tcPr>
          <w:p w:rsidR="00D25D18" w:rsidRPr="00A93F15" w:rsidRDefault="00D25D18" w:rsidP="006C77AE">
            <w:pPr>
              <w:keepNext/>
              <w:widowControl/>
              <w:jc w:val="center"/>
              <w:rPr>
                <w:rFonts w:ascii="Arial Narrow" w:hAnsi="Arial Narrow"/>
                <w:b/>
                <w:sz w:val="20"/>
              </w:rPr>
            </w:pPr>
            <w:r w:rsidRPr="00A93F15">
              <w:rPr>
                <w:rFonts w:ascii="Arial Narrow" w:hAnsi="Arial Narrow"/>
                <w:b/>
                <w:sz w:val="20"/>
              </w:rPr>
              <w:t>$</w:t>
            </w:r>
            <w:r w:rsidR="00801ABB">
              <w:rPr>
                <w:rFonts w:ascii="Arial Narrow" w:hAnsi="Arial Narrow"/>
                <w:b/>
                <w:noProof/>
                <w:color w:val="000000"/>
                <w:sz w:val="20"/>
                <w:highlight w:val="black"/>
              </w:rPr>
              <w:t>'''''''''''''</w:t>
            </w:r>
          </w:p>
        </w:tc>
      </w:tr>
      <w:tr w:rsidR="00C42FAE" w:rsidRPr="00A93F15" w:rsidTr="00D25D18">
        <w:tc>
          <w:tcPr>
            <w:tcW w:w="3773" w:type="pct"/>
            <w:gridSpan w:val="3"/>
          </w:tcPr>
          <w:p w:rsidR="00D25D18" w:rsidRPr="009C725D" w:rsidRDefault="00D25D18" w:rsidP="006C77AE">
            <w:pPr>
              <w:keepNext/>
              <w:widowControl/>
              <w:rPr>
                <w:rFonts w:ascii="Arial Narrow" w:hAnsi="Arial Narrow"/>
                <w:b/>
                <w:sz w:val="20"/>
              </w:rPr>
            </w:pPr>
            <w:r w:rsidRPr="009C725D">
              <w:rPr>
                <w:rFonts w:ascii="Arial Narrow" w:hAnsi="Arial Narrow"/>
                <w:b/>
                <w:sz w:val="20"/>
              </w:rPr>
              <w:t>Incremental cost/QALY gained at 52-week time point</w:t>
            </w:r>
          </w:p>
        </w:tc>
        <w:tc>
          <w:tcPr>
            <w:tcW w:w="1227" w:type="pct"/>
          </w:tcPr>
          <w:p w:rsidR="00D25D18" w:rsidRPr="009C725D" w:rsidRDefault="00D25D18" w:rsidP="006C77AE">
            <w:pPr>
              <w:keepNext/>
              <w:widowControl/>
              <w:jc w:val="center"/>
              <w:rPr>
                <w:rFonts w:ascii="Arial Narrow" w:hAnsi="Arial Narrow"/>
                <w:b/>
                <w:sz w:val="20"/>
              </w:rPr>
            </w:pPr>
            <w:r w:rsidRPr="009C725D">
              <w:rPr>
                <w:rFonts w:ascii="Arial Narrow" w:hAnsi="Arial Narrow"/>
                <w:b/>
                <w:sz w:val="20"/>
              </w:rPr>
              <w:t>$</w:t>
            </w:r>
            <w:r w:rsidR="00801ABB">
              <w:rPr>
                <w:rFonts w:ascii="Arial Narrow" w:hAnsi="Arial Narrow"/>
                <w:b/>
                <w:noProof/>
                <w:color w:val="000000"/>
                <w:sz w:val="20"/>
                <w:highlight w:val="black"/>
              </w:rPr>
              <w:t>'''''''''''''</w:t>
            </w:r>
          </w:p>
        </w:tc>
      </w:tr>
    </w:tbl>
    <w:p w:rsidR="00D25D18" w:rsidRPr="00A93F15" w:rsidRDefault="00D25D18" w:rsidP="006C77AE">
      <w:pPr>
        <w:pStyle w:val="TableFooter"/>
        <w:keepNext/>
        <w:widowControl/>
        <w:ind w:firstLine="720"/>
      </w:pPr>
      <w:r w:rsidRPr="00A93F15">
        <w:t>QALY = quality adjusted life year</w:t>
      </w:r>
    </w:p>
    <w:p w:rsidR="00D25D18" w:rsidRPr="00A93F15" w:rsidRDefault="00D25D18" w:rsidP="006C77AE">
      <w:pPr>
        <w:pStyle w:val="TableFooter"/>
        <w:widowControl/>
        <w:ind w:firstLine="720"/>
      </w:pPr>
      <w:r w:rsidRPr="00A93F15">
        <w:t>Source: Table 61, p108 of the submission</w:t>
      </w:r>
    </w:p>
    <w:p w:rsidR="00D25D18" w:rsidRPr="00A93F15" w:rsidRDefault="00D25D18" w:rsidP="006C77AE">
      <w:pPr>
        <w:pStyle w:val="TableFooter"/>
        <w:widowControl/>
        <w:ind w:firstLine="720"/>
      </w:pPr>
    </w:p>
    <w:p w:rsidR="006718B3" w:rsidRPr="00A93F15" w:rsidRDefault="006718B3" w:rsidP="006C77AE">
      <w:pPr>
        <w:pStyle w:val="ListParagraph"/>
        <w:widowControl/>
        <w:numPr>
          <w:ilvl w:val="1"/>
          <w:numId w:val="5"/>
        </w:numPr>
        <w:rPr>
          <w:szCs w:val="22"/>
        </w:rPr>
      </w:pPr>
      <w:r w:rsidRPr="00A93F15">
        <w:t xml:space="preserve">The submission calculated the incremental cost/QALY gained to be </w:t>
      </w:r>
      <w:r w:rsidR="009C725D">
        <w:t xml:space="preserve">less than $15,000/QALY </w:t>
      </w:r>
      <w:r w:rsidRPr="00A93F15">
        <w:t>based on only 48 weeks in the model rather than a full year</w:t>
      </w:r>
      <w:r w:rsidR="00582E1B">
        <w:t xml:space="preserve">. </w:t>
      </w:r>
      <w:r w:rsidRPr="00A93F15">
        <w:t xml:space="preserve">This difference in the outcome was minor, with a 52-week model reducing the incremental cost/QALY gained to </w:t>
      </w:r>
      <w:r w:rsidR="009C725D">
        <w:t>less than $15,000/QALY</w:t>
      </w:r>
      <w:r w:rsidRPr="00A93F15">
        <w:t>.</w:t>
      </w:r>
      <w:r w:rsidR="00E60347" w:rsidRPr="00A93F15">
        <w:rPr>
          <w:i/>
        </w:rPr>
        <w:t xml:space="preserve"> </w:t>
      </w:r>
      <w:r w:rsidR="00E60347" w:rsidRPr="00A93F15">
        <w:t xml:space="preserve">The ESC noted that the modelled costs for all presentations of calcipotriol plus </w:t>
      </w:r>
      <w:r w:rsidR="00751E34" w:rsidRPr="00A93F15">
        <w:t>betamethasone</w:t>
      </w:r>
      <w:r w:rsidR="00E60347" w:rsidRPr="00A93F15">
        <w:t xml:space="preserve"> included wastage, as mean drug use from the trials was rounded up to the nearest pack size.</w:t>
      </w:r>
    </w:p>
    <w:p w:rsidR="006718B3" w:rsidRPr="00A93F15" w:rsidRDefault="006718B3" w:rsidP="006C77AE">
      <w:pPr>
        <w:widowControl/>
        <w:rPr>
          <w:szCs w:val="22"/>
        </w:rPr>
      </w:pPr>
    </w:p>
    <w:p w:rsidR="00A35248" w:rsidRPr="00A93F15" w:rsidRDefault="00A35248" w:rsidP="006C77AE">
      <w:pPr>
        <w:pStyle w:val="ListParagraph"/>
        <w:widowControl/>
        <w:numPr>
          <w:ilvl w:val="1"/>
          <w:numId w:val="5"/>
        </w:numPr>
        <w:rPr>
          <w:szCs w:val="22"/>
        </w:rPr>
      </w:pPr>
      <w:r w:rsidRPr="00A93F15">
        <w:rPr>
          <w:szCs w:val="22"/>
        </w:rPr>
        <w:t xml:space="preserve">In clinical practice, patients are likely to be treated with calcipotriol plus betamethasone gel for longer </w:t>
      </w:r>
      <w:r w:rsidR="00B4682A" w:rsidRPr="00A93F15">
        <w:rPr>
          <w:szCs w:val="22"/>
        </w:rPr>
        <w:t xml:space="preserve">than the 4-week </w:t>
      </w:r>
      <w:r w:rsidRPr="00A93F15">
        <w:rPr>
          <w:szCs w:val="22"/>
        </w:rPr>
        <w:t xml:space="preserve">period of time </w:t>
      </w:r>
      <w:r w:rsidR="00B4682A" w:rsidRPr="00A93F15">
        <w:rPr>
          <w:szCs w:val="22"/>
        </w:rPr>
        <w:t>that was</w:t>
      </w:r>
      <w:r w:rsidRPr="00A93F15">
        <w:rPr>
          <w:szCs w:val="22"/>
        </w:rPr>
        <w:t xml:space="preserve"> modelled</w:t>
      </w:r>
      <w:r w:rsidR="00582E1B">
        <w:rPr>
          <w:szCs w:val="22"/>
        </w:rPr>
        <w:t xml:space="preserve">. </w:t>
      </w:r>
      <w:r w:rsidR="00277A5B" w:rsidRPr="00A93F15">
        <w:rPr>
          <w:szCs w:val="22"/>
        </w:rPr>
        <w:t>Should patients be treated with the gel for 8 weeks, the submission calculated that use of the foam spray would be cost saving.</w:t>
      </w:r>
      <w:r w:rsidR="009B7348" w:rsidRPr="00A93F15">
        <w:rPr>
          <w:szCs w:val="22"/>
        </w:rPr>
        <w:t xml:space="preserve"> </w:t>
      </w:r>
      <w:r w:rsidR="0027340E" w:rsidRPr="00A93F15">
        <w:rPr>
          <w:szCs w:val="22"/>
        </w:rPr>
        <w:t>The ESC noted that if patients respond</w:t>
      </w:r>
      <w:r w:rsidR="009B7348" w:rsidRPr="00A93F15">
        <w:rPr>
          <w:szCs w:val="22"/>
        </w:rPr>
        <w:t>ed</w:t>
      </w:r>
      <w:r w:rsidR="0027340E" w:rsidRPr="00A93F15">
        <w:rPr>
          <w:szCs w:val="22"/>
        </w:rPr>
        <w:t xml:space="preserve"> earlier to treatment</w:t>
      </w:r>
      <w:r w:rsidR="004B1ED5" w:rsidRPr="00A93F15">
        <w:rPr>
          <w:szCs w:val="22"/>
        </w:rPr>
        <w:t xml:space="preserve">, </w:t>
      </w:r>
      <w:r w:rsidR="00011A13" w:rsidRPr="00A93F15">
        <w:rPr>
          <w:szCs w:val="22"/>
        </w:rPr>
        <w:t>th</w:t>
      </w:r>
      <w:r w:rsidR="009B7348" w:rsidRPr="00A93F15">
        <w:rPr>
          <w:szCs w:val="22"/>
        </w:rPr>
        <w:t>at</w:t>
      </w:r>
      <w:r w:rsidR="00011A13" w:rsidRPr="00A93F15">
        <w:rPr>
          <w:szCs w:val="22"/>
        </w:rPr>
        <w:t xml:space="preserve"> continuation of use may cease prior to </w:t>
      </w:r>
      <w:r w:rsidR="009B7348" w:rsidRPr="00A93F15">
        <w:rPr>
          <w:szCs w:val="22"/>
        </w:rPr>
        <w:t>the standard</w:t>
      </w:r>
      <w:r w:rsidR="00011A13" w:rsidRPr="00A93F15">
        <w:rPr>
          <w:szCs w:val="22"/>
        </w:rPr>
        <w:t xml:space="preserve"> 4 week </w:t>
      </w:r>
      <w:r w:rsidR="009B7348" w:rsidRPr="00A93F15">
        <w:rPr>
          <w:szCs w:val="22"/>
        </w:rPr>
        <w:t xml:space="preserve">treatment </w:t>
      </w:r>
      <w:r w:rsidR="00011A13" w:rsidRPr="00A93F15">
        <w:rPr>
          <w:szCs w:val="22"/>
        </w:rPr>
        <w:t>period</w:t>
      </w:r>
      <w:r w:rsidR="004B1ED5" w:rsidRPr="00A93F15">
        <w:rPr>
          <w:szCs w:val="22"/>
        </w:rPr>
        <w:t xml:space="preserve">. </w:t>
      </w:r>
      <w:r w:rsidR="00984E4D" w:rsidRPr="00A93F15">
        <w:rPr>
          <w:szCs w:val="22"/>
        </w:rPr>
        <w:t xml:space="preserve">Outside </w:t>
      </w:r>
      <w:r w:rsidR="009B7348" w:rsidRPr="00A93F15">
        <w:rPr>
          <w:szCs w:val="22"/>
        </w:rPr>
        <w:t xml:space="preserve">of </w:t>
      </w:r>
      <w:r w:rsidR="00984E4D" w:rsidRPr="00A93F15">
        <w:rPr>
          <w:szCs w:val="22"/>
        </w:rPr>
        <w:t>a</w:t>
      </w:r>
      <w:r w:rsidR="009B7348" w:rsidRPr="00A93F15">
        <w:rPr>
          <w:szCs w:val="22"/>
        </w:rPr>
        <w:t xml:space="preserve"> clinical</w:t>
      </w:r>
      <w:r w:rsidR="00984E4D" w:rsidRPr="00A93F15">
        <w:rPr>
          <w:szCs w:val="22"/>
        </w:rPr>
        <w:t xml:space="preserve"> trial environment, patients </w:t>
      </w:r>
      <w:r w:rsidR="009B7348" w:rsidRPr="00A93F15">
        <w:rPr>
          <w:szCs w:val="22"/>
        </w:rPr>
        <w:t>may</w:t>
      </w:r>
      <w:r w:rsidR="00984E4D" w:rsidRPr="00A93F15">
        <w:rPr>
          <w:szCs w:val="22"/>
        </w:rPr>
        <w:t xml:space="preserve"> adjust their use according to response </w:t>
      </w:r>
      <w:r w:rsidR="009B7348" w:rsidRPr="00A93F15">
        <w:rPr>
          <w:szCs w:val="22"/>
        </w:rPr>
        <w:t xml:space="preserve">to treatment </w:t>
      </w:r>
      <w:r w:rsidR="003D1EDE" w:rsidRPr="00A93F15">
        <w:rPr>
          <w:szCs w:val="22"/>
        </w:rPr>
        <w:t>and frequency of flare ups.</w:t>
      </w:r>
      <w:r w:rsidR="00984E4D" w:rsidRPr="00A93F15">
        <w:rPr>
          <w:szCs w:val="22"/>
        </w:rPr>
        <w:t xml:space="preserve"> </w:t>
      </w:r>
      <w:r w:rsidR="0091600E" w:rsidRPr="00A93F15">
        <w:rPr>
          <w:szCs w:val="22"/>
        </w:rPr>
        <w:t>This could potentially reduce total volume used. The ESC also noted that over a 4-12 week time frame, early termination of treatment due to a response followed by a second episode or flare up may represent a cost savin</w:t>
      </w:r>
      <w:r w:rsidR="0021077A" w:rsidRPr="00A93F15">
        <w:rPr>
          <w:szCs w:val="22"/>
        </w:rPr>
        <w:t>g</w:t>
      </w:r>
      <w:r w:rsidR="0091600E" w:rsidRPr="00A93F15">
        <w:rPr>
          <w:szCs w:val="22"/>
        </w:rPr>
        <w:t xml:space="preserve">. </w:t>
      </w:r>
    </w:p>
    <w:p w:rsidR="00354823" w:rsidRPr="00A93F15" w:rsidRDefault="00354823" w:rsidP="006C77AE">
      <w:pPr>
        <w:widowControl/>
        <w:rPr>
          <w:szCs w:val="22"/>
        </w:rPr>
      </w:pPr>
    </w:p>
    <w:p w:rsidR="007F73AF" w:rsidRPr="00A93F15" w:rsidRDefault="00B25504" w:rsidP="006C77AE">
      <w:pPr>
        <w:pStyle w:val="ListParagraph"/>
        <w:widowControl/>
        <w:numPr>
          <w:ilvl w:val="1"/>
          <w:numId w:val="5"/>
        </w:numPr>
        <w:rPr>
          <w:szCs w:val="22"/>
        </w:rPr>
      </w:pPr>
      <w:r w:rsidRPr="00A93F15">
        <w:rPr>
          <w:szCs w:val="22"/>
        </w:rPr>
        <w:t>The submission attributed the cost of a specialist consultation to patients who moved into the post-topical state</w:t>
      </w:r>
      <w:r w:rsidR="00AA5C26" w:rsidRPr="00A93F15">
        <w:rPr>
          <w:szCs w:val="22"/>
        </w:rPr>
        <w:t xml:space="preserve"> following</w:t>
      </w:r>
      <w:r w:rsidRPr="00A93F15">
        <w:rPr>
          <w:szCs w:val="22"/>
        </w:rPr>
        <w:t xml:space="preserve"> non-response to treatment</w:t>
      </w:r>
      <w:r w:rsidR="00582E1B">
        <w:rPr>
          <w:szCs w:val="22"/>
        </w:rPr>
        <w:t xml:space="preserve">. </w:t>
      </w:r>
      <w:r w:rsidR="00477FD1" w:rsidRPr="00A93F15">
        <w:rPr>
          <w:szCs w:val="22"/>
        </w:rPr>
        <w:t>While i</w:t>
      </w:r>
      <w:r w:rsidRPr="00A93F15">
        <w:rPr>
          <w:szCs w:val="22"/>
        </w:rPr>
        <w:t>t is not clear that a specialist consultation w</w:t>
      </w:r>
      <w:r w:rsidR="00F03271" w:rsidRPr="00A93F15">
        <w:rPr>
          <w:szCs w:val="22"/>
        </w:rPr>
        <w:t>ould</w:t>
      </w:r>
      <w:r w:rsidRPr="00A93F15">
        <w:rPr>
          <w:szCs w:val="22"/>
        </w:rPr>
        <w:t xml:space="preserve"> be required </w:t>
      </w:r>
      <w:r w:rsidR="00AA5C26" w:rsidRPr="00A93F15">
        <w:rPr>
          <w:szCs w:val="22"/>
        </w:rPr>
        <w:t>for all patients who do not respond to treatment</w:t>
      </w:r>
      <w:r w:rsidR="00477FD1" w:rsidRPr="00A93F15">
        <w:rPr>
          <w:szCs w:val="22"/>
        </w:rPr>
        <w:t>, this does not substantially affect the ICER</w:t>
      </w:r>
      <w:r w:rsidR="00582E1B">
        <w:rPr>
          <w:szCs w:val="22"/>
        </w:rPr>
        <w:t xml:space="preserve">. </w:t>
      </w:r>
    </w:p>
    <w:p w:rsidR="001A3F56" w:rsidRPr="00A93F15" w:rsidRDefault="001A3F56" w:rsidP="006C77AE">
      <w:pPr>
        <w:pStyle w:val="ListParagraph"/>
        <w:widowControl/>
        <w:rPr>
          <w:szCs w:val="22"/>
        </w:rPr>
      </w:pPr>
    </w:p>
    <w:p w:rsidR="00AC64B8" w:rsidRPr="00A93F15" w:rsidRDefault="001A3F56" w:rsidP="006C77AE">
      <w:pPr>
        <w:pStyle w:val="ListParagraph"/>
        <w:widowControl/>
        <w:numPr>
          <w:ilvl w:val="1"/>
          <w:numId w:val="5"/>
        </w:numPr>
        <w:rPr>
          <w:i/>
        </w:rPr>
      </w:pPr>
      <w:r w:rsidRPr="00A93F15">
        <w:rPr>
          <w:szCs w:val="22"/>
        </w:rPr>
        <w:t>While EQ-5D-5L scores were reported in the clinical study report for trial LP0053-1003, which compared the foam spray to the gel, the scores for each treatment group were not directly used to inform the economic evaluation</w:t>
      </w:r>
      <w:r w:rsidR="00582E1B">
        <w:rPr>
          <w:szCs w:val="22"/>
        </w:rPr>
        <w:t xml:space="preserve">. </w:t>
      </w:r>
      <w:r w:rsidRPr="00A93F15">
        <w:rPr>
          <w:szCs w:val="22"/>
        </w:rPr>
        <w:t xml:space="preserve">Rather, the model applied the mean utility index score for calcipotriol plus betamethasone foam spray PASI75 responders to all PASI75 responders in the model, and the mean utility index score for foam spray vehicle PASI75 non-responders to all PASI75 non-responders in the model. </w:t>
      </w:r>
      <w:r w:rsidR="00470CFF" w:rsidRPr="00A93F15">
        <w:rPr>
          <w:szCs w:val="22"/>
        </w:rPr>
        <w:t>This approach was n</w:t>
      </w:r>
      <w:r w:rsidR="002F1349" w:rsidRPr="00A93F15">
        <w:rPr>
          <w:szCs w:val="22"/>
        </w:rPr>
        <w:t>ot justified in the submission.</w:t>
      </w:r>
      <w:r w:rsidR="00470CFF" w:rsidRPr="00A93F15">
        <w:rPr>
          <w:szCs w:val="22"/>
        </w:rPr>
        <w:t xml:space="preserve"> </w:t>
      </w:r>
    </w:p>
    <w:p w:rsidR="00AC64B8" w:rsidRPr="00A93F15" w:rsidRDefault="00AC64B8" w:rsidP="00AC64B8">
      <w:pPr>
        <w:pStyle w:val="ListParagraph"/>
        <w:widowControl/>
        <w:rPr>
          <w:i/>
        </w:rPr>
      </w:pPr>
    </w:p>
    <w:p w:rsidR="00A86E8B" w:rsidRPr="00A93F15" w:rsidRDefault="002F1349" w:rsidP="006C77AE">
      <w:pPr>
        <w:pStyle w:val="ListParagraph"/>
        <w:widowControl/>
        <w:numPr>
          <w:ilvl w:val="1"/>
          <w:numId w:val="5"/>
        </w:numPr>
      </w:pPr>
      <w:r w:rsidRPr="00A93F15">
        <w:t>The submission also presented a</w:t>
      </w:r>
      <w:r w:rsidR="00C252DF" w:rsidRPr="00A93F15">
        <w:t xml:space="preserve"> scenario analysis of calcipotriol plus betamethasone foam spray compared to calcipotriol plus betamethasone ointment</w:t>
      </w:r>
      <w:r w:rsidR="00F03176" w:rsidRPr="00A93F15">
        <w:t xml:space="preserve"> using the recommended treatment durations of 4 weeks for </w:t>
      </w:r>
      <w:r w:rsidR="006718B3" w:rsidRPr="00A93F15">
        <w:t>calcipotriol plus betamethasone</w:t>
      </w:r>
      <w:r w:rsidR="00F03176" w:rsidRPr="00A93F15">
        <w:t xml:space="preserve"> foam spray and 4 weeks for </w:t>
      </w:r>
      <w:r w:rsidR="006718B3" w:rsidRPr="00A93F15">
        <w:t>calcipotriol plus betamethasone</w:t>
      </w:r>
      <w:r w:rsidR="00F03176" w:rsidRPr="00A93F15">
        <w:t xml:space="preserve"> ointment</w:t>
      </w:r>
      <w:r w:rsidR="00C252DF" w:rsidRPr="00A93F15">
        <w:t xml:space="preserve">. </w:t>
      </w:r>
      <w:r w:rsidR="00F03176" w:rsidRPr="00A93F15">
        <w:t xml:space="preserve">Compared to the </w:t>
      </w:r>
      <w:r w:rsidR="006718B3" w:rsidRPr="00A93F15">
        <w:t>ointment</w:t>
      </w:r>
      <w:r w:rsidR="00F03176" w:rsidRPr="00A93F15">
        <w:t xml:space="preserve">, the submission calculated </w:t>
      </w:r>
      <w:r w:rsidR="006718B3" w:rsidRPr="00A93F15">
        <w:t xml:space="preserve">that use of calcipotriol plus betamethasone </w:t>
      </w:r>
      <w:r w:rsidRPr="00A93F15">
        <w:t xml:space="preserve">foam spray </w:t>
      </w:r>
      <w:r w:rsidR="006718B3" w:rsidRPr="00A93F15">
        <w:t xml:space="preserve">would result in </w:t>
      </w:r>
      <w:r w:rsidR="00F03176" w:rsidRPr="00A93F15">
        <w:t xml:space="preserve">an incremental cost/QALY gained of </w:t>
      </w:r>
      <w:r w:rsidR="009C725D">
        <w:t>$15,000/QALY - $45,000/QALY</w:t>
      </w:r>
      <w:r w:rsidR="00F03176" w:rsidRPr="00A93F15">
        <w:t xml:space="preserve"> (based on a 48-week</w:t>
      </w:r>
      <w:r w:rsidR="006718B3" w:rsidRPr="00A93F15">
        <w:t xml:space="preserve"> end point for the</w:t>
      </w:r>
      <w:r w:rsidR="00F03176" w:rsidRPr="00A93F15">
        <w:t xml:space="preserve"> model)</w:t>
      </w:r>
      <w:r w:rsidR="00582E1B">
        <w:t xml:space="preserve">. </w:t>
      </w:r>
      <w:r w:rsidR="0066070D" w:rsidRPr="00A93F15">
        <w:t>T</w:t>
      </w:r>
      <w:r w:rsidR="006718B3" w:rsidRPr="00A93F15">
        <w:t xml:space="preserve">he submission </w:t>
      </w:r>
      <w:r w:rsidR="00F03176" w:rsidRPr="00A93F15">
        <w:t xml:space="preserve">used the average weighted number of packs of </w:t>
      </w:r>
      <w:r w:rsidR="006A133E" w:rsidRPr="00A93F15">
        <w:t xml:space="preserve">calcipotriol plus betamethasone </w:t>
      </w:r>
      <w:r w:rsidR="00F03176" w:rsidRPr="00A93F15">
        <w:t xml:space="preserve">foam spray used across both the LP0053-1003 and the LEO90100-35 trials, rather than the number of packs required based on </w:t>
      </w:r>
      <w:r w:rsidR="006A133E" w:rsidRPr="00A93F15">
        <w:t xml:space="preserve">the </w:t>
      </w:r>
      <w:r w:rsidR="00F03176" w:rsidRPr="00A93F15">
        <w:t xml:space="preserve">quantities </w:t>
      </w:r>
      <w:r w:rsidR="001365DF" w:rsidRPr="00A93F15">
        <w:t xml:space="preserve">of </w:t>
      </w:r>
      <w:r w:rsidR="006A133E" w:rsidRPr="00A93F15">
        <w:t xml:space="preserve">the therapies </w:t>
      </w:r>
      <w:r w:rsidR="00F03176" w:rsidRPr="00A93F15">
        <w:t>used in LEO90100-35</w:t>
      </w:r>
      <w:r w:rsidR="00582E1B">
        <w:t xml:space="preserve">. </w:t>
      </w:r>
      <w:r w:rsidR="00F03176" w:rsidRPr="00A93F15">
        <w:t>In a</w:t>
      </w:r>
      <w:r w:rsidR="00AD72C8" w:rsidRPr="00A93F15">
        <w:t xml:space="preserve">n </w:t>
      </w:r>
      <w:r w:rsidR="00F03176" w:rsidRPr="00A93F15">
        <w:t>analysis conducted during the evaluation</w:t>
      </w:r>
      <w:r w:rsidR="006A133E" w:rsidRPr="00A93F15">
        <w:t>,</w:t>
      </w:r>
      <w:r w:rsidR="00F03176" w:rsidRPr="00A93F15">
        <w:t xml:space="preserve"> </w:t>
      </w:r>
      <w:r w:rsidR="006A133E" w:rsidRPr="00A93F15">
        <w:t xml:space="preserve">using </w:t>
      </w:r>
      <w:r w:rsidR="00F03176" w:rsidRPr="00A93F15">
        <w:t>the</w:t>
      </w:r>
      <w:r w:rsidR="006A133E" w:rsidRPr="00A93F15">
        <w:t xml:space="preserve"> number of packs</w:t>
      </w:r>
      <w:r w:rsidR="00F03176" w:rsidRPr="00A93F15">
        <w:t xml:space="preserve"> </w:t>
      </w:r>
      <w:r w:rsidR="006A133E" w:rsidRPr="00A93F15">
        <w:t xml:space="preserve">required to provide the </w:t>
      </w:r>
      <w:r w:rsidR="00F03176" w:rsidRPr="00A93F15">
        <w:t xml:space="preserve">quantities used in </w:t>
      </w:r>
      <w:r w:rsidR="00F03176" w:rsidRPr="00A93F15">
        <w:lastRenderedPageBreak/>
        <w:t>LEO90100-35</w:t>
      </w:r>
      <w:r w:rsidR="006A133E" w:rsidRPr="00A93F15">
        <w:t xml:space="preserve"> (</w:t>
      </w:r>
      <w:r w:rsidR="00F03176" w:rsidRPr="00A93F15">
        <w:t>3 x 60</w:t>
      </w:r>
      <w:r w:rsidR="001F6AEC" w:rsidRPr="00A93F15">
        <w:t xml:space="preserve"> </w:t>
      </w:r>
      <w:r w:rsidR="00F03176" w:rsidRPr="00A93F15">
        <w:t>g packs of the foam spray and 5 x 30</w:t>
      </w:r>
      <w:r w:rsidR="001F6AEC" w:rsidRPr="00A93F15">
        <w:t xml:space="preserve"> </w:t>
      </w:r>
      <w:r w:rsidR="00F03176" w:rsidRPr="00A93F15">
        <w:t>g packs of the ointment</w:t>
      </w:r>
      <w:r w:rsidR="006A133E" w:rsidRPr="00A93F15">
        <w:t>)</w:t>
      </w:r>
      <w:r w:rsidR="00F03176" w:rsidRPr="00A93F15">
        <w:t xml:space="preserve"> resulted in an incremental cost/QALY gained of </w:t>
      </w:r>
      <w:r w:rsidR="009C725D">
        <w:t>$45,000/QALY - $75,000/QALY</w:t>
      </w:r>
      <w:r w:rsidR="009C725D" w:rsidRPr="00A93F15">
        <w:t xml:space="preserve"> </w:t>
      </w:r>
      <w:r w:rsidR="00F03176" w:rsidRPr="00A93F15">
        <w:t xml:space="preserve">(based on a 48-week </w:t>
      </w:r>
      <w:r w:rsidR="006A133E" w:rsidRPr="00A93F15">
        <w:t xml:space="preserve">end point for the </w:t>
      </w:r>
      <w:r w:rsidR="00F03176" w:rsidRPr="00A93F15">
        <w:t>model).</w:t>
      </w:r>
      <w:r w:rsidR="00FE2CBF" w:rsidRPr="00A93F15">
        <w:t xml:space="preserve"> </w:t>
      </w:r>
      <w:r w:rsidR="0062604E" w:rsidRPr="00A93F15">
        <w:t xml:space="preserve">The ESC noted that cost effectiveness over a longer timeframe </w:t>
      </w:r>
      <w:r w:rsidR="00FE2CBF" w:rsidRPr="00A93F15">
        <w:t>wa</w:t>
      </w:r>
      <w:r w:rsidR="0062604E" w:rsidRPr="00A93F15">
        <w:t xml:space="preserve">s dependent on the distribution of use, particularly in regards to </w:t>
      </w:r>
      <w:r w:rsidR="00FE2CBF" w:rsidRPr="00A93F15">
        <w:t xml:space="preserve">any </w:t>
      </w:r>
      <w:r w:rsidR="00AC64B8" w:rsidRPr="00A93F15">
        <w:t>leftover</w:t>
      </w:r>
      <w:r w:rsidR="0062604E" w:rsidRPr="00A93F15">
        <w:t xml:space="preserve"> product</w:t>
      </w:r>
      <w:r w:rsidR="00155BC8" w:rsidRPr="00A93F15">
        <w:t xml:space="preserve"> when flare ups are controlled. Should the patient experience another relapse, the patient will most likely use the left over product from the previous flare up.</w:t>
      </w:r>
      <w:r w:rsidR="001A5CF7" w:rsidRPr="00A93F15">
        <w:t xml:space="preserve"> </w:t>
      </w:r>
    </w:p>
    <w:p w:rsidR="00A81FA8" w:rsidRPr="00A93F15" w:rsidRDefault="00A81FA8" w:rsidP="006C77AE">
      <w:pPr>
        <w:widowControl/>
        <w:rPr>
          <w:szCs w:val="22"/>
        </w:rPr>
      </w:pPr>
    </w:p>
    <w:p w:rsidR="00C25D9C" w:rsidRPr="00A93F15" w:rsidRDefault="00C25D9C" w:rsidP="00CF2EDE">
      <w:pPr>
        <w:pStyle w:val="Heading2"/>
        <w:rPr>
          <w:szCs w:val="22"/>
        </w:rPr>
      </w:pPr>
      <w:bookmarkStart w:id="16" w:name="_Toc461530266"/>
      <w:r w:rsidRPr="00A93F15">
        <w:t>Drug cost/patient/</w:t>
      </w:r>
      <w:r w:rsidR="00D326BE" w:rsidRPr="00A93F15">
        <w:t>4-week course</w:t>
      </w:r>
      <w:r w:rsidR="00592EE4" w:rsidRPr="00A93F15">
        <w:t>:</w:t>
      </w:r>
      <w:r w:rsidR="00D326BE" w:rsidRPr="00A93F15">
        <w:t xml:space="preserve"> $</w:t>
      </w:r>
      <w:bookmarkEnd w:id="16"/>
      <w:r w:rsidR="00801ABB">
        <w:rPr>
          <w:noProof/>
          <w:color w:val="000000"/>
          <w:highlight w:val="black"/>
        </w:rPr>
        <w:t>'''''''''''''</w:t>
      </w:r>
    </w:p>
    <w:p w:rsidR="00C25D9C" w:rsidRPr="00A93F15" w:rsidRDefault="00C25D9C" w:rsidP="006C77AE">
      <w:pPr>
        <w:keepNext/>
        <w:widowControl/>
        <w:rPr>
          <w:szCs w:val="22"/>
        </w:rPr>
      </w:pPr>
    </w:p>
    <w:p w:rsidR="00A86E8B" w:rsidRPr="00A93F15" w:rsidRDefault="00D326BE" w:rsidP="006C77AE">
      <w:pPr>
        <w:pStyle w:val="ListParagraph"/>
        <w:widowControl/>
        <w:numPr>
          <w:ilvl w:val="1"/>
          <w:numId w:val="5"/>
        </w:numPr>
        <w:rPr>
          <w:szCs w:val="22"/>
        </w:rPr>
      </w:pPr>
      <w:r w:rsidRPr="00A93F15">
        <w:rPr>
          <w:szCs w:val="22"/>
        </w:rPr>
        <w:t>The submission estimate</w:t>
      </w:r>
      <w:r w:rsidR="00731529" w:rsidRPr="00A93F15">
        <w:rPr>
          <w:szCs w:val="22"/>
        </w:rPr>
        <w:t>d</w:t>
      </w:r>
      <w:r w:rsidRPr="00A93F15">
        <w:rPr>
          <w:szCs w:val="22"/>
        </w:rPr>
        <w:t xml:space="preserve"> a cost of $</w:t>
      </w:r>
      <w:r w:rsidR="00801ABB">
        <w:rPr>
          <w:noProof/>
          <w:color w:val="000000"/>
          <w:szCs w:val="22"/>
          <w:highlight w:val="black"/>
        </w:rPr>
        <w:t xml:space="preserve">''''''''''''''' </w:t>
      </w:r>
      <w:r w:rsidRPr="00A93F15">
        <w:rPr>
          <w:szCs w:val="22"/>
        </w:rPr>
        <w:t xml:space="preserve">per patient per 4-week course based on the requested price and assuming </w:t>
      </w:r>
      <w:r w:rsidR="00637368" w:rsidRPr="00A93F15">
        <w:rPr>
          <w:szCs w:val="22"/>
        </w:rPr>
        <w:t>2</w:t>
      </w:r>
      <w:r w:rsidRPr="00A93F15">
        <w:rPr>
          <w:szCs w:val="22"/>
        </w:rPr>
        <w:t xml:space="preserve"> </w:t>
      </w:r>
      <w:r w:rsidR="00013315" w:rsidRPr="00A93F15">
        <w:rPr>
          <w:szCs w:val="22"/>
        </w:rPr>
        <w:t>x 60</w:t>
      </w:r>
      <w:r w:rsidR="001F6AEC" w:rsidRPr="00A93F15">
        <w:rPr>
          <w:szCs w:val="22"/>
        </w:rPr>
        <w:t xml:space="preserve"> </w:t>
      </w:r>
      <w:r w:rsidR="00013315" w:rsidRPr="00A93F15">
        <w:rPr>
          <w:szCs w:val="22"/>
        </w:rPr>
        <w:t xml:space="preserve">g </w:t>
      </w:r>
      <w:r w:rsidRPr="00A93F15">
        <w:rPr>
          <w:szCs w:val="22"/>
        </w:rPr>
        <w:t xml:space="preserve">packs per patient per course. </w:t>
      </w:r>
      <w:r w:rsidR="00C039DB" w:rsidRPr="00A93F15">
        <w:rPr>
          <w:szCs w:val="22"/>
        </w:rPr>
        <w:t>This compare</w:t>
      </w:r>
      <w:r w:rsidR="00637368" w:rsidRPr="00A93F15">
        <w:rPr>
          <w:szCs w:val="22"/>
        </w:rPr>
        <w:t>d</w:t>
      </w:r>
      <w:r w:rsidR="00C039DB" w:rsidRPr="00A93F15">
        <w:rPr>
          <w:szCs w:val="22"/>
        </w:rPr>
        <w:t xml:space="preserve"> to $144.98 for calcipotriol plus betamethasone 60</w:t>
      </w:r>
      <w:r w:rsidR="001F6AEC" w:rsidRPr="00A93F15">
        <w:rPr>
          <w:szCs w:val="22"/>
        </w:rPr>
        <w:t xml:space="preserve"> </w:t>
      </w:r>
      <w:r w:rsidR="00C039DB" w:rsidRPr="00A93F15">
        <w:rPr>
          <w:szCs w:val="22"/>
        </w:rPr>
        <w:t>g gel for 4</w:t>
      </w:r>
      <w:r w:rsidR="00013315" w:rsidRPr="00A93F15">
        <w:rPr>
          <w:szCs w:val="22"/>
        </w:rPr>
        <w:t xml:space="preserve"> </w:t>
      </w:r>
      <w:r w:rsidR="00C039DB" w:rsidRPr="00A93F15">
        <w:rPr>
          <w:szCs w:val="22"/>
        </w:rPr>
        <w:t>week</w:t>
      </w:r>
      <w:r w:rsidR="00013315" w:rsidRPr="00A93F15">
        <w:rPr>
          <w:szCs w:val="22"/>
        </w:rPr>
        <w:t>s of treatment</w:t>
      </w:r>
      <w:r w:rsidR="00637368" w:rsidRPr="00A93F15">
        <w:rPr>
          <w:szCs w:val="22"/>
        </w:rPr>
        <w:t>, and to $217.47</w:t>
      </w:r>
      <w:r w:rsidR="00731529" w:rsidRPr="00A93F15">
        <w:rPr>
          <w:szCs w:val="22"/>
        </w:rPr>
        <w:t xml:space="preserve"> assuming </w:t>
      </w:r>
      <w:r w:rsidR="00C039DB" w:rsidRPr="00A93F15">
        <w:rPr>
          <w:szCs w:val="22"/>
        </w:rPr>
        <w:t>an 8-week course</w:t>
      </w:r>
      <w:r w:rsidR="00731529" w:rsidRPr="00A93F15">
        <w:rPr>
          <w:szCs w:val="22"/>
        </w:rPr>
        <w:t xml:space="preserve"> of therapy</w:t>
      </w:r>
      <w:r w:rsidR="00637368" w:rsidRPr="00A93F15">
        <w:rPr>
          <w:szCs w:val="22"/>
        </w:rPr>
        <w:t xml:space="preserve"> with the gel</w:t>
      </w:r>
      <w:r w:rsidR="00582E1B">
        <w:rPr>
          <w:szCs w:val="22"/>
        </w:rPr>
        <w:t xml:space="preserve">. </w:t>
      </w:r>
      <w:r w:rsidR="00637368" w:rsidRPr="00A93F15">
        <w:rPr>
          <w:szCs w:val="22"/>
        </w:rPr>
        <w:t>T</w:t>
      </w:r>
      <w:r w:rsidR="00731529" w:rsidRPr="00A93F15">
        <w:rPr>
          <w:szCs w:val="22"/>
        </w:rPr>
        <w:t xml:space="preserve">he </w:t>
      </w:r>
      <w:r w:rsidR="00013315" w:rsidRPr="00A93F15">
        <w:rPr>
          <w:szCs w:val="22"/>
        </w:rPr>
        <w:t xml:space="preserve">primary endpoint </w:t>
      </w:r>
      <w:r w:rsidR="00637368" w:rsidRPr="00A93F15">
        <w:rPr>
          <w:szCs w:val="22"/>
        </w:rPr>
        <w:t>in trial LP0053-1003 was at Week 4 for the foam spray and at Week 8 for the gel</w:t>
      </w:r>
      <w:r w:rsidR="00582E1B">
        <w:rPr>
          <w:szCs w:val="22"/>
        </w:rPr>
        <w:t xml:space="preserve">. </w:t>
      </w:r>
      <w:r w:rsidR="00637368" w:rsidRPr="00A93F15">
        <w:rPr>
          <w:szCs w:val="22"/>
        </w:rPr>
        <w:t>As t</w:t>
      </w:r>
      <w:r w:rsidR="00731529" w:rsidRPr="00A93F15">
        <w:rPr>
          <w:szCs w:val="22"/>
        </w:rPr>
        <w:t xml:space="preserve">he recommended course of treatment for the gel </w:t>
      </w:r>
      <w:r w:rsidR="00637368" w:rsidRPr="00A93F15">
        <w:rPr>
          <w:szCs w:val="22"/>
        </w:rPr>
        <w:t xml:space="preserve">is 4 weeks for scalp psoriasis and </w:t>
      </w:r>
      <w:r w:rsidR="00731529" w:rsidRPr="00A93F15">
        <w:rPr>
          <w:szCs w:val="22"/>
        </w:rPr>
        <w:t>up to 8 weeks</w:t>
      </w:r>
      <w:r w:rsidR="00637368" w:rsidRPr="00A93F15">
        <w:rPr>
          <w:szCs w:val="22"/>
        </w:rPr>
        <w:t xml:space="preserve"> for body psoriasis, the cost per course for a patient treated with the gel is likely to be in</w:t>
      </w:r>
      <w:r w:rsidR="00711AE4" w:rsidRPr="00A93F15">
        <w:rPr>
          <w:szCs w:val="22"/>
        </w:rPr>
        <w:t xml:space="preserve"> </w:t>
      </w:r>
      <w:r w:rsidR="00637368" w:rsidRPr="00A93F15">
        <w:rPr>
          <w:szCs w:val="22"/>
        </w:rPr>
        <w:t>between $144.98 and $217.47</w:t>
      </w:r>
      <w:r w:rsidR="00582E1B">
        <w:rPr>
          <w:szCs w:val="22"/>
        </w:rPr>
        <w:t xml:space="preserve">. </w:t>
      </w:r>
    </w:p>
    <w:p w:rsidR="00BD1228" w:rsidRPr="00A93F15" w:rsidRDefault="00BD1228" w:rsidP="006C77AE">
      <w:pPr>
        <w:widowControl/>
        <w:rPr>
          <w:szCs w:val="22"/>
        </w:rPr>
      </w:pPr>
    </w:p>
    <w:p w:rsidR="00B60939" w:rsidRPr="00A93F15" w:rsidRDefault="00B60939" w:rsidP="00CF2EDE">
      <w:pPr>
        <w:pStyle w:val="Heading2"/>
      </w:pPr>
      <w:bookmarkStart w:id="17" w:name="_Toc461530267"/>
      <w:r w:rsidRPr="00A93F15">
        <w:t>Estimated PBS usage &amp; financial implications</w:t>
      </w:r>
      <w:bookmarkEnd w:id="17"/>
    </w:p>
    <w:p w:rsidR="00B60939" w:rsidRPr="00A93F15" w:rsidRDefault="00B60939" w:rsidP="006C77AE">
      <w:pPr>
        <w:widowControl/>
        <w:ind w:left="720" w:hanging="720"/>
        <w:rPr>
          <w:b/>
          <w:i/>
          <w:szCs w:val="22"/>
        </w:rPr>
      </w:pPr>
    </w:p>
    <w:p w:rsidR="00190F48" w:rsidRPr="00A93F15" w:rsidRDefault="00731529" w:rsidP="006C77AE">
      <w:pPr>
        <w:pStyle w:val="ListParagraph"/>
        <w:widowControl/>
        <w:numPr>
          <w:ilvl w:val="1"/>
          <w:numId w:val="5"/>
        </w:numPr>
        <w:rPr>
          <w:szCs w:val="22"/>
        </w:rPr>
      </w:pPr>
      <w:r w:rsidRPr="00A93F15">
        <w:t xml:space="preserve">This submission </w:t>
      </w:r>
      <w:r w:rsidR="00AB661E" w:rsidRPr="00A93F15">
        <w:t>was not</w:t>
      </w:r>
      <w:r w:rsidR="00C25D9C" w:rsidRPr="00A93F15">
        <w:t xml:space="preserve"> considered by DUSC</w:t>
      </w:r>
      <w:r w:rsidR="00582E1B">
        <w:t xml:space="preserve">. </w:t>
      </w:r>
      <w:r w:rsidR="00B42F96" w:rsidRPr="00A93F15">
        <w:t>The submission used a market share approach to estimate usage and financial implications</w:t>
      </w:r>
      <w:r w:rsidR="00711AE4" w:rsidRPr="00A93F15">
        <w:t xml:space="preserve"> to the PBS</w:t>
      </w:r>
      <w:r w:rsidR="00582E1B">
        <w:t xml:space="preserve">. </w:t>
      </w:r>
      <w:r w:rsidR="00B42F96" w:rsidRPr="00A93F15">
        <w:t xml:space="preserve">The market share approach relied on estimation of the market size from PBS services data and IMS sales data, as well as in-house sales forecasts. </w:t>
      </w:r>
    </w:p>
    <w:p w:rsidR="00190F48" w:rsidRPr="00A93F15" w:rsidRDefault="00190F48" w:rsidP="006C77AE">
      <w:pPr>
        <w:widowControl/>
        <w:rPr>
          <w:szCs w:val="22"/>
        </w:rPr>
      </w:pPr>
    </w:p>
    <w:p w:rsidR="00190F48" w:rsidRPr="00A93F15" w:rsidRDefault="00190F48" w:rsidP="006C77AE">
      <w:pPr>
        <w:pStyle w:val="ListParagraph"/>
        <w:widowControl/>
        <w:numPr>
          <w:ilvl w:val="1"/>
          <w:numId w:val="5"/>
        </w:numPr>
        <w:rPr>
          <w:szCs w:val="22"/>
        </w:rPr>
      </w:pPr>
      <w:r w:rsidRPr="00A93F15">
        <w:t>The submission estimated that the requested listing will:</w:t>
      </w:r>
    </w:p>
    <w:p w:rsidR="00190F48" w:rsidRPr="00A93F15" w:rsidRDefault="00190F48" w:rsidP="006C77AE">
      <w:pPr>
        <w:pStyle w:val="ListParagraph"/>
        <w:widowControl/>
        <w:numPr>
          <w:ilvl w:val="0"/>
          <w:numId w:val="12"/>
        </w:numPr>
        <w:rPr>
          <w:szCs w:val="22"/>
        </w:rPr>
      </w:pPr>
      <w:r w:rsidRPr="00A93F15">
        <w:rPr>
          <w:szCs w:val="22"/>
        </w:rPr>
        <w:t xml:space="preserve">Result in patients being initiated or switched to the foam spray from the </w:t>
      </w:r>
      <w:r w:rsidR="00711AE4" w:rsidRPr="00A93F15">
        <w:rPr>
          <w:szCs w:val="22"/>
        </w:rPr>
        <w:t xml:space="preserve">currently PBS listed </w:t>
      </w:r>
      <w:r w:rsidRPr="00A93F15">
        <w:rPr>
          <w:szCs w:val="22"/>
        </w:rPr>
        <w:t>30</w:t>
      </w:r>
      <w:r w:rsidR="001F6AEC" w:rsidRPr="00A93F15">
        <w:rPr>
          <w:szCs w:val="22"/>
        </w:rPr>
        <w:t xml:space="preserve"> </w:t>
      </w:r>
      <w:r w:rsidRPr="00A93F15">
        <w:rPr>
          <w:szCs w:val="22"/>
        </w:rPr>
        <w:t>g ointment and 60</w:t>
      </w:r>
      <w:r w:rsidR="001F6AEC" w:rsidRPr="00A93F15">
        <w:rPr>
          <w:szCs w:val="22"/>
        </w:rPr>
        <w:t xml:space="preserve"> </w:t>
      </w:r>
      <w:r w:rsidRPr="00A93F15">
        <w:rPr>
          <w:szCs w:val="22"/>
        </w:rPr>
        <w:t>g gel</w:t>
      </w:r>
      <w:r w:rsidR="00711AE4" w:rsidRPr="00A93F15">
        <w:rPr>
          <w:szCs w:val="22"/>
        </w:rPr>
        <w:t xml:space="preserve"> formulations</w:t>
      </w:r>
      <w:r w:rsidRPr="00A93F15">
        <w:rPr>
          <w:szCs w:val="22"/>
        </w:rPr>
        <w:t>.</w:t>
      </w:r>
    </w:p>
    <w:p w:rsidR="00190F48" w:rsidRPr="00A93F15" w:rsidRDefault="00190F48" w:rsidP="006C77AE">
      <w:pPr>
        <w:pStyle w:val="ListParagraph"/>
        <w:widowControl/>
        <w:numPr>
          <w:ilvl w:val="0"/>
          <w:numId w:val="12"/>
        </w:numPr>
        <w:rPr>
          <w:szCs w:val="22"/>
        </w:rPr>
      </w:pPr>
      <w:r w:rsidRPr="00A93F15">
        <w:rPr>
          <w:szCs w:val="22"/>
        </w:rPr>
        <w:t xml:space="preserve">Result in market growth, with additional patients being prescribed calcipotriol plus betamethasone foam spray due to superior efficacy and patient experience. </w:t>
      </w:r>
    </w:p>
    <w:p w:rsidR="00190F48" w:rsidRPr="00A93F15" w:rsidRDefault="00190F48" w:rsidP="006C77AE">
      <w:pPr>
        <w:widowControl/>
        <w:rPr>
          <w:szCs w:val="22"/>
        </w:rPr>
      </w:pPr>
    </w:p>
    <w:p w:rsidR="00C25D9C" w:rsidRPr="00A93F15" w:rsidRDefault="00ED5E66" w:rsidP="006C77AE">
      <w:pPr>
        <w:pStyle w:val="ListParagraph"/>
        <w:widowControl/>
        <w:numPr>
          <w:ilvl w:val="1"/>
          <w:numId w:val="5"/>
        </w:numPr>
        <w:rPr>
          <w:szCs w:val="22"/>
        </w:rPr>
      </w:pPr>
      <w:r w:rsidRPr="00A93F15">
        <w:t xml:space="preserve">Table </w:t>
      </w:r>
      <w:r w:rsidR="009D2046" w:rsidRPr="00A93F15">
        <w:t>1</w:t>
      </w:r>
      <w:r w:rsidR="00711AE4" w:rsidRPr="00A93F15">
        <w:t>1</w:t>
      </w:r>
      <w:r w:rsidRPr="00A93F15">
        <w:t xml:space="preserve"> provides a summary of the estimated net costs to the PBS/RPBS for the requested listing.</w:t>
      </w:r>
    </w:p>
    <w:p w:rsidR="00ED5E66" w:rsidRPr="00A93F15" w:rsidRDefault="00ED5E66" w:rsidP="006C77AE">
      <w:pPr>
        <w:widowControl/>
        <w:rPr>
          <w:szCs w:val="22"/>
        </w:rPr>
      </w:pPr>
    </w:p>
    <w:p w:rsidR="00C25D9C" w:rsidRPr="00A93F15" w:rsidRDefault="00C25D9C" w:rsidP="006C77AE">
      <w:pPr>
        <w:keepNext/>
        <w:widowControl/>
        <w:ind w:firstLine="709"/>
        <w:rPr>
          <w:rStyle w:val="CommentReference"/>
        </w:rPr>
      </w:pPr>
      <w:r w:rsidRPr="00A93F15">
        <w:rPr>
          <w:rStyle w:val="CommentReference"/>
        </w:rPr>
        <w:lastRenderedPageBreak/>
        <w:t>Table</w:t>
      </w:r>
      <w:r w:rsidR="00FE0E7B" w:rsidRPr="00A93F15">
        <w:rPr>
          <w:rStyle w:val="CommentReference"/>
        </w:rPr>
        <w:t xml:space="preserve"> </w:t>
      </w:r>
      <w:r w:rsidR="009D2046" w:rsidRPr="00A93F15">
        <w:rPr>
          <w:rStyle w:val="CommentReference"/>
        </w:rPr>
        <w:t>1</w:t>
      </w:r>
      <w:r w:rsidR="00711AE4" w:rsidRPr="00A93F15">
        <w:rPr>
          <w:rStyle w:val="CommentReference"/>
        </w:rPr>
        <w:t>1</w:t>
      </w:r>
      <w:r w:rsidRPr="00A93F15">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1"/>
        <w:gridCol w:w="1133"/>
        <w:gridCol w:w="1133"/>
        <w:gridCol w:w="1275"/>
        <w:gridCol w:w="1275"/>
        <w:gridCol w:w="1259"/>
      </w:tblGrid>
      <w:tr w:rsidR="00C42FAE" w:rsidRPr="00A93F15" w:rsidTr="005F616A">
        <w:trPr>
          <w:tblHeader/>
        </w:trPr>
        <w:tc>
          <w:tcPr>
            <w:tcW w:w="1360" w:type="pct"/>
            <w:shd w:val="clear" w:color="auto" w:fill="auto"/>
            <w:vAlign w:val="center"/>
          </w:tcPr>
          <w:p w:rsidR="00C25D9C" w:rsidRPr="00A93F15" w:rsidRDefault="00C25D9C" w:rsidP="006C77AE">
            <w:pPr>
              <w:keepNext/>
              <w:widowControl/>
              <w:tabs>
                <w:tab w:val="left" w:pos="142"/>
              </w:tabs>
              <w:jc w:val="left"/>
              <w:rPr>
                <w:rFonts w:ascii="Arial Narrow" w:hAnsi="Arial Narrow"/>
                <w:b/>
                <w:sz w:val="20"/>
              </w:rPr>
            </w:pPr>
          </w:p>
        </w:tc>
        <w:tc>
          <w:tcPr>
            <w:tcW w:w="679" w:type="pct"/>
            <w:shd w:val="clear" w:color="auto" w:fill="auto"/>
            <w:vAlign w:val="center"/>
          </w:tcPr>
          <w:p w:rsidR="00C25D9C" w:rsidRPr="00A93F15" w:rsidRDefault="00C25D9C" w:rsidP="006C77AE">
            <w:pPr>
              <w:keepNext/>
              <w:widowControl/>
              <w:jc w:val="center"/>
              <w:rPr>
                <w:rFonts w:ascii="Arial Narrow" w:hAnsi="Arial Narrow"/>
                <w:b/>
                <w:sz w:val="20"/>
              </w:rPr>
            </w:pPr>
            <w:r w:rsidRPr="00A93F15">
              <w:rPr>
                <w:rFonts w:ascii="Arial Narrow" w:hAnsi="Arial Narrow"/>
                <w:b/>
                <w:sz w:val="20"/>
              </w:rPr>
              <w:t>Year 1</w:t>
            </w:r>
          </w:p>
        </w:tc>
        <w:tc>
          <w:tcPr>
            <w:tcW w:w="679" w:type="pct"/>
            <w:shd w:val="clear" w:color="auto" w:fill="auto"/>
            <w:vAlign w:val="center"/>
          </w:tcPr>
          <w:p w:rsidR="00C25D9C" w:rsidRPr="00A93F15" w:rsidRDefault="00C25D9C" w:rsidP="006C77AE">
            <w:pPr>
              <w:keepNext/>
              <w:widowControl/>
              <w:jc w:val="center"/>
              <w:rPr>
                <w:rFonts w:ascii="Arial Narrow" w:hAnsi="Arial Narrow"/>
                <w:b/>
                <w:sz w:val="20"/>
              </w:rPr>
            </w:pPr>
            <w:r w:rsidRPr="00A93F15">
              <w:rPr>
                <w:rFonts w:ascii="Arial Narrow" w:hAnsi="Arial Narrow"/>
                <w:b/>
                <w:sz w:val="20"/>
              </w:rPr>
              <w:t>Year 2</w:t>
            </w:r>
          </w:p>
        </w:tc>
        <w:tc>
          <w:tcPr>
            <w:tcW w:w="764" w:type="pct"/>
            <w:shd w:val="clear" w:color="auto" w:fill="auto"/>
            <w:vAlign w:val="center"/>
          </w:tcPr>
          <w:p w:rsidR="00C25D9C" w:rsidRPr="00A93F15" w:rsidRDefault="00C25D9C" w:rsidP="006C77AE">
            <w:pPr>
              <w:keepNext/>
              <w:widowControl/>
              <w:jc w:val="center"/>
              <w:rPr>
                <w:rFonts w:ascii="Arial Narrow" w:hAnsi="Arial Narrow"/>
                <w:b/>
                <w:sz w:val="20"/>
              </w:rPr>
            </w:pPr>
            <w:r w:rsidRPr="00A93F15">
              <w:rPr>
                <w:rFonts w:ascii="Arial Narrow" w:hAnsi="Arial Narrow"/>
                <w:b/>
                <w:sz w:val="20"/>
              </w:rPr>
              <w:t>Year 3</w:t>
            </w:r>
          </w:p>
        </w:tc>
        <w:tc>
          <w:tcPr>
            <w:tcW w:w="764" w:type="pct"/>
            <w:shd w:val="clear" w:color="auto" w:fill="auto"/>
            <w:vAlign w:val="center"/>
          </w:tcPr>
          <w:p w:rsidR="00C25D9C" w:rsidRPr="00A93F15" w:rsidRDefault="00C25D9C" w:rsidP="006C77AE">
            <w:pPr>
              <w:keepNext/>
              <w:widowControl/>
              <w:jc w:val="center"/>
              <w:rPr>
                <w:rFonts w:ascii="Arial Narrow" w:hAnsi="Arial Narrow"/>
                <w:b/>
                <w:sz w:val="20"/>
              </w:rPr>
            </w:pPr>
            <w:r w:rsidRPr="00A93F15">
              <w:rPr>
                <w:rFonts w:ascii="Arial Narrow" w:hAnsi="Arial Narrow"/>
                <w:b/>
                <w:sz w:val="20"/>
              </w:rPr>
              <w:t>Year 4</w:t>
            </w:r>
          </w:p>
        </w:tc>
        <w:tc>
          <w:tcPr>
            <w:tcW w:w="754" w:type="pct"/>
            <w:shd w:val="clear" w:color="auto" w:fill="auto"/>
            <w:vAlign w:val="center"/>
          </w:tcPr>
          <w:p w:rsidR="00C25D9C" w:rsidRPr="00A93F15" w:rsidRDefault="00C25D9C" w:rsidP="006C77AE">
            <w:pPr>
              <w:keepNext/>
              <w:widowControl/>
              <w:jc w:val="center"/>
              <w:rPr>
                <w:rFonts w:ascii="Arial Narrow" w:hAnsi="Arial Narrow"/>
                <w:b/>
                <w:sz w:val="20"/>
              </w:rPr>
            </w:pPr>
            <w:r w:rsidRPr="00A93F15">
              <w:rPr>
                <w:rFonts w:ascii="Arial Narrow" w:hAnsi="Arial Narrow"/>
                <w:b/>
                <w:sz w:val="20"/>
              </w:rPr>
              <w:t>Year 5</w:t>
            </w:r>
          </w:p>
        </w:tc>
      </w:tr>
      <w:tr w:rsidR="00C42FAE" w:rsidRPr="00A93F15" w:rsidTr="005D044D">
        <w:tc>
          <w:tcPr>
            <w:tcW w:w="5000" w:type="pct"/>
            <w:gridSpan w:val="6"/>
            <w:shd w:val="clear" w:color="auto" w:fill="auto"/>
            <w:vAlign w:val="center"/>
          </w:tcPr>
          <w:p w:rsidR="00C25D9C" w:rsidRPr="00A93F15" w:rsidRDefault="00C25D9C" w:rsidP="006C77AE">
            <w:pPr>
              <w:keepNext/>
              <w:widowControl/>
              <w:jc w:val="left"/>
              <w:rPr>
                <w:rFonts w:ascii="Arial Narrow" w:hAnsi="Arial Narrow"/>
                <w:b/>
                <w:bCs/>
                <w:sz w:val="20"/>
              </w:rPr>
            </w:pPr>
            <w:r w:rsidRPr="00A93F15">
              <w:rPr>
                <w:rFonts w:ascii="Arial Narrow" w:hAnsi="Arial Narrow"/>
                <w:b/>
                <w:bCs/>
                <w:sz w:val="20"/>
              </w:rPr>
              <w:t>Estimated extent of use</w:t>
            </w:r>
          </w:p>
        </w:tc>
      </w:tr>
      <w:tr w:rsidR="00C42FAE" w:rsidRPr="00A93F15" w:rsidTr="005F616A">
        <w:tc>
          <w:tcPr>
            <w:tcW w:w="1360" w:type="pct"/>
            <w:shd w:val="clear" w:color="auto" w:fill="auto"/>
            <w:vAlign w:val="center"/>
          </w:tcPr>
          <w:p w:rsidR="00C25D9C" w:rsidRPr="00A93F15" w:rsidRDefault="00C25D9C" w:rsidP="006C77AE">
            <w:pPr>
              <w:keepNext/>
              <w:widowControl/>
              <w:tabs>
                <w:tab w:val="left" w:pos="142"/>
              </w:tabs>
              <w:jc w:val="left"/>
              <w:rPr>
                <w:rFonts w:ascii="Arial Narrow" w:hAnsi="Arial Narrow"/>
                <w:sz w:val="20"/>
              </w:rPr>
            </w:pPr>
            <w:r w:rsidRPr="00A93F15">
              <w:rPr>
                <w:rFonts w:ascii="Arial Narrow" w:hAnsi="Arial Narrow"/>
                <w:sz w:val="20"/>
              </w:rPr>
              <w:t>Market share</w:t>
            </w:r>
          </w:p>
        </w:tc>
        <w:tc>
          <w:tcPr>
            <w:tcW w:w="679" w:type="pct"/>
            <w:shd w:val="clear" w:color="auto" w:fill="auto"/>
            <w:vAlign w:val="center"/>
          </w:tcPr>
          <w:p w:rsidR="00C25D9C" w:rsidRPr="00A93F15" w:rsidRDefault="00801ABB" w:rsidP="006C77AE">
            <w:pPr>
              <w:keepNext/>
              <w:widowControl/>
              <w:jc w:val="center"/>
              <w:rPr>
                <w:rFonts w:ascii="Arial Narrow" w:hAnsi="Arial Narrow"/>
                <w:bCs/>
                <w:sz w:val="20"/>
              </w:rPr>
            </w:pPr>
            <w:r>
              <w:rPr>
                <w:rFonts w:ascii="Arial Narrow" w:hAnsi="Arial Narrow"/>
                <w:bCs/>
                <w:noProof/>
                <w:color w:val="000000"/>
                <w:sz w:val="20"/>
                <w:highlight w:val="black"/>
              </w:rPr>
              <w:t>'''''''''</w:t>
            </w:r>
            <w:r w:rsidR="009840A0" w:rsidRPr="00A93F15">
              <w:rPr>
                <w:rFonts w:ascii="Arial Narrow" w:hAnsi="Arial Narrow"/>
                <w:bCs/>
                <w:sz w:val="20"/>
              </w:rPr>
              <w:t>%</w:t>
            </w:r>
          </w:p>
        </w:tc>
        <w:tc>
          <w:tcPr>
            <w:tcW w:w="679" w:type="pct"/>
            <w:shd w:val="clear" w:color="auto" w:fill="auto"/>
            <w:vAlign w:val="center"/>
          </w:tcPr>
          <w:p w:rsidR="00C25D9C" w:rsidRPr="00A93F15" w:rsidRDefault="00801ABB" w:rsidP="006C77AE">
            <w:pPr>
              <w:keepNext/>
              <w:widowControl/>
              <w:jc w:val="center"/>
              <w:rPr>
                <w:rFonts w:ascii="Arial Narrow" w:hAnsi="Arial Narrow"/>
                <w:bCs/>
                <w:sz w:val="20"/>
              </w:rPr>
            </w:pPr>
            <w:r>
              <w:rPr>
                <w:rFonts w:ascii="Arial Narrow" w:hAnsi="Arial Narrow"/>
                <w:bCs/>
                <w:noProof/>
                <w:color w:val="000000"/>
                <w:sz w:val="20"/>
                <w:highlight w:val="black"/>
              </w:rPr>
              <w:t>'''''''''''</w:t>
            </w:r>
            <w:r w:rsidR="009840A0" w:rsidRPr="00A93F15">
              <w:rPr>
                <w:rFonts w:ascii="Arial Narrow" w:hAnsi="Arial Narrow"/>
                <w:bCs/>
                <w:sz w:val="20"/>
              </w:rPr>
              <w:t>%</w:t>
            </w:r>
          </w:p>
        </w:tc>
        <w:tc>
          <w:tcPr>
            <w:tcW w:w="764" w:type="pct"/>
            <w:shd w:val="clear" w:color="auto" w:fill="auto"/>
            <w:vAlign w:val="center"/>
          </w:tcPr>
          <w:p w:rsidR="00C25D9C" w:rsidRPr="00A93F15" w:rsidRDefault="00801ABB" w:rsidP="006C77AE">
            <w:pPr>
              <w:keepNext/>
              <w:widowControl/>
              <w:jc w:val="center"/>
              <w:rPr>
                <w:rFonts w:ascii="Arial Narrow" w:hAnsi="Arial Narrow"/>
                <w:bCs/>
                <w:sz w:val="20"/>
              </w:rPr>
            </w:pPr>
            <w:r>
              <w:rPr>
                <w:rFonts w:ascii="Arial Narrow" w:hAnsi="Arial Narrow"/>
                <w:bCs/>
                <w:noProof/>
                <w:color w:val="000000"/>
                <w:sz w:val="20"/>
                <w:highlight w:val="black"/>
              </w:rPr>
              <w:t>''''''''''</w:t>
            </w:r>
            <w:r w:rsidR="009840A0" w:rsidRPr="00A93F15">
              <w:rPr>
                <w:rFonts w:ascii="Arial Narrow" w:hAnsi="Arial Narrow"/>
                <w:bCs/>
                <w:sz w:val="20"/>
              </w:rPr>
              <w:t>%</w:t>
            </w:r>
          </w:p>
        </w:tc>
        <w:tc>
          <w:tcPr>
            <w:tcW w:w="764" w:type="pct"/>
            <w:shd w:val="clear" w:color="auto" w:fill="auto"/>
            <w:vAlign w:val="center"/>
          </w:tcPr>
          <w:p w:rsidR="00C25D9C" w:rsidRPr="00A93F15" w:rsidRDefault="00801ABB" w:rsidP="006C77AE">
            <w:pPr>
              <w:keepNext/>
              <w:widowControl/>
              <w:jc w:val="center"/>
              <w:rPr>
                <w:rFonts w:ascii="Arial Narrow" w:hAnsi="Arial Narrow"/>
                <w:bCs/>
                <w:sz w:val="20"/>
              </w:rPr>
            </w:pPr>
            <w:r>
              <w:rPr>
                <w:rFonts w:ascii="Arial Narrow" w:hAnsi="Arial Narrow"/>
                <w:bCs/>
                <w:noProof/>
                <w:color w:val="000000"/>
                <w:sz w:val="20"/>
                <w:highlight w:val="black"/>
              </w:rPr>
              <w:t>'''''''''''</w:t>
            </w:r>
            <w:r w:rsidR="009840A0" w:rsidRPr="00A93F15">
              <w:rPr>
                <w:rFonts w:ascii="Arial Narrow" w:hAnsi="Arial Narrow"/>
                <w:bCs/>
                <w:sz w:val="20"/>
              </w:rPr>
              <w:t>%</w:t>
            </w:r>
          </w:p>
        </w:tc>
        <w:tc>
          <w:tcPr>
            <w:tcW w:w="754" w:type="pct"/>
            <w:shd w:val="clear" w:color="auto" w:fill="auto"/>
            <w:vAlign w:val="center"/>
          </w:tcPr>
          <w:p w:rsidR="00C25D9C" w:rsidRPr="00A93F15" w:rsidRDefault="00801ABB" w:rsidP="006C77AE">
            <w:pPr>
              <w:keepNext/>
              <w:widowControl/>
              <w:jc w:val="center"/>
              <w:rPr>
                <w:rFonts w:ascii="Arial Narrow" w:hAnsi="Arial Narrow"/>
                <w:bCs/>
                <w:sz w:val="20"/>
              </w:rPr>
            </w:pPr>
            <w:r>
              <w:rPr>
                <w:rFonts w:ascii="Arial Narrow" w:hAnsi="Arial Narrow"/>
                <w:bCs/>
                <w:noProof/>
                <w:color w:val="000000"/>
                <w:sz w:val="20"/>
                <w:highlight w:val="black"/>
              </w:rPr>
              <w:t>''''''''''</w:t>
            </w:r>
            <w:r w:rsidR="009840A0" w:rsidRPr="00A93F15">
              <w:rPr>
                <w:rFonts w:ascii="Arial Narrow" w:hAnsi="Arial Narrow"/>
                <w:bCs/>
                <w:sz w:val="20"/>
              </w:rPr>
              <w:t>%</w:t>
            </w:r>
          </w:p>
        </w:tc>
      </w:tr>
      <w:tr w:rsidR="00C42FAE" w:rsidRPr="00A93F15" w:rsidTr="005F616A">
        <w:tc>
          <w:tcPr>
            <w:tcW w:w="1360" w:type="pct"/>
            <w:shd w:val="clear" w:color="auto" w:fill="auto"/>
            <w:vAlign w:val="center"/>
          </w:tcPr>
          <w:p w:rsidR="00C25D9C" w:rsidRPr="00A93F15" w:rsidRDefault="00E026F1" w:rsidP="006C77AE">
            <w:pPr>
              <w:keepNext/>
              <w:widowControl/>
              <w:tabs>
                <w:tab w:val="left" w:pos="142"/>
              </w:tabs>
              <w:jc w:val="left"/>
              <w:rPr>
                <w:rFonts w:ascii="Arial Narrow" w:hAnsi="Arial Narrow"/>
                <w:sz w:val="20"/>
              </w:rPr>
            </w:pPr>
            <w:r w:rsidRPr="00A93F15">
              <w:rPr>
                <w:rFonts w:ascii="Arial Narrow" w:hAnsi="Arial Narrow"/>
                <w:sz w:val="20"/>
              </w:rPr>
              <w:t>Packs</w:t>
            </w:r>
            <w:r w:rsidR="00711AE4" w:rsidRPr="00A93F15">
              <w:rPr>
                <w:rFonts w:ascii="Arial Narrow" w:hAnsi="Arial Narrow"/>
                <w:sz w:val="20"/>
              </w:rPr>
              <w:t>*</w:t>
            </w:r>
          </w:p>
        </w:tc>
        <w:tc>
          <w:tcPr>
            <w:tcW w:w="679" w:type="pct"/>
            <w:shd w:val="clear" w:color="auto" w:fill="auto"/>
            <w:vAlign w:val="center"/>
          </w:tcPr>
          <w:p w:rsidR="00C25D9C" w:rsidRPr="00801ABB" w:rsidRDefault="00801ABB" w:rsidP="006C77AE">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801ABB" w:rsidRDefault="00801ABB" w:rsidP="006C77AE">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801ABB" w:rsidRDefault="00801ABB" w:rsidP="006C77AE">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801ABB" w:rsidRDefault="00801ABB" w:rsidP="006C77AE">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C25D9C" w:rsidRPr="00801ABB" w:rsidRDefault="00801ABB" w:rsidP="006C77AE">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C42FAE" w:rsidRPr="00A93F15" w:rsidTr="00643E50">
        <w:tc>
          <w:tcPr>
            <w:tcW w:w="1360" w:type="pct"/>
            <w:shd w:val="clear" w:color="auto" w:fill="auto"/>
            <w:vAlign w:val="center"/>
          </w:tcPr>
          <w:p w:rsidR="00643E50" w:rsidRPr="00A93F15" w:rsidRDefault="00643E50" w:rsidP="006C77AE">
            <w:pPr>
              <w:keepNext/>
              <w:widowControl/>
              <w:tabs>
                <w:tab w:val="left" w:pos="142"/>
              </w:tabs>
              <w:jc w:val="left"/>
              <w:rPr>
                <w:rFonts w:ascii="Arial Narrow" w:hAnsi="Arial Narrow"/>
                <w:bCs/>
                <w:sz w:val="20"/>
              </w:rPr>
            </w:pPr>
            <w:r w:rsidRPr="00A93F15">
              <w:rPr>
                <w:rFonts w:ascii="Arial Narrow" w:hAnsi="Arial Narrow"/>
                <w:bCs/>
                <w:sz w:val="20"/>
              </w:rPr>
              <w:t>Submission’s estimate of net cost/year for calcipotriol plus betamethasone foam spray</w:t>
            </w:r>
          </w:p>
        </w:tc>
        <w:tc>
          <w:tcPr>
            <w:tcW w:w="679" w:type="pct"/>
            <w:vAlign w:val="center"/>
          </w:tcPr>
          <w:p w:rsidR="00643E50" w:rsidRPr="00A93F15" w:rsidRDefault="00643E50"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679" w:type="pct"/>
            <w:vAlign w:val="center"/>
          </w:tcPr>
          <w:p w:rsidR="00643E50" w:rsidRPr="00A93F15" w:rsidRDefault="00643E50"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vAlign w:val="center"/>
          </w:tcPr>
          <w:p w:rsidR="00643E50" w:rsidRPr="00A93F15" w:rsidRDefault="00643E50"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vAlign w:val="center"/>
          </w:tcPr>
          <w:p w:rsidR="00643E50" w:rsidRPr="00A93F15" w:rsidRDefault="00643E50"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54" w:type="pct"/>
            <w:vAlign w:val="center"/>
          </w:tcPr>
          <w:p w:rsidR="00643E50" w:rsidRPr="00A93F15" w:rsidRDefault="00643E50"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r>
      <w:tr w:rsidR="00C42FAE" w:rsidRPr="00A93F15" w:rsidTr="00327BE8">
        <w:tc>
          <w:tcPr>
            <w:tcW w:w="1360" w:type="pct"/>
            <w:shd w:val="clear" w:color="auto" w:fill="auto"/>
            <w:vAlign w:val="center"/>
          </w:tcPr>
          <w:p w:rsidR="00327BE8" w:rsidRPr="00A93F15" w:rsidRDefault="00327BE8" w:rsidP="006C77AE">
            <w:pPr>
              <w:keepNext/>
              <w:widowControl/>
              <w:tabs>
                <w:tab w:val="left" w:pos="142"/>
              </w:tabs>
              <w:jc w:val="left"/>
              <w:rPr>
                <w:rFonts w:ascii="Arial Narrow" w:hAnsi="Arial Narrow"/>
                <w:bCs/>
                <w:sz w:val="20"/>
              </w:rPr>
            </w:pPr>
            <w:r w:rsidRPr="00A93F15">
              <w:rPr>
                <w:rFonts w:ascii="Arial Narrow" w:hAnsi="Arial Narrow"/>
                <w:bCs/>
                <w:sz w:val="20"/>
              </w:rPr>
              <w:t>Reduction in cost to PBS/RPBS from other drugs</w:t>
            </w:r>
          </w:p>
        </w:tc>
        <w:tc>
          <w:tcPr>
            <w:tcW w:w="679" w:type="pct"/>
          </w:tcPr>
          <w:p w:rsidR="00327BE8" w:rsidRPr="00A93F15" w:rsidRDefault="00327BE8" w:rsidP="006C77AE">
            <w:pPr>
              <w:keepNext/>
              <w:widowControl/>
              <w:jc w:val="center"/>
              <w:rPr>
                <w:rFonts w:ascii="Arial Narrow" w:hAnsi="Arial Narrow"/>
                <w:bCs/>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679" w:type="pct"/>
          </w:tcPr>
          <w:p w:rsidR="00327BE8" w:rsidRPr="00A93F15" w:rsidRDefault="00327BE8" w:rsidP="006C77AE">
            <w:pPr>
              <w:keepNext/>
              <w:widowControl/>
              <w:jc w:val="center"/>
              <w:rPr>
                <w:rFonts w:ascii="Arial Narrow" w:hAnsi="Arial Narrow"/>
                <w:bCs/>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tcPr>
          <w:p w:rsidR="00327BE8" w:rsidRPr="00A93F15" w:rsidRDefault="00327BE8" w:rsidP="006C77AE">
            <w:pPr>
              <w:keepNext/>
              <w:widowControl/>
              <w:jc w:val="center"/>
              <w:rPr>
                <w:rFonts w:ascii="Arial Narrow" w:hAnsi="Arial Narrow"/>
                <w:bCs/>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tcPr>
          <w:p w:rsidR="00327BE8" w:rsidRPr="00A93F15" w:rsidRDefault="00327BE8" w:rsidP="006C77AE">
            <w:pPr>
              <w:keepNext/>
              <w:widowControl/>
              <w:jc w:val="center"/>
              <w:rPr>
                <w:rFonts w:ascii="Arial Narrow" w:hAnsi="Arial Narrow"/>
                <w:bCs/>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54" w:type="pct"/>
          </w:tcPr>
          <w:p w:rsidR="00327BE8" w:rsidRPr="00A93F15" w:rsidRDefault="00327BE8" w:rsidP="006C77AE">
            <w:pPr>
              <w:keepNext/>
              <w:widowControl/>
              <w:jc w:val="center"/>
              <w:rPr>
                <w:rFonts w:ascii="Arial Narrow" w:hAnsi="Arial Narrow"/>
                <w:bCs/>
                <w:sz w:val="20"/>
              </w:rPr>
            </w:pPr>
            <w:r w:rsidRPr="00A93F15">
              <w:rPr>
                <w:rFonts w:ascii="Arial Narrow" w:hAnsi="Arial Narrow"/>
                <w:sz w:val="20"/>
              </w:rPr>
              <w:t>-$</w:t>
            </w:r>
            <w:r w:rsidR="00801ABB">
              <w:rPr>
                <w:rFonts w:ascii="Arial Narrow" w:hAnsi="Arial Narrow"/>
                <w:noProof/>
                <w:color w:val="000000"/>
                <w:sz w:val="20"/>
                <w:highlight w:val="black"/>
              </w:rPr>
              <w:t>'''''''''''''''''''''''''</w:t>
            </w:r>
          </w:p>
        </w:tc>
      </w:tr>
      <w:tr w:rsidR="00C42FAE" w:rsidRPr="00A93F15" w:rsidTr="00B36EC0">
        <w:tc>
          <w:tcPr>
            <w:tcW w:w="1360" w:type="pct"/>
            <w:shd w:val="clear" w:color="auto" w:fill="auto"/>
            <w:vAlign w:val="center"/>
          </w:tcPr>
          <w:p w:rsidR="00705AE8" w:rsidRPr="00A93F15" w:rsidRDefault="00705AE8" w:rsidP="006C77AE">
            <w:pPr>
              <w:keepNext/>
              <w:widowControl/>
              <w:tabs>
                <w:tab w:val="left" w:pos="142"/>
              </w:tabs>
              <w:jc w:val="left"/>
              <w:rPr>
                <w:rFonts w:ascii="Arial Narrow" w:hAnsi="Arial Narrow"/>
                <w:b/>
                <w:bCs/>
                <w:sz w:val="20"/>
              </w:rPr>
            </w:pPr>
            <w:r w:rsidRPr="00A93F15">
              <w:rPr>
                <w:rFonts w:ascii="Arial Narrow" w:hAnsi="Arial Narrow"/>
                <w:b/>
                <w:bCs/>
                <w:sz w:val="20"/>
              </w:rPr>
              <w:t>Submission’s estimate of net cost to the PBS/RPBS</w:t>
            </w:r>
          </w:p>
        </w:tc>
        <w:tc>
          <w:tcPr>
            <w:tcW w:w="679" w:type="pct"/>
            <w:vAlign w:val="center"/>
          </w:tcPr>
          <w:p w:rsidR="00705AE8" w:rsidRPr="00A93F15" w:rsidRDefault="00705AE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679" w:type="pct"/>
            <w:vAlign w:val="center"/>
          </w:tcPr>
          <w:p w:rsidR="00705AE8" w:rsidRPr="00A93F15" w:rsidRDefault="00705AE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vAlign w:val="center"/>
          </w:tcPr>
          <w:p w:rsidR="00705AE8" w:rsidRPr="00A93F15" w:rsidRDefault="00705AE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64" w:type="pct"/>
            <w:vAlign w:val="center"/>
          </w:tcPr>
          <w:p w:rsidR="00705AE8" w:rsidRPr="00A93F15" w:rsidRDefault="00705AE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c>
          <w:tcPr>
            <w:tcW w:w="754" w:type="pct"/>
            <w:vAlign w:val="center"/>
          </w:tcPr>
          <w:p w:rsidR="00705AE8" w:rsidRPr="00A93F15" w:rsidRDefault="00705AE8" w:rsidP="006C77AE">
            <w:pPr>
              <w:keepNext/>
              <w:widowControl/>
              <w:jc w:val="center"/>
              <w:rPr>
                <w:rFonts w:ascii="Arial Narrow" w:hAnsi="Arial Narrow"/>
                <w:sz w:val="20"/>
              </w:rPr>
            </w:pPr>
            <w:r w:rsidRPr="00A93F15">
              <w:rPr>
                <w:rFonts w:ascii="Arial Narrow" w:hAnsi="Arial Narrow"/>
                <w:sz w:val="20"/>
              </w:rPr>
              <w:t>$</w:t>
            </w:r>
            <w:r w:rsidR="00801ABB">
              <w:rPr>
                <w:rFonts w:ascii="Arial Narrow" w:hAnsi="Arial Narrow"/>
                <w:noProof/>
                <w:color w:val="000000"/>
                <w:sz w:val="20"/>
                <w:highlight w:val="black"/>
              </w:rPr>
              <w:t>'''''''''''''''''''''''''</w:t>
            </w:r>
          </w:p>
        </w:tc>
      </w:tr>
      <w:tr w:rsidR="00C42FAE" w:rsidRPr="00A93F15" w:rsidTr="00B36EC0">
        <w:tc>
          <w:tcPr>
            <w:tcW w:w="1360" w:type="pct"/>
            <w:shd w:val="clear" w:color="auto" w:fill="auto"/>
            <w:vAlign w:val="center"/>
          </w:tcPr>
          <w:p w:rsidR="008C2260" w:rsidRPr="00A93F15" w:rsidRDefault="008C2260" w:rsidP="006C77AE">
            <w:pPr>
              <w:keepNext/>
              <w:widowControl/>
              <w:tabs>
                <w:tab w:val="left" w:pos="142"/>
              </w:tabs>
              <w:jc w:val="left"/>
              <w:rPr>
                <w:rFonts w:ascii="Arial Narrow" w:hAnsi="Arial Narrow"/>
                <w:bCs/>
                <w:i/>
                <w:sz w:val="20"/>
              </w:rPr>
            </w:pPr>
            <w:r w:rsidRPr="00A93F15">
              <w:rPr>
                <w:rFonts w:ascii="Arial Narrow" w:hAnsi="Arial Narrow"/>
                <w:bCs/>
                <w:i/>
                <w:sz w:val="20"/>
              </w:rPr>
              <w:t>Revised total cost to PBS/RPBS of calcipotriol plus betamethasone foam spray</w:t>
            </w:r>
          </w:p>
        </w:tc>
        <w:tc>
          <w:tcPr>
            <w:tcW w:w="679" w:type="pct"/>
          </w:tcPr>
          <w:p w:rsidR="008C2260" w:rsidRPr="00A93F15" w:rsidRDefault="008C2260" w:rsidP="006C77AE">
            <w:pPr>
              <w:keepNext/>
              <w:widowControl/>
              <w:jc w:val="center"/>
              <w:rPr>
                <w:rFonts w:ascii="Arial Narrow" w:hAnsi="Arial Narrow"/>
                <w:bCs/>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679" w:type="pct"/>
          </w:tcPr>
          <w:p w:rsidR="008C2260" w:rsidRPr="00A93F15" w:rsidRDefault="008C2260" w:rsidP="006C77AE">
            <w:pPr>
              <w:keepNext/>
              <w:widowControl/>
              <w:jc w:val="center"/>
              <w:rPr>
                <w:rFonts w:ascii="Arial Narrow" w:hAnsi="Arial Narrow"/>
                <w:bCs/>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64" w:type="pct"/>
          </w:tcPr>
          <w:p w:rsidR="008C2260" w:rsidRPr="00A93F15" w:rsidRDefault="008C2260" w:rsidP="006C77AE">
            <w:pPr>
              <w:keepNext/>
              <w:widowControl/>
              <w:jc w:val="center"/>
              <w:rPr>
                <w:rFonts w:ascii="Arial Narrow" w:hAnsi="Arial Narrow"/>
                <w:bCs/>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64" w:type="pct"/>
          </w:tcPr>
          <w:p w:rsidR="008C2260" w:rsidRPr="00A93F15" w:rsidRDefault="008C2260" w:rsidP="006C77AE">
            <w:pPr>
              <w:keepNext/>
              <w:widowControl/>
              <w:jc w:val="center"/>
              <w:rPr>
                <w:rFonts w:ascii="Arial Narrow" w:hAnsi="Arial Narrow"/>
                <w:bCs/>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54" w:type="pct"/>
          </w:tcPr>
          <w:p w:rsidR="008C2260" w:rsidRPr="00A93F15" w:rsidRDefault="008C2260" w:rsidP="006C77AE">
            <w:pPr>
              <w:keepNext/>
              <w:widowControl/>
              <w:jc w:val="center"/>
              <w:rPr>
                <w:rFonts w:ascii="Arial Narrow" w:hAnsi="Arial Narrow"/>
                <w:bCs/>
                <w:sz w:val="20"/>
              </w:rPr>
            </w:pPr>
            <w:r w:rsidRPr="00A93F15">
              <w:rPr>
                <w:rFonts w:ascii="Arial Narrow" w:hAnsi="Arial Narrow"/>
                <w:i/>
                <w:sz w:val="20"/>
              </w:rPr>
              <w:t>$</w:t>
            </w:r>
            <w:r w:rsidR="00801ABB">
              <w:rPr>
                <w:rFonts w:ascii="Arial Narrow" w:hAnsi="Arial Narrow"/>
                <w:i/>
                <w:noProof/>
                <w:color w:val="000000"/>
                <w:sz w:val="20"/>
                <w:highlight w:val="black"/>
              </w:rPr>
              <w:t>''''''''''''''''''''''''''</w:t>
            </w:r>
          </w:p>
        </w:tc>
      </w:tr>
      <w:tr w:rsidR="00C42FAE" w:rsidRPr="00A93F15" w:rsidTr="00350F37">
        <w:tc>
          <w:tcPr>
            <w:tcW w:w="1360" w:type="pct"/>
            <w:shd w:val="clear" w:color="auto" w:fill="auto"/>
            <w:vAlign w:val="center"/>
          </w:tcPr>
          <w:p w:rsidR="00350F37" w:rsidRPr="00A93F15" w:rsidRDefault="00350F37" w:rsidP="006C77AE">
            <w:pPr>
              <w:keepNext/>
              <w:widowControl/>
              <w:tabs>
                <w:tab w:val="left" w:pos="142"/>
              </w:tabs>
              <w:jc w:val="left"/>
              <w:rPr>
                <w:rFonts w:ascii="Arial Narrow" w:hAnsi="Arial Narrow"/>
                <w:bCs/>
                <w:sz w:val="20"/>
              </w:rPr>
            </w:pPr>
            <w:r w:rsidRPr="00A93F15">
              <w:rPr>
                <w:rFonts w:ascii="Arial Narrow" w:hAnsi="Arial Narrow"/>
                <w:bCs/>
                <w:sz w:val="20"/>
              </w:rPr>
              <w:t>Reduction in cost to PBS/RPBS from other drugs</w:t>
            </w:r>
          </w:p>
        </w:tc>
        <w:tc>
          <w:tcPr>
            <w:tcW w:w="3640" w:type="pct"/>
            <w:gridSpan w:val="5"/>
          </w:tcPr>
          <w:p w:rsidR="00350F37" w:rsidRPr="00A93F15" w:rsidRDefault="00350F37" w:rsidP="006C77AE">
            <w:pPr>
              <w:keepNext/>
              <w:widowControl/>
              <w:jc w:val="center"/>
              <w:rPr>
                <w:rFonts w:ascii="Arial Narrow" w:hAnsi="Arial Narrow"/>
                <w:bCs/>
                <w:sz w:val="20"/>
              </w:rPr>
            </w:pPr>
            <w:r w:rsidRPr="00A93F15">
              <w:rPr>
                <w:rFonts w:ascii="Arial Narrow" w:hAnsi="Arial Narrow"/>
                <w:bCs/>
                <w:sz w:val="20"/>
              </w:rPr>
              <w:t>(as per submission’s estimates above)</w:t>
            </w:r>
          </w:p>
        </w:tc>
      </w:tr>
      <w:tr w:rsidR="00C42FAE" w:rsidRPr="00A93F15" w:rsidTr="00327BE8">
        <w:tc>
          <w:tcPr>
            <w:tcW w:w="1360" w:type="pct"/>
            <w:shd w:val="clear" w:color="auto" w:fill="auto"/>
            <w:vAlign w:val="center"/>
          </w:tcPr>
          <w:p w:rsidR="00327BE8" w:rsidRPr="00A93F15" w:rsidRDefault="00643E50" w:rsidP="006C77AE">
            <w:pPr>
              <w:keepNext/>
              <w:widowControl/>
              <w:tabs>
                <w:tab w:val="left" w:pos="142"/>
              </w:tabs>
              <w:jc w:val="left"/>
              <w:rPr>
                <w:rFonts w:ascii="Arial Narrow" w:hAnsi="Arial Narrow"/>
                <w:b/>
                <w:i/>
                <w:sz w:val="20"/>
              </w:rPr>
            </w:pPr>
            <w:r w:rsidRPr="00A93F15">
              <w:rPr>
                <w:rFonts w:ascii="Arial Narrow" w:hAnsi="Arial Narrow"/>
                <w:b/>
                <w:bCs/>
                <w:i/>
                <w:sz w:val="20"/>
              </w:rPr>
              <w:t>Revised n</w:t>
            </w:r>
            <w:r w:rsidR="00327BE8" w:rsidRPr="00A93F15">
              <w:rPr>
                <w:rFonts w:ascii="Arial Narrow" w:hAnsi="Arial Narrow"/>
                <w:b/>
                <w:bCs/>
                <w:i/>
                <w:sz w:val="20"/>
              </w:rPr>
              <w:t>et cost to PBS/RPBS</w:t>
            </w:r>
          </w:p>
        </w:tc>
        <w:tc>
          <w:tcPr>
            <w:tcW w:w="679" w:type="pct"/>
          </w:tcPr>
          <w:p w:rsidR="00327BE8" w:rsidRPr="00A93F15" w:rsidRDefault="00327BE8" w:rsidP="006C77AE">
            <w:pPr>
              <w:keepNext/>
              <w:widowControl/>
              <w:jc w:val="center"/>
              <w:rPr>
                <w:rFonts w:ascii="Arial Narrow" w:hAnsi="Arial Narrow"/>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679" w:type="pct"/>
          </w:tcPr>
          <w:p w:rsidR="00327BE8" w:rsidRPr="00A93F15" w:rsidRDefault="00327BE8" w:rsidP="006C77AE">
            <w:pPr>
              <w:keepNext/>
              <w:widowControl/>
              <w:jc w:val="center"/>
              <w:rPr>
                <w:rFonts w:ascii="Arial Narrow" w:hAnsi="Arial Narrow"/>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64" w:type="pct"/>
          </w:tcPr>
          <w:p w:rsidR="00327BE8" w:rsidRPr="00A93F15" w:rsidRDefault="00327BE8" w:rsidP="006C77AE">
            <w:pPr>
              <w:keepNext/>
              <w:widowControl/>
              <w:jc w:val="center"/>
              <w:rPr>
                <w:rFonts w:ascii="Arial Narrow" w:hAnsi="Arial Narrow"/>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64" w:type="pct"/>
          </w:tcPr>
          <w:p w:rsidR="00327BE8" w:rsidRPr="00A93F15" w:rsidRDefault="00327BE8" w:rsidP="006C77AE">
            <w:pPr>
              <w:keepNext/>
              <w:widowControl/>
              <w:jc w:val="center"/>
              <w:rPr>
                <w:rFonts w:ascii="Arial Narrow" w:hAnsi="Arial Narrow"/>
                <w:sz w:val="20"/>
              </w:rPr>
            </w:pPr>
            <w:r w:rsidRPr="00A93F15">
              <w:rPr>
                <w:rFonts w:ascii="Arial Narrow" w:hAnsi="Arial Narrow"/>
                <w:i/>
                <w:sz w:val="20"/>
              </w:rPr>
              <w:t>$</w:t>
            </w:r>
            <w:r w:rsidR="00801ABB">
              <w:rPr>
                <w:rFonts w:ascii="Arial Narrow" w:hAnsi="Arial Narrow"/>
                <w:i/>
                <w:noProof/>
                <w:color w:val="000000"/>
                <w:sz w:val="20"/>
                <w:highlight w:val="black"/>
              </w:rPr>
              <w:t>'''''''''''''''''''''''''</w:t>
            </w:r>
          </w:p>
        </w:tc>
        <w:tc>
          <w:tcPr>
            <w:tcW w:w="754" w:type="pct"/>
          </w:tcPr>
          <w:p w:rsidR="00327BE8" w:rsidRPr="00A93F15" w:rsidRDefault="00327BE8" w:rsidP="006C77AE">
            <w:pPr>
              <w:keepNext/>
              <w:widowControl/>
              <w:jc w:val="center"/>
              <w:rPr>
                <w:rFonts w:ascii="Arial Narrow" w:hAnsi="Arial Narrow"/>
                <w:sz w:val="20"/>
              </w:rPr>
            </w:pPr>
            <w:r w:rsidRPr="00A93F15">
              <w:rPr>
                <w:rFonts w:ascii="Arial Narrow" w:hAnsi="Arial Narrow"/>
                <w:i/>
                <w:sz w:val="20"/>
              </w:rPr>
              <w:t>$</w:t>
            </w:r>
            <w:r w:rsidR="00801ABB">
              <w:rPr>
                <w:rFonts w:ascii="Arial Narrow" w:hAnsi="Arial Narrow"/>
                <w:i/>
                <w:noProof/>
                <w:color w:val="000000"/>
                <w:sz w:val="20"/>
                <w:highlight w:val="black"/>
              </w:rPr>
              <w:t>'''''''''''''''''''''''''</w:t>
            </w:r>
          </w:p>
        </w:tc>
      </w:tr>
      <w:tr w:rsidR="00C42FAE" w:rsidRPr="00A93F15" w:rsidTr="005F616A">
        <w:tc>
          <w:tcPr>
            <w:tcW w:w="1360" w:type="pct"/>
            <w:shd w:val="clear" w:color="auto" w:fill="auto"/>
            <w:vAlign w:val="center"/>
          </w:tcPr>
          <w:p w:rsidR="005F616A" w:rsidRPr="00A93F15" w:rsidRDefault="00643E50" w:rsidP="006C77AE">
            <w:pPr>
              <w:keepNext/>
              <w:widowControl/>
              <w:tabs>
                <w:tab w:val="left" w:pos="142"/>
              </w:tabs>
              <w:jc w:val="left"/>
              <w:rPr>
                <w:rFonts w:ascii="Arial Narrow" w:hAnsi="Arial Narrow"/>
                <w:bCs/>
                <w:i/>
                <w:sz w:val="20"/>
              </w:rPr>
            </w:pPr>
            <w:r w:rsidRPr="00A93F15">
              <w:rPr>
                <w:rFonts w:ascii="Arial Narrow" w:hAnsi="Arial Narrow"/>
                <w:bCs/>
                <w:i/>
                <w:sz w:val="20"/>
              </w:rPr>
              <w:t xml:space="preserve">Revised </w:t>
            </w:r>
            <w:r w:rsidR="005F616A" w:rsidRPr="00A93F15">
              <w:rPr>
                <w:rFonts w:ascii="Arial Narrow" w:hAnsi="Arial Narrow"/>
                <w:bCs/>
                <w:i/>
                <w:sz w:val="20"/>
              </w:rPr>
              <w:t>net cost to PBS/RPBS over 5 years</w:t>
            </w:r>
          </w:p>
        </w:tc>
        <w:tc>
          <w:tcPr>
            <w:tcW w:w="3640" w:type="pct"/>
            <w:gridSpan w:val="5"/>
            <w:shd w:val="clear" w:color="auto" w:fill="auto"/>
            <w:vAlign w:val="center"/>
          </w:tcPr>
          <w:p w:rsidR="005F616A" w:rsidRPr="00A93F15" w:rsidRDefault="00C73725" w:rsidP="006C77AE">
            <w:pPr>
              <w:keepNext/>
              <w:widowControl/>
              <w:jc w:val="center"/>
              <w:rPr>
                <w:rFonts w:ascii="Arial Narrow" w:hAnsi="Arial Narrow"/>
                <w:bCs/>
                <w:i/>
                <w:sz w:val="20"/>
              </w:rPr>
            </w:pPr>
            <w:r w:rsidRPr="00A93F15">
              <w:rPr>
                <w:rFonts w:ascii="Arial Narrow" w:hAnsi="Arial Narrow"/>
                <w:bCs/>
                <w:i/>
                <w:sz w:val="20"/>
              </w:rPr>
              <w:t>$</w:t>
            </w:r>
            <w:r w:rsidR="00801ABB">
              <w:rPr>
                <w:rFonts w:ascii="Arial Narrow" w:hAnsi="Arial Narrow"/>
                <w:bCs/>
                <w:i/>
                <w:noProof/>
                <w:color w:val="000000"/>
                <w:sz w:val="20"/>
                <w:highlight w:val="black"/>
              </w:rPr>
              <w:t>''''''''''''''''''''''''''''</w:t>
            </w:r>
          </w:p>
        </w:tc>
      </w:tr>
    </w:tbl>
    <w:p w:rsidR="00C25D9C" w:rsidRPr="00A93F15" w:rsidRDefault="00711AE4" w:rsidP="006C77AE">
      <w:pPr>
        <w:pStyle w:val="TableFooter"/>
        <w:keepNext/>
        <w:widowControl/>
        <w:ind w:firstLine="720"/>
      </w:pPr>
      <w:r w:rsidRPr="00A93F15">
        <w:rPr>
          <w:vertAlign w:val="superscript"/>
        </w:rPr>
        <w:t>*</w:t>
      </w:r>
      <w:r w:rsidR="00C25D9C" w:rsidRPr="00A93F15">
        <w:t xml:space="preserve">Assuming </w:t>
      </w:r>
      <w:r w:rsidR="009840A0" w:rsidRPr="00A93F15">
        <w:t>1.7 packs per service</w:t>
      </w:r>
      <w:r w:rsidR="00C25D9C" w:rsidRPr="00A93F15">
        <w:t xml:space="preserve"> as estimated by the submission</w:t>
      </w:r>
    </w:p>
    <w:p w:rsidR="002B5223" w:rsidRPr="00A93F15" w:rsidRDefault="002B5223" w:rsidP="006C77AE">
      <w:pPr>
        <w:pStyle w:val="TableFooter"/>
        <w:keepNext/>
        <w:widowControl/>
        <w:ind w:firstLine="720"/>
      </w:pPr>
      <w:r w:rsidRPr="00A93F15">
        <w:t>These figures do not include patient co-payments</w:t>
      </w:r>
    </w:p>
    <w:p w:rsidR="002B5223" w:rsidRPr="00A93F15" w:rsidRDefault="002B5223" w:rsidP="006C77AE">
      <w:pPr>
        <w:pStyle w:val="TableFooter"/>
        <w:keepNext/>
        <w:widowControl/>
        <w:ind w:left="720"/>
        <w:rPr>
          <w:i/>
          <w:sz w:val="16"/>
          <w:szCs w:val="18"/>
        </w:rPr>
      </w:pPr>
      <w:r w:rsidRPr="00A93F15">
        <w:rPr>
          <w:i/>
        </w:rPr>
        <w:t>Figures in italics were revised during the evaluation since the submission’s cost did not include the cost of calcipotriol plus betamethasone foam spray packs due to additional market growth</w:t>
      </w:r>
    </w:p>
    <w:p w:rsidR="00C25D9C" w:rsidRDefault="00C25D9C" w:rsidP="006C77AE">
      <w:pPr>
        <w:pStyle w:val="TableFooter"/>
        <w:widowControl/>
        <w:ind w:firstLine="720"/>
        <w:rPr>
          <w:szCs w:val="18"/>
        </w:rPr>
      </w:pPr>
      <w:r w:rsidRPr="00A93F15">
        <w:rPr>
          <w:sz w:val="16"/>
          <w:szCs w:val="18"/>
        </w:rPr>
        <w:t>Source:</w:t>
      </w:r>
      <w:r w:rsidR="009840A0" w:rsidRPr="00A93F15">
        <w:rPr>
          <w:sz w:val="16"/>
          <w:szCs w:val="18"/>
        </w:rPr>
        <w:t xml:space="preserve"> </w:t>
      </w:r>
      <w:r w:rsidR="009840A0" w:rsidRPr="00A93F15">
        <w:rPr>
          <w:szCs w:val="18"/>
        </w:rPr>
        <w:t>Ta</w:t>
      </w:r>
      <w:r w:rsidRPr="00A93F15">
        <w:rPr>
          <w:szCs w:val="18"/>
        </w:rPr>
        <w:t>ble</w:t>
      </w:r>
      <w:r w:rsidR="009840A0" w:rsidRPr="00A93F15">
        <w:rPr>
          <w:szCs w:val="18"/>
        </w:rPr>
        <w:t xml:space="preserve"> 71</w:t>
      </w:r>
      <w:r w:rsidR="002B5223" w:rsidRPr="00A93F15">
        <w:rPr>
          <w:szCs w:val="18"/>
        </w:rPr>
        <w:t xml:space="preserve">-81, p117-123 </w:t>
      </w:r>
      <w:r w:rsidR="009840A0" w:rsidRPr="00A93F15">
        <w:rPr>
          <w:szCs w:val="18"/>
        </w:rPr>
        <w:t>of the submission</w:t>
      </w:r>
      <w:r w:rsidR="002B5223" w:rsidRPr="00A93F15">
        <w:rPr>
          <w:szCs w:val="18"/>
        </w:rPr>
        <w:t>, and Section E workbook</w:t>
      </w:r>
    </w:p>
    <w:p w:rsidR="009C725D" w:rsidRDefault="009C725D" w:rsidP="006C77AE">
      <w:pPr>
        <w:pStyle w:val="TableFooter"/>
        <w:widowControl/>
        <w:ind w:firstLine="720"/>
        <w:rPr>
          <w:szCs w:val="18"/>
        </w:rPr>
      </w:pPr>
    </w:p>
    <w:p w:rsidR="009C725D" w:rsidRPr="009C725D" w:rsidRDefault="009C725D" w:rsidP="009C725D">
      <w:pPr>
        <w:pStyle w:val="TableFooter"/>
        <w:widowControl/>
        <w:ind w:left="720"/>
        <w:rPr>
          <w:rFonts w:ascii="Arial" w:hAnsi="Arial"/>
          <w:sz w:val="22"/>
        </w:rPr>
      </w:pPr>
      <w:r w:rsidRPr="009C725D">
        <w:rPr>
          <w:rFonts w:ascii="Arial" w:hAnsi="Arial"/>
          <w:sz w:val="22"/>
        </w:rPr>
        <w:t>The</w:t>
      </w:r>
      <w:r>
        <w:rPr>
          <w:rFonts w:ascii="Arial" w:hAnsi="Arial"/>
          <w:sz w:val="22"/>
        </w:rPr>
        <w:t xml:space="preserve"> redacted table above shows that at year 5, </w:t>
      </w:r>
      <w:r w:rsidR="00102619">
        <w:rPr>
          <w:rFonts w:ascii="Arial" w:hAnsi="Arial"/>
          <w:sz w:val="22"/>
        </w:rPr>
        <w:t xml:space="preserve">the estimated number of packs was 100,000 – 200,000 per year and </w:t>
      </w:r>
      <w:r>
        <w:rPr>
          <w:rFonts w:ascii="Arial" w:hAnsi="Arial"/>
          <w:sz w:val="22"/>
        </w:rPr>
        <w:t>the net cost to PBS would be less than $10 million.</w:t>
      </w:r>
    </w:p>
    <w:p w:rsidR="00C25D9C" w:rsidRPr="00A93F15" w:rsidRDefault="00C25D9C" w:rsidP="006C77AE">
      <w:pPr>
        <w:widowControl/>
        <w:rPr>
          <w:szCs w:val="22"/>
        </w:rPr>
      </w:pPr>
    </w:p>
    <w:p w:rsidR="008C6B85" w:rsidRPr="00A93F15" w:rsidRDefault="005E4A25" w:rsidP="006C77AE">
      <w:pPr>
        <w:pStyle w:val="ListParagraph"/>
        <w:widowControl/>
        <w:numPr>
          <w:ilvl w:val="1"/>
          <w:numId w:val="5"/>
        </w:numPr>
        <w:rPr>
          <w:szCs w:val="22"/>
        </w:rPr>
      </w:pPr>
      <w:r w:rsidRPr="00A93F15">
        <w:t xml:space="preserve">The net cost is due to </w:t>
      </w:r>
      <w:r w:rsidR="00DA725F" w:rsidRPr="00A93F15">
        <w:t xml:space="preserve">the higher DPMQ requested and </w:t>
      </w:r>
      <w:r w:rsidR="009D56E0" w:rsidRPr="00A93F15">
        <w:t xml:space="preserve">the </w:t>
      </w:r>
      <w:r w:rsidR="004F78D1" w:rsidRPr="00A93F15">
        <w:t xml:space="preserve">cost of treating </w:t>
      </w:r>
      <w:r w:rsidR="009D56E0" w:rsidRPr="00A93F15">
        <w:t xml:space="preserve">additional patients that </w:t>
      </w:r>
      <w:r w:rsidR="004F78D1" w:rsidRPr="00A93F15">
        <w:t>the submission expect</w:t>
      </w:r>
      <w:r w:rsidR="008C6B85" w:rsidRPr="00A93F15">
        <w:t>ed</w:t>
      </w:r>
      <w:r w:rsidR="004F78D1" w:rsidRPr="00A93F15">
        <w:t xml:space="preserve"> would otherwise not have been treated with a combination c</w:t>
      </w:r>
      <w:r w:rsidR="009D56E0" w:rsidRPr="00A93F15">
        <w:t xml:space="preserve">alcipotriol plus betamethasone </w:t>
      </w:r>
      <w:r w:rsidR="004F78D1" w:rsidRPr="00A93F15">
        <w:t>product</w:t>
      </w:r>
      <w:r w:rsidR="00582E1B">
        <w:t xml:space="preserve">. </w:t>
      </w:r>
    </w:p>
    <w:p w:rsidR="008C6B85" w:rsidRPr="00A93F15" w:rsidRDefault="008C6B85" w:rsidP="006C77AE">
      <w:pPr>
        <w:widowControl/>
        <w:rPr>
          <w:szCs w:val="22"/>
        </w:rPr>
      </w:pPr>
    </w:p>
    <w:p w:rsidR="005E4A25" w:rsidRPr="00A93F15" w:rsidRDefault="006F7350" w:rsidP="006C77AE">
      <w:pPr>
        <w:pStyle w:val="ListParagraph"/>
        <w:widowControl/>
        <w:numPr>
          <w:ilvl w:val="1"/>
          <w:numId w:val="5"/>
        </w:numPr>
        <w:rPr>
          <w:szCs w:val="22"/>
        </w:rPr>
      </w:pPr>
      <w:r w:rsidRPr="00A93F15">
        <w:t>The submission predict</w:t>
      </w:r>
      <w:r w:rsidR="008C6B85" w:rsidRPr="00A93F15">
        <w:t>ed</w:t>
      </w:r>
      <w:r w:rsidR="004F78D1" w:rsidRPr="00A93F15">
        <w:t xml:space="preserve"> growth of 4% in 60</w:t>
      </w:r>
      <w:r w:rsidR="001F6AEC" w:rsidRPr="00A93F15">
        <w:t xml:space="preserve"> </w:t>
      </w:r>
      <w:r w:rsidR="004F78D1" w:rsidRPr="00A93F15">
        <w:t>g equivalent packs for the calcipotriol plus betamethasone market in the absence of a PBS listing for the foam spray, and a</w:t>
      </w:r>
      <w:r w:rsidRPr="00A93F15">
        <w:t xml:space="preserve">dditional market growth </w:t>
      </w:r>
      <w:r w:rsidR="004F78D1" w:rsidRPr="00A93F15">
        <w:t>due to a listing for the</w:t>
      </w:r>
      <w:r w:rsidRPr="00A93F15">
        <w:t xml:space="preserve"> foam spray of </w:t>
      </w:r>
      <w:r w:rsidR="00DA725F" w:rsidRPr="00A93F15">
        <w:t>12.8% in Year 1</w:t>
      </w:r>
      <w:r w:rsidR="003A65E0">
        <w:t xml:space="preserve"> to</w:t>
      </w:r>
      <w:r w:rsidR="00DA725F" w:rsidRPr="00A93F15">
        <w:t xml:space="preserve"> 5.0% in Year 5</w:t>
      </w:r>
      <w:r w:rsidR="00582E1B">
        <w:t xml:space="preserve">. </w:t>
      </w:r>
      <w:r w:rsidR="008C6B85" w:rsidRPr="00A93F15">
        <w:rPr>
          <w:rFonts w:ascii="Arial Narrow" w:hAnsi="Arial Narrow"/>
          <w:sz w:val="20"/>
        </w:rPr>
        <w:t xml:space="preserve"> </w:t>
      </w:r>
      <w:r w:rsidR="008C6B85" w:rsidRPr="00A93F15">
        <w:rPr>
          <w:szCs w:val="22"/>
        </w:rPr>
        <w:t xml:space="preserve">No justification was provided for these estimates </w:t>
      </w:r>
      <w:r w:rsidR="0066070D" w:rsidRPr="00A93F15">
        <w:rPr>
          <w:szCs w:val="22"/>
        </w:rPr>
        <w:t>of</w:t>
      </w:r>
      <w:r w:rsidR="008C6B85" w:rsidRPr="00A93F15">
        <w:rPr>
          <w:szCs w:val="22"/>
        </w:rPr>
        <w:t xml:space="preserve"> </w:t>
      </w:r>
      <w:r w:rsidR="00196666" w:rsidRPr="00A93F15">
        <w:t xml:space="preserve">additional market </w:t>
      </w:r>
      <w:r w:rsidR="008C6B85" w:rsidRPr="00A93F15">
        <w:rPr>
          <w:szCs w:val="22"/>
        </w:rPr>
        <w:t>growth and the submission</w:t>
      </w:r>
      <w:r w:rsidR="0066070D" w:rsidRPr="00A93F15">
        <w:rPr>
          <w:szCs w:val="22"/>
        </w:rPr>
        <w:t>’s</w:t>
      </w:r>
      <w:r w:rsidR="008C6B85" w:rsidRPr="00A93F15">
        <w:rPr>
          <w:szCs w:val="22"/>
        </w:rPr>
        <w:t xml:space="preserve"> </w:t>
      </w:r>
      <w:r w:rsidR="00196666" w:rsidRPr="00A93F15">
        <w:rPr>
          <w:szCs w:val="22"/>
        </w:rPr>
        <w:t xml:space="preserve">calculations incorrectly </w:t>
      </w:r>
      <w:r w:rsidR="008C6B85" w:rsidRPr="00A93F15">
        <w:rPr>
          <w:szCs w:val="22"/>
        </w:rPr>
        <w:t>did not include these growth rates in the financial estimates</w:t>
      </w:r>
      <w:r w:rsidR="00582E1B">
        <w:rPr>
          <w:szCs w:val="22"/>
        </w:rPr>
        <w:t xml:space="preserve">. </w:t>
      </w:r>
      <w:r w:rsidR="00196666" w:rsidRPr="00A93F15">
        <w:rPr>
          <w:szCs w:val="22"/>
        </w:rPr>
        <w:t>The a</w:t>
      </w:r>
      <w:r w:rsidR="008C6B85" w:rsidRPr="00A93F15">
        <w:rPr>
          <w:szCs w:val="22"/>
        </w:rPr>
        <w:t>dditional growth in the market</w:t>
      </w:r>
      <w:r w:rsidR="00CB1289">
        <w:rPr>
          <w:szCs w:val="22"/>
        </w:rPr>
        <w:t>,</w:t>
      </w:r>
      <w:r w:rsidR="008C6B85" w:rsidRPr="00A93F15">
        <w:rPr>
          <w:szCs w:val="22"/>
        </w:rPr>
        <w:t xml:space="preserve"> as estimated by the submission</w:t>
      </w:r>
      <w:r w:rsidR="00CB1289">
        <w:rPr>
          <w:szCs w:val="22"/>
        </w:rPr>
        <w:t>,</w:t>
      </w:r>
      <w:r w:rsidR="008C6B85" w:rsidRPr="00A93F15">
        <w:rPr>
          <w:szCs w:val="22"/>
        </w:rPr>
        <w:t xml:space="preserve"> was </w:t>
      </w:r>
      <w:r w:rsidR="003B022C" w:rsidRPr="00A93F15">
        <w:rPr>
          <w:szCs w:val="22"/>
        </w:rPr>
        <w:t>included</w:t>
      </w:r>
      <w:r w:rsidR="008C6B85" w:rsidRPr="00A93F15">
        <w:rPr>
          <w:szCs w:val="22"/>
        </w:rPr>
        <w:t xml:space="preserve"> </w:t>
      </w:r>
      <w:r w:rsidR="0070338D" w:rsidRPr="00A93F15">
        <w:rPr>
          <w:szCs w:val="22"/>
        </w:rPr>
        <w:t xml:space="preserve">in the estimates </w:t>
      </w:r>
      <w:r w:rsidR="0066070D" w:rsidRPr="00A93F15">
        <w:rPr>
          <w:szCs w:val="22"/>
        </w:rPr>
        <w:t xml:space="preserve">calculated </w:t>
      </w:r>
      <w:r w:rsidR="008C6B85" w:rsidRPr="00A93F15">
        <w:rPr>
          <w:szCs w:val="22"/>
        </w:rPr>
        <w:t>during the evaluation.</w:t>
      </w:r>
      <w:r w:rsidR="007640FE" w:rsidRPr="00A93F15">
        <w:rPr>
          <w:szCs w:val="22"/>
        </w:rPr>
        <w:t xml:space="preserve"> </w:t>
      </w:r>
      <w:r w:rsidR="00727C9E" w:rsidRPr="00A93F15">
        <w:rPr>
          <w:szCs w:val="22"/>
        </w:rPr>
        <w:t>The ESC</w:t>
      </w:r>
      <w:r w:rsidR="00296DB0" w:rsidRPr="00A93F15">
        <w:rPr>
          <w:szCs w:val="22"/>
        </w:rPr>
        <w:t xml:space="preserve"> noted that </w:t>
      </w:r>
      <w:r w:rsidR="00285DE2" w:rsidRPr="00A93F15">
        <w:rPr>
          <w:szCs w:val="22"/>
        </w:rPr>
        <w:t xml:space="preserve">the </w:t>
      </w:r>
      <w:r w:rsidR="00FE2CBF" w:rsidRPr="00A93F15">
        <w:rPr>
          <w:szCs w:val="22"/>
        </w:rPr>
        <w:t>proposed</w:t>
      </w:r>
      <w:r w:rsidR="00285DE2" w:rsidRPr="00A93F15">
        <w:rPr>
          <w:szCs w:val="22"/>
        </w:rPr>
        <w:t xml:space="preserve"> </w:t>
      </w:r>
      <w:r w:rsidR="00296DB0" w:rsidRPr="00A93F15">
        <w:rPr>
          <w:szCs w:val="22"/>
        </w:rPr>
        <w:t xml:space="preserve">market growth could be </w:t>
      </w:r>
      <w:r w:rsidR="00FE2CBF" w:rsidRPr="00A93F15">
        <w:rPr>
          <w:szCs w:val="22"/>
        </w:rPr>
        <w:t>conservative</w:t>
      </w:r>
      <w:r w:rsidR="000275D5" w:rsidRPr="00A93F15">
        <w:rPr>
          <w:szCs w:val="22"/>
        </w:rPr>
        <w:t xml:space="preserve">, mainly due to </w:t>
      </w:r>
      <w:r w:rsidR="009A0198" w:rsidRPr="00A93F15">
        <w:rPr>
          <w:szCs w:val="22"/>
        </w:rPr>
        <w:t xml:space="preserve">the </w:t>
      </w:r>
      <w:r w:rsidR="000275D5" w:rsidRPr="00A93F15">
        <w:rPr>
          <w:szCs w:val="22"/>
        </w:rPr>
        <w:t xml:space="preserve">improvements in </w:t>
      </w:r>
      <w:r w:rsidR="002B7704" w:rsidRPr="00A93F15">
        <w:rPr>
          <w:szCs w:val="22"/>
        </w:rPr>
        <w:t xml:space="preserve">the application </w:t>
      </w:r>
      <w:r w:rsidR="00285DE2" w:rsidRPr="00A93F15">
        <w:rPr>
          <w:szCs w:val="22"/>
        </w:rPr>
        <w:t>of the product</w:t>
      </w:r>
      <w:r w:rsidR="00D92F2C" w:rsidRPr="00A93F15">
        <w:rPr>
          <w:szCs w:val="22"/>
        </w:rPr>
        <w:t>.</w:t>
      </w:r>
      <w:r w:rsidR="00FE2CBF" w:rsidRPr="00A93F15">
        <w:rPr>
          <w:szCs w:val="22"/>
        </w:rPr>
        <w:t xml:space="preserve"> The ESC noted in the PSCR (p1) that the sponsor is the sole supplier of the combination </w:t>
      </w:r>
      <w:r w:rsidR="00FE2CBF" w:rsidRPr="00A93F15">
        <w:t>calcipotriol plus betamethasone</w:t>
      </w:r>
      <w:r w:rsidR="00FE2CBF" w:rsidRPr="00A93F15">
        <w:rPr>
          <w:szCs w:val="22"/>
        </w:rPr>
        <w:t xml:space="preserve"> </w:t>
      </w:r>
      <w:r w:rsidR="009A7984" w:rsidRPr="00A93F15">
        <w:rPr>
          <w:szCs w:val="22"/>
        </w:rPr>
        <w:t>produ</w:t>
      </w:r>
      <w:r w:rsidR="00FE2CBF" w:rsidRPr="00A93F15">
        <w:rPr>
          <w:szCs w:val="22"/>
        </w:rPr>
        <w:t>cts</w:t>
      </w:r>
      <w:r w:rsidR="009A7984" w:rsidRPr="00A93F15">
        <w:rPr>
          <w:szCs w:val="22"/>
        </w:rPr>
        <w:t xml:space="preserve"> and that the market growth was based on historical growth in the psoriasis market with an increase due to the</w:t>
      </w:r>
      <w:r w:rsidR="009A7984" w:rsidRPr="00A93F15">
        <w:rPr>
          <w:i/>
          <w:szCs w:val="22"/>
        </w:rPr>
        <w:t xml:space="preserve"> </w:t>
      </w:r>
      <w:r w:rsidR="009A7984" w:rsidRPr="00A93F15">
        <w:rPr>
          <w:szCs w:val="22"/>
        </w:rPr>
        <w:t>novel presentation of the foam formulation.</w:t>
      </w:r>
      <w:r w:rsidR="00D92F2C" w:rsidRPr="00A93F15">
        <w:rPr>
          <w:szCs w:val="22"/>
        </w:rPr>
        <w:t xml:space="preserve"> The ESC </w:t>
      </w:r>
      <w:r w:rsidR="00285DE2" w:rsidRPr="00A93F15">
        <w:rPr>
          <w:szCs w:val="22"/>
        </w:rPr>
        <w:t xml:space="preserve">also </w:t>
      </w:r>
      <w:r w:rsidR="00D92F2C" w:rsidRPr="00A93F15">
        <w:rPr>
          <w:szCs w:val="22"/>
        </w:rPr>
        <w:t xml:space="preserve">noted that calcipotriol with </w:t>
      </w:r>
      <w:r w:rsidR="003A65E0" w:rsidRPr="00A93F15">
        <w:rPr>
          <w:szCs w:val="22"/>
        </w:rPr>
        <w:t>betamethasone</w:t>
      </w:r>
      <w:r w:rsidR="00D92F2C" w:rsidRPr="00A93F15">
        <w:rPr>
          <w:szCs w:val="22"/>
        </w:rPr>
        <w:t xml:space="preserve"> foam ma</w:t>
      </w:r>
      <w:r w:rsidR="00007AE1" w:rsidRPr="00A93F15">
        <w:rPr>
          <w:szCs w:val="22"/>
        </w:rPr>
        <w:t xml:space="preserve">y become a first line product </w:t>
      </w:r>
      <w:r w:rsidR="000A21B3" w:rsidRPr="00A93F15">
        <w:rPr>
          <w:szCs w:val="22"/>
        </w:rPr>
        <w:t xml:space="preserve">for </w:t>
      </w:r>
      <w:r w:rsidR="00007AE1" w:rsidRPr="00A93F15">
        <w:rPr>
          <w:szCs w:val="22"/>
        </w:rPr>
        <w:t>patients with psoriasis.</w:t>
      </w:r>
    </w:p>
    <w:p w:rsidR="005E4A25" w:rsidRPr="00A93F15" w:rsidRDefault="005E4A25" w:rsidP="006C77AE">
      <w:pPr>
        <w:widowControl/>
        <w:rPr>
          <w:szCs w:val="22"/>
        </w:rPr>
      </w:pPr>
    </w:p>
    <w:p w:rsidR="0017306F" w:rsidRPr="00A93F15" w:rsidRDefault="0017306F" w:rsidP="006C77AE">
      <w:pPr>
        <w:pStyle w:val="ListParagraph"/>
        <w:widowControl/>
        <w:numPr>
          <w:ilvl w:val="1"/>
          <w:numId w:val="5"/>
        </w:numPr>
        <w:rPr>
          <w:szCs w:val="22"/>
        </w:rPr>
      </w:pPr>
      <w:r w:rsidRPr="00A93F15">
        <w:rPr>
          <w:szCs w:val="22"/>
        </w:rPr>
        <w:t xml:space="preserve">The </w:t>
      </w:r>
      <w:r w:rsidR="00196666" w:rsidRPr="00A93F15">
        <w:rPr>
          <w:szCs w:val="22"/>
        </w:rPr>
        <w:t xml:space="preserve">submission’s </w:t>
      </w:r>
      <w:r w:rsidRPr="00A93F15">
        <w:rPr>
          <w:szCs w:val="22"/>
        </w:rPr>
        <w:t xml:space="preserve">estimated financial implications are sensitive to the number of packs </w:t>
      </w:r>
      <w:r w:rsidR="000C2672" w:rsidRPr="00A93F15">
        <w:rPr>
          <w:szCs w:val="22"/>
        </w:rPr>
        <w:t xml:space="preserve">dispensed </w:t>
      </w:r>
      <w:r w:rsidRPr="00A93F15">
        <w:rPr>
          <w:szCs w:val="22"/>
        </w:rPr>
        <w:t>per service</w:t>
      </w:r>
      <w:r w:rsidR="000C2672" w:rsidRPr="00A93F15">
        <w:rPr>
          <w:szCs w:val="22"/>
        </w:rPr>
        <w:t xml:space="preserve"> beyond the maximum quantity</w:t>
      </w:r>
      <w:r w:rsidR="0021323B" w:rsidRPr="00A93F15">
        <w:rPr>
          <w:szCs w:val="22"/>
        </w:rPr>
        <w:t xml:space="preserve">, </w:t>
      </w:r>
      <w:r w:rsidR="00B53D0F" w:rsidRPr="00A93F15">
        <w:rPr>
          <w:szCs w:val="22"/>
        </w:rPr>
        <w:t>of</w:t>
      </w:r>
      <w:r w:rsidR="0021323B" w:rsidRPr="00A93F15">
        <w:rPr>
          <w:szCs w:val="22"/>
        </w:rPr>
        <w:t xml:space="preserve"> 1 pack</w:t>
      </w:r>
      <w:r w:rsidR="00582E1B">
        <w:rPr>
          <w:szCs w:val="22"/>
        </w:rPr>
        <w:t xml:space="preserve">. </w:t>
      </w:r>
      <w:r w:rsidR="00B53D0F" w:rsidRPr="00A93F15">
        <w:rPr>
          <w:szCs w:val="22"/>
        </w:rPr>
        <w:t xml:space="preserve">It is likely that the submission’s estimate of 1.7 packs per service for the foam spray is an overestimate. With a recommended course of therapy of 4 weeks, rather than up to 8 weeks for the gel for body psoriasis, it is considered that the need for additional </w:t>
      </w:r>
      <w:r w:rsidR="00B53D0F" w:rsidRPr="00A93F15">
        <w:rPr>
          <w:szCs w:val="22"/>
        </w:rPr>
        <w:lastRenderedPageBreak/>
        <w:t xml:space="preserve">packs per service is </w:t>
      </w:r>
      <w:r w:rsidR="00582E1B">
        <w:rPr>
          <w:szCs w:val="22"/>
        </w:rPr>
        <w:t>un</w:t>
      </w:r>
      <w:r w:rsidR="00B53D0F" w:rsidRPr="00A93F15">
        <w:rPr>
          <w:szCs w:val="22"/>
        </w:rPr>
        <w:t xml:space="preserve">likely to be as high as anticipated by the submission. </w:t>
      </w:r>
      <w:r w:rsidR="00A3052C" w:rsidRPr="00A93F15">
        <w:rPr>
          <w:szCs w:val="22"/>
        </w:rPr>
        <w:t xml:space="preserve">The ESC noted in the PSCR (p2) that the sponsor updated the estimate of packs per service to 1.4 </w:t>
      </w:r>
      <w:r w:rsidR="00E60347" w:rsidRPr="00A93F15">
        <w:rPr>
          <w:szCs w:val="22"/>
        </w:rPr>
        <w:t xml:space="preserve">for the calcipotriol plus </w:t>
      </w:r>
      <w:r w:rsidR="00751E34" w:rsidRPr="00A93F15">
        <w:rPr>
          <w:szCs w:val="22"/>
        </w:rPr>
        <w:t>betamethasone</w:t>
      </w:r>
      <w:r w:rsidR="00E60347" w:rsidRPr="00A93F15">
        <w:rPr>
          <w:szCs w:val="22"/>
        </w:rPr>
        <w:t xml:space="preserve"> gel (and 1.9 for the calcipotriol plus </w:t>
      </w:r>
      <w:r w:rsidR="00751E34" w:rsidRPr="00A93F15">
        <w:rPr>
          <w:szCs w:val="22"/>
        </w:rPr>
        <w:t>betamethasone</w:t>
      </w:r>
      <w:r w:rsidR="00E60347" w:rsidRPr="00A93F15">
        <w:rPr>
          <w:szCs w:val="22"/>
        </w:rPr>
        <w:t xml:space="preserve"> ointment) </w:t>
      </w:r>
      <w:r w:rsidR="00A3052C" w:rsidRPr="00A93F15">
        <w:rPr>
          <w:szCs w:val="22"/>
        </w:rPr>
        <w:t>based on March to June 2016 sales figures.</w:t>
      </w:r>
      <w:r w:rsidR="00B53D0F" w:rsidRPr="00A93F15">
        <w:rPr>
          <w:szCs w:val="22"/>
        </w:rPr>
        <w:t xml:space="preserve"> If</w:t>
      </w:r>
      <w:r w:rsidR="0021323B" w:rsidRPr="00A93F15">
        <w:rPr>
          <w:szCs w:val="22"/>
        </w:rPr>
        <w:t xml:space="preserve"> </w:t>
      </w:r>
      <w:r w:rsidR="00B53D0F" w:rsidRPr="00A93F15">
        <w:rPr>
          <w:szCs w:val="22"/>
        </w:rPr>
        <w:t xml:space="preserve">there are </w:t>
      </w:r>
      <w:r w:rsidR="0021323B" w:rsidRPr="00A93F15">
        <w:rPr>
          <w:szCs w:val="22"/>
        </w:rPr>
        <w:t>n</w:t>
      </w:r>
      <w:r w:rsidR="00C43193" w:rsidRPr="00A93F15">
        <w:rPr>
          <w:szCs w:val="22"/>
        </w:rPr>
        <w:t>o increase</w:t>
      </w:r>
      <w:r w:rsidR="00B53D0F" w:rsidRPr="00A93F15">
        <w:rPr>
          <w:szCs w:val="22"/>
        </w:rPr>
        <w:t>d</w:t>
      </w:r>
      <w:r w:rsidR="00C43193" w:rsidRPr="00A93F15">
        <w:rPr>
          <w:szCs w:val="22"/>
        </w:rPr>
        <w:t xml:space="preserve"> maximum quantities per prescription (packs per service of 1.0) </w:t>
      </w:r>
      <w:r w:rsidR="00B53D0F" w:rsidRPr="00A93F15">
        <w:rPr>
          <w:szCs w:val="22"/>
        </w:rPr>
        <w:t xml:space="preserve">of calcipotriol plus betamethasone foam spray, </w:t>
      </w:r>
      <w:r w:rsidRPr="00A93F15">
        <w:rPr>
          <w:szCs w:val="22"/>
        </w:rPr>
        <w:t xml:space="preserve">the total net cost </w:t>
      </w:r>
      <w:r w:rsidR="00B53D0F" w:rsidRPr="00A93F15">
        <w:rPr>
          <w:szCs w:val="22"/>
        </w:rPr>
        <w:t xml:space="preserve">of listing the foam spray </w:t>
      </w:r>
      <w:r w:rsidRPr="00A93F15">
        <w:rPr>
          <w:szCs w:val="22"/>
        </w:rPr>
        <w:t xml:space="preserve">over 5 years </w:t>
      </w:r>
      <w:r w:rsidR="0021323B" w:rsidRPr="00A93F15">
        <w:rPr>
          <w:szCs w:val="22"/>
        </w:rPr>
        <w:t xml:space="preserve">to the PBS </w:t>
      </w:r>
      <w:r w:rsidR="00A45B28" w:rsidRPr="00A93F15">
        <w:rPr>
          <w:szCs w:val="22"/>
        </w:rPr>
        <w:t>will be</w:t>
      </w:r>
      <w:r w:rsidR="0021323B" w:rsidRPr="00A93F15">
        <w:rPr>
          <w:szCs w:val="22"/>
        </w:rPr>
        <w:t xml:space="preserve"> reduced from the submission’s estimate of $</w:t>
      </w:r>
      <w:r w:rsidR="00391CBD">
        <w:rPr>
          <w:szCs w:val="22"/>
        </w:rPr>
        <w:t>20 - $30 million</w:t>
      </w:r>
      <w:r w:rsidR="0021323B" w:rsidRPr="00A93F15">
        <w:rPr>
          <w:szCs w:val="22"/>
        </w:rPr>
        <w:t xml:space="preserve"> to </w:t>
      </w:r>
      <w:r w:rsidR="00391CBD">
        <w:rPr>
          <w:szCs w:val="22"/>
        </w:rPr>
        <w:t>$10 - $20 million</w:t>
      </w:r>
      <w:r w:rsidR="00582E1B">
        <w:rPr>
          <w:szCs w:val="22"/>
        </w:rPr>
        <w:t xml:space="preserve">. </w:t>
      </w:r>
    </w:p>
    <w:p w:rsidR="00BF4E21" w:rsidRPr="00A93F15" w:rsidRDefault="00BF4E21" w:rsidP="006C77AE">
      <w:pPr>
        <w:pStyle w:val="ListParagraph"/>
        <w:widowControl/>
        <w:rPr>
          <w:i/>
          <w:szCs w:val="22"/>
        </w:rPr>
      </w:pPr>
    </w:p>
    <w:p w:rsidR="00BF4E21" w:rsidRPr="00A93F15" w:rsidRDefault="00CB0EC8" w:rsidP="006C77AE">
      <w:pPr>
        <w:pStyle w:val="ListParagraph"/>
        <w:widowControl/>
        <w:numPr>
          <w:ilvl w:val="1"/>
          <w:numId w:val="5"/>
        </w:numPr>
        <w:rPr>
          <w:szCs w:val="22"/>
        </w:rPr>
      </w:pPr>
      <w:r w:rsidRPr="00A93F15">
        <w:t xml:space="preserve">Overall, </w:t>
      </w:r>
      <w:r w:rsidR="00A45B28" w:rsidRPr="00A93F15">
        <w:t xml:space="preserve">as the submission used a limited </w:t>
      </w:r>
      <w:r w:rsidR="00BF4E21" w:rsidRPr="00A93F15">
        <w:t xml:space="preserve">market share approach to estimate the likely financial impact of listing calcipotriol plus betamethasone foam spray </w:t>
      </w:r>
      <w:r w:rsidR="00A45B28" w:rsidRPr="00A93F15">
        <w:t xml:space="preserve">on the PBS </w:t>
      </w:r>
      <w:r w:rsidR="00BF4E21" w:rsidRPr="00A93F15">
        <w:t xml:space="preserve">and </w:t>
      </w:r>
      <w:r w:rsidR="00A45B28" w:rsidRPr="00A93F15">
        <w:t xml:space="preserve">relied solely on </w:t>
      </w:r>
      <w:r w:rsidR="00BF4E21" w:rsidRPr="00A93F15">
        <w:t>in-house sales forecasts</w:t>
      </w:r>
      <w:r w:rsidR="00A45B28" w:rsidRPr="00A93F15">
        <w:t xml:space="preserve"> for market growth, </w:t>
      </w:r>
      <w:r w:rsidR="00BF4E21" w:rsidRPr="00A93F15">
        <w:t>the</w:t>
      </w:r>
      <w:r w:rsidR="00E35961" w:rsidRPr="00A93F15">
        <w:t xml:space="preserve">re </w:t>
      </w:r>
      <w:r w:rsidR="0066070D" w:rsidRPr="00A93F15">
        <w:t>is un</w:t>
      </w:r>
      <w:r w:rsidR="00E35961" w:rsidRPr="00A93F15">
        <w:t xml:space="preserve">certainty regarding the </w:t>
      </w:r>
      <w:r w:rsidR="00BF4E21" w:rsidRPr="00A93F15">
        <w:t xml:space="preserve">overall impact of listing calcipotriol </w:t>
      </w:r>
      <w:r w:rsidR="00E35961" w:rsidRPr="00A93F15">
        <w:t xml:space="preserve">plus betamethasone foam spray </w:t>
      </w:r>
      <w:r w:rsidR="00BF4E21" w:rsidRPr="00A93F15">
        <w:t xml:space="preserve">on the PBS. </w:t>
      </w:r>
    </w:p>
    <w:p w:rsidR="00576972" w:rsidRPr="00A93F15" w:rsidRDefault="00576972" w:rsidP="006C77AE">
      <w:pPr>
        <w:widowControl/>
        <w:rPr>
          <w:szCs w:val="22"/>
        </w:rPr>
      </w:pPr>
    </w:p>
    <w:p w:rsidR="002206AE" w:rsidRPr="00A93F15" w:rsidRDefault="002206AE" w:rsidP="002206AE">
      <w:pPr>
        <w:pStyle w:val="ListParagraph"/>
        <w:widowControl/>
        <w:rPr>
          <w:i/>
          <w:szCs w:val="22"/>
        </w:rPr>
      </w:pPr>
      <w:r w:rsidRPr="00A93F15">
        <w:rPr>
          <w:i/>
          <w:szCs w:val="22"/>
        </w:rPr>
        <w:t>For more detail on PBAC’s view, see section 7 “PBAC outcome”.</w:t>
      </w:r>
    </w:p>
    <w:p w:rsidR="00CF2EDE" w:rsidRPr="00A93F15" w:rsidRDefault="00CF2EDE" w:rsidP="00CF2EDE">
      <w:pPr>
        <w:widowControl/>
        <w:rPr>
          <w:szCs w:val="22"/>
        </w:rPr>
      </w:pPr>
    </w:p>
    <w:p w:rsidR="00B62CFD" w:rsidRPr="00A93F15" w:rsidRDefault="00B62CFD" w:rsidP="00CF2EDE">
      <w:pPr>
        <w:widowControl/>
        <w:rPr>
          <w:szCs w:val="22"/>
        </w:rPr>
      </w:pPr>
    </w:p>
    <w:p w:rsidR="00DF6E98" w:rsidRPr="006305E6" w:rsidRDefault="00DF6E98" w:rsidP="006305E6">
      <w:pPr>
        <w:pStyle w:val="PBACHeading1"/>
        <w:rPr>
          <w:bCs/>
        </w:rPr>
      </w:pPr>
      <w:r w:rsidRPr="00A93F15">
        <w:rPr>
          <w:bCs/>
        </w:rPr>
        <w:t>PBAC Outcome</w:t>
      </w:r>
    </w:p>
    <w:p w:rsidR="00DF6E98" w:rsidRPr="00A93F15" w:rsidRDefault="00DF6E98" w:rsidP="00332677">
      <w:pPr>
        <w:contextualSpacing/>
        <w:rPr>
          <w:bCs/>
          <w:szCs w:val="22"/>
          <w:highlight w:val="yellow"/>
        </w:rPr>
      </w:pPr>
    </w:p>
    <w:p w:rsidR="009E31CF" w:rsidRPr="00A93F15" w:rsidRDefault="00763816" w:rsidP="00DE1049">
      <w:pPr>
        <w:widowControl/>
        <w:numPr>
          <w:ilvl w:val="1"/>
          <w:numId w:val="5"/>
        </w:numPr>
        <w:spacing w:after="120"/>
        <w:contextualSpacing/>
        <w:rPr>
          <w:bCs/>
          <w:szCs w:val="22"/>
        </w:rPr>
      </w:pPr>
      <w:r w:rsidRPr="00A93F15">
        <w:rPr>
          <w:bCs/>
          <w:szCs w:val="22"/>
        </w:rPr>
        <w:t xml:space="preserve">The PBAC recommended the Restricted </w:t>
      </w:r>
      <w:r w:rsidR="0039164A" w:rsidRPr="00A93F15">
        <w:rPr>
          <w:bCs/>
          <w:szCs w:val="22"/>
        </w:rPr>
        <w:t>Benefit</w:t>
      </w:r>
      <w:r w:rsidRPr="00A93F15">
        <w:rPr>
          <w:bCs/>
          <w:szCs w:val="22"/>
        </w:rPr>
        <w:t xml:space="preserve"> l</w:t>
      </w:r>
      <w:r w:rsidR="006D3BD1" w:rsidRPr="00A93F15">
        <w:rPr>
          <w:bCs/>
          <w:szCs w:val="22"/>
        </w:rPr>
        <w:t xml:space="preserve">isting of calcipotriol with </w:t>
      </w:r>
      <w:r w:rsidR="006D3BD1" w:rsidRPr="004713D4">
        <w:rPr>
          <w:bCs/>
          <w:szCs w:val="22"/>
        </w:rPr>
        <w:t>betamethasone</w:t>
      </w:r>
      <w:r w:rsidR="0039164A" w:rsidRPr="004713D4">
        <w:rPr>
          <w:bCs/>
          <w:szCs w:val="22"/>
        </w:rPr>
        <w:t xml:space="preserve"> foam spra</w:t>
      </w:r>
      <w:r w:rsidR="00812FD6" w:rsidRPr="004713D4">
        <w:rPr>
          <w:bCs/>
          <w:szCs w:val="22"/>
        </w:rPr>
        <w:t>y</w:t>
      </w:r>
      <w:r w:rsidR="0061160D" w:rsidRPr="004713D4">
        <w:rPr>
          <w:bCs/>
          <w:szCs w:val="22"/>
        </w:rPr>
        <w:t>, on a cost-utility basis against the ointment,</w:t>
      </w:r>
      <w:r w:rsidR="00812FD6" w:rsidRPr="004713D4">
        <w:rPr>
          <w:bCs/>
          <w:szCs w:val="22"/>
        </w:rPr>
        <w:t xml:space="preserve"> for the treatment of chronic stable plaque psoriasis vulgaris</w:t>
      </w:r>
      <w:r w:rsidR="0003365D" w:rsidRPr="004713D4">
        <w:rPr>
          <w:bCs/>
          <w:szCs w:val="22"/>
        </w:rPr>
        <w:t xml:space="preserve"> subject to a cap on PBS expenditure over the first five years of listing </w:t>
      </w:r>
      <w:r w:rsidR="00DE1049" w:rsidRPr="00DE1049">
        <w:rPr>
          <w:bCs/>
          <w:szCs w:val="22"/>
        </w:rPr>
        <w:t>to limit the net cost to no more than</w:t>
      </w:r>
      <w:r w:rsidR="0003365D" w:rsidRPr="004713D4">
        <w:rPr>
          <w:bCs/>
          <w:szCs w:val="22"/>
        </w:rPr>
        <w:t xml:space="preserve"> $20</w:t>
      </w:r>
      <w:r w:rsidR="00102619">
        <w:rPr>
          <w:bCs/>
          <w:szCs w:val="22"/>
        </w:rPr>
        <w:t> </w:t>
      </w:r>
      <w:r w:rsidR="0003365D" w:rsidRPr="004713D4">
        <w:rPr>
          <w:bCs/>
          <w:szCs w:val="22"/>
        </w:rPr>
        <w:t>million</w:t>
      </w:r>
      <w:r w:rsidR="00812FD6" w:rsidRPr="004713D4">
        <w:rPr>
          <w:bCs/>
          <w:szCs w:val="22"/>
        </w:rPr>
        <w:t>.</w:t>
      </w:r>
      <w:r w:rsidR="0003365D" w:rsidRPr="004713D4">
        <w:rPr>
          <w:bCs/>
          <w:szCs w:val="22"/>
        </w:rPr>
        <w:t xml:space="preserve"> </w:t>
      </w:r>
      <w:r w:rsidR="009E31CF" w:rsidRPr="004713D4">
        <w:rPr>
          <w:bCs/>
          <w:szCs w:val="22"/>
        </w:rPr>
        <w:t xml:space="preserve">The PBAC noted the PBS cost was sensitive to the </w:t>
      </w:r>
      <w:r w:rsidR="00587AF5" w:rsidRPr="004713D4">
        <w:rPr>
          <w:bCs/>
          <w:szCs w:val="22"/>
        </w:rPr>
        <w:t xml:space="preserve">assumed </w:t>
      </w:r>
      <w:r w:rsidR="009E31CF" w:rsidRPr="004713D4">
        <w:rPr>
          <w:bCs/>
          <w:szCs w:val="22"/>
        </w:rPr>
        <w:t>number of packs per service and further recommended that the usage of calcipotriol with betamethasone foam spray be reviewed</w:t>
      </w:r>
      <w:r w:rsidR="00587AF5" w:rsidRPr="004713D4">
        <w:rPr>
          <w:bCs/>
          <w:szCs w:val="22"/>
        </w:rPr>
        <w:t xml:space="preserve"> following listing</w:t>
      </w:r>
      <w:r w:rsidR="009E31CF" w:rsidRPr="004713D4">
        <w:rPr>
          <w:bCs/>
          <w:szCs w:val="22"/>
        </w:rPr>
        <w:t>.</w:t>
      </w:r>
    </w:p>
    <w:p w:rsidR="00155BDF" w:rsidRPr="00A93F15" w:rsidRDefault="00155BDF" w:rsidP="00155BDF">
      <w:pPr>
        <w:widowControl/>
        <w:spacing w:after="120"/>
        <w:ind w:left="720"/>
        <w:contextualSpacing/>
        <w:rPr>
          <w:bCs/>
          <w:szCs w:val="22"/>
        </w:rPr>
      </w:pPr>
    </w:p>
    <w:p w:rsidR="005E09F2" w:rsidRPr="00EE16AD" w:rsidRDefault="006D3BD1" w:rsidP="00EE16AD">
      <w:pPr>
        <w:widowControl/>
        <w:numPr>
          <w:ilvl w:val="1"/>
          <w:numId w:val="5"/>
        </w:numPr>
        <w:spacing w:after="120"/>
        <w:contextualSpacing/>
        <w:rPr>
          <w:bCs/>
          <w:szCs w:val="22"/>
        </w:rPr>
      </w:pPr>
      <w:r w:rsidRPr="00A93F15">
        <w:rPr>
          <w:bCs/>
          <w:szCs w:val="22"/>
        </w:rPr>
        <w:t xml:space="preserve">The PBAC </w:t>
      </w:r>
      <w:r w:rsidR="0003365D" w:rsidRPr="00A93F15">
        <w:rPr>
          <w:bCs/>
          <w:szCs w:val="22"/>
        </w:rPr>
        <w:t>wa</w:t>
      </w:r>
      <w:r w:rsidRPr="00A93F15">
        <w:rPr>
          <w:bCs/>
          <w:szCs w:val="22"/>
        </w:rPr>
        <w:t xml:space="preserve">s satisfied that calcipotriol with betamethasone </w:t>
      </w:r>
      <w:r w:rsidR="00812FD6" w:rsidRPr="00A93F15">
        <w:rPr>
          <w:bCs/>
          <w:szCs w:val="22"/>
        </w:rPr>
        <w:t xml:space="preserve">foam spray </w:t>
      </w:r>
      <w:r w:rsidRPr="00A93F15">
        <w:rPr>
          <w:bCs/>
          <w:szCs w:val="22"/>
        </w:rPr>
        <w:t>provide</w:t>
      </w:r>
      <w:r w:rsidR="002813FD" w:rsidRPr="00A93F15">
        <w:rPr>
          <w:bCs/>
          <w:szCs w:val="22"/>
        </w:rPr>
        <w:t>d</w:t>
      </w:r>
      <w:r w:rsidR="00812FD6" w:rsidRPr="00A93F15">
        <w:rPr>
          <w:bCs/>
          <w:szCs w:val="22"/>
        </w:rPr>
        <w:t xml:space="preserve">, </w:t>
      </w:r>
      <w:r w:rsidRPr="00A93F15">
        <w:rPr>
          <w:bCs/>
          <w:szCs w:val="22"/>
        </w:rPr>
        <w:t>for some patients, a significant improvement in efficacy over calcipotriol with betamethasone gel</w:t>
      </w:r>
      <w:r w:rsidR="009A7F75" w:rsidRPr="00A93F15">
        <w:rPr>
          <w:bCs/>
          <w:szCs w:val="22"/>
        </w:rPr>
        <w:t xml:space="preserve"> for treatment of chronic stable plaque psoriasis</w:t>
      </w:r>
      <w:r w:rsidR="009A17E9" w:rsidRPr="00A93F15">
        <w:rPr>
          <w:bCs/>
          <w:szCs w:val="22"/>
        </w:rPr>
        <w:t xml:space="preserve"> vulgaris</w:t>
      </w:r>
      <w:r w:rsidR="00006BE9" w:rsidRPr="00A93F15">
        <w:rPr>
          <w:bCs/>
          <w:szCs w:val="22"/>
        </w:rPr>
        <w:t>.</w:t>
      </w:r>
    </w:p>
    <w:p w:rsidR="00193986" w:rsidRPr="00A93F15" w:rsidRDefault="00193986" w:rsidP="00193986">
      <w:pPr>
        <w:widowControl/>
        <w:spacing w:after="120"/>
        <w:contextualSpacing/>
        <w:rPr>
          <w:bCs/>
          <w:szCs w:val="22"/>
        </w:rPr>
      </w:pPr>
    </w:p>
    <w:p w:rsidR="00193986" w:rsidRPr="00A93F15" w:rsidRDefault="00193986" w:rsidP="00193986">
      <w:pPr>
        <w:widowControl/>
        <w:numPr>
          <w:ilvl w:val="1"/>
          <w:numId w:val="5"/>
        </w:numPr>
        <w:spacing w:after="120"/>
        <w:contextualSpacing/>
        <w:rPr>
          <w:bCs/>
          <w:szCs w:val="22"/>
        </w:rPr>
      </w:pPr>
      <w:r w:rsidRPr="00A93F15">
        <w:rPr>
          <w:bCs/>
          <w:szCs w:val="22"/>
        </w:rPr>
        <w:t xml:space="preserve">The PBAC considered the proposed </w:t>
      </w:r>
      <w:r w:rsidR="00587AF5" w:rsidRPr="00A93F15">
        <w:rPr>
          <w:bCs/>
          <w:szCs w:val="22"/>
        </w:rPr>
        <w:t xml:space="preserve">main </w:t>
      </w:r>
      <w:r w:rsidRPr="00A93F15">
        <w:rPr>
          <w:bCs/>
          <w:szCs w:val="22"/>
        </w:rPr>
        <w:t xml:space="preserve">comparator of calcipotriol with betamethasone gel appropriate. </w:t>
      </w:r>
      <w:r w:rsidR="005E09F2" w:rsidRPr="00A93F15">
        <w:rPr>
          <w:bCs/>
          <w:szCs w:val="22"/>
        </w:rPr>
        <w:t xml:space="preserve">The </w:t>
      </w:r>
      <w:r w:rsidR="005470A9" w:rsidRPr="00A93F15">
        <w:rPr>
          <w:bCs/>
          <w:szCs w:val="22"/>
        </w:rPr>
        <w:t xml:space="preserve">PBAC </w:t>
      </w:r>
      <w:r w:rsidR="005E09F2" w:rsidRPr="00A93F15">
        <w:rPr>
          <w:bCs/>
          <w:szCs w:val="22"/>
        </w:rPr>
        <w:t xml:space="preserve">accepted the arguments in the submission that </w:t>
      </w:r>
      <w:r w:rsidR="004D11D7" w:rsidRPr="00A93F15">
        <w:rPr>
          <w:bCs/>
          <w:szCs w:val="22"/>
        </w:rPr>
        <w:t>(</w:t>
      </w:r>
      <w:r w:rsidR="005470A9" w:rsidRPr="00A93F15">
        <w:rPr>
          <w:bCs/>
          <w:szCs w:val="22"/>
        </w:rPr>
        <w:t>without the foam spray formulation</w:t>
      </w:r>
      <w:r w:rsidR="004D11D7" w:rsidRPr="00A93F15">
        <w:rPr>
          <w:bCs/>
          <w:szCs w:val="22"/>
        </w:rPr>
        <w:t>)</w:t>
      </w:r>
      <w:r w:rsidR="005470A9" w:rsidRPr="00A93F15">
        <w:rPr>
          <w:bCs/>
          <w:szCs w:val="22"/>
        </w:rPr>
        <w:t xml:space="preserve"> </w:t>
      </w:r>
      <w:r w:rsidR="005E09F2" w:rsidRPr="00A93F15">
        <w:rPr>
          <w:bCs/>
          <w:szCs w:val="22"/>
        </w:rPr>
        <w:t xml:space="preserve">the use of the gel formulation </w:t>
      </w:r>
      <w:r w:rsidR="003B6D53" w:rsidRPr="00A93F15">
        <w:rPr>
          <w:bCs/>
          <w:szCs w:val="22"/>
        </w:rPr>
        <w:t>wa</w:t>
      </w:r>
      <w:r w:rsidR="005E09F2" w:rsidRPr="00A93F15">
        <w:rPr>
          <w:bCs/>
          <w:szCs w:val="22"/>
        </w:rPr>
        <w:t xml:space="preserve">s likely to increase over time and that the foam </w:t>
      </w:r>
      <w:proofErr w:type="gramStart"/>
      <w:r w:rsidR="005E09F2" w:rsidRPr="00A93F15">
        <w:rPr>
          <w:bCs/>
          <w:szCs w:val="22"/>
        </w:rPr>
        <w:t>spray</w:t>
      </w:r>
      <w:proofErr w:type="gramEnd"/>
      <w:r w:rsidR="005E09F2" w:rsidRPr="00A93F15">
        <w:rPr>
          <w:bCs/>
          <w:szCs w:val="22"/>
        </w:rPr>
        <w:t xml:space="preserve"> and gel are</w:t>
      </w:r>
      <w:r w:rsidR="00587AF5" w:rsidRPr="00A93F15">
        <w:rPr>
          <w:bCs/>
          <w:szCs w:val="22"/>
        </w:rPr>
        <w:t xml:space="preserve"> alternative</w:t>
      </w:r>
      <w:r w:rsidR="005E09F2" w:rsidRPr="00A93F15">
        <w:rPr>
          <w:bCs/>
          <w:szCs w:val="22"/>
        </w:rPr>
        <w:t xml:space="preserve"> non-greasy aqueous formulations.</w:t>
      </w:r>
      <w:r w:rsidR="004D11D7" w:rsidRPr="00A93F15">
        <w:rPr>
          <w:bCs/>
          <w:szCs w:val="22"/>
        </w:rPr>
        <w:t xml:space="preserve"> The PBAC noted that the ointment </w:t>
      </w:r>
      <w:r w:rsidR="003B6D53" w:rsidRPr="00A93F15">
        <w:rPr>
          <w:bCs/>
          <w:szCs w:val="22"/>
        </w:rPr>
        <w:t>wa</w:t>
      </w:r>
      <w:r w:rsidR="004D11D7" w:rsidRPr="00A93F15">
        <w:rPr>
          <w:bCs/>
          <w:szCs w:val="22"/>
        </w:rPr>
        <w:t>s less acceptable for patients with extensive psoriasis.</w:t>
      </w:r>
    </w:p>
    <w:p w:rsidR="006513A1" w:rsidRPr="00A93F15" w:rsidRDefault="006513A1" w:rsidP="005470A9">
      <w:pPr>
        <w:widowControl/>
        <w:spacing w:after="120"/>
        <w:contextualSpacing/>
        <w:rPr>
          <w:bCs/>
          <w:szCs w:val="22"/>
        </w:rPr>
      </w:pPr>
    </w:p>
    <w:p w:rsidR="00D032E5" w:rsidRPr="00A93F15" w:rsidRDefault="00A576B1" w:rsidP="004D11D7">
      <w:pPr>
        <w:widowControl/>
        <w:numPr>
          <w:ilvl w:val="1"/>
          <w:numId w:val="5"/>
        </w:numPr>
        <w:spacing w:after="120"/>
        <w:contextualSpacing/>
        <w:rPr>
          <w:bCs/>
          <w:szCs w:val="22"/>
        </w:rPr>
      </w:pPr>
      <w:r w:rsidRPr="00A93F15">
        <w:rPr>
          <w:bCs/>
          <w:szCs w:val="22"/>
        </w:rPr>
        <w:t xml:space="preserve">The PBAC noted the </w:t>
      </w:r>
      <w:r w:rsidR="00582E1B" w:rsidRPr="00A93F15">
        <w:rPr>
          <w:bCs/>
          <w:szCs w:val="22"/>
        </w:rPr>
        <w:t>head-to-head</w:t>
      </w:r>
      <w:r w:rsidRPr="00A93F15">
        <w:rPr>
          <w:bCs/>
          <w:szCs w:val="22"/>
        </w:rPr>
        <w:t xml:space="preserve"> </w:t>
      </w:r>
      <w:r w:rsidR="005470A9" w:rsidRPr="00A93F15">
        <w:rPr>
          <w:bCs/>
          <w:szCs w:val="22"/>
        </w:rPr>
        <w:t xml:space="preserve">randomised </w:t>
      </w:r>
      <w:r w:rsidRPr="00A93F15">
        <w:rPr>
          <w:bCs/>
          <w:szCs w:val="22"/>
        </w:rPr>
        <w:t xml:space="preserve">trial </w:t>
      </w:r>
      <w:r w:rsidR="005470A9" w:rsidRPr="00A93F15">
        <w:rPr>
          <w:bCs/>
          <w:szCs w:val="22"/>
        </w:rPr>
        <w:t xml:space="preserve">comparing </w:t>
      </w:r>
      <w:r w:rsidRPr="00A93F15">
        <w:rPr>
          <w:bCs/>
          <w:szCs w:val="22"/>
        </w:rPr>
        <w:t>the foam spray and gel demonstrated the superior effectiveness of the foam spray using the IGA and PASI75</w:t>
      </w:r>
      <w:r w:rsidR="005470A9" w:rsidRPr="00A93F15">
        <w:rPr>
          <w:bCs/>
          <w:szCs w:val="22"/>
        </w:rPr>
        <w:t xml:space="preserve"> outcomes</w:t>
      </w:r>
      <w:r w:rsidRPr="00A93F15">
        <w:rPr>
          <w:bCs/>
          <w:szCs w:val="22"/>
        </w:rPr>
        <w:t xml:space="preserve">. The PBAC </w:t>
      </w:r>
      <w:r w:rsidR="004D11D7" w:rsidRPr="00A93F15">
        <w:rPr>
          <w:bCs/>
          <w:szCs w:val="22"/>
        </w:rPr>
        <w:t>noted the key trials included</w:t>
      </w:r>
      <w:r w:rsidRPr="00A93F15">
        <w:rPr>
          <w:bCs/>
          <w:szCs w:val="22"/>
        </w:rPr>
        <w:t xml:space="preserve"> in the submission did not </w:t>
      </w:r>
      <w:r w:rsidR="004D11D7" w:rsidRPr="00A93F15">
        <w:rPr>
          <w:bCs/>
          <w:szCs w:val="22"/>
        </w:rPr>
        <w:t xml:space="preserve">allow </w:t>
      </w:r>
      <w:r w:rsidRPr="00A93F15">
        <w:rPr>
          <w:bCs/>
          <w:szCs w:val="22"/>
        </w:rPr>
        <w:t>use for scalp psoriasis</w:t>
      </w:r>
      <w:r w:rsidR="004D11D7" w:rsidRPr="00A93F15">
        <w:rPr>
          <w:bCs/>
          <w:szCs w:val="22"/>
        </w:rPr>
        <w:t>,</w:t>
      </w:r>
      <w:r w:rsidR="00D032E5" w:rsidRPr="00A93F15">
        <w:rPr>
          <w:bCs/>
          <w:szCs w:val="22"/>
        </w:rPr>
        <w:t xml:space="preserve"> and the PASI score</w:t>
      </w:r>
      <w:r w:rsidR="004D11D7" w:rsidRPr="00A93F15">
        <w:rPr>
          <w:bCs/>
          <w:szCs w:val="22"/>
        </w:rPr>
        <w:t xml:space="preserve"> was modified accordingly. The PBAC </w:t>
      </w:r>
      <w:r w:rsidR="000C2A2F" w:rsidRPr="00A93F15">
        <w:rPr>
          <w:bCs/>
          <w:szCs w:val="22"/>
        </w:rPr>
        <w:t xml:space="preserve">considered that the foam spray would be used in scalp psoriasis, and </w:t>
      </w:r>
      <w:r w:rsidR="004D11D7" w:rsidRPr="00A93F15">
        <w:rPr>
          <w:bCs/>
          <w:szCs w:val="22"/>
        </w:rPr>
        <w:t xml:space="preserve">noted the clinical data presented in the Pre-PBAC </w:t>
      </w:r>
      <w:r w:rsidR="00587AF5" w:rsidRPr="00A93F15">
        <w:rPr>
          <w:bCs/>
          <w:szCs w:val="22"/>
        </w:rPr>
        <w:t>suggesting</w:t>
      </w:r>
      <w:r w:rsidR="004D11D7" w:rsidRPr="00A93F15">
        <w:rPr>
          <w:bCs/>
          <w:szCs w:val="22"/>
        </w:rPr>
        <w:t xml:space="preserve"> </w:t>
      </w:r>
      <w:r w:rsidR="00290D08" w:rsidRPr="00A93F15">
        <w:rPr>
          <w:bCs/>
          <w:szCs w:val="22"/>
        </w:rPr>
        <w:t xml:space="preserve">that the foam spray </w:t>
      </w:r>
      <w:r w:rsidR="003B6D53" w:rsidRPr="00A93F15">
        <w:rPr>
          <w:bCs/>
          <w:szCs w:val="22"/>
        </w:rPr>
        <w:t>wa</w:t>
      </w:r>
      <w:r w:rsidR="00290D08" w:rsidRPr="00A93F15">
        <w:rPr>
          <w:bCs/>
          <w:szCs w:val="22"/>
        </w:rPr>
        <w:t xml:space="preserve">s </w:t>
      </w:r>
      <w:r w:rsidR="004D11D7" w:rsidRPr="00A93F15">
        <w:rPr>
          <w:bCs/>
          <w:szCs w:val="22"/>
        </w:rPr>
        <w:t xml:space="preserve">at least </w:t>
      </w:r>
      <w:r w:rsidR="00703D4F">
        <w:rPr>
          <w:bCs/>
          <w:szCs w:val="22"/>
        </w:rPr>
        <w:t xml:space="preserve">as effective </w:t>
      </w:r>
      <w:r w:rsidR="00587AF5" w:rsidRPr="00A93F15">
        <w:rPr>
          <w:bCs/>
          <w:szCs w:val="22"/>
        </w:rPr>
        <w:t>for</w:t>
      </w:r>
      <w:r w:rsidR="004D11D7" w:rsidRPr="00A93F15">
        <w:rPr>
          <w:bCs/>
          <w:szCs w:val="22"/>
        </w:rPr>
        <w:t xml:space="preserve"> treating </w:t>
      </w:r>
      <w:r w:rsidR="00587AF5" w:rsidRPr="00A93F15">
        <w:rPr>
          <w:bCs/>
          <w:szCs w:val="22"/>
        </w:rPr>
        <w:t xml:space="preserve">the </w:t>
      </w:r>
      <w:r w:rsidR="004D11D7" w:rsidRPr="00A93F15">
        <w:rPr>
          <w:bCs/>
          <w:szCs w:val="22"/>
        </w:rPr>
        <w:t>scalp as for</w:t>
      </w:r>
      <w:r w:rsidR="00290D08" w:rsidRPr="00A93F15">
        <w:rPr>
          <w:bCs/>
          <w:szCs w:val="22"/>
        </w:rPr>
        <w:t xml:space="preserve"> treating the</w:t>
      </w:r>
      <w:r w:rsidR="004D11D7" w:rsidRPr="00A93F15">
        <w:rPr>
          <w:bCs/>
          <w:szCs w:val="22"/>
        </w:rPr>
        <w:t xml:space="preserve"> trunk and limbs</w:t>
      </w:r>
      <w:r w:rsidRPr="00A93F15">
        <w:rPr>
          <w:bCs/>
          <w:szCs w:val="22"/>
        </w:rPr>
        <w:t xml:space="preserve">. </w:t>
      </w:r>
    </w:p>
    <w:p w:rsidR="00D032E5" w:rsidRPr="00A93F15" w:rsidRDefault="00D032E5" w:rsidP="0066070D">
      <w:pPr>
        <w:widowControl/>
        <w:spacing w:after="120"/>
        <w:ind w:left="720"/>
        <w:contextualSpacing/>
        <w:rPr>
          <w:bCs/>
          <w:szCs w:val="22"/>
        </w:rPr>
      </w:pPr>
    </w:p>
    <w:p w:rsidR="005E09F2" w:rsidRPr="00A93F15" w:rsidRDefault="00A576B1" w:rsidP="00290D08">
      <w:pPr>
        <w:widowControl/>
        <w:numPr>
          <w:ilvl w:val="1"/>
          <w:numId w:val="5"/>
        </w:numPr>
        <w:spacing w:after="120"/>
        <w:contextualSpacing/>
        <w:rPr>
          <w:bCs/>
          <w:szCs w:val="22"/>
        </w:rPr>
      </w:pPr>
      <w:r w:rsidRPr="00A93F15">
        <w:rPr>
          <w:bCs/>
          <w:szCs w:val="22"/>
        </w:rPr>
        <w:t>The PBAC noted itch was more common</w:t>
      </w:r>
      <w:r w:rsidR="00BD7D1E" w:rsidRPr="00A93F15">
        <w:rPr>
          <w:bCs/>
          <w:szCs w:val="22"/>
        </w:rPr>
        <w:t>ly</w:t>
      </w:r>
      <w:r w:rsidRPr="00A93F15">
        <w:rPr>
          <w:bCs/>
          <w:szCs w:val="22"/>
        </w:rPr>
        <w:t xml:space="preserve"> experienced by patients using the foam spray </w:t>
      </w:r>
      <w:r w:rsidR="00703D4F">
        <w:rPr>
          <w:bCs/>
          <w:szCs w:val="22"/>
        </w:rPr>
        <w:t xml:space="preserve">than </w:t>
      </w:r>
      <w:r w:rsidRPr="00A93F15">
        <w:rPr>
          <w:bCs/>
          <w:szCs w:val="22"/>
        </w:rPr>
        <w:t>the gel</w:t>
      </w:r>
      <w:r w:rsidR="00290D08" w:rsidRPr="00A93F15">
        <w:rPr>
          <w:bCs/>
          <w:szCs w:val="22"/>
        </w:rPr>
        <w:t>.</w:t>
      </w:r>
      <w:r w:rsidR="00290D08" w:rsidRPr="00A93F15">
        <w:t xml:space="preserve"> </w:t>
      </w:r>
      <w:r w:rsidR="0046599E" w:rsidRPr="00A93F15">
        <w:t xml:space="preserve">The PBAC noted that </w:t>
      </w:r>
      <w:r w:rsidR="0046599E" w:rsidRPr="00A93F15">
        <w:rPr>
          <w:bCs/>
          <w:szCs w:val="22"/>
        </w:rPr>
        <w:t>overall</w:t>
      </w:r>
      <w:r w:rsidR="00290D08" w:rsidRPr="00A93F15">
        <w:rPr>
          <w:bCs/>
          <w:szCs w:val="22"/>
        </w:rPr>
        <w:t xml:space="preserve"> there w</w:t>
      </w:r>
      <w:r w:rsidR="0046599E" w:rsidRPr="00A93F15">
        <w:rPr>
          <w:bCs/>
          <w:szCs w:val="22"/>
        </w:rPr>
        <w:t>ere</w:t>
      </w:r>
      <w:r w:rsidR="00290D08" w:rsidRPr="00A93F15">
        <w:rPr>
          <w:bCs/>
          <w:szCs w:val="22"/>
        </w:rPr>
        <w:t xml:space="preserve"> no significant differences in adverse events for patients treated with </w:t>
      </w:r>
      <w:r w:rsidR="00587AF5" w:rsidRPr="00A93F15">
        <w:rPr>
          <w:bCs/>
          <w:szCs w:val="22"/>
        </w:rPr>
        <w:t xml:space="preserve">the </w:t>
      </w:r>
      <w:r w:rsidR="00290D08" w:rsidRPr="00A93F15">
        <w:rPr>
          <w:bCs/>
          <w:szCs w:val="22"/>
        </w:rPr>
        <w:t xml:space="preserve">foam spray compared to either the gel or the ointment formulations, although noted this was </w:t>
      </w:r>
      <w:r w:rsidR="005E09F2" w:rsidRPr="00A93F15">
        <w:rPr>
          <w:bCs/>
          <w:szCs w:val="22"/>
        </w:rPr>
        <w:t xml:space="preserve">based on </w:t>
      </w:r>
      <w:r w:rsidR="00703D4F" w:rsidRPr="00A93F15">
        <w:rPr>
          <w:bCs/>
          <w:szCs w:val="22"/>
        </w:rPr>
        <w:t>short-term</w:t>
      </w:r>
      <w:r w:rsidR="005E09F2" w:rsidRPr="00A93F15">
        <w:rPr>
          <w:bCs/>
          <w:szCs w:val="22"/>
        </w:rPr>
        <w:t xml:space="preserve"> studies</w:t>
      </w:r>
      <w:r w:rsidR="00290D08" w:rsidRPr="00A93F15">
        <w:rPr>
          <w:bCs/>
          <w:szCs w:val="22"/>
        </w:rPr>
        <w:t xml:space="preserve"> of </w:t>
      </w:r>
      <w:r w:rsidR="005E09F2" w:rsidRPr="00A93F15">
        <w:rPr>
          <w:bCs/>
          <w:szCs w:val="22"/>
        </w:rPr>
        <w:lastRenderedPageBreak/>
        <w:t xml:space="preserve">8 </w:t>
      </w:r>
      <w:r w:rsidR="00587AF5" w:rsidRPr="00A93F15">
        <w:rPr>
          <w:bCs/>
          <w:szCs w:val="22"/>
        </w:rPr>
        <w:t>to</w:t>
      </w:r>
      <w:r w:rsidR="005E09F2" w:rsidRPr="00A93F15">
        <w:rPr>
          <w:bCs/>
          <w:szCs w:val="22"/>
        </w:rPr>
        <w:t xml:space="preserve"> 12 weeks</w:t>
      </w:r>
      <w:r w:rsidR="00290D08" w:rsidRPr="00A93F15">
        <w:rPr>
          <w:bCs/>
          <w:szCs w:val="22"/>
        </w:rPr>
        <w:t xml:space="preserve"> duration</w:t>
      </w:r>
      <w:r w:rsidR="005E09F2" w:rsidRPr="00A93F15">
        <w:rPr>
          <w:bCs/>
          <w:szCs w:val="22"/>
        </w:rPr>
        <w:t xml:space="preserve">. However, the PBAC considered that the safety profile of the foam spray was unlikely to be significantly different to </w:t>
      </w:r>
      <w:r w:rsidR="00587AF5" w:rsidRPr="00A93F15">
        <w:rPr>
          <w:bCs/>
          <w:szCs w:val="22"/>
        </w:rPr>
        <w:t xml:space="preserve">that of </w:t>
      </w:r>
      <w:r w:rsidR="005E09F2" w:rsidRPr="00A93F15">
        <w:rPr>
          <w:bCs/>
          <w:szCs w:val="22"/>
        </w:rPr>
        <w:t>the gel formulation.</w:t>
      </w:r>
    </w:p>
    <w:p w:rsidR="005E09F2" w:rsidRPr="00A93F15" w:rsidRDefault="005E09F2" w:rsidP="005E09F2">
      <w:pPr>
        <w:widowControl/>
        <w:spacing w:after="120"/>
        <w:ind w:left="720"/>
        <w:contextualSpacing/>
        <w:rPr>
          <w:bCs/>
          <w:szCs w:val="22"/>
        </w:rPr>
      </w:pPr>
    </w:p>
    <w:p w:rsidR="00D032E5" w:rsidRPr="00A93F15" w:rsidRDefault="00D032E5" w:rsidP="0066070D">
      <w:pPr>
        <w:widowControl/>
        <w:numPr>
          <w:ilvl w:val="1"/>
          <w:numId w:val="5"/>
        </w:numPr>
        <w:spacing w:after="120"/>
        <w:contextualSpacing/>
        <w:rPr>
          <w:bCs/>
          <w:szCs w:val="22"/>
        </w:rPr>
      </w:pPr>
      <w:r w:rsidRPr="00A93F15">
        <w:rPr>
          <w:bCs/>
          <w:szCs w:val="22"/>
        </w:rPr>
        <w:t xml:space="preserve">The PBAC noted the number of cans </w:t>
      </w:r>
      <w:r w:rsidR="00A14628" w:rsidRPr="00A93F15">
        <w:rPr>
          <w:bCs/>
          <w:szCs w:val="22"/>
        </w:rPr>
        <w:t xml:space="preserve">of foam spray </w:t>
      </w:r>
      <w:r w:rsidRPr="00A93F15">
        <w:rPr>
          <w:bCs/>
          <w:szCs w:val="22"/>
        </w:rPr>
        <w:t xml:space="preserve">used by patients and the amount administered during </w:t>
      </w:r>
      <w:r w:rsidR="00290D08" w:rsidRPr="00A93F15">
        <w:rPr>
          <w:bCs/>
          <w:szCs w:val="22"/>
        </w:rPr>
        <w:t xml:space="preserve">the </w:t>
      </w:r>
      <w:r w:rsidRPr="00A93F15">
        <w:rPr>
          <w:bCs/>
          <w:szCs w:val="22"/>
        </w:rPr>
        <w:t xml:space="preserve">treatment of </w:t>
      </w:r>
      <w:r w:rsidR="00290D08" w:rsidRPr="00A93F15">
        <w:rPr>
          <w:bCs/>
          <w:szCs w:val="22"/>
        </w:rPr>
        <w:t xml:space="preserve">each </w:t>
      </w:r>
      <w:r w:rsidRPr="00A93F15">
        <w:rPr>
          <w:bCs/>
          <w:szCs w:val="22"/>
        </w:rPr>
        <w:t>flare up</w:t>
      </w:r>
      <w:r w:rsidR="00587AF5" w:rsidRPr="00A93F15">
        <w:rPr>
          <w:bCs/>
          <w:szCs w:val="22"/>
        </w:rPr>
        <w:t xml:space="preserve"> was uncertain</w:t>
      </w:r>
      <w:r w:rsidR="00130875" w:rsidRPr="00A93F15">
        <w:rPr>
          <w:bCs/>
          <w:szCs w:val="22"/>
        </w:rPr>
        <w:t xml:space="preserve">, and specifically the proportion </w:t>
      </w:r>
      <w:r w:rsidRPr="00A93F15">
        <w:rPr>
          <w:bCs/>
          <w:szCs w:val="22"/>
        </w:rPr>
        <w:t xml:space="preserve">of patients who required less than 120 g </w:t>
      </w:r>
      <w:r w:rsidR="00130875" w:rsidRPr="00A93F15">
        <w:rPr>
          <w:bCs/>
          <w:szCs w:val="22"/>
        </w:rPr>
        <w:t>(2 cans) versus</w:t>
      </w:r>
      <w:r w:rsidRPr="00A93F15">
        <w:rPr>
          <w:bCs/>
          <w:szCs w:val="22"/>
        </w:rPr>
        <w:t xml:space="preserve"> more than 120 g</w:t>
      </w:r>
      <w:r w:rsidR="00130875" w:rsidRPr="00A93F15">
        <w:rPr>
          <w:bCs/>
          <w:szCs w:val="22"/>
        </w:rPr>
        <w:t xml:space="preserve"> (3 cans) was uncertain</w:t>
      </w:r>
      <w:r w:rsidRPr="00A93F15">
        <w:rPr>
          <w:bCs/>
          <w:szCs w:val="22"/>
        </w:rPr>
        <w:t xml:space="preserve">. </w:t>
      </w:r>
    </w:p>
    <w:p w:rsidR="00D032E5" w:rsidRPr="00A93F15" w:rsidRDefault="00D032E5" w:rsidP="0066070D">
      <w:pPr>
        <w:widowControl/>
        <w:spacing w:after="120"/>
        <w:ind w:left="720"/>
        <w:contextualSpacing/>
        <w:rPr>
          <w:bCs/>
          <w:szCs w:val="22"/>
        </w:rPr>
      </w:pPr>
    </w:p>
    <w:p w:rsidR="00362BC1" w:rsidRDefault="00362BC1" w:rsidP="00362BC1">
      <w:pPr>
        <w:widowControl/>
        <w:numPr>
          <w:ilvl w:val="1"/>
          <w:numId w:val="5"/>
        </w:numPr>
        <w:contextualSpacing/>
        <w:rPr>
          <w:bCs/>
          <w:szCs w:val="22"/>
        </w:rPr>
      </w:pPr>
      <w:r w:rsidRPr="00A93F15">
        <w:rPr>
          <w:bCs/>
          <w:szCs w:val="22"/>
        </w:rPr>
        <w:t>The PBAC noted that the foam spray had the potential to become the preferred formulation for patients as it demonstrated improved skin penetration and bioavailability, and has a faster effect. Further, the form spray was easier to use and was likely to be more acceptable to patients than either the gel or the ointment</w:t>
      </w:r>
      <w:r>
        <w:rPr>
          <w:bCs/>
          <w:szCs w:val="22"/>
        </w:rPr>
        <w:t xml:space="preserve"> formulation</w:t>
      </w:r>
      <w:r w:rsidRPr="00A93F15">
        <w:rPr>
          <w:bCs/>
          <w:szCs w:val="22"/>
        </w:rPr>
        <w:t>.</w:t>
      </w:r>
    </w:p>
    <w:p w:rsidR="008A0A79" w:rsidRPr="00A93F15" w:rsidRDefault="008A0A79" w:rsidP="008A0A79">
      <w:pPr>
        <w:widowControl/>
        <w:contextualSpacing/>
        <w:rPr>
          <w:bCs/>
          <w:szCs w:val="22"/>
        </w:rPr>
      </w:pPr>
    </w:p>
    <w:p w:rsidR="005329B6" w:rsidRDefault="00290D08" w:rsidP="000C2A2F">
      <w:pPr>
        <w:widowControl/>
        <w:numPr>
          <w:ilvl w:val="1"/>
          <w:numId w:val="5"/>
        </w:numPr>
        <w:spacing w:after="120"/>
        <w:contextualSpacing/>
        <w:rPr>
          <w:bCs/>
          <w:szCs w:val="22"/>
        </w:rPr>
      </w:pPr>
      <w:r w:rsidRPr="00A93F15">
        <w:rPr>
          <w:bCs/>
          <w:szCs w:val="22"/>
        </w:rPr>
        <w:t xml:space="preserve">The PBAC noted the financial </w:t>
      </w:r>
      <w:r w:rsidR="000C2A2F" w:rsidRPr="00A93F15">
        <w:rPr>
          <w:bCs/>
          <w:szCs w:val="22"/>
        </w:rPr>
        <w:t xml:space="preserve">forecasts were sensitive to the assumed market growth and the number of packs per service. The PBAC considered that the growth assumed in the submission may have been underestimated. The PBAC noted that the estimated PBS cost over 5 years was </w:t>
      </w:r>
      <w:r w:rsidR="00260159">
        <w:rPr>
          <w:szCs w:val="22"/>
        </w:rPr>
        <w:t>$20 - $30 million</w:t>
      </w:r>
      <w:r w:rsidR="00260159" w:rsidRPr="00A93F15">
        <w:rPr>
          <w:szCs w:val="22"/>
        </w:rPr>
        <w:t xml:space="preserve"> </w:t>
      </w:r>
      <w:r w:rsidR="000C2A2F" w:rsidRPr="00A93F15">
        <w:rPr>
          <w:bCs/>
          <w:szCs w:val="22"/>
        </w:rPr>
        <w:t xml:space="preserve">based on 1.7 packs per service, and that this reduced to </w:t>
      </w:r>
      <w:r w:rsidR="00260159">
        <w:rPr>
          <w:szCs w:val="22"/>
        </w:rPr>
        <w:t>$10 - $20 million</w:t>
      </w:r>
      <w:r w:rsidR="00260159" w:rsidRPr="00A93F15">
        <w:rPr>
          <w:szCs w:val="22"/>
        </w:rPr>
        <w:t xml:space="preserve"> </w:t>
      </w:r>
      <w:r w:rsidR="000C2A2F" w:rsidRPr="00A93F15">
        <w:rPr>
          <w:bCs/>
          <w:szCs w:val="22"/>
        </w:rPr>
        <w:t xml:space="preserve">if there is 1 pack per service. Updated data were provided in the PSCR suggesting 1.4 packs per service. </w:t>
      </w:r>
      <w:r w:rsidR="00703D4F" w:rsidRPr="00A93F15">
        <w:rPr>
          <w:bCs/>
          <w:szCs w:val="22"/>
        </w:rPr>
        <w:t>Overall,</w:t>
      </w:r>
      <w:r w:rsidR="000C2A2F" w:rsidRPr="00A93F15">
        <w:rPr>
          <w:bCs/>
          <w:szCs w:val="22"/>
        </w:rPr>
        <w:t xml:space="preserve"> the PBAC considered the financial </w:t>
      </w:r>
      <w:r w:rsidR="00703D4F">
        <w:rPr>
          <w:bCs/>
          <w:szCs w:val="22"/>
        </w:rPr>
        <w:t xml:space="preserve">estimates </w:t>
      </w:r>
      <w:r w:rsidR="000C2A2F" w:rsidRPr="00A93F15">
        <w:rPr>
          <w:bCs/>
          <w:szCs w:val="22"/>
        </w:rPr>
        <w:t xml:space="preserve">to be uncertain and recommended </w:t>
      </w:r>
      <w:r w:rsidR="00703D4F">
        <w:rPr>
          <w:bCs/>
          <w:szCs w:val="22"/>
        </w:rPr>
        <w:t xml:space="preserve">that a Risk Sharing Arrangement </w:t>
      </w:r>
      <w:r w:rsidR="0001561D">
        <w:rPr>
          <w:bCs/>
          <w:szCs w:val="22"/>
        </w:rPr>
        <w:t xml:space="preserve">should </w:t>
      </w:r>
      <w:r w:rsidR="00703D4F">
        <w:rPr>
          <w:bCs/>
          <w:szCs w:val="22"/>
        </w:rPr>
        <w:t xml:space="preserve">be put in place to manage the uncertainty </w:t>
      </w:r>
      <w:r w:rsidR="0001561D">
        <w:rPr>
          <w:bCs/>
          <w:szCs w:val="22"/>
        </w:rPr>
        <w:t xml:space="preserve">of packs per service. </w:t>
      </w:r>
      <w:r w:rsidR="00787629">
        <w:rPr>
          <w:bCs/>
          <w:szCs w:val="22"/>
        </w:rPr>
        <w:t xml:space="preserve">The Committee therefore recommended that a financial cap </w:t>
      </w:r>
      <w:r w:rsidR="00E0465B">
        <w:rPr>
          <w:bCs/>
          <w:szCs w:val="22"/>
        </w:rPr>
        <w:t>be</w:t>
      </w:r>
      <w:r w:rsidR="00787629">
        <w:rPr>
          <w:bCs/>
          <w:szCs w:val="22"/>
        </w:rPr>
        <w:t xml:space="preserve"> implemented set at the level of the financial estimates updated with the </w:t>
      </w:r>
      <w:r w:rsidR="00A07622">
        <w:rPr>
          <w:bCs/>
          <w:szCs w:val="22"/>
        </w:rPr>
        <w:t xml:space="preserve">number of </w:t>
      </w:r>
      <w:r w:rsidR="0001561D">
        <w:rPr>
          <w:bCs/>
          <w:szCs w:val="22"/>
        </w:rPr>
        <w:t>packs per service</w:t>
      </w:r>
      <w:r w:rsidR="00A07622">
        <w:rPr>
          <w:bCs/>
          <w:szCs w:val="22"/>
        </w:rPr>
        <w:t xml:space="preserve"> </w:t>
      </w:r>
      <w:r w:rsidR="00787629">
        <w:rPr>
          <w:bCs/>
          <w:szCs w:val="22"/>
        </w:rPr>
        <w:t xml:space="preserve">as per the PSCR, </w:t>
      </w:r>
      <w:r w:rsidR="00A07622">
        <w:rPr>
          <w:bCs/>
          <w:szCs w:val="22"/>
        </w:rPr>
        <w:t>along with the estimated number of services as outlined in the submission.</w:t>
      </w:r>
      <w:r w:rsidR="00787629">
        <w:rPr>
          <w:bCs/>
          <w:szCs w:val="22"/>
        </w:rPr>
        <w:t xml:space="preserve"> A rebate should apply beyond these caps to reimburse the Commonwealth the majority of expenditure above these updated estimates.</w:t>
      </w:r>
    </w:p>
    <w:p w:rsidR="00362BC1" w:rsidRDefault="009E31CF" w:rsidP="005329B6">
      <w:pPr>
        <w:widowControl/>
        <w:spacing w:after="120"/>
        <w:contextualSpacing/>
        <w:rPr>
          <w:bCs/>
          <w:szCs w:val="22"/>
        </w:rPr>
      </w:pPr>
      <w:r w:rsidRPr="00A93F15">
        <w:rPr>
          <w:bCs/>
          <w:szCs w:val="22"/>
        </w:rPr>
        <w:t xml:space="preserve"> </w:t>
      </w:r>
    </w:p>
    <w:p w:rsidR="00290D08" w:rsidRPr="00A93F15" w:rsidRDefault="009E31CF" w:rsidP="000C2A2F">
      <w:pPr>
        <w:widowControl/>
        <w:numPr>
          <w:ilvl w:val="1"/>
          <w:numId w:val="5"/>
        </w:numPr>
        <w:spacing w:after="120"/>
        <w:contextualSpacing/>
        <w:rPr>
          <w:bCs/>
          <w:szCs w:val="22"/>
        </w:rPr>
      </w:pPr>
      <w:r w:rsidRPr="00A93F15">
        <w:rPr>
          <w:bCs/>
          <w:szCs w:val="22"/>
        </w:rPr>
        <w:t xml:space="preserve">The PBAC </w:t>
      </w:r>
      <w:r w:rsidR="00362BC1">
        <w:rPr>
          <w:bCs/>
          <w:szCs w:val="22"/>
        </w:rPr>
        <w:t>requested</w:t>
      </w:r>
      <w:r w:rsidR="00362BC1" w:rsidRPr="00A93F15">
        <w:rPr>
          <w:bCs/>
          <w:szCs w:val="22"/>
        </w:rPr>
        <w:t xml:space="preserve"> </w:t>
      </w:r>
      <w:r w:rsidRPr="00A93F15">
        <w:rPr>
          <w:bCs/>
          <w:szCs w:val="22"/>
        </w:rPr>
        <w:t xml:space="preserve">that </w:t>
      </w:r>
      <w:r w:rsidR="00362BC1">
        <w:rPr>
          <w:bCs/>
          <w:szCs w:val="22"/>
        </w:rPr>
        <w:t>the 24 month DUSC utilisation review includes a comparison of the predicted and</w:t>
      </w:r>
      <w:r w:rsidR="005329B6">
        <w:rPr>
          <w:bCs/>
          <w:szCs w:val="22"/>
        </w:rPr>
        <w:t xml:space="preserve"> </w:t>
      </w:r>
      <w:r w:rsidRPr="00A93F15">
        <w:rPr>
          <w:bCs/>
          <w:szCs w:val="22"/>
        </w:rPr>
        <w:t>actual number of packs per service.</w:t>
      </w:r>
    </w:p>
    <w:p w:rsidR="00DF6E98" w:rsidRPr="00A93F15" w:rsidRDefault="00DF6E98" w:rsidP="0066070D">
      <w:pPr>
        <w:contextualSpacing/>
        <w:rPr>
          <w:bCs/>
          <w:szCs w:val="22"/>
          <w:highlight w:val="yellow"/>
        </w:rPr>
      </w:pPr>
    </w:p>
    <w:p w:rsidR="00DA67AB" w:rsidRDefault="00DA67AB" w:rsidP="00762623">
      <w:pPr>
        <w:widowControl/>
        <w:numPr>
          <w:ilvl w:val="1"/>
          <w:numId w:val="5"/>
        </w:numPr>
        <w:spacing w:after="120"/>
        <w:contextualSpacing/>
        <w:rPr>
          <w:bCs/>
          <w:szCs w:val="22"/>
        </w:rPr>
      </w:pPr>
      <w:r>
        <w:rPr>
          <w:bCs/>
          <w:szCs w:val="22"/>
        </w:rPr>
        <w:t>The</w:t>
      </w:r>
      <w:r w:rsidR="00117F3F">
        <w:rPr>
          <w:bCs/>
          <w:szCs w:val="22"/>
        </w:rPr>
        <w:t xml:space="preserve"> PBAC re</w:t>
      </w:r>
      <w:r w:rsidR="00762623">
        <w:rPr>
          <w:bCs/>
          <w:szCs w:val="22"/>
        </w:rPr>
        <w:t xml:space="preserve">commended that calcipotriol with betamethasone foam spray be restricted to use where the condition is </w:t>
      </w:r>
      <w:r w:rsidR="00762623" w:rsidRPr="00762623">
        <w:rPr>
          <w:bCs/>
          <w:szCs w:val="22"/>
        </w:rPr>
        <w:t>inadequately controlled by potent topical corticosteroid monotherapy</w:t>
      </w:r>
      <w:r w:rsidR="00762623">
        <w:rPr>
          <w:bCs/>
          <w:szCs w:val="22"/>
        </w:rPr>
        <w:t>, rather than either</w:t>
      </w:r>
      <w:r w:rsidR="00FE7992">
        <w:rPr>
          <w:bCs/>
          <w:szCs w:val="22"/>
        </w:rPr>
        <w:t xml:space="preserve"> </w:t>
      </w:r>
      <w:r w:rsidR="00762623" w:rsidRPr="00762623">
        <w:rPr>
          <w:bCs/>
          <w:szCs w:val="22"/>
        </w:rPr>
        <w:t>potent to</w:t>
      </w:r>
      <w:r w:rsidR="00762623">
        <w:rPr>
          <w:bCs/>
          <w:szCs w:val="22"/>
        </w:rPr>
        <w:t xml:space="preserve">pical corticosteroid </w:t>
      </w:r>
      <w:r w:rsidR="00FE7992">
        <w:rPr>
          <w:bCs/>
          <w:szCs w:val="22"/>
        </w:rPr>
        <w:t>or vitamin D analogue monotherapy, noting that there are no calcipotriol single agent topical preparations listed on the PBS.</w:t>
      </w:r>
      <w:r w:rsidR="00373318">
        <w:rPr>
          <w:bCs/>
          <w:szCs w:val="22"/>
        </w:rPr>
        <w:t xml:space="preserve">  The PBAC </w:t>
      </w:r>
      <w:r w:rsidR="00814EDF">
        <w:rPr>
          <w:bCs/>
          <w:szCs w:val="22"/>
        </w:rPr>
        <w:t xml:space="preserve">recommended that the restrictions for other topical calcipotriol with betamethasone combination products </w:t>
      </w:r>
      <w:r w:rsidR="00A240F0">
        <w:rPr>
          <w:bCs/>
          <w:szCs w:val="22"/>
        </w:rPr>
        <w:t>listed on the PBS be aligned by removing inadequate control of the condition with a vitamin D analogue or calcipotriol.</w:t>
      </w:r>
    </w:p>
    <w:p w:rsidR="00DA67AB" w:rsidRDefault="00DA67AB" w:rsidP="00DA67AB">
      <w:pPr>
        <w:pStyle w:val="ListParagraph"/>
        <w:rPr>
          <w:bCs/>
          <w:szCs w:val="22"/>
        </w:rPr>
      </w:pPr>
    </w:p>
    <w:p w:rsidR="00881B64" w:rsidRPr="00A93F15" w:rsidRDefault="00881B64" w:rsidP="0066070D">
      <w:pPr>
        <w:widowControl/>
        <w:numPr>
          <w:ilvl w:val="1"/>
          <w:numId w:val="5"/>
        </w:numPr>
        <w:spacing w:after="120"/>
        <w:contextualSpacing/>
        <w:rPr>
          <w:bCs/>
          <w:szCs w:val="22"/>
        </w:rPr>
      </w:pPr>
      <w:r w:rsidRPr="00A93F15">
        <w:rPr>
          <w:bCs/>
          <w:szCs w:val="22"/>
        </w:rPr>
        <w:t>The PBAC recommended that the Early Supply Rule should not apply.</w:t>
      </w:r>
    </w:p>
    <w:p w:rsidR="003E4F7E" w:rsidRPr="00A93F15" w:rsidRDefault="003E4F7E" w:rsidP="0066070D">
      <w:pPr>
        <w:rPr>
          <w:bCs/>
          <w:szCs w:val="22"/>
        </w:rPr>
      </w:pPr>
    </w:p>
    <w:p w:rsidR="003E4F7E" w:rsidRPr="00A93F15" w:rsidRDefault="003E4F7E" w:rsidP="0066070D">
      <w:pPr>
        <w:widowControl/>
        <w:numPr>
          <w:ilvl w:val="1"/>
          <w:numId w:val="5"/>
        </w:numPr>
        <w:spacing w:after="120"/>
        <w:contextualSpacing/>
        <w:rPr>
          <w:bCs/>
          <w:szCs w:val="22"/>
        </w:rPr>
      </w:pPr>
      <w:r w:rsidRPr="00A93F15">
        <w:rPr>
          <w:bCs/>
          <w:szCs w:val="22"/>
        </w:rPr>
        <w:t>The PBAC advised that calcipotriol with betamethasone foam spray is suitable for prescribing by nurse practitioners</w:t>
      </w:r>
      <w:r w:rsidR="001B3558">
        <w:rPr>
          <w:bCs/>
          <w:szCs w:val="22"/>
        </w:rPr>
        <w:t xml:space="preserve"> as continuing therapy only</w:t>
      </w:r>
      <w:r w:rsidRPr="00A93F15">
        <w:rPr>
          <w:bCs/>
          <w:szCs w:val="22"/>
        </w:rPr>
        <w:t>.</w:t>
      </w:r>
    </w:p>
    <w:p w:rsidR="00DF6E98" w:rsidRPr="00A93F15" w:rsidRDefault="00DF6E98" w:rsidP="0066070D">
      <w:pPr>
        <w:widowControl/>
        <w:spacing w:after="120"/>
        <w:contextualSpacing/>
        <w:rPr>
          <w:bCs/>
          <w:szCs w:val="22"/>
          <w:highlight w:val="yellow"/>
        </w:rPr>
      </w:pPr>
    </w:p>
    <w:p w:rsidR="00332677" w:rsidRPr="00A93F15" w:rsidRDefault="00332677" w:rsidP="0066070D">
      <w:pPr>
        <w:widowControl/>
        <w:numPr>
          <w:ilvl w:val="1"/>
          <w:numId w:val="5"/>
        </w:numPr>
        <w:spacing w:after="120"/>
        <w:contextualSpacing/>
        <w:rPr>
          <w:bCs/>
          <w:szCs w:val="22"/>
        </w:rPr>
      </w:pPr>
      <w:r w:rsidRPr="00A93F15">
        <w:rPr>
          <w:bCs/>
          <w:szCs w:val="22"/>
        </w:rPr>
        <w:t xml:space="preserve">The PBAC noted that this submission is not eligible for an Independent Review because the PBAC has made a positive recommendation. </w:t>
      </w:r>
    </w:p>
    <w:p w:rsidR="00332677" w:rsidRPr="00A93F15" w:rsidRDefault="00332677" w:rsidP="00332677">
      <w:pPr>
        <w:widowControl/>
        <w:spacing w:after="120"/>
        <w:ind w:left="720"/>
        <w:contextualSpacing/>
        <w:jc w:val="left"/>
        <w:rPr>
          <w:bCs/>
          <w:szCs w:val="22"/>
          <w:highlight w:val="yellow"/>
        </w:rPr>
      </w:pPr>
    </w:p>
    <w:p w:rsidR="00DF6E98" w:rsidRPr="00A93F15" w:rsidRDefault="00DF6E98" w:rsidP="00DF6E98">
      <w:pPr>
        <w:widowControl/>
        <w:rPr>
          <w:b/>
          <w:bCs/>
          <w:szCs w:val="22"/>
        </w:rPr>
      </w:pPr>
      <w:r w:rsidRPr="00A93F15">
        <w:rPr>
          <w:b/>
          <w:bCs/>
          <w:szCs w:val="22"/>
        </w:rPr>
        <w:t>Outcome:</w:t>
      </w:r>
    </w:p>
    <w:p w:rsidR="00DF6E98" w:rsidRPr="00A93F15" w:rsidRDefault="00DF6E98" w:rsidP="00DF6E98">
      <w:pPr>
        <w:widowControl/>
        <w:rPr>
          <w:bCs/>
          <w:szCs w:val="22"/>
        </w:rPr>
      </w:pPr>
      <w:r w:rsidRPr="00A93F15">
        <w:rPr>
          <w:bCs/>
          <w:szCs w:val="22"/>
        </w:rPr>
        <w:t>Recommended</w:t>
      </w:r>
    </w:p>
    <w:p w:rsidR="00DD1AA2" w:rsidRPr="00A93F15" w:rsidRDefault="00DD1AA2" w:rsidP="00DF6E98">
      <w:pPr>
        <w:rPr>
          <w:b/>
          <w:bCs/>
          <w:szCs w:val="22"/>
        </w:rPr>
      </w:pPr>
    </w:p>
    <w:p w:rsidR="00DF6E98" w:rsidRPr="00A93F15" w:rsidRDefault="00DF6E98" w:rsidP="00DF6E98">
      <w:pPr>
        <w:rPr>
          <w:b/>
          <w:bCs/>
          <w:szCs w:val="22"/>
          <w:highlight w:val="yellow"/>
        </w:rPr>
      </w:pPr>
    </w:p>
    <w:p w:rsidR="00DF6E98" w:rsidRPr="00A93F15" w:rsidRDefault="00DF6E98" w:rsidP="00B07BF6">
      <w:pPr>
        <w:pStyle w:val="PBACHeading1"/>
        <w:rPr>
          <w:b w:val="0"/>
          <w:bCs/>
          <w:i/>
        </w:rPr>
      </w:pPr>
      <w:r w:rsidRPr="00A93F15">
        <w:rPr>
          <w:bCs/>
        </w:rPr>
        <w:t>Recommended listing</w:t>
      </w:r>
    </w:p>
    <w:p w:rsidR="00DF6E98" w:rsidRPr="00A93F15" w:rsidRDefault="00DF6E98" w:rsidP="00DF6E98">
      <w:pPr>
        <w:widowControl/>
        <w:rPr>
          <w:b/>
          <w:bCs/>
          <w:i/>
          <w:szCs w:val="22"/>
          <w:highlight w:val="yellow"/>
        </w:rPr>
      </w:pPr>
    </w:p>
    <w:p w:rsidR="00DF6E98" w:rsidRPr="00A93F15" w:rsidRDefault="00364E21" w:rsidP="006D1CB8">
      <w:pPr>
        <w:widowControl/>
        <w:numPr>
          <w:ilvl w:val="1"/>
          <w:numId w:val="5"/>
        </w:numPr>
        <w:spacing w:after="120"/>
        <w:contextualSpacing/>
        <w:jc w:val="left"/>
        <w:rPr>
          <w:b/>
          <w:bCs/>
          <w:szCs w:val="22"/>
        </w:rPr>
      </w:pPr>
      <w:r w:rsidRPr="00A93F15">
        <w:rPr>
          <w:bCs/>
          <w:szCs w:val="22"/>
        </w:rPr>
        <w:t>Add new item.</w:t>
      </w:r>
    </w:p>
    <w:p w:rsidR="001832F6" w:rsidRPr="00A93F15" w:rsidRDefault="001832F6" w:rsidP="00D8567D">
      <w:pPr>
        <w:widowControl/>
        <w:jc w:val="left"/>
        <w:rPr>
          <w:b/>
          <w:bCs/>
          <w:szCs w:val="22"/>
        </w:rPr>
      </w:pPr>
    </w:p>
    <w:tbl>
      <w:tblPr>
        <w:tblW w:w="4633" w:type="pct"/>
        <w:tblInd w:w="693" w:type="dxa"/>
        <w:tblCellMar>
          <w:left w:w="28" w:type="dxa"/>
          <w:right w:w="28" w:type="dxa"/>
        </w:tblCellMar>
        <w:tblLook w:val="0000" w:firstRow="0" w:lastRow="0" w:firstColumn="0" w:lastColumn="0" w:noHBand="0" w:noVBand="0"/>
      </w:tblPr>
      <w:tblGrid>
        <w:gridCol w:w="1092"/>
        <w:gridCol w:w="2531"/>
        <w:gridCol w:w="564"/>
        <w:gridCol w:w="867"/>
        <w:gridCol w:w="1668"/>
        <w:gridCol w:w="1693"/>
      </w:tblGrid>
      <w:tr w:rsidR="00B07BF6" w:rsidRPr="00A93F15" w:rsidTr="00B07BF6">
        <w:trPr>
          <w:cantSplit/>
          <w:trHeight w:val="471"/>
        </w:trPr>
        <w:tc>
          <w:tcPr>
            <w:tcW w:w="2153" w:type="pct"/>
            <w:gridSpan w:val="2"/>
            <w:tcBorders>
              <w:bottom w:val="single" w:sz="4" w:space="0" w:color="auto"/>
            </w:tcBorders>
          </w:tcPr>
          <w:p w:rsidR="00B07BF6" w:rsidRPr="00A93F15" w:rsidRDefault="00B07BF6" w:rsidP="009B490C">
            <w:pPr>
              <w:keepNext/>
              <w:widowControl/>
              <w:rPr>
                <w:rFonts w:ascii="Arial Narrow" w:hAnsi="Arial Narrow"/>
                <w:sz w:val="20"/>
              </w:rPr>
            </w:pPr>
            <w:r w:rsidRPr="00A93F15">
              <w:rPr>
                <w:rFonts w:ascii="Arial Narrow" w:hAnsi="Arial Narrow"/>
                <w:sz w:val="20"/>
              </w:rPr>
              <w:t>Name, Restriction,</w:t>
            </w:r>
          </w:p>
          <w:p w:rsidR="00B07BF6" w:rsidRPr="00A93F15" w:rsidRDefault="00B07BF6" w:rsidP="009B490C">
            <w:pPr>
              <w:keepNext/>
              <w:widowControl/>
              <w:rPr>
                <w:rFonts w:ascii="Arial Narrow" w:hAnsi="Arial Narrow"/>
                <w:sz w:val="20"/>
              </w:rPr>
            </w:pPr>
            <w:r w:rsidRPr="00A93F15">
              <w:rPr>
                <w:rFonts w:ascii="Arial Narrow" w:hAnsi="Arial Narrow"/>
                <w:sz w:val="20"/>
              </w:rPr>
              <w:t>Manner of administration and form</w:t>
            </w:r>
          </w:p>
        </w:tc>
        <w:tc>
          <w:tcPr>
            <w:tcW w:w="335" w:type="pct"/>
            <w:tcBorders>
              <w:bottom w:val="single" w:sz="4" w:space="0" w:color="auto"/>
            </w:tcBorders>
          </w:tcPr>
          <w:p w:rsidR="00B07BF6" w:rsidRPr="00A93F15" w:rsidRDefault="00B07BF6" w:rsidP="009B490C">
            <w:pPr>
              <w:keepNext/>
              <w:widowControl/>
              <w:jc w:val="center"/>
              <w:rPr>
                <w:rFonts w:ascii="Arial Narrow" w:hAnsi="Arial Narrow"/>
                <w:sz w:val="20"/>
              </w:rPr>
            </w:pPr>
            <w:r w:rsidRPr="00A93F15">
              <w:rPr>
                <w:rFonts w:ascii="Arial Narrow" w:hAnsi="Arial Narrow"/>
                <w:sz w:val="20"/>
              </w:rPr>
              <w:t>Max.</w:t>
            </w:r>
          </w:p>
          <w:p w:rsidR="00B07BF6" w:rsidRPr="00A93F15" w:rsidRDefault="00B07BF6" w:rsidP="009B490C">
            <w:pPr>
              <w:keepNext/>
              <w:widowControl/>
              <w:jc w:val="center"/>
              <w:rPr>
                <w:rFonts w:ascii="Arial Narrow" w:hAnsi="Arial Narrow"/>
                <w:sz w:val="20"/>
              </w:rPr>
            </w:pPr>
            <w:r w:rsidRPr="00A93F15">
              <w:rPr>
                <w:rFonts w:ascii="Arial Narrow" w:hAnsi="Arial Narrow"/>
                <w:sz w:val="20"/>
              </w:rPr>
              <w:t>Qty</w:t>
            </w:r>
          </w:p>
        </w:tc>
        <w:tc>
          <w:tcPr>
            <w:tcW w:w="515" w:type="pct"/>
            <w:tcBorders>
              <w:bottom w:val="single" w:sz="4" w:space="0" w:color="auto"/>
            </w:tcBorders>
          </w:tcPr>
          <w:p w:rsidR="00B07BF6" w:rsidRPr="00A93F15" w:rsidRDefault="00B07BF6" w:rsidP="009B490C">
            <w:pPr>
              <w:keepNext/>
              <w:widowControl/>
              <w:jc w:val="center"/>
              <w:rPr>
                <w:rFonts w:ascii="Arial Narrow" w:hAnsi="Arial Narrow"/>
                <w:sz w:val="20"/>
              </w:rPr>
            </w:pPr>
            <w:r w:rsidRPr="00A93F15">
              <w:rPr>
                <w:rFonts w:ascii="Arial Narrow" w:hAnsi="Arial Narrow"/>
                <w:sz w:val="20"/>
              </w:rPr>
              <w:t>№.of</w:t>
            </w:r>
          </w:p>
          <w:p w:rsidR="00B07BF6" w:rsidRPr="00A93F15" w:rsidRDefault="00B07BF6" w:rsidP="009B490C">
            <w:pPr>
              <w:keepNext/>
              <w:widowControl/>
              <w:jc w:val="center"/>
              <w:rPr>
                <w:rFonts w:ascii="Arial Narrow" w:hAnsi="Arial Narrow"/>
                <w:sz w:val="20"/>
              </w:rPr>
            </w:pPr>
            <w:r w:rsidRPr="00A93F15">
              <w:rPr>
                <w:rFonts w:ascii="Arial Narrow" w:hAnsi="Arial Narrow"/>
                <w:sz w:val="20"/>
              </w:rPr>
              <w:t>Rpts</w:t>
            </w:r>
          </w:p>
        </w:tc>
        <w:tc>
          <w:tcPr>
            <w:tcW w:w="1997" w:type="pct"/>
            <w:gridSpan w:val="2"/>
            <w:tcBorders>
              <w:bottom w:val="single" w:sz="4" w:space="0" w:color="auto"/>
            </w:tcBorders>
          </w:tcPr>
          <w:p w:rsidR="00B07BF6" w:rsidRPr="00A93F15" w:rsidRDefault="00B07BF6" w:rsidP="009B490C">
            <w:pPr>
              <w:keepNext/>
              <w:widowControl/>
              <w:jc w:val="center"/>
              <w:rPr>
                <w:rFonts w:ascii="Arial Narrow" w:hAnsi="Arial Narrow"/>
                <w:sz w:val="20"/>
              </w:rPr>
            </w:pPr>
            <w:r w:rsidRPr="00A93F15">
              <w:rPr>
                <w:rFonts w:ascii="Arial Narrow" w:hAnsi="Arial Narrow"/>
                <w:sz w:val="20"/>
              </w:rPr>
              <w:t>Proprietary Name and Manufacturer</w:t>
            </w:r>
          </w:p>
        </w:tc>
      </w:tr>
      <w:tr w:rsidR="00B07BF6" w:rsidRPr="00A93F15" w:rsidTr="00B07BF6">
        <w:trPr>
          <w:cantSplit/>
          <w:trHeight w:val="577"/>
        </w:trPr>
        <w:tc>
          <w:tcPr>
            <w:tcW w:w="2153" w:type="pct"/>
            <w:gridSpan w:val="2"/>
          </w:tcPr>
          <w:p w:rsidR="00B07BF6" w:rsidRPr="00A93F15" w:rsidRDefault="00B07BF6" w:rsidP="009B490C">
            <w:pPr>
              <w:keepNext/>
              <w:widowControl/>
              <w:rPr>
                <w:rFonts w:ascii="Arial Narrow" w:hAnsi="Arial Narrow"/>
                <w:smallCaps/>
                <w:sz w:val="20"/>
              </w:rPr>
            </w:pPr>
            <w:r w:rsidRPr="00A93F15">
              <w:rPr>
                <w:rFonts w:ascii="Arial Narrow" w:hAnsi="Arial Narrow"/>
                <w:smallCaps/>
                <w:sz w:val="20"/>
              </w:rPr>
              <w:t xml:space="preserve">calcipotriol + betamethasone </w:t>
            </w:r>
          </w:p>
          <w:p w:rsidR="00B07BF6" w:rsidRPr="00A93F15" w:rsidRDefault="00B07BF6" w:rsidP="009B490C">
            <w:pPr>
              <w:keepNext/>
              <w:widowControl/>
              <w:rPr>
                <w:rFonts w:ascii="Arial Narrow" w:hAnsi="Arial Narrow"/>
                <w:sz w:val="20"/>
              </w:rPr>
            </w:pPr>
            <w:r w:rsidRPr="00A93F15">
              <w:rPr>
                <w:rFonts w:ascii="Arial Narrow" w:hAnsi="Arial Narrow"/>
                <w:sz w:val="20"/>
              </w:rPr>
              <w:t xml:space="preserve">calcipotriol 0.05% + betamethasone (as </w:t>
            </w:r>
            <w:proofErr w:type="spellStart"/>
            <w:r w:rsidRPr="00A93F15">
              <w:rPr>
                <w:rFonts w:ascii="Arial Narrow" w:hAnsi="Arial Narrow"/>
                <w:sz w:val="20"/>
              </w:rPr>
              <w:t>dipropionate</w:t>
            </w:r>
            <w:proofErr w:type="spellEnd"/>
            <w:r w:rsidRPr="00A93F15">
              <w:rPr>
                <w:rFonts w:ascii="Arial Narrow" w:hAnsi="Arial Narrow"/>
                <w:sz w:val="20"/>
              </w:rPr>
              <w:t xml:space="preserve">) 0.05%, foam spray, 60g </w:t>
            </w:r>
          </w:p>
          <w:p w:rsidR="00B07BF6" w:rsidRPr="00A93F15" w:rsidRDefault="00B07BF6" w:rsidP="009B490C">
            <w:pPr>
              <w:keepNext/>
              <w:widowControl/>
              <w:rPr>
                <w:rFonts w:ascii="Arial Narrow" w:hAnsi="Arial Narrow"/>
                <w:sz w:val="20"/>
              </w:rPr>
            </w:pPr>
          </w:p>
        </w:tc>
        <w:tc>
          <w:tcPr>
            <w:tcW w:w="335" w:type="pct"/>
          </w:tcPr>
          <w:p w:rsidR="00B07BF6" w:rsidRPr="00A93F15" w:rsidRDefault="00B07BF6" w:rsidP="009B490C">
            <w:pPr>
              <w:keepNext/>
              <w:widowControl/>
              <w:rPr>
                <w:rFonts w:ascii="Arial Narrow" w:hAnsi="Arial Narrow"/>
                <w:sz w:val="20"/>
              </w:rPr>
            </w:pPr>
          </w:p>
          <w:p w:rsidR="00B07BF6" w:rsidRPr="00A93F15" w:rsidRDefault="00B07BF6" w:rsidP="009B490C">
            <w:pPr>
              <w:keepNext/>
              <w:widowControl/>
              <w:jc w:val="center"/>
              <w:rPr>
                <w:rFonts w:ascii="Arial Narrow" w:hAnsi="Arial Narrow"/>
                <w:sz w:val="20"/>
              </w:rPr>
            </w:pPr>
            <w:r w:rsidRPr="00A93F15">
              <w:rPr>
                <w:rFonts w:ascii="Arial Narrow" w:hAnsi="Arial Narrow"/>
                <w:sz w:val="20"/>
              </w:rPr>
              <w:t>1</w:t>
            </w:r>
          </w:p>
          <w:p w:rsidR="00B07BF6" w:rsidRPr="00A93F15" w:rsidRDefault="00B07BF6" w:rsidP="009B490C">
            <w:pPr>
              <w:keepNext/>
              <w:widowControl/>
              <w:jc w:val="center"/>
              <w:rPr>
                <w:rFonts w:ascii="Arial Narrow" w:hAnsi="Arial Narrow"/>
                <w:sz w:val="20"/>
              </w:rPr>
            </w:pPr>
          </w:p>
        </w:tc>
        <w:tc>
          <w:tcPr>
            <w:tcW w:w="515" w:type="pct"/>
          </w:tcPr>
          <w:p w:rsidR="00B07BF6" w:rsidRPr="00A93F15" w:rsidRDefault="00B07BF6" w:rsidP="009B490C">
            <w:pPr>
              <w:keepNext/>
              <w:widowControl/>
              <w:jc w:val="center"/>
              <w:rPr>
                <w:rFonts w:ascii="Arial Narrow" w:hAnsi="Arial Narrow"/>
                <w:sz w:val="20"/>
              </w:rPr>
            </w:pPr>
          </w:p>
          <w:p w:rsidR="00B07BF6" w:rsidRPr="00A93F15" w:rsidRDefault="00B07BF6" w:rsidP="009B490C">
            <w:pPr>
              <w:keepNext/>
              <w:widowControl/>
              <w:jc w:val="center"/>
              <w:rPr>
                <w:rFonts w:ascii="Arial Narrow" w:hAnsi="Arial Narrow"/>
                <w:sz w:val="20"/>
              </w:rPr>
            </w:pPr>
            <w:r w:rsidRPr="00A93F15">
              <w:rPr>
                <w:rFonts w:ascii="Arial Narrow" w:hAnsi="Arial Narrow"/>
                <w:sz w:val="20"/>
              </w:rPr>
              <w:t>1</w:t>
            </w:r>
          </w:p>
          <w:p w:rsidR="00B07BF6" w:rsidRPr="00A93F15" w:rsidRDefault="00B07BF6" w:rsidP="009B490C">
            <w:pPr>
              <w:keepNext/>
              <w:widowControl/>
              <w:jc w:val="center"/>
              <w:rPr>
                <w:rFonts w:ascii="Arial Narrow" w:hAnsi="Arial Narrow"/>
                <w:sz w:val="20"/>
              </w:rPr>
            </w:pPr>
          </w:p>
        </w:tc>
        <w:tc>
          <w:tcPr>
            <w:tcW w:w="991" w:type="pct"/>
          </w:tcPr>
          <w:p w:rsidR="00B07BF6" w:rsidRPr="00A93F15" w:rsidRDefault="00B07BF6" w:rsidP="009B490C">
            <w:pPr>
              <w:keepNext/>
              <w:widowControl/>
              <w:jc w:val="center"/>
              <w:rPr>
                <w:rFonts w:ascii="Arial Narrow" w:hAnsi="Arial Narrow"/>
                <w:sz w:val="20"/>
              </w:rPr>
            </w:pPr>
          </w:p>
          <w:p w:rsidR="00B07BF6" w:rsidRPr="00A93F15" w:rsidRDefault="00B07BF6" w:rsidP="009B490C">
            <w:pPr>
              <w:keepNext/>
              <w:widowControl/>
              <w:jc w:val="center"/>
              <w:rPr>
                <w:rFonts w:ascii="Arial Narrow" w:hAnsi="Arial Narrow"/>
                <w:sz w:val="20"/>
              </w:rPr>
            </w:pPr>
            <w:proofErr w:type="spellStart"/>
            <w:r w:rsidRPr="00A93F15">
              <w:rPr>
                <w:rFonts w:ascii="Arial Narrow" w:hAnsi="Arial Narrow"/>
                <w:sz w:val="20"/>
              </w:rPr>
              <w:t>Enstilar</w:t>
            </w:r>
            <w:proofErr w:type="spellEnd"/>
            <w:r w:rsidRPr="00A93F15">
              <w:rPr>
                <w:rFonts w:ascii="Arial Narrow" w:hAnsi="Arial Narrow"/>
                <w:sz w:val="20"/>
                <w:vertAlign w:val="superscript"/>
              </w:rPr>
              <w:t>®</w:t>
            </w:r>
            <w:r w:rsidRPr="00A93F15">
              <w:rPr>
                <w:rFonts w:ascii="Arial Narrow" w:hAnsi="Arial Narrow"/>
                <w:sz w:val="20"/>
              </w:rPr>
              <w:t xml:space="preserve"> 50/500 foam spray</w:t>
            </w:r>
          </w:p>
        </w:tc>
        <w:tc>
          <w:tcPr>
            <w:tcW w:w="1006" w:type="pct"/>
          </w:tcPr>
          <w:p w:rsidR="00B07BF6" w:rsidRPr="00A93F15" w:rsidRDefault="00B07BF6" w:rsidP="009B490C">
            <w:pPr>
              <w:keepNext/>
              <w:widowControl/>
              <w:jc w:val="center"/>
              <w:rPr>
                <w:rFonts w:ascii="Arial Narrow" w:hAnsi="Arial Narrow"/>
                <w:sz w:val="20"/>
              </w:rPr>
            </w:pPr>
          </w:p>
          <w:p w:rsidR="00B07BF6" w:rsidRPr="00A93F15" w:rsidRDefault="00B07BF6" w:rsidP="009B490C">
            <w:pPr>
              <w:keepNext/>
              <w:widowControl/>
              <w:jc w:val="center"/>
              <w:rPr>
                <w:rFonts w:ascii="Arial Narrow" w:hAnsi="Arial Narrow"/>
                <w:sz w:val="20"/>
              </w:rPr>
            </w:pPr>
            <w:r w:rsidRPr="00A93F15">
              <w:rPr>
                <w:rFonts w:ascii="Arial Narrow" w:hAnsi="Arial Narrow"/>
                <w:sz w:val="20"/>
              </w:rPr>
              <w:t>Leo Pharma Pty Ltd</w:t>
            </w:r>
          </w:p>
          <w:p w:rsidR="00B07BF6" w:rsidRPr="00A93F15" w:rsidRDefault="00B07BF6" w:rsidP="009B490C">
            <w:pPr>
              <w:keepNext/>
              <w:widowControl/>
              <w:jc w:val="center"/>
              <w:rPr>
                <w:rFonts w:ascii="Arial Narrow" w:hAnsi="Arial Narrow"/>
                <w:sz w:val="20"/>
              </w:rPr>
            </w:pPr>
          </w:p>
          <w:p w:rsidR="00B07BF6" w:rsidRPr="00A93F15" w:rsidRDefault="00B07BF6" w:rsidP="009B490C">
            <w:pPr>
              <w:keepNext/>
              <w:widowControl/>
              <w:jc w:val="center"/>
              <w:rPr>
                <w:rFonts w:ascii="Arial Narrow" w:hAnsi="Arial Narrow"/>
                <w:sz w:val="20"/>
              </w:rPr>
            </w:pP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rPr>
                <w:rFonts w:ascii="Arial Narrow" w:hAnsi="Arial Narrow"/>
                <w:sz w:val="20"/>
                <w:lang w:eastAsia="en-AU"/>
              </w:rPr>
            </w:pPr>
            <w:r w:rsidRPr="00A93F15">
              <w:rPr>
                <w:rFonts w:ascii="Arial Narrow" w:hAnsi="Arial Narrow"/>
                <w:sz w:val="20"/>
              </w:rPr>
              <w:t>Episodicity:</w:t>
            </w:r>
          </w:p>
        </w:tc>
        <w:tc>
          <w:tcPr>
            <w:tcW w:w="4351" w:type="pct"/>
            <w:gridSpan w:val="5"/>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Chronic</w:t>
            </w: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rPr>
                <w:rFonts w:ascii="Arial Narrow" w:hAnsi="Arial Narrow"/>
                <w:sz w:val="20"/>
                <w:lang w:eastAsia="en-AU"/>
              </w:rPr>
            </w:pPr>
            <w:r w:rsidRPr="00A93F15">
              <w:rPr>
                <w:rFonts w:ascii="Arial Narrow" w:hAnsi="Arial Narrow"/>
                <w:sz w:val="20"/>
              </w:rPr>
              <w:t>Severity:</w:t>
            </w:r>
          </w:p>
        </w:tc>
        <w:tc>
          <w:tcPr>
            <w:tcW w:w="4351" w:type="pct"/>
            <w:gridSpan w:val="5"/>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Stable</w:t>
            </w: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rPr>
                <w:rFonts w:ascii="Arial Narrow" w:hAnsi="Arial Narrow"/>
                <w:sz w:val="20"/>
                <w:lang w:eastAsia="en-AU"/>
              </w:rPr>
            </w:pPr>
            <w:r w:rsidRPr="00A93F15">
              <w:rPr>
                <w:rFonts w:ascii="Arial Narrow" w:hAnsi="Arial Narrow"/>
                <w:sz w:val="20"/>
              </w:rPr>
              <w:t>Condition:</w:t>
            </w:r>
          </w:p>
        </w:tc>
        <w:tc>
          <w:tcPr>
            <w:tcW w:w="4351" w:type="pct"/>
            <w:gridSpan w:val="5"/>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rPr>
              <w:t>Plaque type psoriasis vulgaris</w:t>
            </w: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rPr>
                <w:rFonts w:ascii="Arial Narrow" w:hAnsi="Arial Narrow"/>
                <w:sz w:val="20"/>
              </w:rPr>
            </w:pPr>
            <w:r w:rsidRPr="00A93F15">
              <w:rPr>
                <w:rFonts w:ascii="Arial Narrow" w:hAnsi="Arial Narrow"/>
                <w:sz w:val="20"/>
              </w:rPr>
              <w:t>Restriction:</w:t>
            </w:r>
          </w:p>
        </w:tc>
        <w:tc>
          <w:tcPr>
            <w:tcW w:w="4351" w:type="pct"/>
            <w:gridSpan w:val="5"/>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Restricted benefit</w:t>
            </w: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rPr>
                <w:rFonts w:ascii="Arial Narrow" w:hAnsi="Arial Narrow"/>
                <w:sz w:val="20"/>
              </w:rPr>
            </w:pPr>
            <w:r w:rsidRPr="00A93F15">
              <w:rPr>
                <w:rFonts w:ascii="Arial Narrow" w:hAnsi="Arial Narrow"/>
                <w:sz w:val="20"/>
              </w:rPr>
              <w:t>Clinical criteria:</w:t>
            </w:r>
          </w:p>
        </w:tc>
        <w:tc>
          <w:tcPr>
            <w:tcW w:w="4351" w:type="pct"/>
            <w:gridSpan w:val="5"/>
            <w:tcBorders>
              <w:top w:val="single" w:sz="4" w:space="0" w:color="auto"/>
              <w:left w:val="single" w:sz="4" w:space="0" w:color="auto"/>
              <w:bottom w:val="single" w:sz="4" w:space="0" w:color="auto"/>
              <w:right w:val="single" w:sz="4" w:space="0" w:color="auto"/>
            </w:tcBorders>
          </w:tcPr>
          <w:p w:rsidR="002D1023" w:rsidRDefault="002D1023" w:rsidP="009B490C">
            <w:pPr>
              <w:widowControl/>
              <w:snapToGrid w:val="0"/>
              <w:spacing w:line="20" w:lineRule="atLeast"/>
              <w:rPr>
                <w:rFonts w:ascii="Arial Narrow" w:hAnsi="Arial Narrow"/>
                <w:sz w:val="20"/>
                <w:lang w:eastAsia="en-AU"/>
              </w:rPr>
            </w:pPr>
          </w:p>
          <w:p w:rsidR="001832F6" w:rsidRPr="00A93F15" w:rsidRDefault="002D1023" w:rsidP="002D1023">
            <w:pPr>
              <w:widowControl/>
              <w:snapToGrid w:val="0"/>
              <w:spacing w:line="20" w:lineRule="atLeast"/>
              <w:rPr>
                <w:rFonts w:ascii="Arial Narrow" w:hAnsi="Arial Narrow"/>
                <w:sz w:val="20"/>
                <w:lang w:eastAsia="en-AU"/>
              </w:rPr>
            </w:pPr>
            <w:r>
              <w:rPr>
                <w:rFonts w:ascii="Arial Narrow" w:hAnsi="Arial Narrow"/>
                <w:sz w:val="20"/>
                <w:lang w:eastAsia="en-AU"/>
              </w:rPr>
              <w:t>The condition must be inadequately controlled by</w:t>
            </w:r>
            <w:r w:rsidR="001832F6" w:rsidRPr="00A93F15">
              <w:rPr>
                <w:rFonts w:ascii="Arial Narrow" w:hAnsi="Arial Narrow"/>
                <w:sz w:val="20"/>
                <w:lang w:eastAsia="en-AU"/>
              </w:rPr>
              <w:t xml:space="preserve"> potent topical corticosteroid monotherapy</w:t>
            </w:r>
          </w:p>
        </w:tc>
      </w:tr>
      <w:tr w:rsidR="001832F6" w:rsidRPr="00A93F15" w:rsidTr="009B4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0"/>
        </w:trPr>
        <w:tc>
          <w:tcPr>
            <w:tcW w:w="649" w:type="pct"/>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rPr>
                <w:rFonts w:ascii="Arial Narrow" w:hAnsi="Arial Narrow"/>
                <w:sz w:val="20"/>
              </w:rPr>
            </w:pPr>
            <w:r w:rsidRPr="00A93F15">
              <w:rPr>
                <w:rFonts w:ascii="Arial Narrow" w:hAnsi="Arial Narrow"/>
                <w:sz w:val="20"/>
              </w:rPr>
              <w:t>Administrative Advice</w:t>
            </w:r>
          </w:p>
        </w:tc>
        <w:tc>
          <w:tcPr>
            <w:tcW w:w="4351" w:type="pct"/>
            <w:gridSpan w:val="5"/>
            <w:tcBorders>
              <w:top w:val="single" w:sz="4" w:space="0" w:color="auto"/>
              <w:left w:val="single" w:sz="4" w:space="0" w:color="auto"/>
              <w:bottom w:val="single" w:sz="4" w:space="0" w:color="auto"/>
              <w:right w:val="single" w:sz="4" w:space="0" w:color="auto"/>
            </w:tcBorders>
          </w:tcPr>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Note</w:t>
            </w:r>
          </w:p>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Continuing Therapy Only</w:t>
            </w:r>
          </w:p>
          <w:p w:rsidR="001832F6" w:rsidRPr="00A93F15" w:rsidRDefault="001832F6" w:rsidP="009B490C">
            <w:pPr>
              <w:widowControl/>
              <w:snapToGrid w:val="0"/>
              <w:spacing w:line="20" w:lineRule="atLeast"/>
              <w:rPr>
                <w:rFonts w:ascii="Arial Narrow" w:hAnsi="Arial Narrow"/>
                <w:sz w:val="20"/>
                <w:lang w:eastAsia="en-AU"/>
              </w:rPr>
            </w:pPr>
            <w:r w:rsidRPr="00A93F15">
              <w:rPr>
                <w:rFonts w:ascii="Arial Narrow" w:hAnsi="Arial Narrow"/>
                <w:sz w:val="20"/>
                <w:lang w:eastAsia="en-AU"/>
              </w:rPr>
              <w:t>For prescribing by nurse practitioners as continuing therapy only, where the treatment of, and prescribing of medicine for, a patient has been initiated by a medical practitioner</w:t>
            </w:r>
            <w:r w:rsidR="00582E1B">
              <w:rPr>
                <w:rFonts w:ascii="Arial Narrow" w:hAnsi="Arial Narrow"/>
                <w:sz w:val="20"/>
                <w:lang w:eastAsia="en-AU"/>
              </w:rPr>
              <w:t xml:space="preserve">. </w:t>
            </w:r>
            <w:r w:rsidRPr="00A93F15">
              <w:rPr>
                <w:rFonts w:ascii="Arial Narrow" w:hAnsi="Arial Narrow"/>
                <w:sz w:val="20"/>
                <w:lang w:eastAsia="en-AU"/>
              </w:rPr>
              <w:t>Further information can be found in the Explanatory Notes for Nurse Practitioners.</w:t>
            </w:r>
          </w:p>
        </w:tc>
      </w:tr>
    </w:tbl>
    <w:p w:rsidR="00CF2EDE" w:rsidRPr="00A93F15" w:rsidRDefault="00CF2EDE" w:rsidP="00552220">
      <w:pPr>
        <w:rPr>
          <w:bCs/>
          <w:szCs w:val="22"/>
        </w:rPr>
      </w:pPr>
    </w:p>
    <w:p w:rsidR="00DF6E98" w:rsidRPr="00A93F15" w:rsidRDefault="00DF6E98" w:rsidP="00FA0B15">
      <w:pPr>
        <w:widowControl/>
        <w:jc w:val="left"/>
        <w:rPr>
          <w:szCs w:val="22"/>
        </w:rPr>
      </w:pPr>
    </w:p>
    <w:p w:rsidR="002F726B" w:rsidRPr="00570D4E" w:rsidRDefault="002F726B" w:rsidP="002F726B">
      <w:pPr>
        <w:pStyle w:val="PBACHeading1"/>
        <w:keepNext/>
      </w:pPr>
      <w:r w:rsidRPr="00485DD3">
        <w:t>Context for Decision</w:t>
      </w:r>
    </w:p>
    <w:p w:rsidR="002F726B" w:rsidRDefault="002F726B" w:rsidP="002F726B">
      <w:pPr>
        <w:ind w:left="426"/>
      </w:pPr>
    </w:p>
    <w:p w:rsidR="002F726B" w:rsidRDefault="002F726B" w:rsidP="002F726B">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726B" w:rsidRDefault="002F726B" w:rsidP="002F726B">
      <w:pPr>
        <w:ind w:left="709"/>
      </w:pPr>
    </w:p>
    <w:p w:rsidR="009F481E" w:rsidRDefault="009F481E" w:rsidP="002F726B">
      <w:pPr>
        <w:ind w:left="709"/>
      </w:pPr>
    </w:p>
    <w:p w:rsidR="002F726B" w:rsidRPr="00570D4E" w:rsidRDefault="002F726B" w:rsidP="002F726B">
      <w:pPr>
        <w:pStyle w:val="PBACHeading1"/>
        <w:keepNext/>
      </w:pPr>
      <w:r w:rsidRPr="00485DD3">
        <w:t>Sponsor’s Comment</w:t>
      </w:r>
    </w:p>
    <w:p w:rsidR="002F726B" w:rsidRDefault="002F726B" w:rsidP="002F726B">
      <w:pPr>
        <w:ind w:left="426"/>
        <w:rPr>
          <w:bCs/>
          <w:highlight w:val="yellow"/>
          <w:lang w:val="en-GB"/>
        </w:rPr>
      </w:pPr>
    </w:p>
    <w:p w:rsidR="001D648C" w:rsidRPr="00863408" w:rsidRDefault="001D648C" w:rsidP="001D648C">
      <w:pPr>
        <w:spacing w:after="120"/>
        <w:ind w:left="709"/>
        <w:rPr>
          <w:bCs/>
          <w:lang w:val="en-GB"/>
        </w:rPr>
      </w:pPr>
      <w:r>
        <w:rPr>
          <w:bCs/>
          <w:lang w:val="en-GB"/>
        </w:rPr>
        <w:t xml:space="preserve">LEO Pharma welcomes the PBAC decision to recommend the listing of </w:t>
      </w:r>
      <w:proofErr w:type="spellStart"/>
      <w:r>
        <w:rPr>
          <w:bCs/>
          <w:lang w:val="en-GB"/>
        </w:rPr>
        <w:t>Enstilar</w:t>
      </w:r>
      <w:proofErr w:type="spellEnd"/>
      <w:r w:rsidRPr="00863408">
        <w:rPr>
          <w:bCs/>
          <w:vertAlign w:val="superscript"/>
          <w:lang w:val="en-GB"/>
        </w:rPr>
        <w:t>®</w:t>
      </w:r>
      <w:r>
        <w:rPr>
          <w:bCs/>
          <w:lang w:val="en-GB"/>
        </w:rPr>
        <w:t xml:space="preserve"> on the PBS.</w:t>
      </w:r>
    </w:p>
    <w:p w:rsidR="002F726B" w:rsidRPr="0005449D" w:rsidRDefault="002F726B" w:rsidP="002F726B">
      <w:pPr>
        <w:rPr>
          <w:bCs/>
          <w:szCs w:val="22"/>
          <w:lang w:val="en-GB"/>
        </w:rPr>
      </w:pPr>
    </w:p>
    <w:p w:rsidR="00FA0B15" w:rsidRPr="00A93F15" w:rsidRDefault="00FA0B15" w:rsidP="00FA0B15">
      <w:pPr>
        <w:widowControl/>
        <w:jc w:val="left"/>
        <w:rPr>
          <w:szCs w:val="22"/>
        </w:rPr>
      </w:pPr>
    </w:p>
    <w:sectPr w:rsidR="00FA0B15" w:rsidRPr="00A93F15" w:rsidSect="0074339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BB" w:rsidRDefault="00801ABB" w:rsidP="00124A51">
      <w:r>
        <w:separator/>
      </w:r>
    </w:p>
  </w:endnote>
  <w:endnote w:type="continuationSeparator" w:id="0">
    <w:p w:rsidR="00801ABB" w:rsidRDefault="00801AB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BB" w:rsidRDefault="00801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91902"/>
      <w:docPartObj>
        <w:docPartGallery w:val="Page Numbers (Bottom of Page)"/>
        <w:docPartUnique/>
      </w:docPartObj>
    </w:sdtPr>
    <w:sdtEndPr>
      <w:rPr>
        <w:noProof/>
      </w:rPr>
    </w:sdtEndPr>
    <w:sdtContent>
      <w:p w:rsidR="00102619" w:rsidRDefault="00102619" w:rsidP="00102619">
        <w:pPr>
          <w:pStyle w:val="Footer"/>
          <w:jc w:val="center"/>
        </w:pPr>
      </w:p>
      <w:p w:rsidR="006305E6" w:rsidRPr="00102619" w:rsidRDefault="006305E6" w:rsidP="00102619">
        <w:pPr>
          <w:pStyle w:val="Footer"/>
          <w:jc w:val="center"/>
        </w:pPr>
        <w:r>
          <w:fldChar w:fldCharType="begin"/>
        </w:r>
        <w:r>
          <w:instrText xml:space="preserve"> PAGE   \* MERGEFORMAT </w:instrText>
        </w:r>
        <w:r>
          <w:fldChar w:fldCharType="separate"/>
        </w:r>
        <w:r w:rsidR="00C04AD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BB" w:rsidRDefault="00801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BB" w:rsidRDefault="00801ABB" w:rsidP="00124A51">
      <w:r>
        <w:separator/>
      </w:r>
    </w:p>
  </w:footnote>
  <w:footnote w:type="continuationSeparator" w:id="0">
    <w:p w:rsidR="00801ABB" w:rsidRDefault="00801AB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BB" w:rsidRDefault="00801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91275"/>
      <w:docPartObj>
        <w:docPartGallery w:val="Page Numbers (Top of Page)"/>
        <w:docPartUnique/>
      </w:docPartObj>
    </w:sdtPr>
    <w:sdtEndPr>
      <w:rPr>
        <w:noProof/>
      </w:rPr>
    </w:sdtEndPr>
    <w:sdtContent>
      <w:p w:rsidR="006305E6" w:rsidRDefault="006305E6" w:rsidP="00C501E7">
        <w:pPr>
          <w:tabs>
            <w:tab w:val="left" w:pos="142"/>
            <w:tab w:val="right" w:pos="9026"/>
          </w:tabs>
          <w:jc w:val="center"/>
        </w:pPr>
        <w:r>
          <w:rPr>
            <w:i/>
            <w:color w:val="D9D9D9" w:themeColor="background1" w:themeShade="D9"/>
          </w:rPr>
          <w:t>Public Summary Document – November 2016 PBAC Meeting</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BB" w:rsidRDefault="00801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C0AB1"/>
    <w:multiLevelType w:val="hybridMultilevel"/>
    <w:tmpl w:val="D61A3138"/>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09A64797"/>
    <w:multiLevelType w:val="hybridMultilevel"/>
    <w:tmpl w:val="59D2322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27191B"/>
    <w:multiLevelType w:val="hybridMultilevel"/>
    <w:tmpl w:val="C810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8C59D7"/>
    <w:multiLevelType w:val="hybridMultilevel"/>
    <w:tmpl w:val="C55E483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3665B3"/>
    <w:multiLevelType w:val="hybridMultilevel"/>
    <w:tmpl w:val="C2C0E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73532"/>
    <w:multiLevelType w:val="hybridMultilevel"/>
    <w:tmpl w:val="F8A0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35551B"/>
    <w:multiLevelType w:val="hybridMultilevel"/>
    <w:tmpl w:val="18E08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B350D2"/>
    <w:multiLevelType w:val="hybridMultilevel"/>
    <w:tmpl w:val="92928B3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FA6A42"/>
    <w:multiLevelType w:val="hybridMultilevel"/>
    <w:tmpl w:val="88C6A40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35E349A"/>
    <w:multiLevelType w:val="hybridMultilevel"/>
    <w:tmpl w:val="515CC2B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nsid w:val="43752C19"/>
    <w:multiLevelType w:val="hybridMultilevel"/>
    <w:tmpl w:val="EE96A9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5D67C8"/>
    <w:multiLevelType w:val="hybridMultilevel"/>
    <w:tmpl w:val="478A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317B1A"/>
    <w:multiLevelType w:val="hybridMultilevel"/>
    <w:tmpl w:val="DE6A45D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AB2F85"/>
    <w:multiLevelType w:val="hybridMultilevel"/>
    <w:tmpl w:val="95847942"/>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B75407B"/>
    <w:multiLevelType w:val="hybridMultilevel"/>
    <w:tmpl w:val="C4B83A6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nsid w:val="784D033C"/>
    <w:multiLevelType w:val="multilevel"/>
    <w:tmpl w:val="6DC6B37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16"/>
  </w:num>
  <w:num w:numId="4">
    <w:abstractNumId w:val="1"/>
  </w:num>
  <w:num w:numId="5">
    <w:abstractNumId w:val="24"/>
  </w:num>
  <w:num w:numId="6">
    <w:abstractNumId w:val="2"/>
  </w:num>
  <w:num w:numId="7">
    <w:abstractNumId w:val="19"/>
  </w:num>
  <w:num w:numId="8">
    <w:abstractNumId w:val="3"/>
  </w:num>
  <w:num w:numId="9">
    <w:abstractNumId w:val="12"/>
  </w:num>
  <w:num w:numId="10">
    <w:abstractNumId w:val="11"/>
  </w:num>
  <w:num w:numId="11">
    <w:abstractNumId w:val="6"/>
  </w:num>
  <w:num w:numId="12">
    <w:abstractNumId w:val="22"/>
  </w:num>
  <w:num w:numId="13">
    <w:abstractNumId w:val="21"/>
  </w:num>
  <w:num w:numId="14">
    <w:abstractNumId w:val="14"/>
  </w:num>
  <w:num w:numId="15">
    <w:abstractNumId w:val="5"/>
  </w:num>
  <w:num w:numId="16">
    <w:abstractNumId w:val="23"/>
  </w:num>
  <w:num w:numId="17">
    <w:abstractNumId w:val="20"/>
  </w:num>
  <w:num w:numId="18">
    <w:abstractNumId w:val="8"/>
  </w:num>
  <w:num w:numId="19">
    <w:abstractNumId w:val="15"/>
  </w:num>
  <w:num w:numId="20">
    <w:abstractNumId w:val="24"/>
  </w:num>
  <w:num w:numId="21">
    <w:abstractNumId w:val="7"/>
  </w:num>
  <w:num w:numId="22">
    <w:abstractNumId w:val="9"/>
  </w:num>
  <w:num w:numId="23">
    <w:abstractNumId w:val="17"/>
  </w:num>
  <w:num w:numId="24">
    <w:abstractNumId w:val="4"/>
  </w:num>
  <w:num w:numId="25">
    <w:abstractNumId w:val="0"/>
  </w:num>
  <w:num w:numId="26">
    <w:abstractNumId w:val="10"/>
  </w:num>
  <w:num w:numId="27">
    <w:abstractNumId w:val="24"/>
  </w:num>
  <w:num w:numId="2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3C"/>
    <w:rsid w:val="000004FD"/>
    <w:rsid w:val="00000790"/>
    <w:rsid w:val="00001032"/>
    <w:rsid w:val="0000110B"/>
    <w:rsid w:val="00001326"/>
    <w:rsid w:val="00002FA5"/>
    <w:rsid w:val="00003080"/>
    <w:rsid w:val="00003499"/>
    <w:rsid w:val="000038AE"/>
    <w:rsid w:val="00004CFB"/>
    <w:rsid w:val="00004FA4"/>
    <w:rsid w:val="0000503A"/>
    <w:rsid w:val="00005DCB"/>
    <w:rsid w:val="00006182"/>
    <w:rsid w:val="00006BE9"/>
    <w:rsid w:val="0000747F"/>
    <w:rsid w:val="00007AE1"/>
    <w:rsid w:val="000118C5"/>
    <w:rsid w:val="00011A13"/>
    <w:rsid w:val="00013247"/>
    <w:rsid w:val="00013315"/>
    <w:rsid w:val="0001444C"/>
    <w:rsid w:val="0001561D"/>
    <w:rsid w:val="00015886"/>
    <w:rsid w:val="000162EF"/>
    <w:rsid w:val="000168AA"/>
    <w:rsid w:val="00017C3D"/>
    <w:rsid w:val="00021149"/>
    <w:rsid w:val="0002225F"/>
    <w:rsid w:val="00023763"/>
    <w:rsid w:val="00024809"/>
    <w:rsid w:val="00024F77"/>
    <w:rsid w:val="00025775"/>
    <w:rsid w:val="00025D8B"/>
    <w:rsid w:val="00026BEF"/>
    <w:rsid w:val="000273EC"/>
    <w:rsid w:val="000275C2"/>
    <w:rsid w:val="000275D5"/>
    <w:rsid w:val="000277BB"/>
    <w:rsid w:val="00027E21"/>
    <w:rsid w:val="000303F7"/>
    <w:rsid w:val="00031062"/>
    <w:rsid w:val="0003188D"/>
    <w:rsid w:val="000330E3"/>
    <w:rsid w:val="000332C5"/>
    <w:rsid w:val="0003365D"/>
    <w:rsid w:val="0003493C"/>
    <w:rsid w:val="00034D34"/>
    <w:rsid w:val="00036C12"/>
    <w:rsid w:val="00040895"/>
    <w:rsid w:val="00040AC6"/>
    <w:rsid w:val="00041ED4"/>
    <w:rsid w:val="000426A3"/>
    <w:rsid w:val="00043B1D"/>
    <w:rsid w:val="00043C37"/>
    <w:rsid w:val="000465ED"/>
    <w:rsid w:val="00046C32"/>
    <w:rsid w:val="000471B1"/>
    <w:rsid w:val="0005005D"/>
    <w:rsid w:val="000504C1"/>
    <w:rsid w:val="000513E3"/>
    <w:rsid w:val="000517FE"/>
    <w:rsid w:val="000518ED"/>
    <w:rsid w:val="00052805"/>
    <w:rsid w:val="00052F6C"/>
    <w:rsid w:val="000546D7"/>
    <w:rsid w:val="000555B7"/>
    <w:rsid w:val="00055CE3"/>
    <w:rsid w:val="00056CCA"/>
    <w:rsid w:val="00061A48"/>
    <w:rsid w:val="00061B17"/>
    <w:rsid w:val="000622FD"/>
    <w:rsid w:val="000623F4"/>
    <w:rsid w:val="00062A84"/>
    <w:rsid w:val="00062DCE"/>
    <w:rsid w:val="00063337"/>
    <w:rsid w:val="000647E1"/>
    <w:rsid w:val="00064E2D"/>
    <w:rsid w:val="00065947"/>
    <w:rsid w:val="000667B9"/>
    <w:rsid w:val="00070D5D"/>
    <w:rsid w:val="00071248"/>
    <w:rsid w:val="000720B9"/>
    <w:rsid w:val="00072A7B"/>
    <w:rsid w:val="00072C95"/>
    <w:rsid w:val="00073F46"/>
    <w:rsid w:val="00075A42"/>
    <w:rsid w:val="00080D20"/>
    <w:rsid w:val="000812CA"/>
    <w:rsid w:val="000826B2"/>
    <w:rsid w:val="000828FB"/>
    <w:rsid w:val="00084C01"/>
    <w:rsid w:val="000861ED"/>
    <w:rsid w:val="0008640F"/>
    <w:rsid w:val="000904FB"/>
    <w:rsid w:val="00090C7E"/>
    <w:rsid w:val="00092155"/>
    <w:rsid w:val="00093C9F"/>
    <w:rsid w:val="00096539"/>
    <w:rsid w:val="0009675F"/>
    <w:rsid w:val="00096F68"/>
    <w:rsid w:val="00097593"/>
    <w:rsid w:val="000A0489"/>
    <w:rsid w:val="000A21B3"/>
    <w:rsid w:val="000A3DBF"/>
    <w:rsid w:val="000A4E43"/>
    <w:rsid w:val="000A6A87"/>
    <w:rsid w:val="000B2BA4"/>
    <w:rsid w:val="000B4446"/>
    <w:rsid w:val="000B483A"/>
    <w:rsid w:val="000B68B1"/>
    <w:rsid w:val="000B6F98"/>
    <w:rsid w:val="000B7C4F"/>
    <w:rsid w:val="000C17EB"/>
    <w:rsid w:val="000C2672"/>
    <w:rsid w:val="000C2A2F"/>
    <w:rsid w:val="000C2EFE"/>
    <w:rsid w:val="000C3514"/>
    <w:rsid w:val="000C6000"/>
    <w:rsid w:val="000C6183"/>
    <w:rsid w:val="000D0946"/>
    <w:rsid w:val="000D0B61"/>
    <w:rsid w:val="000D1BFC"/>
    <w:rsid w:val="000D2243"/>
    <w:rsid w:val="000D4BAB"/>
    <w:rsid w:val="000D4C1E"/>
    <w:rsid w:val="000D4F6D"/>
    <w:rsid w:val="000D530F"/>
    <w:rsid w:val="000D65DB"/>
    <w:rsid w:val="000D6708"/>
    <w:rsid w:val="000D76D0"/>
    <w:rsid w:val="000E0357"/>
    <w:rsid w:val="000E12DA"/>
    <w:rsid w:val="000E159E"/>
    <w:rsid w:val="000E18EF"/>
    <w:rsid w:val="000E283C"/>
    <w:rsid w:val="000E3200"/>
    <w:rsid w:val="000E3208"/>
    <w:rsid w:val="000E3B74"/>
    <w:rsid w:val="000E54A6"/>
    <w:rsid w:val="000E5A72"/>
    <w:rsid w:val="000E69F0"/>
    <w:rsid w:val="000E6D51"/>
    <w:rsid w:val="000E7080"/>
    <w:rsid w:val="000F0793"/>
    <w:rsid w:val="000F0D44"/>
    <w:rsid w:val="000F130E"/>
    <w:rsid w:val="000F1AD4"/>
    <w:rsid w:val="000F4BB8"/>
    <w:rsid w:val="000F5F6F"/>
    <w:rsid w:val="000F7127"/>
    <w:rsid w:val="000F73B2"/>
    <w:rsid w:val="000F79F5"/>
    <w:rsid w:val="000F7A59"/>
    <w:rsid w:val="00100F8A"/>
    <w:rsid w:val="00102619"/>
    <w:rsid w:val="00102DC0"/>
    <w:rsid w:val="00103D88"/>
    <w:rsid w:val="001079E0"/>
    <w:rsid w:val="0011032E"/>
    <w:rsid w:val="00110D87"/>
    <w:rsid w:val="00112664"/>
    <w:rsid w:val="0011348B"/>
    <w:rsid w:val="00114969"/>
    <w:rsid w:val="00114EAF"/>
    <w:rsid w:val="00116426"/>
    <w:rsid w:val="00117BBE"/>
    <w:rsid w:val="00117F3F"/>
    <w:rsid w:val="001208C1"/>
    <w:rsid w:val="00121342"/>
    <w:rsid w:val="00121799"/>
    <w:rsid w:val="0012202B"/>
    <w:rsid w:val="00122097"/>
    <w:rsid w:val="001222FC"/>
    <w:rsid w:val="00124A51"/>
    <w:rsid w:val="00125764"/>
    <w:rsid w:val="001258A1"/>
    <w:rsid w:val="00126537"/>
    <w:rsid w:val="00126621"/>
    <w:rsid w:val="00126679"/>
    <w:rsid w:val="001301E9"/>
    <w:rsid w:val="00130875"/>
    <w:rsid w:val="00130BB4"/>
    <w:rsid w:val="00131848"/>
    <w:rsid w:val="00133341"/>
    <w:rsid w:val="0013420F"/>
    <w:rsid w:val="001362C7"/>
    <w:rsid w:val="001365DF"/>
    <w:rsid w:val="00137645"/>
    <w:rsid w:val="0013767D"/>
    <w:rsid w:val="00137AB3"/>
    <w:rsid w:val="00137CF7"/>
    <w:rsid w:val="0014015A"/>
    <w:rsid w:val="001409CA"/>
    <w:rsid w:val="00140E99"/>
    <w:rsid w:val="00141F0E"/>
    <w:rsid w:val="0014257A"/>
    <w:rsid w:val="00145540"/>
    <w:rsid w:val="001456B0"/>
    <w:rsid w:val="001456CE"/>
    <w:rsid w:val="001459F5"/>
    <w:rsid w:val="00147F60"/>
    <w:rsid w:val="0015177B"/>
    <w:rsid w:val="00154A92"/>
    <w:rsid w:val="00155B27"/>
    <w:rsid w:val="00155BC8"/>
    <w:rsid w:val="00155BDF"/>
    <w:rsid w:val="0015643A"/>
    <w:rsid w:val="00157130"/>
    <w:rsid w:val="00157385"/>
    <w:rsid w:val="00161101"/>
    <w:rsid w:val="0016125C"/>
    <w:rsid w:val="0016192E"/>
    <w:rsid w:val="001622BE"/>
    <w:rsid w:val="00162913"/>
    <w:rsid w:val="001631C0"/>
    <w:rsid w:val="001632F6"/>
    <w:rsid w:val="00163EFF"/>
    <w:rsid w:val="00164B52"/>
    <w:rsid w:val="00165226"/>
    <w:rsid w:val="00165623"/>
    <w:rsid w:val="001661FB"/>
    <w:rsid w:val="00167186"/>
    <w:rsid w:val="00170A6D"/>
    <w:rsid w:val="00170DD4"/>
    <w:rsid w:val="0017129B"/>
    <w:rsid w:val="00171434"/>
    <w:rsid w:val="0017306F"/>
    <w:rsid w:val="001733EF"/>
    <w:rsid w:val="00177191"/>
    <w:rsid w:val="001775A5"/>
    <w:rsid w:val="00177708"/>
    <w:rsid w:val="00180BF3"/>
    <w:rsid w:val="00181A43"/>
    <w:rsid w:val="00181F11"/>
    <w:rsid w:val="00183211"/>
    <w:rsid w:val="001832F6"/>
    <w:rsid w:val="0018334A"/>
    <w:rsid w:val="00184243"/>
    <w:rsid w:val="001847BB"/>
    <w:rsid w:val="00186C04"/>
    <w:rsid w:val="0018752F"/>
    <w:rsid w:val="00190F48"/>
    <w:rsid w:val="001915B3"/>
    <w:rsid w:val="00192A6C"/>
    <w:rsid w:val="00193799"/>
    <w:rsid w:val="00193986"/>
    <w:rsid w:val="0019408F"/>
    <w:rsid w:val="00195222"/>
    <w:rsid w:val="00196666"/>
    <w:rsid w:val="00197097"/>
    <w:rsid w:val="001975D8"/>
    <w:rsid w:val="001A0FC1"/>
    <w:rsid w:val="001A1513"/>
    <w:rsid w:val="001A228D"/>
    <w:rsid w:val="001A2F9E"/>
    <w:rsid w:val="001A3F56"/>
    <w:rsid w:val="001A446D"/>
    <w:rsid w:val="001A477D"/>
    <w:rsid w:val="001A5CF7"/>
    <w:rsid w:val="001A7159"/>
    <w:rsid w:val="001A752D"/>
    <w:rsid w:val="001B05B9"/>
    <w:rsid w:val="001B33E4"/>
    <w:rsid w:val="001B3443"/>
    <w:rsid w:val="001B3558"/>
    <w:rsid w:val="001B40CE"/>
    <w:rsid w:val="001B537B"/>
    <w:rsid w:val="001B6164"/>
    <w:rsid w:val="001B646A"/>
    <w:rsid w:val="001B676A"/>
    <w:rsid w:val="001B6E41"/>
    <w:rsid w:val="001B7B89"/>
    <w:rsid w:val="001C403D"/>
    <w:rsid w:val="001C4A30"/>
    <w:rsid w:val="001C4E88"/>
    <w:rsid w:val="001C4EEC"/>
    <w:rsid w:val="001C6B11"/>
    <w:rsid w:val="001C6E66"/>
    <w:rsid w:val="001D031D"/>
    <w:rsid w:val="001D0B8E"/>
    <w:rsid w:val="001D1D75"/>
    <w:rsid w:val="001D2A4B"/>
    <w:rsid w:val="001D5D0B"/>
    <w:rsid w:val="001D648C"/>
    <w:rsid w:val="001D7377"/>
    <w:rsid w:val="001D7717"/>
    <w:rsid w:val="001E0CC2"/>
    <w:rsid w:val="001E1996"/>
    <w:rsid w:val="001E238E"/>
    <w:rsid w:val="001E24B6"/>
    <w:rsid w:val="001E2B1E"/>
    <w:rsid w:val="001E3F87"/>
    <w:rsid w:val="001E52EB"/>
    <w:rsid w:val="001E6B90"/>
    <w:rsid w:val="001E740C"/>
    <w:rsid w:val="001E78CC"/>
    <w:rsid w:val="001F1235"/>
    <w:rsid w:val="001F1727"/>
    <w:rsid w:val="001F1B84"/>
    <w:rsid w:val="001F1CB3"/>
    <w:rsid w:val="001F1D09"/>
    <w:rsid w:val="001F2055"/>
    <w:rsid w:val="001F2BF2"/>
    <w:rsid w:val="001F3716"/>
    <w:rsid w:val="001F3B12"/>
    <w:rsid w:val="001F4092"/>
    <w:rsid w:val="001F6AEC"/>
    <w:rsid w:val="001F7361"/>
    <w:rsid w:val="001F7634"/>
    <w:rsid w:val="0020212A"/>
    <w:rsid w:val="00202D5E"/>
    <w:rsid w:val="00202E86"/>
    <w:rsid w:val="0020385F"/>
    <w:rsid w:val="002038F4"/>
    <w:rsid w:val="00203CD1"/>
    <w:rsid w:val="00203DA9"/>
    <w:rsid w:val="00204178"/>
    <w:rsid w:val="00204391"/>
    <w:rsid w:val="00205A64"/>
    <w:rsid w:val="00205C12"/>
    <w:rsid w:val="00205DC2"/>
    <w:rsid w:val="00206075"/>
    <w:rsid w:val="00206576"/>
    <w:rsid w:val="002066A1"/>
    <w:rsid w:val="00207021"/>
    <w:rsid w:val="00207663"/>
    <w:rsid w:val="00207D00"/>
    <w:rsid w:val="002105C1"/>
    <w:rsid w:val="0021077A"/>
    <w:rsid w:val="0021323B"/>
    <w:rsid w:val="00213E0D"/>
    <w:rsid w:val="002149F8"/>
    <w:rsid w:val="00220394"/>
    <w:rsid w:val="002206AE"/>
    <w:rsid w:val="0022263D"/>
    <w:rsid w:val="00223B49"/>
    <w:rsid w:val="00224DD4"/>
    <w:rsid w:val="00225873"/>
    <w:rsid w:val="00226032"/>
    <w:rsid w:val="00227601"/>
    <w:rsid w:val="002309CC"/>
    <w:rsid w:val="002313EB"/>
    <w:rsid w:val="00231EE8"/>
    <w:rsid w:val="00232A00"/>
    <w:rsid w:val="0023302D"/>
    <w:rsid w:val="00233FF1"/>
    <w:rsid w:val="00236505"/>
    <w:rsid w:val="0023687D"/>
    <w:rsid w:val="002369EC"/>
    <w:rsid w:val="00236D43"/>
    <w:rsid w:val="0023750E"/>
    <w:rsid w:val="0023771A"/>
    <w:rsid w:val="002378BE"/>
    <w:rsid w:val="00240F3E"/>
    <w:rsid w:val="0024136A"/>
    <w:rsid w:val="00241CDF"/>
    <w:rsid w:val="00242D01"/>
    <w:rsid w:val="00243C48"/>
    <w:rsid w:val="002443D7"/>
    <w:rsid w:val="0024502D"/>
    <w:rsid w:val="00245FFE"/>
    <w:rsid w:val="00246D6D"/>
    <w:rsid w:val="002513E2"/>
    <w:rsid w:val="00253798"/>
    <w:rsid w:val="00254DCF"/>
    <w:rsid w:val="0025534B"/>
    <w:rsid w:val="00255BB7"/>
    <w:rsid w:val="00255D6E"/>
    <w:rsid w:val="00256BCE"/>
    <w:rsid w:val="00260159"/>
    <w:rsid w:val="00261CAB"/>
    <w:rsid w:val="00262A87"/>
    <w:rsid w:val="00262BF9"/>
    <w:rsid w:val="0026312D"/>
    <w:rsid w:val="0026414E"/>
    <w:rsid w:val="002650AB"/>
    <w:rsid w:val="00266ED1"/>
    <w:rsid w:val="00271AEE"/>
    <w:rsid w:val="0027340E"/>
    <w:rsid w:val="0027357A"/>
    <w:rsid w:val="00273A8F"/>
    <w:rsid w:val="00273B2E"/>
    <w:rsid w:val="0027490F"/>
    <w:rsid w:val="00275241"/>
    <w:rsid w:val="002755A8"/>
    <w:rsid w:val="00275A1A"/>
    <w:rsid w:val="00275C5A"/>
    <w:rsid w:val="0027646A"/>
    <w:rsid w:val="002767BF"/>
    <w:rsid w:val="0027774C"/>
    <w:rsid w:val="00277A5B"/>
    <w:rsid w:val="00280CD1"/>
    <w:rsid w:val="00281014"/>
    <w:rsid w:val="0028122D"/>
    <w:rsid w:val="002813FD"/>
    <w:rsid w:val="00282FE6"/>
    <w:rsid w:val="00283ACF"/>
    <w:rsid w:val="00284556"/>
    <w:rsid w:val="00284EBB"/>
    <w:rsid w:val="00285AD4"/>
    <w:rsid w:val="00285DE2"/>
    <w:rsid w:val="00285F53"/>
    <w:rsid w:val="002874B1"/>
    <w:rsid w:val="002879A2"/>
    <w:rsid w:val="00290D08"/>
    <w:rsid w:val="00291888"/>
    <w:rsid w:val="00291FEA"/>
    <w:rsid w:val="0029247A"/>
    <w:rsid w:val="00292D72"/>
    <w:rsid w:val="00292D8A"/>
    <w:rsid w:val="00292EE9"/>
    <w:rsid w:val="0029374D"/>
    <w:rsid w:val="00294706"/>
    <w:rsid w:val="002948AE"/>
    <w:rsid w:val="00295977"/>
    <w:rsid w:val="00295DF4"/>
    <w:rsid w:val="00295ED8"/>
    <w:rsid w:val="00296DB0"/>
    <w:rsid w:val="00297F48"/>
    <w:rsid w:val="002A04B7"/>
    <w:rsid w:val="002A0A4A"/>
    <w:rsid w:val="002A14AB"/>
    <w:rsid w:val="002A30CB"/>
    <w:rsid w:val="002A3E9F"/>
    <w:rsid w:val="002A4033"/>
    <w:rsid w:val="002A413B"/>
    <w:rsid w:val="002A4F3B"/>
    <w:rsid w:val="002A5076"/>
    <w:rsid w:val="002A712C"/>
    <w:rsid w:val="002A758A"/>
    <w:rsid w:val="002A7A54"/>
    <w:rsid w:val="002B1C1F"/>
    <w:rsid w:val="002B257A"/>
    <w:rsid w:val="002B3066"/>
    <w:rsid w:val="002B324E"/>
    <w:rsid w:val="002B3DFB"/>
    <w:rsid w:val="002B432F"/>
    <w:rsid w:val="002B5223"/>
    <w:rsid w:val="002B5327"/>
    <w:rsid w:val="002B5371"/>
    <w:rsid w:val="002B551D"/>
    <w:rsid w:val="002B68FF"/>
    <w:rsid w:val="002B6CCE"/>
    <w:rsid w:val="002B7233"/>
    <w:rsid w:val="002B7704"/>
    <w:rsid w:val="002C2775"/>
    <w:rsid w:val="002C27C1"/>
    <w:rsid w:val="002C45E3"/>
    <w:rsid w:val="002C78CF"/>
    <w:rsid w:val="002D0062"/>
    <w:rsid w:val="002D033C"/>
    <w:rsid w:val="002D044C"/>
    <w:rsid w:val="002D1023"/>
    <w:rsid w:val="002D4144"/>
    <w:rsid w:val="002D4E84"/>
    <w:rsid w:val="002D55D6"/>
    <w:rsid w:val="002D6E0D"/>
    <w:rsid w:val="002E1286"/>
    <w:rsid w:val="002E1947"/>
    <w:rsid w:val="002E3240"/>
    <w:rsid w:val="002E326B"/>
    <w:rsid w:val="002E39B2"/>
    <w:rsid w:val="002E4125"/>
    <w:rsid w:val="002E437C"/>
    <w:rsid w:val="002E4EEB"/>
    <w:rsid w:val="002F1349"/>
    <w:rsid w:val="002F173E"/>
    <w:rsid w:val="002F1DFF"/>
    <w:rsid w:val="002F21D9"/>
    <w:rsid w:val="002F2281"/>
    <w:rsid w:val="002F2BCF"/>
    <w:rsid w:val="002F3427"/>
    <w:rsid w:val="002F35FE"/>
    <w:rsid w:val="002F450D"/>
    <w:rsid w:val="002F62AF"/>
    <w:rsid w:val="002F6A72"/>
    <w:rsid w:val="002F6CF1"/>
    <w:rsid w:val="002F702C"/>
    <w:rsid w:val="002F726B"/>
    <w:rsid w:val="002F79E7"/>
    <w:rsid w:val="002F7AEA"/>
    <w:rsid w:val="00301017"/>
    <w:rsid w:val="0030136A"/>
    <w:rsid w:val="00301974"/>
    <w:rsid w:val="003027A0"/>
    <w:rsid w:val="00303A8F"/>
    <w:rsid w:val="003055D7"/>
    <w:rsid w:val="00305AE4"/>
    <w:rsid w:val="0030647C"/>
    <w:rsid w:val="00307155"/>
    <w:rsid w:val="00307263"/>
    <w:rsid w:val="0030786C"/>
    <w:rsid w:val="00307AD9"/>
    <w:rsid w:val="0031031A"/>
    <w:rsid w:val="00310981"/>
    <w:rsid w:val="00312719"/>
    <w:rsid w:val="00313E2D"/>
    <w:rsid w:val="00314BD1"/>
    <w:rsid w:val="00315498"/>
    <w:rsid w:val="00315730"/>
    <w:rsid w:val="00315E0C"/>
    <w:rsid w:val="00316D00"/>
    <w:rsid w:val="00317D60"/>
    <w:rsid w:val="00320883"/>
    <w:rsid w:val="0032358F"/>
    <w:rsid w:val="00323AD5"/>
    <w:rsid w:val="003240C7"/>
    <w:rsid w:val="00324617"/>
    <w:rsid w:val="0032530F"/>
    <w:rsid w:val="00325B15"/>
    <w:rsid w:val="00327273"/>
    <w:rsid w:val="00327BE8"/>
    <w:rsid w:val="0033017B"/>
    <w:rsid w:val="003312F1"/>
    <w:rsid w:val="00331C03"/>
    <w:rsid w:val="00331CAE"/>
    <w:rsid w:val="00332264"/>
    <w:rsid w:val="00332677"/>
    <w:rsid w:val="00334D64"/>
    <w:rsid w:val="0033505F"/>
    <w:rsid w:val="00335E1B"/>
    <w:rsid w:val="003366C3"/>
    <w:rsid w:val="003366C9"/>
    <w:rsid w:val="00336F22"/>
    <w:rsid w:val="003371B0"/>
    <w:rsid w:val="00337A9D"/>
    <w:rsid w:val="0034024F"/>
    <w:rsid w:val="00341DED"/>
    <w:rsid w:val="0034225D"/>
    <w:rsid w:val="003422E5"/>
    <w:rsid w:val="00342A53"/>
    <w:rsid w:val="0034407A"/>
    <w:rsid w:val="00344C44"/>
    <w:rsid w:val="0034552A"/>
    <w:rsid w:val="00345D8B"/>
    <w:rsid w:val="00346145"/>
    <w:rsid w:val="00347B60"/>
    <w:rsid w:val="00350F37"/>
    <w:rsid w:val="00351F12"/>
    <w:rsid w:val="00352CC5"/>
    <w:rsid w:val="00353241"/>
    <w:rsid w:val="00354823"/>
    <w:rsid w:val="0035620E"/>
    <w:rsid w:val="00360566"/>
    <w:rsid w:val="00362BC1"/>
    <w:rsid w:val="00362BD5"/>
    <w:rsid w:val="00363A87"/>
    <w:rsid w:val="00363E5F"/>
    <w:rsid w:val="00364A2D"/>
    <w:rsid w:val="00364E21"/>
    <w:rsid w:val="00364EA5"/>
    <w:rsid w:val="0036648D"/>
    <w:rsid w:val="00367B7C"/>
    <w:rsid w:val="00370091"/>
    <w:rsid w:val="00371E54"/>
    <w:rsid w:val="00372787"/>
    <w:rsid w:val="00372C1D"/>
    <w:rsid w:val="003730D1"/>
    <w:rsid w:val="00373318"/>
    <w:rsid w:val="00373638"/>
    <w:rsid w:val="003774CA"/>
    <w:rsid w:val="00380228"/>
    <w:rsid w:val="00380FC2"/>
    <w:rsid w:val="00381765"/>
    <w:rsid w:val="00381936"/>
    <w:rsid w:val="00382C0D"/>
    <w:rsid w:val="00382C1F"/>
    <w:rsid w:val="0038365C"/>
    <w:rsid w:val="00385117"/>
    <w:rsid w:val="003861E0"/>
    <w:rsid w:val="003878B4"/>
    <w:rsid w:val="00387DFD"/>
    <w:rsid w:val="00387EB3"/>
    <w:rsid w:val="003914CC"/>
    <w:rsid w:val="0039164A"/>
    <w:rsid w:val="00391A98"/>
    <w:rsid w:val="00391CBD"/>
    <w:rsid w:val="00392064"/>
    <w:rsid w:val="0039236B"/>
    <w:rsid w:val="0039252B"/>
    <w:rsid w:val="00392EED"/>
    <w:rsid w:val="0039388B"/>
    <w:rsid w:val="00393F08"/>
    <w:rsid w:val="0039516F"/>
    <w:rsid w:val="00396519"/>
    <w:rsid w:val="00396FD0"/>
    <w:rsid w:val="003973A7"/>
    <w:rsid w:val="003A1A7A"/>
    <w:rsid w:val="003A225B"/>
    <w:rsid w:val="003A22FF"/>
    <w:rsid w:val="003A34E9"/>
    <w:rsid w:val="003A3D42"/>
    <w:rsid w:val="003A50ED"/>
    <w:rsid w:val="003A53A3"/>
    <w:rsid w:val="003A54C8"/>
    <w:rsid w:val="003A5643"/>
    <w:rsid w:val="003A5F62"/>
    <w:rsid w:val="003A621F"/>
    <w:rsid w:val="003A65E0"/>
    <w:rsid w:val="003A7D5A"/>
    <w:rsid w:val="003A7EFD"/>
    <w:rsid w:val="003B022C"/>
    <w:rsid w:val="003B1309"/>
    <w:rsid w:val="003B447D"/>
    <w:rsid w:val="003B5B9B"/>
    <w:rsid w:val="003B5D92"/>
    <w:rsid w:val="003B5F39"/>
    <w:rsid w:val="003B6D53"/>
    <w:rsid w:val="003B6F13"/>
    <w:rsid w:val="003C2C19"/>
    <w:rsid w:val="003C2CA4"/>
    <w:rsid w:val="003C2D42"/>
    <w:rsid w:val="003C3333"/>
    <w:rsid w:val="003C4C06"/>
    <w:rsid w:val="003C54F6"/>
    <w:rsid w:val="003C60C6"/>
    <w:rsid w:val="003C6812"/>
    <w:rsid w:val="003C7978"/>
    <w:rsid w:val="003D0153"/>
    <w:rsid w:val="003D0EC1"/>
    <w:rsid w:val="003D11FA"/>
    <w:rsid w:val="003D1828"/>
    <w:rsid w:val="003D1EDE"/>
    <w:rsid w:val="003D2422"/>
    <w:rsid w:val="003D47EF"/>
    <w:rsid w:val="003D5F44"/>
    <w:rsid w:val="003D64E7"/>
    <w:rsid w:val="003D6C5B"/>
    <w:rsid w:val="003D7046"/>
    <w:rsid w:val="003D72FD"/>
    <w:rsid w:val="003E1605"/>
    <w:rsid w:val="003E2242"/>
    <w:rsid w:val="003E31A3"/>
    <w:rsid w:val="003E3347"/>
    <w:rsid w:val="003E4F7E"/>
    <w:rsid w:val="003E59C6"/>
    <w:rsid w:val="003E616C"/>
    <w:rsid w:val="003E7ADF"/>
    <w:rsid w:val="003F29D2"/>
    <w:rsid w:val="003F4156"/>
    <w:rsid w:val="003F4F7B"/>
    <w:rsid w:val="003F6612"/>
    <w:rsid w:val="0040054C"/>
    <w:rsid w:val="00401227"/>
    <w:rsid w:val="00401809"/>
    <w:rsid w:val="004021DC"/>
    <w:rsid w:val="00403A4A"/>
    <w:rsid w:val="00404341"/>
    <w:rsid w:val="00404926"/>
    <w:rsid w:val="004054BA"/>
    <w:rsid w:val="00410708"/>
    <w:rsid w:val="00410EC7"/>
    <w:rsid w:val="00411B64"/>
    <w:rsid w:val="00412F66"/>
    <w:rsid w:val="00414476"/>
    <w:rsid w:val="00414816"/>
    <w:rsid w:val="004158E6"/>
    <w:rsid w:val="0042011D"/>
    <w:rsid w:val="00420B9F"/>
    <w:rsid w:val="00421625"/>
    <w:rsid w:val="00421EA5"/>
    <w:rsid w:val="00423C42"/>
    <w:rsid w:val="00425090"/>
    <w:rsid w:val="00426BC5"/>
    <w:rsid w:val="00426E0B"/>
    <w:rsid w:val="004272C7"/>
    <w:rsid w:val="00427460"/>
    <w:rsid w:val="00427B41"/>
    <w:rsid w:val="004306BD"/>
    <w:rsid w:val="00430FE3"/>
    <w:rsid w:val="0043109C"/>
    <w:rsid w:val="00431347"/>
    <w:rsid w:val="004315E2"/>
    <w:rsid w:val="004319F8"/>
    <w:rsid w:val="00432B9A"/>
    <w:rsid w:val="00433018"/>
    <w:rsid w:val="00433044"/>
    <w:rsid w:val="00433CEE"/>
    <w:rsid w:val="00435EC9"/>
    <w:rsid w:val="004373E2"/>
    <w:rsid w:val="00437474"/>
    <w:rsid w:val="00437E42"/>
    <w:rsid w:val="0044405F"/>
    <w:rsid w:val="004443A7"/>
    <w:rsid w:val="004464EB"/>
    <w:rsid w:val="004502FE"/>
    <w:rsid w:val="00450397"/>
    <w:rsid w:val="00450B94"/>
    <w:rsid w:val="00451C64"/>
    <w:rsid w:val="00451EBF"/>
    <w:rsid w:val="00452C66"/>
    <w:rsid w:val="004537B1"/>
    <w:rsid w:val="00453F7F"/>
    <w:rsid w:val="00454CD2"/>
    <w:rsid w:val="004556A1"/>
    <w:rsid w:val="00455C0A"/>
    <w:rsid w:val="00455D45"/>
    <w:rsid w:val="00456127"/>
    <w:rsid w:val="00456318"/>
    <w:rsid w:val="00456490"/>
    <w:rsid w:val="00460A9B"/>
    <w:rsid w:val="00460B39"/>
    <w:rsid w:val="00460FF3"/>
    <w:rsid w:val="0046245C"/>
    <w:rsid w:val="00463EC4"/>
    <w:rsid w:val="00464595"/>
    <w:rsid w:val="00464B11"/>
    <w:rsid w:val="0046599E"/>
    <w:rsid w:val="00466A90"/>
    <w:rsid w:val="0046795D"/>
    <w:rsid w:val="004708E8"/>
    <w:rsid w:val="00470CFF"/>
    <w:rsid w:val="004713D4"/>
    <w:rsid w:val="00471FBF"/>
    <w:rsid w:val="00473481"/>
    <w:rsid w:val="004744F7"/>
    <w:rsid w:val="00476715"/>
    <w:rsid w:val="0047719E"/>
    <w:rsid w:val="004775C8"/>
    <w:rsid w:val="00477FD1"/>
    <w:rsid w:val="00483763"/>
    <w:rsid w:val="00486227"/>
    <w:rsid w:val="004867E2"/>
    <w:rsid w:val="00491B3A"/>
    <w:rsid w:val="00492CFD"/>
    <w:rsid w:val="00493F28"/>
    <w:rsid w:val="00493FA2"/>
    <w:rsid w:val="004962D2"/>
    <w:rsid w:val="00496529"/>
    <w:rsid w:val="00497962"/>
    <w:rsid w:val="00497D47"/>
    <w:rsid w:val="004A0DA1"/>
    <w:rsid w:val="004A1206"/>
    <w:rsid w:val="004A174F"/>
    <w:rsid w:val="004A1C92"/>
    <w:rsid w:val="004A25FB"/>
    <w:rsid w:val="004A3E9F"/>
    <w:rsid w:val="004A5E4B"/>
    <w:rsid w:val="004A6597"/>
    <w:rsid w:val="004A65CC"/>
    <w:rsid w:val="004A6F4E"/>
    <w:rsid w:val="004A6F8F"/>
    <w:rsid w:val="004A7242"/>
    <w:rsid w:val="004B13D1"/>
    <w:rsid w:val="004B1CB4"/>
    <w:rsid w:val="004B1ED5"/>
    <w:rsid w:val="004B2F18"/>
    <w:rsid w:val="004B3582"/>
    <w:rsid w:val="004B3DDB"/>
    <w:rsid w:val="004B432B"/>
    <w:rsid w:val="004B44FD"/>
    <w:rsid w:val="004B470A"/>
    <w:rsid w:val="004B4755"/>
    <w:rsid w:val="004B5CFC"/>
    <w:rsid w:val="004B68D5"/>
    <w:rsid w:val="004C0ADA"/>
    <w:rsid w:val="004C1B62"/>
    <w:rsid w:val="004C1D0A"/>
    <w:rsid w:val="004C1E45"/>
    <w:rsid w:val="004C26A8"/>
    <w:rsid w:val="004C33D2"/>
    <w:rsid w:val="004C3718"/>
    <w:rsid w:val="004C4AED"/>
    <w:rsid w:val="004C59EB"/>
    <w:rsid w:val="004C6C32"/>
    <w:rsid w:val="004C6C63"/>
    <w:rsid w:val="004D11D7"/>
    <w:rsid w:val="004D2959"/>
    <w:rsid w:val="004D2EDF"/>
    <w:rsid w:val="004D2F2C"/>
    <w:rsid w:val="004D39D4"/>
    <w:rsid w:val="004D5BC3"/>
    <w:rsid w:val="004D6C7B"/>
    <w:rsid w:val="004D72D3"/>
    <w:rsid w:val="004D7DE3"/>
    <w:rsid w:val="004E0589"/>
    <w:rsid w:val="004E0EB8"/>
    <w:rsid w:val="004E1580"/>
    <w:rsid w:val="004E2A90"/>
    <w:rsid w:val="004E2ADC"/>
    <w:rsid w:val="004E41E4"/>
    <w:rsid w:val="004E43B2"/>
    <w:rsid w:val="004E59C3"/>
    <w:rsid w:val="004E6274"/>
    <w:rsid w:val="004E632E"/>
    <w:rsid w:val="004E726F"/>
    <w:rsid w:val="004E7A45"/>
    <w:rsid w:val="004F10AC"/>
    <w:rsid w:val="004F1D02"/>
    <w:rsid w:val="004F23D8"/>
    <w:rsid w:val="004F2679"/>
    <w:rsid w:val="004F2E32"/>
    <w:rsid w:val="004F2FA3"/>
    <w:rsid w:val="004F51C1"/>
    <w:rsid w:val="004F5415"/>
    <w:rsid w:val="004F6799"/>
    <w:rsid w:val="004F7865"/>
    <w:rsid w:val="004F78D1"/>
    <w:rsid w:val="0050075D"/>
    <w:rsid w:val="00501372"/>
    <w:rsid w:val="005016DB"/>
    <w:rsid w:val="005031FA"/>
    <w:rsid w:val="00503A9D"/>
    <w:rsid w:val="005041D3"/>
    <w:rsid w:val="00504B41"/>
    <w:rsid w:val="00505108"/>
    <w:rsid w:val="00506928"/>
    <w:rsid w:val="0050742A"/>
    <w:rsid w:val="00507B1A"/>
    <w:rsid w:val="005120A6"/>
    <w:rsid w:val="00512B29"/>
    <w:rsid w:val="005137E9"/>
    <w:rsid w:val="0051432B"/>
    <w:rsid w:val="00514709"/>
    <w:rsid w:val="00514AC7"/>
    <w:rsid w:val="005152B5"/>
    <w:rsid w:val="005155DA"/>
    <w:rsid w:val="00516E95"/>
    <w:rsid w:val="00521319"/>
    <w:rsid w:val="00521EC7"/>
    <w:rsid w:val="00522CB5"/>
    <w:rsid w:val="00523C28"/>
    <w:rsid w:val="0052625B"/>
    <w:rsid w:val="00530293"/>
    <w:rsid w:val="00530B92"/>
    <w:rsid w:val="0053257C"/>
    <w:rsid w:val="005329B6"/>
    <w:rsid w:val="00533755"/>
    <w:rsid w:val="00533EB5"/>
    <w:rsid w:val="0053648D"/>
    <w:rsid w:val="00536939"/>
    <w:rsid w:val="0053741A"/>
    <w:rsid w:val="00537657"/>
    <w:rsid w:val="00540662"/>
    <w:rsid w:val="00540F6C"/>
    <w:rsid w:val="00540F80"/>
    <w:rsid w:val="00541899"/>
    <w:rsid w:val="00542C31"/>
    <w:rsid w:val="00542C4D"/>
    <w:rsid w:val="00542FF2"/>
    <w:rsid w:val="00543724"/>
    <w:rsid w:val="00544434"/>
    <w:rsid w:val="005453DA"/>
    <w:rsid w:val="005470A9"/>
    <w:rsid w:val="005472AA"/>
    <w:rsid w:val="0055127C"/>
    <w:rsid w:val="0055133D"/>
    <w:rsid w:val="005513C1"/>
    <w:rsid w:val="00552220"/>
    <w:rsid w:val="00552A3D"/>
    <w:rsid w:val="00552BD3"/>
    <w:rsid w:val="00554B1E"/>
    <w:rsid w:val="00555026"/>
    <w:rsid w:val="00555109"/>
    <w:rsid w:val="005551DE"/>
    <w:rsid w:val="00555322"/>
    <w:rsid w:val="00556385"/>
    <w:rsid w:val="005563A1"/>
    <w:rsid w:val="00557629"/>
    <w:rsid w:val="00560038"/>
    <w:rsid w:val="005602ED"/>
    <w:rsid w:val="00560C7B"/>
    <w:rsid w:val="0056132A"/>
    <w:rsid w:val="00563346"/>
    <w:rsid w:val="00565810"/>
    <w:rsid w:val="005660F9"/>
    <w:rsid w:val="00566635"/>
    <w:rsid w:val="00566675"/>
    <w:rsid w:val="00566784"/>
    <w:rsid w:val="0056696F"/>
    <w:rsid w:val="00566D07"/>
    <w:rsid w:val="00567667"/>
    <w:rsid w:val="00571D8D"/>
    <w:rsid w:val="005723AC"/>
    <w:rsid w:val="00573F74"/>
    <w:rsid w:val="00575C06"/>
    <w:rsid w:val="00575D8D"/>
    <w:rsid w:val="00575ED3"/>
    <w:rsid w:val="00576972"/>
    <w:rsid w:val="00576E10"/>
    <w:rsid w:val="005771FF"/>
    <w:rsid w:val="00577D96"/>
    <w:rsid w:val="00577F8A"/>
    <w:rsid w:val="00581A85"/>
    <w:rsid w:val="00581BF6"/>
    <w:rsid w:val="00582B88"/>
    <w:rsid w:val="00582E1B"/>
    <w:rsid w:val="00583699"/>
    <w:rsid w:val="005848C0"/>
    <w:rsid w:val="00584C7F"/>
    <w:rsid w:val="00586534"/>
    <w:rsid w:val="00587AF5"/>
    <w:rsid w:val="005905C3"/>
    <w:rsid w:val="0059066B"/>
    <w:rsid w:val="00592EE4"/>
    <w:rsid w:val="0059329E"/>
    <w:rsid w:val="00593F86"/>
    <w:rsid w:val="00594B67"/>
    <w:rsid w:val="00594C7C"/>
    <w:rsid w:val="00597355"/>
    <w:rsid w:val="005A4CB9"/>
    <w:rsid w:val="005A50A7"/>
    <w:rsid w:val="005A78B6"/>
    <w:rsid w:val="005B020A"/>
    <w:rsid w:val="005B0452"/>
    <w:rsid w:val="005B1450"/>
    <w:rsid w:val="005B5857"/>
    <w:rsid w:val="005B5AD8"/>
    <w:rsid w:val="005C1101"/>
    <w:rsid w:val="005C1507"/>
    <w:rsid w:val="005C1B83"/>
    <w:rsid w:val="005C2770"/>
    <w:rsid w:val="005C346B"/>
    <w:rsid w:val="005C4517"/>
    <w:rsid w:val="005C4A88"/>
    <w:rsid w:val="005C607D"/>
    <w:rsid w:val="005C7FED"/>
    <w:rsid w:val="005D040D"/>
    <w:rsid w:val="005D044D"/>
    <w:rsid w:val="005D177B"/>
    <w:rsid w:val="005D18AD"/>
    <w:rsid w:val="005D2714"/>
    <w:rsid w:val="005D3D65"/>
    <w:rsid w:val="005E036A"/>
    <w:rsid w:val="005E09F2"/>
    <w:rsid w:val="005E1F85"/>
    <w:rsid w:val="005E2E6E"/>
    <w:rsid w:val="005E3C61"/>
    <w:rsid w:val="005E4485"/>
    <w:rsid w:val="005E4A25"/>
    <w:rsid w:val="005E65F6"/>
    <w:rsid w:val="005E70AF"/>
    <w:rsid w:val="005E73C0"/>
    <w:rsid w:val="005E7E57"/>
    <w:rsid w:val="005F0055"/>
    <w:rsid w:val="005F1ED6"/>
    <w:rsid w:val="005F2706"/>
    <w:rsid w:val="005F36AF"/>
    <w:rsid w:val="005F402F"/>
    <w:rsid w:val="005F4250"/>
    <w:rsid w:val="005F4A48"/>
    <w:rsid w:val="005F4ADF"/>
    <w:rsid w:val="005F51A3"/>
    <w:rsid w:val="005F616A"/>
    <w:rsid w:val="005F6A8F"/>
    <w:rsid w:val="005F7BE0"/>
    <w:rsid w:val="00601CA8"/>
    <w:rsid w:val="00602313"/>
    <w:rsid w:val="00603803"/>
    <w:rsid w:val="00603E4D"/>
    <w:rsid w:val="00606C4C"/>
    <w:rsid w:val="00606F0F"/>
    <w:rsid w:val="0060764F"/>
    <w:rsid w:val="00607669"/>
    <w:rsid w:val="0061160D"/>
    <w:rsid w:val="00612F97"/>
    <w:rsid w:val="00613345"/>
    <w:rsid w:val="0061579A"/>
    <w:rsid w:val="0061596E"/>
    <w:rsid w:val="00616802"/>
    <w:rsid w:val="00617E12"/>
    <w:rsid w:val="006212E7"/>
    <w:rsid w:val="00621477"/>
    <w:rsid w:val="00621CA1"/>
    <w:rsid w:val="00622049"/>
    <w:rsid w:val="00622A38"/>
    <w:rsid w:val="006255BB"/>
    <w:rsid w:val="0062604E"/>
    <w:rsid w:val="00627F78"/>
    <w:rsid w:val="00630585"/>
    <w:rsid w:val="006305E6"/>
    <w:rsid w:val="00631CB7"/>
    <w:rsid w:val="00631D6B"/>
    <w:rsid w:val="00631ED6"/>
    <w:rsid w:val="00632D18"/>
    <w:rsid w:val="00633F6B"/>
    <w:rsid w:val="0063479F"/>
    <w:rsid w:val="00634C98"/>
    <w:rsid w:val="006364A1"/>
    <w:rsid w:val="00637368"/>
    <w:rsid w:val="00637BFD"/>
    <w:rsid w:val="00637DE1"/>
    <w:rsid w:val="006407B4"/>
    <w:rsid w:val="006409F2"/>
    <w:rsid w:val="00641429"/>
    <w:rsid w:val="00641D3E"/>
    <w:rsid w:val="006425EF"/>
    <w:rsid w:val="006428ED"/>
    <w:rsid w:val="00642E51"/>
    <w:rsid w:val="00643B10"/>
    <w:rsid w:val="00643D75"/>
    <w:rsid w:val="00643E50"/>
    <w:rsid w:val="006471CC"/>
    <w:rsid w:val="0065079F"/>
    <w:rsid w:val="00650B95"/>
    <w:rsid w:val="00650F95"/>
    <w:rsid w:val="0065132C"/>
    <w:rsid w:val="006513A1"/>
    <w:rsid w:val="006516DD"/>
    <w:rsid w:val="00652686"/>
    <w:rsid w:val="00652F67"/>
    <w:rsid w:val="00653185"/>
    <w:rsid w:val="00653933"/>
    <w:rsid w:val="0065421D"/>
    <w:rsid w:val="006566C2"/>
    <w:rsid w:val="0066070D"/>
    <w:rsid w:val="00660BB7"/>
    <w:rsid w:val="006624D7"/>
    <w:rsid w:val="00662D55"/>
    <w:rsid w:val="006635DB"/>
    <w:rsid w:val="00663CFE"/>
    <w:rsid w:val="00664F9E"/>
    <w:rsid w:val="006670C9"/>
    <w:rsid w:val="00667838"/>
    <w:rsid w:val="00667CE2"/>
    <w:rsid w:val="00670CE0"/>
    <w:rsid w:val="006718B3"/>
    <w:rsid w:val="006719D1"/>
    <w:rsid w:val="00671BBB"/>
    <w:rsid w:val="00672DED"/>
    <w:rsid w:val="006737E9"/>
    <w:rsid w:val="00673AC3"/>
    <w:rsid w:val="00674214"/>
    <w:rsid w:val="00674E42"/>
    <w:rsid w:val="0067526E"/>
    <w:rsid w:val="0067654E"/>
    <w:rsid w:val="00677773"/>
    <w:rsid w:val="00680DFB"/>
    <w:rsid w:val="00682112"/>
    <w:rsid w:val="00683476"/>
    <w:rsid w:val="00683EB1"/>
    <w:rsid w:val="006854E4"/>
    <w:rsid w:val="0068696B"/>
    <w:rsid w:val="006872BA"/>
    <w:rsid w:val="0068783D"/>
    <w:rsid w:val="00687B5D"/>
    <w:rsid w:val="00687C96"/>
    <w:rsid w:val="00690B97"/>
    <w:rsid w:val="006917D7"/>
    <w:rsid w:val="00692B7E"/>
    <w:rsid w:val="00694051"/>
    <w:rsid w:val="006945E7"/>
    <w:rsid w:val="00694E2F"/>
    <w:rsid w:val="00694F44"/>
    <w:rsid w:val="00696872"/>
    <w:rsid w:val="006976D7"/>
    <w:rsid w:val="00697AB2"/>
    <w:rsid w:val="006A09D0"/>
    <w:rsid w:val="006A133E"/>
    <w:rsid w:val="006A1F4F"/>
    <w:rsid w:val="006A1FD5"/>
    <w:rsid w:val="006A268D"/>
    <w:rsid w:val="006A2B8B"/>
    <w:rsid w:val="006A37BC"/>
    <w:rsid w:val="006A45B5"/>
    <w:rsid w:val="006A46AA"/>
    <w:rsid w:val="006A5B2F"/>
    <w:rsid w:val="006A60B2"/>
    <w:rsid w:val="006A6DDF"/>
    <w:rsid w:val="006A6F6D"/>
    <w:rsid w:val="006B4595"/>
    <w:rsid w:val="006B5E03"/>
    <w:rsid w:val="006B6E4E"/>
    <w:rsid w:val="006B75C1"/>
    <w:rsid w:val="006C1CC7"/>
    <w:rsid w:val="006C24C2"/>
    <w:rsid w:val="006C2A8C"/>
    <w:rsid w:val="006C2A8E"/>
    <w:rsid w:val="006C30F8"/>
    <w:rsid w:val="006C4965"/>
    <w:rsid w:val="006C6CB4"/>
    <w:rsid w:val="006C77AE"/>
    <w:rsid w:val="006C77D5"/>
    <w:rsid w:val="006C79BD"/>
    <w:rsid w:val="006D1CB8"/>
    <w:rsid w:val="006D2DCB"/>
    <w:rsid w:val="006D3BD1"/>
    <w:rsid w:val="006D3C7D"/>
    <w:rsid w:val="006D402C"/>
    <w:rsid w:val="006D4669"/>
    <w:rsid w:val="006D525D"/>
    <w:rsid w:val="006D5D5F"/>
    <w:rsid w:val="006D6AC7"/>
    <w:rsid w:val="006D6DF1"/>
    <w:rsid w:val="006D7AAD"/>
    <w:rsid w:val="006E02CF"/>
    <w:rsid w:val="006E16D8"/>
    <w:rsid w:val="006E1C35"/>
    <w:rsid w:val="006E3520"/>
    <w:rsid w:val="006E4FDF"/>
    <w:rsid w:val="006E594D"/>
    <w:rsid w:val="006E637E"/>
    <w:rsid w:val="006E7256"/>
    <w:rsid w:val="006F1D44"/>
    <w:rsid w:val="006F4DE4"/>
    <w:rsid w:val="006F600E"/>
    <w:rsid w:val="006F63A5"/>
    <w:rsid w:val="006F691D"/>
    <w:rsid w:val="006F6B75"/>
    <w:rsid w:val="006F7350"/>
    <w:rsid w:val="006F7D02"/>
    <w:rsid w:val="00700228"/>
    <w:rsid w:val="007021E3"/>
    <w:rsid w:val="0070276E"/>
    <w:rsid w:val="00702EC9"/>
    <w:rsid w:val="00702F8F"/>
    <w:rsid w:val="0070338D"/>
    <w:rsid w:val="007034C4"/>
    <w:rsid w:val="00703D4F"/>
    <w:rsid w:val="00704117"/>
    <w:rsid w:val="00704B36"/>
    <w:rsid w:val="00705AE8"/>
    <w:rsid w:val="007060E8"/>
    <w:rsid w:val="007066BF"/>
    <w:rsid w:val="00707528"/>
    <w:rsid w:val="0070798F"/>
    <w:rsid w:val="00710BB5"/>
    <w:rsid w:val="00710E93"/>
    <w:rsid w:val="00710F72"/>
    <w:rsid w:val="0071162E"/>
    <w:rsid w:val="00711A36"/>
    <w:rsid w:val="00711AE4"/>
    <w:rsid w:val="00711DDA"/>
    <w:rsid w:val="007126BF"/>
    <w:rsid w:val="0071310E"/>
    <w:rsid w:val="00714E49"/>
    <w:rsid w:val="007172AD"/>
    <w:rsid w:val="007179D9"/>
    <w:rsid w:val="00717CF7"/>
    <w:rsid w:val="00721263"/>
    <w:rsid w:val="00721E09"/>
    <w:rsid w:val="00722386"/>
    <w:rsid w:val="0072253B"/>
    <w:rsid w:val="00722FD6"/>
    <w:rsid w:val="0072416F"/>
    <w:rsid w:val="007251DD"/>
    <w:rsid w:val="00725EC6"/>
    <w:rsid w:val="0072639E"/>
    <w:rsid w:val="00726FCB"/>
    <w:rsid w:val="007270E6"/>
    <w:rsid w:val="00727765"/>
    <w:rsid w:val="00727A2D"/>
    <w:rsid w:val="00727BCA"/>
    <w:rsid w:val="00727C9E"/>
    <w:rsid w:val="0073050F"/>
    <w:rsid w:val="0073083F"/>
    <w:rsid w:val="0073095D"/>
    <w:rsid w:val="00731529"/>
    <w:rsid w:val="00732B9E"/>
    <w:rsid w:val="0073504B"/>
    <w:rsid w:val="007350DC"/>
    <w:rsid w:val="00735328"/>
    <w:rsid w:val="0073685B"/>
    <w:rsid w:val="00736B9C"/>
    <w:rsid w:val="007372EA"/>
    <w:rsid w:val="0073743A"/>
    <w:rsid w:val="0074070B"/>
    <w:rsid w:val="00740F88"/>
    <w:rsid w:val="007424B9"/>
    <w:rsid w:val="00743399"/>
    <w:rsid w:val="0074370B"/>
    <w:rsid w:val="00743E05"/>
    <w:rsid w:val="00745A61"/>
    <w:rsid w:val="00750146"/>
    <w:rsid w:val="00750531"/>
    <w:rsid w:val="00751E34"/>
    <w:rsid w:val="00754749"/>
    <w:rsid w:val="007573E7"/>
    <w:rsid w:val="00762623"/>
    <w:rsid w:val="00763816"/>
    <w:rsid w:val="007640FE"/>
    <w:rsid w:val="00766699"/>
    <w:rsid w:val="007666B5"/>
    <w:rsid w:val="0076726B"/>
    <w:rsid w:val="00770756"/>
    <w:rsid w:val="00773C23"/>
    <w:rsid w:val="0077404A"/>
    <w:rsid w:val="007759B6"/>
    <w:rsid w:val="00776E55"/>
    <w:rsid w:val="0077735E"/>
    <w:rsid w:val="00777683"/>
    <w:rsid w:val="007828EC"/>
    <w:rsid w:val="007852CB"/>
    <w:rsid w:val="00785F95"/>
    <w:rsid w:val="00786F9D"/>
    <w:rsid w:val="00787629"/>
    <w:rsid w:val="0079090E"/>
    <w:rsid w:val="007912FA"/>
    <w:rsid w:val="0079518C"/>
    <w:rsid w:val="00795A34"/>
    <w:rsid w:val="007A09D2"/>
    <w:rsid w:val="007A0A12"/>
    <w:rsid w:val="007A1275"/>
    <w:rsid w:val="007A135D"/>
    <w:rsid w:val="007A6CDF"/>
    <w:rsid w:val="007A7BE5"/>
    <w:rsid w:val="007B0969"/>
    <w:rsid w:val="007B136F"/>
    <w:rsid w:val="007B15FA"/>
    <w:rsid w:val="007B230E"/>
    <w:rsid w:val="007B251D"/>
    <w:rsid w:val="007B26EB"/>
    <w:rsid w:val="007B3601"/>
    <w:rsid w:val="007B5F7B"/>
    <w:rsid w:val="007B77D1"/>
    <w:rsid w:val="007C21EB"/>
    <w:rsid w:val="007C2523"/>
    <w:rsid w:val="007C361D"/>
    <w:rsid w:val="007C4A5C"/>
    <w:rsid w:val="007C4B90"/>
    <w:rsid w:val="007C7C50"/>
    <w:rsid w:val="007D070F"/>
    <w:rsid w:val="007D0B38"/>
    <w:rsid w:val="007D0CF5"/>
    <w:rsid w:val="007D13FD"/>
    <w:rsid w:val="007D1B32"/>
    <w:rsid w:val="007D548E"/>
    <w:rsid w:val="007D5C47"/>
    <w:rsid w:val="007D68E4"/>
    <w:rsid w:val="007D6BF8"/>
    <w:rsid w:val="007D7713"/>
    <w:rsid w:val="007D7772"/>
    <w:rsid w:val="007D7E3C"/>
    <w:rsid w:val="007E1B40"/>
    <w:rsid w:val="007E3825"/>
    <w:rsid w:val="007E4B3C"/>
    <w:rsid w:val="007E4E32"/>
    <w:rsid w:val="007E6FAC"/>
    <w:rsid w:val="007F1017"/>
    <w:rsid w:val="007F4A3F"/>
    <w:rsid w:val="007F73AF"/>
    <w:rsid w:val="007F7577"/>
    <w:rsid w:val="007F773C"/>
    <w:rsid w:val="00801ABB"/>
    <w:rsid w:val="008026B5"/>
    <w:rsid w:val="00802CC3"/>
    <w:rsid w:val="00802E63"/>
    <w:rsid w:val="00802ECF"/>
    <w:rsid w:val="00802EFA"/>
    <w:rsid w:val="00803168"/>
    <w:rsid w:val="00803F46"/>
    <w:rsid w:val="00804DB2"/>
    <w:rsid w:val="00805142"/>
    <w:rsid w:val="00807A8B"/>
    <w:rsid w:val="00807DC5"/>
    <w:rsid w:val="00811B84"/>
    <w:rsid w:val="00812149"/>
    <w:rsid w:val="008127BA"/>
    <w:rsid w:val="00812FD6"/>
    <w:rsid w:val="008143E3"/>
    <w:rsid w:val="0081474D"/>
    <w:rsid w:val="008149DB"/>
    <w:rsid w:val="00814AB9"/>
    <w:rsid w:val="00814EDF"/>
    <w:rsid w:val="008162EB"/>
    <w:rsid w:val="008166EF"/>
    <w:rsid w:val="008179EE"/>
    <w:rsid w:val="008204CC"/>
    <w:rsid w:val="008210A5"/>
    <w:rsid w:val="00821691"/>
    <w:rsid w:val="00823A0E"/>
    <w:rsid w:val="00823FE5"/>
    <w:rsid w:val="008247C4"/>
    <w:rsid w:val="008264EB"/>
    <w:rsid w:val="0082693F"/>
    <w:rsid w:val="00827423"/>
    <w:rsid w:val="00827AF5"/>
    <w:rsid w:val="008312C0"/>
    <w:rsid w:val="00832542"/>
    <w:rsid w:val="00832F3A"/>
    <w:rsid w:val="0083303F"/>
    <w:rsid w:val="00833B05"/>
    <w:rsid w:val="00835588"/>
    <w:rsid w:val="00835D2E"/>
    <w:rsid w:val="00836E6E"/>
    <w:rsid w:val="00837482"/>
    <w:rsid w:val="00840CA2"/>
    <w:rsid w:val="008416BF"/>
    <w:rsid w:val="00841E29"/>
    <w:rsid w:val="00842588"/>
    <w:rsid w:val="0084371B"/>
    <w:rsid w:val="008448D9"/>
    <w:rsid w:val="00845AA3"/>
    <w:rsid w:val="008466FD"/>
    <w:rsid w:val="008470D6"/>
    <w:rsid w:val="00847ECF"/>
    <w:rsid w:val="00850108"/>
    <w:rsid w:val="0085021B"/>
    <w:rsid w:val="008502D1"/>
    <w:rsid w:val="00851CDE"/>
    <w:rsid w:val="00852DBB"/>
    <w:rsid w:val="008536DA"/>
    <w:rsid w:val="00855191"/>
    <w:rsid w:val="008557AF"/>
    <w:rsid w:val="008569BA"/>
    <w:rsid w:val="00856E9A"/>
    <w:rsid w:val="00857A1B"/>
    <w:rsid w:val="00861DA2"/>
    <w:rsid w:val="00862502"/>
    <w:rsid w:val="00863C4C"/>
    <w:rsid w:val="00863C81"/>
    <w:rsid w:val="008652B8"/>
    <w:rsid w:val="00865529"/>
    <w:rsid w:val="00866433"/>
    <w:rsid w:val="00866E23"/>
    <w:rsid w:val="00871454"/>
    <w:rsid w:val="0087153B"/>
    <w:rsid w:val="008718CB"/>
    <w:rsid w:val="00871F1C"/>
    <w:rsid w:val="00872FB9"/>
    <w:rsid w:val="0087332C"/>
    <w:rsid w:val="00873403"/>
    <w:rsid w:val="008749B8"/>
    <w:rsid w:val="00876184"/>
    <w:rsid w:val="00876541"/>
    <w:rsid w:val="00876B4A"/>
    <w:rsid w:val="00876DF0"/>
    <w:rsid w:val="0087705D"/>
    <w:rsid w:val="00877BD8"/>
    <w:rsid w:val="00877DD9"/>
    <w:rsid w:val="00880571"/>
    <w:rsid w:val="00880906"/>
    <w:rsid w:val="00881282"/>
    <w:rsid w:val="0088179D"/>
    <w:rsid w:val="00881B64"/>
    <w:rsid w:val="00881B7E"/>
    <w:rsid w:val="008820B5"/>
    <w:rsid w:val="00882874"/>
    <w:rsid w:val="00882B26"/>
    <w:rsid w:val="00883181"/>
    <w:rsid w:val="00883787"/>
    <w:rsid w:val="00884F8F"/>
    <w:rsid w:val="008856F5"/>
    <w:rsid w:val="00886438"/>
    <w:rsid w:val="00886501"/>
    <w:rsid w:val="0088654B"/>
    <w:rsid w:val="00887591"/>
    <w:rsid w:val="00890859"/>
    <w:rsid w:val="008938E6"/>
    <w:rsid w:val="00893FE2"/>
    <w:rsid w:val="00894489"/>
    <w:rsid w:val="0089468A"/>
    <w:rsid w:val="0089507A"/>
    <w:rsid w:val="0089588F"/>
    <w:rsid w:val="008963A5"/>
    <w:rsid w:val="0089670B"/>
    <w:rsid w:val="008A0A79"/>
    <w:rsid w:val="008A0B32"/>
    <w:rsid w:val="008A191F"/>
    <w:rsid w:val="008A19AE"/>
    <w:rsid w:val="008A210E"/>
    <w:rsid w:val="008A26FC"/>
    <w:rsid w:val="008A2790"/>
    <w:rsid w:val="008A3C3E"/>
    <w:rsid w:val="008A45A9"/>
    <w:rsid w:val="008A6259"/>
    <w:rsid w:val="008A73C5"/>
    <w:rsid w:val="008A79DE"/>
    <w:rsid w:val="008A7E5E"/>
    <w:rsid w:val="008A7E89"/>
    <w:rsid w:val="008B02B8"/>
    <w:rsid w:val="008B128D"/>
    <w:rsid w:val="008B1A09"/>
    <w:rsid w:val="008B3D99"/>
    <w:rsid w:val="008B5188"/>
    <w:rsid w:val="008B7661"/>
    <w:rsid w:val="008B7D7E"/>
    <w:rsid w:val="008C0D45"/>
    <w:rsid w:val="008C0FB8"/>
    <w:rsid w:val="008C1346"/>
    <w:rsid w:val="008C1DEA"/>
    <w:rsid w:val="008C2260"/>
    <w:rsid w:val="008C41E8"/>
    <w:rsid w:val="008C4436"/>
    <w:rsid w:val="008C5463"/>
    <w:rsid w:val="008C684A"/>
    <w:rsid w:val="008C6B85"/>
    <w:rsid w:val="008C6B9E"/>
    <w:rsid w:val="008C770A"/>
    <w:rsid w:val="008C7ECB"/>
    <w:rsid w:val="008D1CB6"/>
    <w:rsid w:val="008D35A8"/>
    <w:rsid w:val="008D4637"/>
    <w:rsid w:val="008D489F"/>
    <w:rsid w:val="008D4937"/>
    <w:rsid w:val="008D5627"/>
    <w:rsid w:val="008D64B2"/>
    <w:rsid w:val="008D69CE"/>
    <w:rsid w:val="008D6A46"/>
    <w:rsid w:val="008D7828"/>
    <w:rsid w:val="008E04E7"/>
    <w:rsid w:val="008E06BB"/>
    <w:rsid w:val="008E1B9E"/>
    <w:rsid w:val="008E2B41"/>
    <w:rsid w:val="008E5465"/>
    <w:rsid w:val="008F120A"/>
    <w:rsid w:val="008F26DD"/>
    <w:rsid w:val="008F2A90"/>
    <w:rsid w:val="008F3D1A"/>
    <w:rsid w:val="008F3E15"/>
    <w:rsid w:val="008F48EB"/>
    <w:rsid w:val="008F4F0B"/>
    <w:rsid w:val="008F5530"/>
    <w:rsid w:val="008F71E0"/>
    <w:rsid w:val="008F7B2C"/>
    <w:rsid w:val="008F7E0B"/>
    <w:rsid w:val="00900771"/>
    <w:rsid w:val="00900818"/>
    <w:rsid w:val="009022E3"/>
    <w:rsid w:val="00903575"/>
    <w:rsid w:val="00903F18"/>
    <w:rsid w:val="009062A5"/>
    <w:rsid w:val="00906C08"/>
    <w:rsid w:val="00907288"/>
    <w:rsid w:val="00907F7E"/>
    <w:rsid w:val="00911272"/>
    <w:rsid w:val="009118E1"/>
    <w:rsid w:val="0091408C"/>
    <w:rsid w:val="009140BE"/>
    <w:rsid w:val="00915AFF"/>
    <w:rsid w:val="00915D9F"/>
    <w:rsid w:val="00915F59"/>
    <w:rsid w:val="0091600E"/>
    <w:rsid w:val="00916F66"/>
    <w:rsid w:val="009207F9"/>
    <w:rsid w:val="009234D1"/>
    <w:rsid w:val="00926826"/>
    <w:rsid w:val="00935DC0"/>
    <w:rsid w:val="0093650F"/>
    <w:rsid w:val="00940EC8"/>
    <w:rsid w:val="009412DA"/>
    <w:rsid w:val="0094297C"/>
    <w:rsid w:val="00942B45"/>
    <w:rsid w:val="00945D49"/>
    <w:rsid w:val="009464C9"/>
    <w:rsid w:val="00946CE6"/>
    <w:rsid w:val="00947AA4"/>
    <w:rsid w:val="00950078"/>
    <w:rsid w:val="00950304"/>
    <w:rsid w:val="00950AB1"/>
    <w:rsid w:val="0095203D"/>
    <w:rsid w:val="009522AA"/>
    <w:rsid w:val="00952A4C"/>
    <w:rsid w:val="00952F75"/>
    <w:rsid w:val="00953687"/>
    <w:rsid w:val="009542C8"/>
    <w:rsid w:val="00954655"/>
    <w:rsid w:val="0095578F"/>
    <w:rsid w:val="009560C7"/>
    <w:rsid w:val="00956F23"/>
    <w:rsid w:val="00956F7D"/>
    <w:rsid w:val="0095748B"/>
    <w:rsid w:val="009576E0"/>
    <w:rsid w:val="00957796"/>
    <w:rsid w:val="00962CB9"/>
    <w:rsid w:val="00963298"/>
    <w:rsid w:val="00963609"/>
    <w:rsid w:val="00963773"/>
    <w:rsid w:val="00964312"/>
    <w:rsid w:val="00966834"/>
    <w:rsid w:val="0096741D"/>
    <w:rsid w:val="00967A21"/>
    <w:rsid w:val="00971D6E"/>
    <w:rsid w:val="0097226F"/>
    <w:rsid w:val="00972552"/>
    <w:rsid w:val="00972DB3"/>
    <w:rsid w:val="00973060"/>
    <w:rsid w:val="00973645"/>
    <w:rsid w:val="00974483"/>
    <w:rsid w:val="00974ED9"/>
    <w:rsid w:val="00975508"/>
    <w:rsid w:val="009776A6"/>
    <w:rsid w:val="0098037B"/>
    <w:rsid w:val="00982DE3"/>
    <w:rsid w:val="00983B39"/>
    <w:rsid w:val="00983BE4"/>
    <w:rsid w:val="00983CD5"/>
    <w:rsid w:val="00983E57"/>
    <w:rsid w:val="009840A0"/>
    <w:rsid w:val="00984E4D"/>
    <w:rsid w:val="0098586B"/>
    <w:rsid w:val="00986355"/>
    <w:rsid w:val="009930F2"/>
    <w:rsid w:val="0099514C"/>
    <w:rsid w:val="00995569"/>
    <w:rsid w:val="00996B1A"/>
    <w:rsid w:val="00996FB9"/>
    <w:rsid w:val="00997294"/>
    <w:rsid w:val="00997492"/>
    <w:rsid w:val="00997863"/>
    <w:rsid w:val="00997E93"/>
    <w:rsid w:val="009A0198"/>
    <w:rsid w:val="009A0AB7"/>
    <w:rsid w:val="009A17E9"/>
    <w:rsid w:val="009A2A52"/>
    <w:rsid w:val="009A2C65"/>
    <w:rsid w:val="009A3081"/>
    <w:rsid w:val="009A33C1"/>
    <w:rsid w:val="009A4DB4"/>
    <w:rsid w:val="009A686B"/>
    <w:rsid w:val="009A7984"/>
    <w:rsid w:val="009A7F75"/>
    <w:rsid w:val="009B1A59"/>
    <w:rsid w:val="009B3E26"/>
    <w:rsid w:val="009B490C"/>
    <w:rsid w:val="009B5E34"/>
    <w:rsid w:val="009B5F25"/>
    <w:rsid w:val="009B5FD9"/>
    <w:rsid w:val="009B7348"/>
    <w:rsid w:val="009C066B"/>
    <w:rsid w:val="009C0999"/>
    <w:rsid w:val="009C0AD4"/>
    <w:rsid w:val="009C234A"/>
    <w:rsid w:val="009C2B58"/>
    <w:rsid w:val="009C3333"/>
    <w:rsid w:val="009C36B5"/>
    <w:rsid w:val="009C3E7F"/>
    <w:rsid w:val="009C5425"/>
    <w:rsid w:val="009C5F57"/>
    <w:rsid w:val="009C725D"/>
    <w:rsid w:val="009D00DB"/>
    <w:rsid w:val="009D14D8"/>
    <w:rsid w:val="009D164D"/>
    <w:rsid w:val="009D2046"/>
    <w:rsid w:val="009D2211"/>
    <w:rsid w:val="009D287F"/>
    <w:rsid w:val="009D45EF"/>
    <w:rsid w:val="009D4B53"/>
    <w:rsid w:val="009D56E0"/>
    <w:rsid w:val="009D5B91"/>
    <w:rsid w:val="009D672B"/>
    <w:rsid w:val="009D70F9"/>
    <w:rsid w:val="009D76BF"/>
    <w:rsid w:val="009E26F2"/>
    <w:rsid w:val="009E2C0E"/>
    <w:rsid w:val="009E31CF"/>
    <w:rsid w:val="009E39CE"/>
    <w:rsid w:val="009E4C07"/>
    <w:rsid w:val="009F0B22"/>
    <w:rsid w:val="009F1AFB"/>
    <w:rsid w:val="009F2EE3"/>
    <w:rsid w:val="009F3314"/>
    <w:rsid w:val="009F481E"/>
    <w:rsid w:val="00A0035A"/>
    <w:rsid w:val="00A0036B"/>
    <w:rsid w:val="00A01218"/>
    <w:rsid w:val="00A02079"/>
    <w:rsid w:val="00A02C17"/>
    <w:rsid w:val="00A03D43"/>
    <w:rsid w:val="00A04380"/>
    <w:rsid w:val="00A04607"/>
    <w:rsid w:val="00A07609"/>
    <w:rsid w:val="00A07622"/>
    <w:rsid w:val="00A0795E"/>
    <w:rsid w:val="00A07CBF"/>
    <w:rsid w:val="00A107D3"/>
    <w:rsid w:val="00A111A0"/>
    <w:rsid w:val="00A11632"/>
    <w:rsid w:val="00A12155"/>
    <w:rsid w:val="00A12570"/>
    <w:rsid w:val="00A136C3"/>
    <w:rsid w:val="00A13948"/>
    <w:rsid w:val="00A13AC2"/>
    <w:rsid w:val="00A13C54"/>
    <w:rsid w:val="00A145F9"/>
    <w:rsid w:val="00A14628"/>
    <w:rsid w:val="00A14805"/>
    <w:rsid w:val="00A14973"/>
    <w:rsid w:val="00A14F6A"/>
    <w:rsid w:val="00A16961"/>
    <w:rsid w:val="00A16A9F"/>
    <w:rsid w:val="00A17DD8"/>
    <w:rsid w:val="00A201F3"/>
    <w:rsid w:val="00A21BD3"/>
    <w:rsid w:val="00A22CF6"/>
    <w:rsid w:val="00A240F0"/>
    <w:rsid w:val="00A24C16"/>
    <w:rsid w:val="00A25132"/>
    <w:rsid w:val="00A26D47"/>
    <w:rsid w:val="00A26F75"/>
    <w:rsid w:val="00A27AEC"/>
    <w:rsid w:val="00A30033"/>
    <w:rsid w:val="00A3052C"/>
    <w:rsid w:val="00A3100E"/>
    <w:rsid w:val="00A33762"/>
    <w:rsid w:val="00A35248"/>
    <w:rsid w:val="00A35D16"/>
    <w:rsid w:val="00A4020B"/>
    <w:rsid w:val="00A415F1"/>
    <w:rsid w:val="00A4195E"/>
    <w:rsid w:val="00A42BE7"/>
    <w:rsid w:val="00A43C59"/>
    <w:rsid w:val="00A45B28"/>
    <w:rsid w:val="00A46475"/>
    <w:rsid w:val="00A46C30"/>
    <w:rsid w:val="00A46D88"/>
    <w:rsid w:val="00A50882"/>
    <w:rsid w:val="00A5097F"/>
    <w:rsid w:val="00A50ECD"/>
    <w:rsid w:val="00A52729"/>
    <w:rsid w:val="00A53675"/>
    <w:rsid w:val="00A541B8"/>
    <w:rsid w:val="00A56B6A"/>
    <w:rsid w:val="00A576B1"/>
    <w:rsid w:val="00A578DC"/>
    <w:rsid w:val="00A61054"/>
    <w:rsid w:val="00A6139F"/>
    <w:rsid w:val="00A6203A"/>
    <w:rsid w:val="00A6406A"/>
    <w:rsid w:val="00A65016"/>
    <w:rsid w:val="00A65D77"/>
    <w:rsid w:val="00A6725B"/>
    <w:rsid w:val="00A72E2A"/>
    <w:rsid w:val="00A74019"/>
    <w:rsid w:val="00A743DD"/>
    <w:rsid w:val="00A746A5"/>
    <w:rsid w:val="00A74A0D"/>
    <w:rsid w:val="00A74DE6"/>
    <w:rsid w:val="00A80E32"/>
    <w:rsid w:val="00A81FA8"/>
    <w:rsid w:val="00A82D96"/>
    <w:rsid w:val="00A842AD"/>
    <w:rsid w:val="00A84690"/>
    <w:rsid w:val="00A85558"/>
    <w:rsid w:val="00A858F8"/>
    <w:rsid w:val="00A85FA8"/>
    <w:rsid w:val="00A86E8B"/>
    <w:rsid w:val="00A90525"/>
    <w:rsid w:val="00A907F1"/>
    <w:rsid w:val="00A9119B"/>
    <w:rsid w:val="00A915B9"/>
    <w:rsid w:val="00A92D2D"/>
    <w:rsid w:val="00A93072"/>
    <w:rsid w:val="00A938A3"/>
    <w:rsid w:val="00A939A8"/>
    <w:rsid w:val="00A93F15"/>
    <w:rsid w:val="00A950CD"/>
    <w:rsid w:val="00A956F4"/>
    <w:rsid w:val="00A959D8"/>
    <w:rsid w:val="00A95CB8"/>
    <w:rsid w:val="00A971DD"/>
    <w:rsid w:val="00A9786A"/>
    <w:rsid w:val="00AA0033"/>
    <w:rsid w:val="00AA0B00"/>
    <w:rsid w:val="00AA0BAC"/>
    <w:rsid w:val="00AA0CBD"/>
    <w:rsid w:val="00AA2143"/>
    <w:rsid w:val="00AA22EC"/>
    <w:rsid w:val="00AA479A"/>
    <w:rsid w:val="00AA5819"/>
    <w:rsid w:val="00AA5C26"/>
    <w:rsid w:val="00AA67CD"/>
    <w:rsid w:val="00AA68AE"/>
    <w:rsid w:val="00AA7563"/>
    <w:rsid w:val="00AB042A"/>
    <w:rsid w:val="00AB1632"/>
    <w:rsid w:val="00AB1B32"/>
    <w:rsid w:val="00AB2D34"/>
    <w:rsid w:val="00AB2FE9"/>
    <w:rsid w:val="00AB31A6"/>
    <w:rsid w:val="00AB3430"/>
    <w:rsid w:val="00AB4310"/>
    <w:rsid w:val="00AB661E"/>
    <w:rsid w:val="00AB6B8A"/>
    <w:rsid w:val="00AB7CFA"/>
    <w:rsid w:val="00AC020E"/>
    <w:rsid w:val="00AC0753"/>
    <w:rsid w:val="00AC17D5"/>
    <w:rsid w:val="00AC1E34"/>
    <w:rsid w:val="00AC2848"/>
    <w:rsid w:val="00AC37EC"/>
    <w:rsid w:val="00AC453A"/>
    <w:rsid w:val="00AC61EA"/>
    <w:rsid w:val="00AC61F8"/>
    <w:rsid w:val="00AC64B8"/>
    <w:rsid w:val="00AC69B6"/>
    <w:rsid w:val="00AC7246"/>
    <w:rsid w:val="00AD09F7"/>
    <w:rsid w:val="00AD307C"/>
    <w:rsid w:val="00AD31A6"/>
    <w:rsid w:val="00AD3766"/>
    <w:rsid w:val="00AD393C"/>
    <w:rsid w:val="00AD4D68"/>
    <w:rsid w:val="00AD4F82"/>
    <w:rsid w:val="00AD5D9E"/>
    <w:rsid w:val="00AD6AC9"/>
    <w:rsid w:val="00AD72C8"/>
    <w:rsid w:val="00AD736C"/>
    <w:rsid w:val="00AE13EB"/>
    <w:rsid w:val="00AE1E28"/>
    <w:rsid w:val="00AE200B"/>
    <w:rsid w:val="00AE31F9"/>
    <w:rsid w:val="00AE47BD"/>
    <w:rsid w:val="00AE4A2D"/>
    <w:rsid w:val="00AE50D4"/>
    <w:rsid w:val="00AE6D61"/>
    <w:rsid w:val="00AF052C"/>
    <w:rsid w:val="00AF1872"/>
    <w:rsid w:val="00AF2471"/>
    <w:rsid w:val="00AF5A4C"/>
    <w:rsid w:val="00AF6C81"/>
    <w:rsid w:val="00AF789D"/>
    <w:rsid w:val="00AF7992"/>
    <w:rsid w:val="00B0198B"/>
    <w:rsid w:val="00B036F6"/>
    <w:rsid w:val="00B052F8"/>
    <w:rsid w:val="00B06303"/>
    <w:rsid w:val="00B068F9"/>
    <w:rsid w:val="00B07743"/>
    <w:rsid w:val="00B07BF6"/>
    <w:rsid w:val="00B07C3D"/>
    <w:rsid w:val="00B117E0"/>
    <w:rsid w:val="00B12EC5"/>
    <w:rsid w:val="00B135DB"/>
    <w:rsid w:val="00B13CCE"/>
    <w:rsid w:val="00B145BA"/>
    <w:rsid w:val="00B14CE7"/>
    <w:rsid w:val="00B20634"/>
    <w:rsid w:val="00B20A95"/>
    <w:rsid w:val="00B20DE0"/>
    <w:rsid w:val="00B239EC"/>
    <w:rsid w:val="00B2468A"/>
    <w:rsid w:val="00B24830"/>
    <w:rsid w:val="00B253F1"/>
    <w:rsid w:val="00B25504"/>
    <w:rsid w:val="00B255CB"/>
    <w:rsid w:val="00B26EE2"/>
    <w:rsid w:val="00B30EC8"/>
    <w:rsid w:val="00B31604"/>
    <w:rsid w:val="00B32AD6"/>
    <w:rsid w:val="00B35458"/>
    <w:rsid w:val="00B36EC0"/>
    <w:rsid w:val="00B37214"/>
    <w:rsid w:val="00B406E2"/>
    <w:rsid w:val="00B41229"/>
    <w:rsid w:val="00B4183F"/>
    <w:rsid w:val="00B4198D"/>
    <w:rsid w:val="00B42851"/>
    <w:rsid w:val="00B42D41"/>
    <w:rsid w:val="00B42F96"/>
    <w:rsid w:val="00B42FFC"/>
    <w:rsid w:val="00B43211"/>
    <w:rsid w:val="00B43216"/>
    <w:rsid w:val="00B450DD"/>
    <w:rsid w:val="00B452EF"/>
    <w:rsid w:val="00B4682A"/>
    <w:rsid w:val="00B46879"/>
    <w:rsid w:val="00B47D88"/>
    <w:rsid w:val="00B505E6"/>
    <w:rsid w:val="00B50DB8"/>
    <w:rsid w:val="00B52B7F"/>
    <w:rsid w:val="00B53905"/>
    <w:rsid w:val="00B53D0F"/>
    <w:rsid w:val="00B54703"/>
    <w:rsid w:val="00B54B5B"/>
    <w:rsid w:val="00B54CA6"/>
    <w:rsid w:val="00B5562E"/>
    <w:rsid w:val="00B57000"/>
    <w:rsid w:val="00B57A79"/>
    <w:rsid w:val="00B6045E"/>
    <w:rsid w:val="00B60820"/>
    <w:rsid w:val="00B60939"/>
    <w:rsid w:val="00B60AFD"/>
    <w:rsid w:val="00B61198"/>
    <w:rsid w:val="00B62715"/>
    <w:rsid w:val="00B62CFD"/>
    <w:rsid w:val="00B631CC"/>
    <w:rsid w:val="00B6471D"/>
    <w:rsid w:val="00B668B3"/>
    <w:rsid w:val="00B72569"/>
    <w:rsid w:val="00B73317"/>
    <w:rsid w:val="00B7374B"/>
    <w:rsid w:val="00B74CB4"/>
    <w:rsid w:val="00B7565C"/>
    <w:rsid w:val="00B759D3"/>
    <w:rsid w:val="00B769F0"/>
    <w:rsid w:val="00B77E70"/>
    <w:rsid w:val="00B77FFC"/>
    <w:rsid w:val="00B80506"/>
    <w:rsid w:val="00B818A4"/>
    <w:rsid w:val="00B83B0E"/>
    <w:rsid w:val="00B8438D"/>
    <w:rsid w:val="00B84B97"/>
    <w:rsid w:val="00B85362"/>
    <w:rsid w:val="00B85CDF"/>
    <w:rsid w:val="00B85D88"/>
    <w:rsid w:val="00B85DF7"/>
    <w:rsid w:val="00B8649C"/>
    <w:rsid w:val="00B867F0"/>
    <w:rsid w:val="00B87941"/>
    <w:rsid w:val="00B906ED"/>
    <w:rsid w:val="00B924F0"/>
    <w:rsid w:val="00B92D0B"/>
    <w:rsid w:val="00B94558"/>
    <w:rsid w:val="00B94945"/>
    <w:rsid w:val="00B952E7"/>
    <w:rsid w:val="00B9605D"/>
    <w:rsid w:val="00B9749F"/>
    <w:rsid w:val="00BA05FB"/>
    <w:rsid w:val="00BA1125"/>
    <w:rsid w:val="00BA1DF0"/>
    <w:rsid w:val="00BA28F8"/>
    <w:rsid w:val="00BA38E6"/>
    <w:rsid w:val="00BA496C"/>
    <w:rsid w:val="00BA7DEA"/>
    <w:rsid w:val="00BB2C1F"/>
    <w:rsid w:val="00BB2EBA"/>
    <w:rsid w:val="00BB586F"/>
    <w:rsid w:val="00BB6C6B"/>
    <w:rsid w:val="00BB7405"/>
    <w:rsid w:val="00BB7CA0"/>
    <w:rsid w:val="00BC14D8"/>
    <w:rsid w:val="00BC3BC9"/>
    <w:rsid w:val="00BC5311"/>
    <w:rsid w:val="00BC6436"/>
    <w:rsid w:val="00BD0838"/>
    <w:rsid w:val="00BD0A9C"/>
    <w:rsid w:val="00BD1228"/>
    <w:rsid w:val="00BD131F"/>
    <w:rsid w:val="00BD2FCC"/>
    <w:rsid w:val="00BD5661"/>
    <w:rsid w:val="00BD5BA5"/>
    <w:rsid w:val="00BD6149"/>
    <w:rsid w:val="00BD6CF3"/>
    <w:rsid w:val="00BD7D1E"/>
    <w:rsid w:val="00BE03CA"/>
    <w:rsid w:val="00BE2180"/>
    <w:rsid w:val="00BE339D"/>
    <w:rsid w:val="00BE3B04"/>
    <w:rsid w:val="00BE4275"/>
    <w:rsid w:val="00BE6160"/>
    <w:rsid w:val="00BE6AAE"/>
    <w:rsid w:val="00BF0328"/>
    <w:rsid w:val="00BF0E3C"/>
    <w:rsid w:val="00BF1550"/>
    <w:rsid w:val="00BF2207"/>
    <w:rsid w:val="00BF2433"/>
    <w:rsid w:val="00BF2565"/>
    <w:rsid w:val="00BF31A7"/>
    <w:rsid w:val="00BF3539"/>
    <w:rsid w:val="00BF3B36"/>
    <w:rsid w:val="00BF3B8D"/>
    <w:rsid w:val="00BF3F4B"/>
    <w:rsid w:val="00BF4E21"/>
    <w:rsid w:val="00BF55B1"/>
    <w:rsid w:val="00BF5A94"/>
    <w:rsid w:val="00BF5DDB"/>
    <w:rsid w:val="00BF6055"/>
    <w:rsid w:val="00BF61C9"/>
    <w:rsid w:val="00BF750C"/>
    <w:rsid w:val="00BF7E46"/>
    <w:rsid w:val="00BF7EED"/>
    <w:rsid w:val="00C001CB"/>
    <w:rsid w:val="00C0102C"/>
    <w:rsid w:val="00C03156"/>
    <w:rsid w:val="00C03371"/>
    <w:rsid w:val="00C039DB"/>
    <w:rsid w:val="00C03B37"/>
    <w:rsid w:val="00C04ADE"/>
    <w:rsid w:val="00C05E56"/>
    <w:rsid w:val="00C076EB"/>
    <w:rsid w:val="00C0791A"/>
    <w:rsid w:val="00C07D64"/>
    <w:rsid w:val="00C101DF"/>
    <w:rsid w:val="00C105CC"/>
    <w:rsid w:val="00C118F4"/>
    <w:rsid w:val="00C13058"/>
    <w:rsid w:val="00C13840"/>
    <w:rsid w:val="00C13F08"/>
    <w:rsid w:val="00C154B3"/>
    <w:rsid w:val="00C169EB"/>
    <w:rsid w:val="00C17E2D"/>
    <w:rsid w:val="00C20C35"/>
    <w:rsid w:val="00C20E71"/>
    <w:rsid w:val="00C214B0"/>
    <w:rsid w:val="00C21ACE"/>
    <w:rsid w:val="00C22320"/>
    <w:rsid w:val="00C225A4"/>
    <w:rsid w:val="00C249B1"/>
    <w:rsid w:val="00C252DF"/>
    <w:rsid w:val="00C253F0"/>
    <w:rsid w:val="00C25418"/>
    <w:rsid w:val="00C25D9C"/>
    <w:rsid w:val="00C25E75"/>
    <w:rsid w:val="00C27085"/>
    <w:rsid w:val="00C312CA"/>
    <w:rsid w:val="00C31559"/>
    <w:rsid w:val="00C31649"/>
    <w:rsid w:val="00C31682"/>
    <w:rsid w:val="00C31B1A"/>
    <w:rsid w:val="00C32869"/>
    <w:rsid w:val="00C344DD"/>
    <w:rsid w:val="00C35E86"/>
    <w:rsid w:val="00C36783"/>
    <w:rsid w:val="00C367AF"/>
    <w:rsid w:val="00C36FF4"/>
    <w:rsid w:val="00C3740B"/>
    <w:rsid w:val="00C40385"/>
    <w:rsid w:val="00C417E5"/>
    <w:rsid w:val="00C42872"/>
    <w:rsid w:val="00C42B29"/>
    <w:rsid w:val="00C42D29"/>
    <w:rsid w:val="00C42E9F"/>
    <w:rsid w:val="00C42FAE"/>
    <w:rsid w:val="00C43193"/>
    <w:rsid w:val="00C434DC"/>
    <w:rsid w:val="00C44742"/>
    <w:rsid w:val="00C44DC0"/>
    <w:rsid w:val="00C467A8"/>
    <w:rsid w:val="00C470EA"/>
    <w:rsid w:val="00C4789B"/>
    <w:rsid w:val="00C478D6"/>
    <w:rsid w:val="00C47D3A"/>
    <w:rsid w:val="00C501E7"/>
    <w:rsid w:val="00C5162C"/>
    <w:rsid w:val="00C545D5"/>
    <w:rsid w:val="00C5550E"/>
    <w:rsid w:val="00C55A09"/>
    <w:rsid w:val="00C55A59"/>
    <w:rsid w:val="00C56804"/>
    <w:rsid w:val="00C575AF"/>
    <w:rsid w:val="00C57776"/>
    <w:rsid w:val="00C60A5A"/>
    <w:rsid w:val="00C60EAC"/>
    <w:rsid w:val="00C62412"/>
    <w:rsid w:val="00C62C81"/>
    <w:rsid w:val="00C62DC3"/>
    <w:rsid w:val="00C63CF1"/>
    <w:rsid w:val="00C642A5"/>
    <w:rsid w:val="00C64504"/>
    <w:rsid w:val="00C64BE2"/>
    <w:rsid w:val="00C65537"/>
    <w:rsid w:val="00C65576"/>
    <w:rsid w:val="00C66165"/>
    <w:rsid w:val="00C6620A"/>
    <w:rsid w:val="00C7098C"/>
    <w:rsid w:val="00C73725"/>
    <w:rsid w:val="00C7375D"/>
    <w:rsid w:val="00C750C8"/>
    <w:rsid w:val="00C75267"/>
    <w:rsid w:val="00C76825"/>
    <w:rsid w:val="00C77DC4"/>
    <w:rsid w:val="00C80F41"/>
    <w:rsid w:val="00C811C3"/>
    <w:rsid w:val="00C81294"/>
    <w:rsid w:val="00C81911"/>
    <w:rsid w:val="00C8213F"/>
    <w:rsid w:val="00C82E24"/>
    <w:rsid w:val="00C83513"/>
    <w:rsid w:val="00C836E3"/>
    <w:rsid w:val="00C83D31"/>
    <w:rsid w:val="00C8654A"/>
    <w:rsid w:val="00C8797A"/>
    <w:rsid w:val="00C913DB"/>
    <w:rsid w:val="00C91C62"/>
    <w:rsid w:val="00C928F4"/>
    <w:rsid w:val="00C938CF"/>
    <w:rsid w:val="00C94054"/>
    <w:rsid w:val="00C94794"/>
    <w:rsid w:val="00C964BC"/>
    <w:rsid w:val="00C97BDF"/>
    <w:rsid w:val="00CA1A4B"/>
    <w:rsid w:val="00CA2299"/>
    <w:rsid w:val="00CA2792"/>
    <w:rsid w:val="00CA2AD7"/>
    <w:rsid w:val="00CA3318"/>
    <w:rsid w:val="00CA5245"/>
    <w:rsid w:val="00CA7B09"/>
    <w:rsid w:val="00CB03EB"/>
    <w:rsid w:val="00CB0EC8"/>
    <w:rsid w:val="00CB1289"/>
    <w:rsid w:val="00CB1CF0"/>
    <w:rsid w:val="00CB4649"/>
    <w:rsid w:val="00CB4819"/>
    <w:rsid w:val="00CB4B31"/>
    <w:rsid w:val="00CB5B1A"/>
    <w:rsid w:val="00CB5E6C"/>
    <w:rsid w:val="00CB7AF9"/>
    <w:rsid w:val="00CC064B"/>
    <w:rsid w:val="00CC4723"/>
    <w:rsid w:val="00CC4E5A"/>
    <w:rsid w:val="00CC6E49"/>
    <w:rsid w:val="00CD01E4"/>
    <w:rsid w:val="00CD1A60"/>
    <w:rsid w:val="00CD22B6"/>
    <w:rsid w:val="00CD4880"/>
    <w:rsid w:val="00CD4971"/>
    <w:rsid w:val="00CD51F7"/>
    <w:rsid w:val="00CD5365"/>
    <w:rsid w:val="00CD557E"/>
    <w:rsid w:val="00CD6ADC"/>
    <w:rsid w:val="00CD7602"/>
    <w:rsid w:val="00CE2418"/>
    <w:rsid w:val="00CE294F"/>
    <w:rsid w:val="00CE37D5"/>
    <w:rsid w:val="00CE3D78"/>
    <w:rsid w:val="00CE4188"/>
    <w:rsid w:val="00CE536C"/>
    <w:rsid w:val="00CE5F45"/>
    <w:rsid w:val="00CE6274"/>
    <w:rsid w:val="00CE660E"/>
    <w:rsid w:val="00CE794B"/>
    <w:rsid w:val="00CE7C45"/>
    <w:rsid w:val="00CF2EDE"/>
    <w:rsid w:val="00CF456B"/>
    <w:rsid w:val="00CF5A22"/>
    <w:rsid w:val="00CF5A55"/>
    <w:rsid w:val="00CF6A81"/>
    <w:rsid w:val="00CF76CF"/>
    <w:rsid w:val="00D0262E"/>
    <w:rsid w:val="00D032E5"/>
    <w:rsid w:val="00D0354A"/>
    <w:rsid w:val="00D06653"/>
    <w:rsid w:val="00D06ED8"/>
    <w:rsid w:val="00D077E2"/>
    <w:rsid w:val="00D109CC"/>
    <w:rsid w:val="00D110BD"/>
    <w:rsid w:val="00D1386F"/>
    <w:rsid w:val="00D14138"/>
    <w:rsid w:val="00D1567B"/>
    <w:rsid w:val="00D16EC9"/>
    <w:rsid w:val="00D179C1"/>
    <w:rsid w:val="00D17D6C"/>
    <w:rsid w:val="00D228AF"/>
    <w:rsid w:val="00D22DA3"/>
    <w:rsid w:val="00D247DB"/>
    <w:rsid w:val="00D2543B"/>
    <w:rsid w:val="00D25516"/>
    <w:rsid w:val="00D25D18"/>
    <w:rsid w:val="00D326BE"/>
    <w:rsid w:val="00D33D0B"/>
    <w:rsid w:val="00D34B75"/>
    <w:rsid w:val="00D34BAD"/>
    <w:rsid w:val="00D357FF"/>
    <w:rsid w:val="00D3624D"/>
    <w:rsid w:val="00D36743"/>
    <w:rsid w:val="00D40378"/>
    <w:rsid w:val="00D411A4"/>
    <w:rsid w:val="00D41FF9"/>
    <w:rsid w:val="00D42008"/>
    <w:rsid w:val="00D422B9"/>
    <w:rsid w:val="00D44661"/>
    <w:rsid w:val="00D45601"/>
    <w:rsid w:val="00D45E05"/>
    <w:rsid w:val="00D465FE"/>
    <w:rsid w:val="00D46719"/>
    <w:rsid w:val="00D5114E"/>
    <w:rsid w:val="00D51BFA"/>
    <w:rsid w:val="00D51FB2"/>
    <w:rsid w:val="00D5204C"/>
    <w:rsid w:val="00D523D6"/>
    <w:rsid w:val="00D55D95"/>
    <w:rsid w:val="00D56FEC"/>
    <w:rsid w:val="00D602D3"/>
    <w:rsid w:val="00D60521"/>
    <w:rsid w:val="00D6082B"/>
    <w:rsid w:val="00D61B8B"/>
    <w:rsid w:val="00D61E06"/>
    <w:rsid w:val="00D62253"/>
    <w:rsid w:val="00D62BE5"/>
    <w:rsid w:val="00D6370A"/>
    <w:rsid w:val="00D639EA"/>
    <w:rsid w:val="00D647F0"/>
    <w:rsid w:val="00D66021"/>
    <w:rsid w:val="00D67DE6"/>
    <w:rsid w:val="00D706AD"/>
    <w:rsid w:val="00D7528A"/>
    <w:rsid w:val="00D766BE"/>
    <w:rsid w:val="00D76A44"/>
    <w:rsid w:val="00D76F5F"/>
    <w:rsid w:val="00D7735A"/>
    <w:rsid w:val="00D77715"/>
    <w:rsid w:val="00D81508"/>
    <w:rsid w:val="00D81CA0"/>
    <w:rsid w:val="00D824EE"/>
    <w:rsid w:val="00D84CC7"/>
    <w:rsid w:val="00D84E64"/>
    <w:rsid w:val="00D8567D"/>
    <w:rsid w:val="00D877BB"/>
    <w:rsid w:val="00D92A13"/>
    <w:rsid w:val="00D92BE5"/>
    <w:rsid w:val="00D92F2C"/>
    <w:rsid w:val="00D93753"/>
    <w:rsid w:val="00D93A20"/>
    <w:rsid w:val="00D94B71"/>
    <w:rsid w:val="00D954E6"/>
    <w:rsid w:val="00D9577B"/>
    <w:rsid w:val="00DA0EA0"/>
    <w:rsid w:val="00DA1782"/>
    <w:rsid w:val="00DA1BF8"/>
    <w:rsid w:val="00DA39B8"/>
    <w:rsid w:val="00DA3F2C"/>
    <w:rsid w:val="00DA3F5D"/>
    <w:rsid w:val="00DA67AB"/>
    <w:rsid w:val="00DA725F"/>
    <w:rsid w:val="00DA77A5"/>
    <w:rsid w:val="00DB0398"/>
    <w:rsid w:val="00DB0FF3"/>
    <w:rsid w:val="00DB4BC4"/>
    <w:rsid w:val="00DB5908"/>
    <w:rsid w:val="00DB6C10"/>
    <w:rsid w:val="00DB6DF9"/>
    <w:rsid w:val="00DC0054"/>
    <w:rsid w:val="00DC0CB5"/>
    <w:rsid w:val="00DC1AD8"/>
    <w:rsid w:val="00DC1B96"/>
    <w:rsid w:val="00DC3F90"/>
    <w:rsid w:val="00DC47E8"/>
    <w:rsid w:val="00DC5501"/>
    <w:rsid w:val="00DC5D05"/>
    <w:rsid w:val="00DC65EF"/>
    <w:rsid w:val="00DC67E2"/>
    <w:rsid w:val="00DD0A37"/>
    <w:rsid w:val="00DD1AA2"/>
    <w:rsid w:val="00DD2C8C"/>
    <w:rsid w:val="00DD3F28"/>
    <w:rsid w:val="00DD4537"/>
    <w:rsid w:val="00DD4E15"/>
    <w:rsid w:val="00DD64DC"/>
    <w:rsid w:val="00DD69D1"/>
    <w:rsid w:val="00DD7BF7"/>
    <w:rsid w:val="00DE1049"/>
    <w:rsid w:val="00DE2398"/>
    <w:rsid w:val="00DE3198"/>
    <w:rsid w:val="00DE4774"/>
    <w:rsid w:val="00DE4FCB"/>
    <w:rsid w:val="00DE7610"/>
    <w:rsid w:val="00DF1C68"/>
    <w:rsid w:val="00DF2149"/>
    <w:rsid w:val="00DF4430"/>
    <w:rsid w:val="00DF5CDF"/>
    <w:rsid w:val="00DF5D2B"/>
    <w:rsid w:val="00DF6E98"/>
    <w:rsid w:val="00E00417"/>
    <w:rsid w:val="00E00D2A"/>
    <w:rsid w:val="00E016EC"/>
    <w:rsid w:val="00E026F1"/>
    <w:rsid w:val="00E03279"/>
    <w:rsid w:val="00E03497"/>
    <w:rsid w:val="00E041F1"/>
    <w:rsid w:val="00E0465B"/>
    <w:rsid w:val="00E046D9"/>
    <w:rsid w:val="00E05624"/>
    <w:rsid w:val="00E05642"/>
    <w:rsid w:val="00E10149"/>
    <w:rsid w:val="00E11624"/>
    <w:rsid w:val="00E128E6"/>
    <w:rsid w:val="00E1339E"/>
    <w:rsid w:val="00E151DE"/>
    <w:rsid w:val="00E15A33"/>
    <w:rsid w:val="00E161E6"/>
    <w:rsid w:val="00E16372"/>
    <w:rsid w:val="00E16C84"/>
    <w:rsid w:val="00E20B98"/>
    <w:rsid w:val="00E20ED6"/>
    <w:rsid w:val="00E21358"/>
    <w:rsid w:val="00E2249B"/>
    <w:rsid w:val="00E22A0D"/>
    <w:rsid w:val="00E23B00"/>
    <w:rsid w:val="00E2771E"/>
    <w:rsid w:val="00E31788"/>
    <w:rsid w:val="00E31CBA"/>
    <w:rsid w:val="00E31F19"/>
    <w:rsid w:val="00E324BA"/>
    <w:rsid w:val="00E32927"/>
    <w:rsid w:val="00E32CEE"/>
    <w:rsid w:val="00E3425C"/>
    <w:rsid w:val="00E35961"/>
    <w:rsid w:val="00E37569"/>
    <w:rsid w:val="00E40A67"/>
    <w:rsid w:val="00E418ED"/>
    <w:rsid w:val="00E41909"/>
    <w:rsid w:val="00E41E30"/>
    <w:rsid w:val="00E42933"/>
    <w:rsid w:val="00E432DE"/>
    <w:rsid w:val="00E43D70"/>
    <w:rsid w:val="00E45B5D"/>
    <w:rsid w:val="00E47A05"/>
    <w:rsid w:val="00E47B2C"/>
    <w:rsid w:val="00E51212"/>
    <w:rsid w:val="00E51560"/>
    <w:rsid w:val="00E51F48"/>
    <w:rsid w:val="00E537D1"/>
    <w:rsid w:val="00E55424"/>
    <w:rsid w:val="00E55BB5"/>
    <w:rsid w:val="00E56C75"/>
    <w:rsid w:val="00E570CB"/>
    <w:rsid w:val="00E60347"/>
    <w:rsid w:val="00E62B71"/>
    <w:rsid w:val="00E642C7"/>
    <w:rsid w:val="00E65E79"/>
    <w:rsid w:val="00E664B4"/>
    <w:rsid w:val="00E66C29"/>
    <w:rsid w:val="00E66F82"/>
    <w:rsid w:val="00E67416"/>
    <w:rsid w:val="00E718B6"/>
    <w:rsid w:val="00E71E93"/>
    <w:rsid w:val="00E73581"/>
    <w:rsid w:val="00E74329"/>
    <w:rsid w:val="00E74C5E"/>
    <w:rsid w:val="00E7529C"/>
    <w:rsid w:val="00E76FE6"/>
    <w:rsid w:val="00E7746D"/>
    <w:rsid w:val="00E7792C"/>
    <w:rsid w:val="00E779D0"/>
    <w:rsid w:val="00E812B5"/>
    <w:rsid w:val="00E81C86"/>
    <w:rsid w:val="00E82FD3"/>
    <w:rsid w:val="00E83BDF"/>
    <w:rsid w:val="00E849E2"/>
    <w:rsid w:val="00E84A39"/>
    <w:rsid w:val="00E85B00"/>
    <w:rsid w:val="00E873BF"/>
    <w:rsid w:val="00E902D5"/>
    <w:rsid w:val="00E90DDD"/>
    <w:rsid w:val="00E90F52"/>
    <w:rsid w:val="00E93810"/>
    <w:rsid w:val="00E93A5E"/>
    <w:rsid w:val="00E9417A"/>
    <w:rsid w:val="00E97104"/>
    <w:rsid w:val="00E97D58"/>
    <w:rsid w:val="00EA2C54"/>
    <w:rsid w:val="00EA3864"/>
    <w:rsid w:val="00EA41FF"/>
    <w:rsid w:val="00EA4B9E"/>
    <w:rsid w:val="00EA5709"/>
    <w:rsid w:val="00EA6530"/>
    <w:rsid w:val="00EB15B6"/>
    <w:rsid w:val="00EB26C1"/>
    <w:rsid w:val="00EB3FE6"/>
    <w:rsid w:val="00EB4916"/>
    <w:rsid w:val="00EB6064"/>
    <w:rsid w:val="00EB60DF"/>
    <w:rsid w:val="00EB7B26"/>
    <w:rsid w:val="00EB7CA6"/>
    <w:rsid w:val="00EC00C9"/>
    <w:rsid w:val="00EC0B01"/>
    <w:rsid w:val="00EC1559"/>
    <w:rsid w:val="00EC3210"/>
    <w:rsid w:val="00EC35DB"/>
    <w:rsid w:val="00EC566E"/>
    <w:rsid w:val="00EC651E"/>
    <w:rsid w:val="00EC74B6"/>
    <w:rsid w:val="00EC7564"/>
    <w:rsid w:val="00EC7C60"/>
    <w:rsid w:val="00ED2A72"/>
    <w:rsid w:val="00ED3303"/>
    <w:rsid w:val="00ED37F9"/>
    <w:rsid w:val="00ED49F6"/>
    <w:rsid w:val="00ED4E8E"/>
    <w:rsid w:val="00ED5A73"/>
    <w:rsid w:val="00ED5E66"/>
    <w:rsid w:val="00ED6BB3"/>
    <w:rsid w:val="00EE07D3"/>
    <w:rsid w:val="00EE095F"/>
    <w:rsid w:val="00EE16AD"/>
    <w:rsid w:val="00EE25D9"/>
    <w:rsid w:val="00EE4A0C"/>
    <w:rsid w:val="00EE522A"/>
    <w:rsid w:val="00EE5698"/>
    <w:rsid w:val="00EF049C"/>
    <w:rsid w:val="00EF05AF"/>
    <w:rsid w:val="00EF272F"/>
    <w:rsid w:val="00EF2A6E"/>
    <w:rsid w:val="00EF33B6"/>
    <w:rsid w:val="00EF4D5D"/>
    <w:rsid w:val="00EF4D67"/>
    <w:rsid w:val="00EF5C3A"/>
    <w:rsid w:val="00EF5EA1"/>
    <w:rsid w:val="00EF79A9"/>
    <w:rsid w:val="00EF7DF0"/>
    <w:rsid w:val="00F01879"/>
    <w:rsid w:val="00F0235F"/>
    <w:rsid w:val="00F027BA"/>
    <w:rsid w:val="00F02F98"/>
    <w:rsid w:val="00F03176"/>
    <w:rsid w:val="00F03271"/>
    <w:rsid w:val="00F04679"/>
    <w:rsid w:val="00F04983"/>
    <w:rsid w:val="00F05CD6"/>
    <w:rsid w:val="00F067A2"/>
    <w:rsid w:val="00F069E6"/>
    <w:rsid w:val="00F06DB8"/>
    <w:rsid w:val="00F07579"/>
    <w:rsid w:val="00F10372"/>
    <w:rsid w:val="00F11813"/>
    <w:rsid w:val="00F11D20"/>
    <w:rsid w:val="00F13169"/>
    <w:rsid w:val="00F13FE3"/>
    <w:rsid w:val="00F1401E"/>
    <w:rsid w:val="00F144E1"/>
    <w:rsid w:val="00F146FB"/>
    <w:rsid w:val="00F14DED"/>
    <w:rsid w:val="00F161D1"/>
    <w:rsid w:val="00F17D54"/>
    <w:rsid w:val="00F2082E"/>
    <w:rsid w:val="00F213FA"/>
    <w:rsid w:val="00F215E6"/>
    <w:rsid w:val="00F21A2E"/>
    <w:rsid w:val="00F2399C"/>
    <w:rsid w:val="00F24216"/>
    <w:rsid w:val="00F24497"/>
    <w:rsid w:val="00F24837"/>
    <w:rsid w:val="00F24C5C"/>
    <w:rsid w:val="00F256AC"/>
    <w:rsid w:val="00F2575F"/>
    <w:rsid w:val="00F306CE"/>
    <w:rsid w:val="00F30DAC"/>
    <w:rsid w:val="00F3256C"/>
    <w:rsid w:val="00F33696"/>
    <w:rsid w:val="00F33707"/>
    <w:rsid w:val="00F33DE9"/>
    <w:rsid w:val="00F349EB"/>
    <w:rsid w:val="00F3547E"/>
    <w:rsid w:val="00F3619A"/>
    <w:rsid w:val="00F36462"/>
    <w:rsid w:val="00F43344"/>
    <w:rsid w:val="00F44874"/>
    <w:rsid w:val="00F46CB6"/>
    <w:rsid w:val="00F51C27"/>
    <w:rsid w:val="00F51FE3"/>
    <w:rsid w:val="00F5322E"/>
    <w:rsid w:val="00F5326C"/>
    <w:rsid w:val="00F5412E"/>
    <w:rsid w:val="00F54CC9"/>
    <w:rsid w:val="00F55B08"/>
    <w:rsid w:val="00F55CCC"/>
    <w:rsid w:val="00F55E73"/>
    <w:rsid w:val="00F60092"/>
    <w:rsid w:val="00F608E9"/>
    <w:rsid w:val="00F6138C"/>
    <w:rsid w:val="00F62034"/>
    <w:rsid w:val="00F62982"/>
    <w:rsid w:val="00F63742"/>
    <w:rsid w:val="00F637A3"/>
    <w:rsid w:val="00F63B46"/>
    <w:rsid w:val="00F64734"/>
    <w:rsid w:val="00F65DAC"/>
    <w:rsid w:val="00F672F5"/>
    <w:rsid w:val="00F701E7"/>
    <w:rsid w:val="00F721F7"/>
    <w:rsid w:val="00F729A7"/>
    <w:rsid w:val="00F7463C"/>
    <w:rsid w:val="00F74756"/>
    <w:rsid w:val="00F76449"/>
    <w:rsid w:val="00F76583"/>
    <w:rsid w:val="00F76CE3"/>
    <w:rsid w:val="00F7723C"/>
    <w:rsid w:val="00F80082"/>
    <w:rsid w:val="00F801A3"/>
    <w:rsid w:val="00F80531"/>
    <w:rsid w:val="00F80C6C"/>
    <w:rsid w:val="00F80E5D"/>
    <w:rsid w:val="00F81D48"/>
    <w:rsid w:val="00F82029"/>
    <w:rsid w:val="00F851CE"/>
    <w:rsid w:val="00F8527F"/>
    <w:rsid w:val="00F85280"/>
    <w:rsid w:val="00F85AB5"/>
    <w:rsid w:val="00F87225"/>
    <w:rsid w:val="00F8742C"/>
    <w:rsid w:val="00F87A0D"/>
    <w:rsid w:val="00F87C9E"/>
    <w:rsid w:val="00F91B19"/>
    <w:rsid w:val="00F92011"/>
    <w:rsid w:val="00F94B8B"/>
    <w:rsid w:val="00F9602D"/>
    <w:rsid w:val="00F96E2F"/>
    <w:rsid w:val="00F9765A"/>
    <w:rsid w:val="00F97A78"/>
    <w:rsid w:val="00FA04AA"/>
    <w:rsid w:val="00FA0B15"/>
    <w:rsid w:val="00FA0B39"/>
    <w:rsid w:val="00FA10F7"/>
    <w:rsid w:val="00FA1812"/>
    <w:rsid w:val="00FA24E7"/>
    <w:rsid w:val="00FA426D"/>
    <w:rsid w:val="00FA4357"/>
    <w:rsid w:val="00FA4D20"/>
    <w:rsid w:val="00FA5891"/>
    <w:rsid w:val="00FA5D6C"/>
    <w:rsid w:val="00FA5F20"/>
    <w:rsid w:val="00FA6DA4"/>
    <w:rsid w:val="00FB0C00"/>
    <w:rsid w:val="00FB2E2F"/>
    <w:rsid w:val="00FB2E6A"/>
    <w:rsid w:val="00FB2FCB"/>
    <w:rsid w:val="00FB4988"/>
    <w:rsid w:val="00FB6ADC"/>
    <w:rsid w:val="00FC0727"/>
    <w:rsid w:val="00FC1074"/>
    <w:rsid w:val="00FC185E"/>
    <w:rsid w:val="00FC1884"/>
    <w:rsid w:val="00FC1ED9"/>
    <w:rsid w:val="00FC2194"/>
    <w:rsid w:val="00FC24AF"/>
    <w:rsid w:val="00FC5373"/>
    <w:rsid w:val="00FC60CC"/>
    <w:rsid w:val="00FC6252"/>
    <w:rsid w:val="00FC66CB"/>
    <w:rsid w:val="00FC7798"/>
    <w:rsid w:val="00FD09FE"/>
    <w:rsid w:val="00FD1365"/>
    <w:rsid w:val="00FD2100"/>
    <w:rsid w:val="00FD446D"/>
    <w:rsid w:val="00FD57BC"/>
    <w:rsid w:val="00FD5A7C"/>
    <w:rsid w:val="00FD6F75"/>
    <w:rsid w:val="00FD728E"/>
    <w:rsid w:val="00FE0E7B"/>
    <w:rsid w:val="00FE2CBF"/>
    <w:rsid w:val="00FE3405"/>
    <w:rsid w:val="00FE3DF6"/>
    <w:rsid w:val="00FE66FF"/>
    <w:rsid w:val="00FE7992"/>
    <w:rsid w:val="00FF04D5"/>
    <w:rsid w:val="00FF0ACE"/>
    <w:rsid w:val="00FF1351"/>
    <w:rsid w:val="00FF22EA"/>
    <w:rsid w:val="00FF25B1"/>
    <w:rsid w:val="00FF27AA"/>
    <w:rsid w:val="00FF3DCF"/>
    <w:rsid w:val="00FF45E6"/>
    <w:rsid w:val="00FF4AF9"/>
    <w:rsid w:val="00FF5AA3"/>
    <w:rsid w:val="00FF5CBE"/>
    <w:rsid w:val="00FF5D15"/>
    <w:rsid w:val="00FF67EE"/>
    <w:rsid w:val="00FF6CA8"/>
    <w:rsid w:val="00FF7E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940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CF2ED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F2ED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Char,Bayer Caption,IB Caption,Medical Caption,- H17"/>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Bayer Caption Char,IB Caption Char,Medical Caption Char,- H17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E1F85"/>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3E31A3"/>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3E31A3"/>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6C2A8C"/>
    <w:pPr>
      <w:numPr>
        <w:numId w:val="7"/>
      </w:numPr>
      <w:ind w:left="357" w:hanging="357"/>
    </w:pPr>
  </w:style>
  <w:style w:type="paragraph" w:customStyle="1" w:styleId="TableCentre">
    <w:name w:val="Table Centre"/>
    <w:basedOn w:val="Table"/>
    <w:qFormat/>
    <w:rsid w:val="00F24497"/>
    <w:pPr>
      <w:jc w:val="center"/>
    </w:pPr>
  </w:style>
  <w:style w:type="character" w:customStyle="1" w:styleId="SmallSuperscript">
    <w:name w:val="Small Superscript"/>
    <w:basedOn w:val="DefaultParagraphFont"/>
    <w:uiPriority w:val="1"/>
    <w:qFormat/>
    <w:rsid w:val="00F24497"/>
    <w:rPr>
      <w:rFonts w:ascii="Candara" w:hAnsi="Candara"/>
      <w:sz w:val="20"/>
      <w:vertAlign w:val="superscript"/>
    </w:rPr>
  </w:style>
  <w:style w:type="character" w:customStyle="1" w:styleId="SmallBold">
    <w:name w:val="Small Bold"/>
    <w:basedOn w:val="DefaultParagraphFont"/>
    <w:uiPriority w:val="4"/>
    <w:qFormat/>
    <w:rsid w:val="00DB6C10"/>
    <w:rPr>
      <w:rFonts w:ascii="Candara" w:hAnsi="Candara"/>
      <w:b/>
      <w:sz w:val="20"/>
      <w:lang w:val="en-AU"/>
    </w:rPr>
  </w:style>
  <w:style w:type="character" w:customStyle="1" w:styleId="Small">
    <w:name w:val="Small"/>
    <w:basedOn w:val="DefaultParagraphFont"/>
    <w:uiPriority w:val="4"/>
    <w:qFormat/>
    <w:rsid w:val="00C62DC3"/>
    <w:rPr>
      <w:rFonts w:ascii="Candara" w:hAnsi="Candara"/>
      <w:sz w:val="20"/>
    </w:rPr>
  </w:style>
  <w:style w:type="paragraph" w:customStyle="1" w:styleId="CaptionFootnote">
    <w:name w:val="Caption Footnote"/>
    <w:basedOn w:val="Caption"/>
    <w:qFormat/>
    <w:rsid w:val="001459F5"/>
    <w:pPr>
      <w:spacing w:after="0"/>
      <w:jc w:val="left"/>
    </w:pPr>
    <w:rPr>
      <w:rFonts w:ascii="Candara" w:eastAsiaTheme="majorEastAsia" w:hAnsi="Candara" w:cstheme="majorBidi"/>
      <w:b w:val="0"/>
      <w:snapToGrid/>
      <w:color w:val="auto"/>
      <w:sz w:val="16"/>
      <w:lang w:bidi="en-US"/>
    </w:rPr>
  </w:style>
  <w:style w:type="character" w:styleId="Strong">
    <w:name w:val="Strong"/>
    <w:basedOn w:val="DefaultParagraphFont"/>
    <w:uiPriority w:val="22"/>
    <w:qFormat/>
    <w:rsid w:val="007D548E"/>
    <w:rPr>
      <w:b/>
      <w:bCs/>
    </w:rPr>
  </w:style>
  <w:style w:type="paragraph" w:customStyle="1" w:styleId="TableRight">
    <w:name w:val="Table Right"/>
    <w:basedOn w:val="Table"/>
    <w:next w:val="Table"/>
    <w:qFormat/>
    <w:rsid w:val="00D51FB2"/>
    <w:pPr>
      <w:jc w:val="right"/>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253F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D14138"/>
    <w:rPr>
      <w:rFonts w:ascii="Arial" w:hAnsi="Arial" w:cs="Arial"/>
      <w:snapToGrid w:val="0"/>
      <w:sz w:val="22"/>
      <w:lang w:eastAsia="en-US"/>
    </w:rPr>
  </w:style>
  <w:style w:type="paragraph" w:customStyle="1" w:styleId="PBACheading10">
    <w:name w:val="PBAC heading 1"/>
    <w:qFormat/>
    <w:rsid w:val="002F726B"/>
    <w:pPr>
      <w:ind w:left="720" w:hanging="720"/>
      <w:outlineLvl w:val="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940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CF2ED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F2ED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Char,Bayer Caption,IB Caption,Medical Caption,- H17"/>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Char Char2,Bayer Caption Char,IB Caption Char,Medical Caption Char,- H17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E1F85"/>
    <w:pPr>
      <w:numPr>
        <w:numId w:val="5"/>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3E31A3"/>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3E31A3"/>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6C2A8C"/>
    <w:pPr>
      <w:numPr>
        <w:numId w:val="7"/>
      </w:numPr>
      <w:ind w:left="357" w:hanging="357"/>
    </w:pPr>
  </w:style>
  <w:style w:type="paragraph" w:customStyle="1" w:styleId="TableCentre">
    <w:name w:val="Table Centre"/>
    <w:basedOn w:val="Table"/>
    <w:qFormat/>
    <w:rsid w:val="00F24497"/>
    <w:pPr>
      <w:jc w:val="center"/>
    </w:pPr>
  </w:style>
  <w:style w:type="character" w:customStyle="1" w:styleId="SmallSuperscript">
    <w:name w:val="Small Superscript"/>
    <w:basedOn w:val="DefaultParagraphFont"/>
    <w:uiPriority w:val="1"/>
    <w:qFormat/>
    <w:rsid w:val="00F24497"/>
    <w:rPr>
      <w:rFonts w:ascii="Candara" w:hAnsi="Candara"/>
      <w:sz w:val="20"/>
      <w:vertAlign w:val="superscript"/>
    </w:rPr>
  </w:style>
  <w:style w:type="character" w:customStyle="1" w:styleId="SmallBold">
    <w:name w:val="Small Bold"/>
    <w:basedOn w:val="DefaultParagraphFont"/>
    <w:uiPriority w:val="4"/>
    <w:qFormat/>
    <w:rsid w:val="00DB6C10"/>
    <w:rPr>
      <w:rFonts w:ascii="Candara" w:hAnsi="Candara"/>
      <w:b/>
      <w:sz w:val="20"/>
      <w:lang w:val="en-AU"/>
    </w:rPr>
  </w:style>
  <w:style w:type="character" w:customStyle="1" w:styleId="Small">
    <w:name w:val="Small"/>
    <w:basedOn w:val="DefaultParagraphFont"/>
    <w:uiPriority w:val="4"/>
    <w:qFormat/>
    <w:rsid w:val="00C62DC3"/>
    <w:rPr>
      <w:rFonts w:ascii="Candara" w:hAnsi="Candara"/>
      <w:sz w:val="20"/>
    </w:rPr>
  </w:style>
  <w:style w:type="paragraph" w:customStyle="1" w:styleId="CaptionFootnote">
    <w:name w:val="Caption Footnote"/>
    <w:basedOn w:val="Caption"/>
    <w:qFormat/>
    <w:rsid w:val="001459F5"/>
    <w:pPr>
      <w:spacing w:after="0"/>
      <w:jc w:val="left"/>
    </w:pPr>
    <w:rPr>
      <w:rFonts w:ascii="Candara" w:eastAsiaTheme="majorEastAsia" w:hAnsi="Candara" w:cstheme="majorBidi"/>
      <w:b w:val="0"/>
      <w:snapToGrid/>
      <w:color w:val="auto"/>
      <w:sz w:val="16"/>
      <w:lang w:bidi="en-US"/>
    </w:rPr>
  </w:style>
  <w:style w:type="character" w:styleId="Strong">
    <w:name w:val="Strong"/>
    <w:basedOn w:val="DefaultParagraphFont"/>
    <w:uiPriority w:val="22"/>
    <w:qFormat/>
    <w:rsid w:val="007D548E"/>
    <w:rPr>
      <w:b/>
      <w:bCs/>
    </w:rPr>
  </w:style>
  <w:style w:type="paragraph" w:customStyle="1" w:styleId="TableRight">
    <w:name w:val="Table Right"/>
    <w:basedOn w:val="Table"/>
    <w:next w:val="Table"/>
    <w:qFormat/>
    <w:rsid w:val="00D51FB2"/>
    <w:pPr>
      <w:jc w:val="right"/>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253F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D14138"/>
    <w:rPr>
      <w:rFonts w:ascii="Arial" w:hAnsi="Arial" w:cs="Arial"/>
      <w:snapToGrid w:val="0"/>
      <w:sz w:val="22"/>
      <w:lang w:eastAsia="en-US"/>
    </w:rPr>
  </w:style>
  <w:style w:type="paragraph" w:customStyle="1" w:styleId="PBACheading10">
    <w:name w:val="PBAC heading 1"/>
    <w:qFormat/>
    <w:rsid w:val="002F726B"/>
    <w:pPr>
      <w:ind w:left="720" w:hanging="720"/>
      <w:outlineLvl w:val="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Leo15</b:Tag>
    <b:SourceType>JournalArticle</b:SourceType>
    <b:Guid>{A1D7CDB5-DD72-40A8-B4CB-7F8C905551E4}</b:Guid>
    <b:Author>
      <b:Author>
        <b:NameList>
          <b:Person>
            <b:Last>Leonardi</b:Last>
            <b:First>C</b:First>
          </b:Person>
          <b:Person>
            <b:Last>Bagel</b:Last>
            <b:First>J</b:First>
          </b:Person>
          <b:Person>
            <b:Last>Yamauchi</b:Last>
            <b:First>P</b:First>
          </b:Person>
          <b:Person>
            <b:Last>Pariser</b:Last>
            <b:First>D</b:First>
          </b:Person>
          <b:Person>
            <b:Last>Xu</b:Last>
            <b:First>Z</b:First>
          </b:Person>
          <b:Person>
            <b:Last>Olesen</b:Last>
            <b:First>M</b:First>
          </b:Person>
          <b:Person>
            <b:Last>Østerdal</b:Last>
            <b:First>ML</b:First>
          </b:Person>
          <b:Person>
            <b:Last>Stein Gold</b:Last>
            <b:First>L.</b:First>
          </b:Person>
        </b:NameList>
      </b:Author>
    </b:Author>
    <b:Title>Efficacy and Safety of Calcipotriene Plus Betamethasone Dipropionate Aerosol Foam in Patients With Psoriasis Vulgaris--a Randomized Phase III Study (PSO-FAST).</b:Title>
    <b:Year>2015</b:Year>
    <b:JournalName>J Drugs Dermatol</b:JournalName>
    <b:Pages>14(12):1468-77.</b:Pages>
    <b:RefOrder>28</b:RefOrder>
  </b:Source>
  <b:Source>
    <b:Tag>Lan11</b:Tag>
    <b:SourceType>JournalArticle</b:SourceType>
    <b:Guid>{5454855C-2286-43CD-8921-6835447A5CA1}</b:Guid>
    <b:Author>
      <b:Author>
        <b:NameList>
          <b:Person>
            <b:Last>Langley</b:Last>
            <b:First>RG</b:First>
          </b:Person>
          <b:Person>
            <b:Last>Gupta</b:Last>
            <b:First>A</b:First>
          </b:Person>
          <b:Person>
            <b:Last>Papp</b:Last>
            <b:First>K</b:First>
          </b:Person>
          <b:Person>
            <b:Last>Wexler</b:Last>
            <b:First>D</b:First>
          </b:Person>
          <b:Person>
            <b:Last>Østerdal</b:Last>
            <b:First>ML</b:First>
          </b:Person>
          <b:Person>
            <b:Last>Curčić</b:Last>
            <b:First>D</b:First>
          </b:Person>
        </b:NameList>
      </b:Author>
    </b:Author>
    <b:Title>Calcipotriol plus betamethasone dipropionate gel compared with tacalcitol ointment and the gel vehicle alone in patients with psoriasis vulgaris: a randomized, controlled clinical trial.</b:Title>
    <b:JournalName>Dermatology</b:JournalName>
    <b:Year>2011</b:Year>
    <b:Pages>222(2):148-56. doi: 10.1159/000323408. Epub 2011 Feb 3.</b:Pages>
    <b:RefOrder>40</b:RefOrder>
  </b:Source>
  <b:Source>
    <b:Tag>Fle10</b:Tag>
    <b:SourceType>JournalArticle</b:SourceType>
    <b:Guid>{12EAFCD4-499F-4C0F-A089-2B61D143B7C3}</b:Guid>
    <b:Author>
      <b:Author>
        <b:NameList>
          <b:Person>
            <b:Last>Fleming</b:Last>
            <b:First>C</b:First>
          </b:Person>
          <b:Person>
            <b:Last>Ganslandt</b:Last>
            <b:First>C</b:First>
          </b:Person>
          <b:Person>
            <b:Last>Guenther</b:Last>
            <b:First>L</b:First>
          </b:Person>
          <b:Person>
            <b:Last>Johannesson</b:Last>
            <b:First>A</b:First>
          </b:Person>
          <b:Person>
            <b:Last>Buckley</b:Last>
            <b:First>C</b:First>
          </b:Person>
          <b:Person>
            <b:Last>Simon</b:Last>
            <b:First>JC</b:First>
          </b:Person>
          <b:Person>
            <b:Last>Stegmann</b:Last>
            <b:First>H</b:First>
          </b:Person>
          <b:Person>
            <b:Last>Vestergaard</b:Last>
            <b:First>Tingleff,</b:First>
            <b:Middle>L</b:Middle>
          </b:Person>
        </b:NameList>
      </b:Author>
    </b:Author>
    <b:Title>Calcipotriol plus betamethasone dipropionate gel compared with its active components in the same vehicle and the vehicle alone in the treatment of psoriasis vulgaris: a randomised, parallel group, double-blind, exploratory study.</b:Title>
    <b:JournalName>Eur J Dermatol</b:JournalName>
    <b:Year>2010</b:Year>
    <b:Pages>20(4):465-71</b:Pages>
    <b:RefOrder>38</b:RefOrder>
  </b:Source>
</b:Sources>
</file>

<file path=customXml/itemProps1.xml><?xml version="1.0" encoding="utf-8"?>
<ds:datastoreItem xmlns:ds="http://schemas.openxmlformats.org/officeDocument/2006/customXml" ds:itemID="{931D4CBE-99C9-4410-B5B8-C5901547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6193</Words>
  <Characters>34347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2017-02-06T04:32:00Z</dcterms:created>
  <dcterms:modified xsi:type="dcterms:W3CDTF">2017-02-20T22:17:00Z</dcterms:modified>
</cp:coreProperties>
</file>