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C3" w:rsidRPr="00C052DD" w:rsidRDefault="00AC2591" w:rsidP="000B4A74">
      <w:pPr>
        <w:pStyle w:val="Heading1"/>
        <w:jc w:val="left"/>
        <w:rPr>
          <w:sz w:val="28"/>
        </w:rPr>
      </w:pPr>
      <w:bookmarkStart w:id="0" w:name="_Toc461200661"/>
      <w:r w:rsidRPr="00C052DD">
        <w:rPr>
          <w:sz w:val="28"/>
        </w:rPr>
        <w:t>5</w:t>
      </w:r>
      <w:r w:rsidR="00B070C3" w:rsidRPr="00C052DD">
        <w:rPr>
          <w:sz w:val="28"/>
        </w:rPr>
        <w:t>.</w:t>
      </w:r>
      <w:r w:rsidRPr="00C052DD">
        <w:rPr>
          <w:sz w:val="28"/>
        </w:rPr>
        <w:t>03</w:t>
      </w:r>
      <w:r w:rsidR="00B070C3" w:rsidRPr="00C052DD">
        <w:rPr>
          <w:sz w:val="28"/>
        </w:rPr>
        <w:tab/>
      </w:r>
      <w:r w:rsidR="00E0107F" w:rsidRPr="00C052DD">
        <w:rPr>
          <w:sz w:val="28"/>
        </w:rPr>
        <w:t>CERITINIB</w:t>
      </w:r>
      <w:r w:rsidR="00B070C3" w:rsidRPr="00C052DD">
        <w:rPr>
          <w:sz w:val="28"/>
        </w:rPr>
        <w:t xml:space="preserve">, </w:t>
      </w:r>
      <w:r w:rsidR="000B4A74" w:rsidRPr="00C052DD">
        <w:rPr>
          <w:sz w:val="28"/>
        </w:rPr>
        <w:br/>
      </w:r>
      <w:r w:rsidR="00616FC6" w:rsidRPr="00C052DD">
        <w:rPr>
          <w:caps w:val="0"/>
          <w:sz w:val="28"/>
        </w:rPr>
        <w:t xml:space="preserve">Capsule </w:t>
      </w:r>
      <w:r w:rsidR="00E0107F" w:rsidRPr="00C052DD">
        <w:rPr>
          <w:sz w:val="28"/>
        </w:rPr>
        <w:t>150</w:t>
      </w:r>
      <w:r w:rsidR="004A5E49">
        <w:rPr>
          <w:sz w:val="28"/>
        </w:rPr>
        <w:t> </w:t>
      </w:r>
      <w:r w:rsidR="00616FC6" w:rsidRPr="00C052DD">
        <w:rPr>
          <w:caps w:val="0"/>
          <w:sz w:val="28"/>
        </w:rPr>
        <w:t>mg</w:t>
      </w:r>
      <w:r w:rsidR="00B070C3" w:rsidRPr="00C052DD">
        <w:rPr>
          <w:sz w:val="28"/>
        </w:rPr>
        <w:t xml:space="preserve">, </w:t>
      </w:r>
      <w:r w:rsidR="000B4A74" w:rsidRPr="00C052DD">
        <w:rPr>
          <w:sz w:val="28"/>
        </w:rPr>
        <w:br/>
      </w:r>
      <w:proofErr w:type="spellStart"/>
      <w:r w:rsidR="00E0107F" w:rsidRPr="00C052DD">
        <w:rPr>
          <w:caps w:val="0"/>
          <w:sz w:val="28"/>
        </w:rPr>
        <w:t>Zykadia</w:t>
      </w:r>
      <w:proofErr w:type="spellEnd"/>
      <w:r w:rsidR="00B070C3" w:rsidRPr="00C052DD">
        <w:rPr>
          <w:sz w:val="28"/>
          <w:vertAlign w:val="superscript"/>
        </w:rPr>
        <w:t>®</w:t>
      </w:r>
      <w:r w:rsidR="00B070C3" w:rsidRPr="00C052DD">
        <w:rPr>
          <w:sz w:val="28"/>
        </w:rPr>
        <w:t xml:space="preserve">, </w:t>
      </w:r>
      <w:r w:rsidR="000B4A74" w:rsidRPr="00C052DD">
        <w:rPr>
          <w:sz w:val="28"/>
        </w:rPr>
        <w:br/>
      </w:r>
      <w:r w:rsidR="00E0107F" w:rsidRPr="00C052DD">
        <w:rPr>
          <w:caps w:val="0"/>
          <w:sz w:val="28"/>
        </w:rPr>
        <w:t>Novartis Pharmaceuticals Australia Pty Ltd</w:t>
      </w:r>
      <w:r w:rsidR="00B070C3" w:rsidRPr="00C052DD">
        <w:rPr>
          <w:sz w:val="28"/>
        </w:rPr>
        <w:t>.</w:t>
      </w:r>
      <w:bookmarkEnd w:id="0"/>
    </w:p>
    <w:p w:rsidR="00B070C3" w:rsidRPr="00C052DD" w:rsidRDefault="00B070C3" w:rsidP="00B070C3"/>
    <w:p w:rsidR="005E70BD" w:rsidRPr="00C052DD" w:rsidRDefault="005E70BD" w:rsidP="00944557"/>
    <w:p w:rsidR="00B070C3" w:rsidRPr="002F20CE" w:rsidRDefault="00B070C3" w:rsidP="002F20CE">
      <w:pPr>
        <w:pStyle w:val="PBACHeading1"/>
        <w:keepNext/>
        <w:numPr>
          <w:ilvl w:val="0"/>
          <w:numId w:val="1"/>
        </w:numPr>
        <w:outlineLvl w:val="0"/>
      </w:pPr>
      <w:bookmarkStart w:id="1" w:name="_Toc461200663"/>
      <w:r w:rsidRPr="002F20CE">
        <w:t>Purpose of Application</w:t>
      </w:r>
      <w:bookmarkEnd w:id="1"/>
    </w:p>
    <w:p w:rsidR="00B070C3" w:rsidRPr="00C052DD" w:rsidRDefault="00B070C3" w:rsidP="00B070C3">
      <w:pPr>
        <w:rPr>
          <w:szCs w:val="22"/>
        </w:rPr>
      </w:pPr>
    </w:p>
    <w:p w:rsidR="00B070C3" w:rsidRPr="00C052DD" w:rsidRDefault="00B070C3" w:rsidP="00F87D21">
      <w:pPr>
        <w:pStyle w:val="ListParagraph"/>
        <w:widowControl/>
        <w:numPr>
          <w:ilvl w:val="1"/>
          <w:numId w:val="1"/>
        </w:numPr>
        <w:rPr>
          <w:szCs w:val="22"/>
        </w:rPr>
      </w:pPr>
      <w:r w:rsidRPr="00C052DD">
        <w:t xml:space="preserve">The submission requested a </w:t>
      </w:r>
      <w:r w:rsidR="007838A9" w:rsidRPr="00C052DD">
        <w:t>G</w:t>
      </w:r>
      <w:r w:rsidR="00944557" w:rsidRPr="00C052DD">
        <w:t xml:space="preserve">eneral </w:t>
      </w:r>
      <w:r w:rsidR="007838A9" w:rsidRPr="00C052DD">
        <w:t>S</w:t>
      </w:r>
      <w:r w:rsidR="00944557" w:rsidRPr="00C052DD">
        <w:t>chedule</w:t>
      </w:r>
      <w:r w:rsidRPr="00C052DD">
        <w:t xml:space="preserve"> Authority Required listing for </w:t>
      </w:r>
      <w:proofErr w:type="spellStart"/>
      <w:r w:rsidRPr="00C052DD">
        <w:t>ceritinib</w:t>
      </w:r>
      <w:proofErr w:type="spellEnd"/>
      <w:r w:rsidRPr="00C052DD">
        <w:t xml:space="preserve"> for the treatment of adult patients with anaplastic lymphoma kinase (</w:t>
      </w:r>
      <w:r w:rsidRPr="002571E8">
        <w:rPr>
          <w:i/>
        </w:rPr>
        <w:t>ALK</w:t>
      </w:r>
      <w:r w:rsidRPr="00C052DD">
        <w:t xml:space="preserve">) positive locally advanced or metastatic non-small cell lung </w:t>
      </w:r>
      <w:proofErr w:type="gramStart"/>
      <w:r w:rsidRPr="00C052DD">
        <w:t>cancer (NSCLC) who have</w:t>
      </w:r>
      <w:proofErr w:type="gramEnd"/>
      <w:r w:rsidRPr="00C052DD">
        <w:t xml:space="preserve"> progressed on a prior ALK inhibitor (</w:t>
      </w:r>
      <w:proofErr w:type="spellStart"/>
      <w:r w:rsidRPr="00C052DD">
        <w:t>ALKi</w:t>
      </w:r>
      <w:proofErr w:type="spellEnd"/>
      <w:r w:rsidRPr="00C052DD">
        <w:t>).</w:t>
      </w:r>
    </w:p>
    <w:p w:rsidR="00B070C3" w:rsidRPr="00C052DD" w:rsidRDefault="00B070C3" w:rsidP="00B070C3"/>
    <w:p w:rsidR="00B070C3" w:rsidRPr="00C052DD" w:rsidRDefault="00B070C3" w:rsidP="00B070C3"/>
    <w:p w:rsidR="00B070C3" w:rsidRPr="00C052DD" w:rsidRDefault="00B070C3" w:rsidP="002F20CE">
      <w:pPr>
        <w:pStyle w:val="PBACHeading1"/>
        <w:keepNext/>
        <w:numPr>
          <w:ilvl w:val="0"/>
          <w:numId w:val="1"/>
        </w:numPr>
        <w:outlineLvl w:val="0"/>
      </w:pPr>
      <w:bookmarkStart w:id="2" w:name="_Toc461200664"/>
      <w:r w:rsidRPr="00C052DD">
        <w:t>Requested listing</w:t>
      </w:r>
      <w:bookmarkEnd w:id="2"/>
    </w:p>
    <w:p w:rsidR="00B070C3" w:rsidRPr="00C052DD" w:rsidRDefault="00B070C3" w:rsidP="00B070C3"/>
    <w:p w:rsidR="007676CA" w:rsidRPr="00C052DD" w:rsidRDefault="00944557" w:rsidP="00F87D21">
      <w:pPr>
        <w:pStyle w:val="ListParagraph"/>
        <w:widowControl/>
        <w:numPr>
          <w:ilvl w:val="1"/>
          <w:numId w:val="1"/>
        </w:numPr>
      </w:pPr>
      <w:r w:rsidRPr="00C052DD">
        <w:t xml:space="preserve">The restriction proposed by the sponsor is provided below. </w:t>
      </w:r>
      <w:r w:rsidR="007738B2" w:rsidRPr="00C052DD">
        <w:t>Suggestions and additions proposed by the Secretariat to the requested listing are added in italics and suggested deletions are crossed out with strikethrough</w:t>
      </w:r>
      <w:r w:rsidR="007676CA" w:rsidRPr="00C052DD">
        <w:t>:</w:t>
      </w:r>
    </w:p>
    <w:p w:rsidR="0064461E" w:rsidRPr="00C052DD" w:rsidRDefault="0064461E" w:rsidP="007738B2">
      <w:pPr>
        <w:widowControl/>
      </w:pPr>
    </w:p>
    <w:tbl>
      <w:tblPr>
        <w:tblW w:w="8363" w:type="dxa"/>
        <w:tblInd w:w="817" w:type="dxa"/>
        <w:tblLayout w:type="fixed"/>
        <w:tblLook w:val="0000" w:firstRow="0" w:lastRow="0" w:firstColumn="0" w:lastColumn="0" w:noHBand="0" w:noVBand="0"/>
      </w:tblPr>
      <w:tblGrid>
        <w:gridCol w:w="2835"/>
        <w:gridCol w:w="851"/>
        <w:gridCol w:w="567"/>
        <w:gridCol w:w="1701"/>
        <w:gridCol w:w="850"/>
        <w:gridCol w:w="1559"/>
      </w:tblGrid>
      <w:tr w:rsidR="0064461E" w:rsidRPr="00C052DD" w:rsidTr="004A5E49">
        <w:trPr>
          <w:cantSplit/>
          <w:trHeight w:val="471"/>
        </w:trPr>
        <w:tc>
          <w:tcPr>
            <w:tcW w:w="2835" w:type="dxa"/>
            <w:tcBorders>
              <w:bottom w:val="single" w:sz="4" w:space="0" w:color="auto"/>
            </w:tcBorders>
          </w:tcPr>
          <w:p w:rsidR="0064461E" w:rsidRPr="00C052DD" w:rsidRDefault="0064461E" w:rsidP="00D67BBC">
            <w:pPr>
              <w:keepNext/>
              <w:ind w:left="-108"/>
              <w:rPr>
                <w:rFonts w:ascii="Arial Narrow" w:hAnsi="Arial Narrow"/>
                <w:sz w:val="20"/>
              </w:rPr>
            </w:pPr>
            <w:r w:rsidRPr="00C052DD">
              <w:rPr>
                <w:rFonts w:ascii="Arial Narrow" w:hAnsi="Arial Narrow"/>
                <w:sz w:val="20"/>
              </w:rPr>
              <w:t>Name, Restriction,</w:t>
            </w:r>
          </w:p>
          <w:p w:rsidR="0064461E" w:rsidRPr="00C052DD" w:rsidRDefault="0064461E" w:rsidP="00D67BBC">
            <w:pPr>
              <w:keepNext/>
              <w:ind w:left="-108"/>
              <w:rPr>
                <w:rFonts w:ascii="Arial Narrow" w:hAnsi="Arial Narrow"/>
                <w:sz w:val="20"/>
              </w:rPr>
            </w:pPr>
            <w:r w:rsidRPr="00C052DD">
              <w:rPr>
                <w:rFonts w:ascii="Arial Narrow" w:hAnsi="Arial Narrow"/>
                <w:sz w:val="20"/>
              </w:rPr>
              <w:t>Manner of administration and form</w:t>
            </w:r>
          </w:p>
        </w:tc>
        <w:tc>
          <w:tcPr>
            <w:tcW w:w="851" w:type="dxa"/>
            <w:tcBorders>
              <w:bottom w:val="single" w:sz="4" w:space="0" w:color="auto"/>
            </w:tcBorders>
          </w:tcPr>
          <w:p w:rsidR="0064461E" w:rsidRPr="00C052DD" w:rsidRDefault="0064461E" w:rsidP="00D67BBC">
            <w:pPr>
              <w:keepNext/>
              <w:ind w:left="-108"/>
              <w:rPr>
                <w:rFonts w:ascii="Arial Narrow" w:hAnsi="Arial Narrow"/>
                <w:sz w:val="20"/>
              </w:rPr>
            </w:pPr>
            <w:r w:rsidRPr="00C052DD">
              <w:rPr>
                <w:rFonts w:ascii="Arial Narrow" w:hAnsi="Arial Narrow"/>
                <w:sz w:val="20"/>
              </w:rPr>
              <w:t>Max.</w:t>
            </w:r>
          </w:p>
          <w:p w:rsidR="0064461E" w:rsidRPr="00C052DD" w:rsidRDefault="0064461E" w:rsidP="00D67BBC">
            <w:pPr>
              <w:keepNext/>
              <w:ind w:left="-108"/>
              <w:rPr>
                <w:rFonts w:ascii="Arial Narrow" w:hAnsi="Arial Narrow"/>
                <w:sz w:val="20"/>
              </w:rPr>
            </w:pPr>
            <w:proofErr w:type="spellStart"/>
            <w:r w:rsidRPr="00C052DD">
              <w:rPr>
                <w:rFonts w:ascii="Arial Narrow" w:hAnsi="Arial Narrow"/>
                <w:sz w:val="20"/>
              </w:rPr>
              <w:t>Qty</w:t>
            </w:r>
            <w:proofErr w:type="spellEnd"/>
            <w:r w:rsidRPr="00C052DD">
              <w:rPr>
                <w:rFonts w:ascii="Arial Narrow" w:hAnsi="Arial Narrow"/>
                <w:sz w:val="20"/>
              </w:rPr>
              <w:t xml:space="preserve"> Units</w:t>
            </w:r>
          </w:p>
        </w:tc>
        <w:tc>
          <w:tcPr>
            <w:tcW w:w="567" w:type="dxa"/>
            <w:tcBorders>
              <w:bottom w:val="single" w:sz="4" w:space="0" w:color="auto"/>
            </w:tcBorders>
          </w:tcPr>
          <w:p w:rsidR="0064461E" w:rsidRPr="00C052DD" w:rsidRDefault="0064461E" w:rsidP="00D67BBC">
            <w:pPr>
              <w:keepNext/>
              <w:ind w:left="-108"/>
              <w:rPr>
                <w:rFonts w:ascii="Arial Narrow" w:hAnsi="Arial Narrow"/>
                <w:sz w:val="20"/>
              </w:rPr>
            </w:pPr>
            <w:r w:rsidRPr="00C052DD">
              <w:rPr>
                <w:rFonts w:ascii="Arial Narrow" w:hAnsi="Arial Narrow"/>
                <w:sz w:val="20"/>
              </w:rPr>
              <w:t>№.of</w:t>
            </w:r>
          </w:p>
          <w:p w:rsidR="0064461E" w:rsidRPr="00C052DD" w:rsidRDefault="0064461E" w:rsidP="00D67BBC">
            <w:pPr>
              <w:keepNext/>
              <w:ind w:left="-108"/>
              <w:rPr>
                <w:rFonts w:ascii="Arial Narrow" w:hAnsi="Arial Narrow"/>
                <w:sz w:val="20"/>
              </w:rPr>
            </w:pPr>
            <w:proofErr w:type="spellStart"/>
            <w:r w:rsidRPr="00C052DD">
              <w:rPr>
                <w:rFonts w:ascii="Arial Narrow" w:hAnsi="Arial Narrow"/>
                <w:sz w:val="20"/>
              </w:rPr>
              <w:t>Rpts</w:t>
            </w:r>
            <w:proofErr w:type="spellEnd"/>
          </w:p>
        </w:tc>
        <w:tc>
          <w:tcPr>
            <w:tcW w:w="1701" w:type="dxa"/>
            <w:tcBorders>
              <w:bottom w:val="single" w:sz="4" w:space="0" w:color="auto"/>
            </w:tcBorders>
          </w:tcPr>
          <w:p w:rsidR="0064461E" w:rsidRPr="00C052DD" w:rsidRDefault="0064461E" w:rsidP="00D67BBC">
            <w:pPr>
              <w:keepNext/>
              <w:ind w:left="-108"/>
              <w:rPr>
                <w:rFonts w:ascii="Arial Narrow" w:hAnsi="Arial Narrow"/>
                <w:sz w:val="20"/>
              </w:rPr>
            </w:pPr>
            <w:r w:rsidRPr="00C052DD">
              <w:rPr>
                <w:rFonts w:ascii="Arial Narrow" w:hAnsi="Arial Narrow"/>
                <w:sz w:val="20"/>
              </w:rPr>
              <w:t xml:space="preserve">Dispensed Price for Max. </w:t>
            </w:r>
            <w:proofErr w:type="spellStart"/>
            <w:r w:rsidRPr="00C052DD">
              <w:rPr>
                <w:rFonts w:ascii="Arial Narrow" w:hAnsi="Arial Narrow"/>
                <w:sz w:val="20"/>
              </w:rPr>
              <w:t>Qty</w:t>
            </w:r>
            <w:proofErr w:type="spellEnd"/>
          </w:p>
        </w:tc>
        <w:tc>
          <w:tcPr>
            <w:tcW w:w="2409" w:type="dxa"/>
            <w:gridSpan w:val="2"/>
            <w:tcBorders>
              <w:bottom w:val="single" w:sz="4" w:space="0" w:color="auto"/>
            </w:tcBorders>
          </w:tcPr>
          <w:p w:rsidR="0064461E" w:rsidRPr="00C052DD" w:rsidRDefault="0064461E" w:rsidP="00D67BBC">
            <w:pPr>
              <w:keepNext/>
              <w:rPr>
                <w:rFonts w:ascii="Arial Narrow" w:hAnsi="Arial Narrow"/>
                <w:sz w:val="20"/>
              </w:rPr>
            </w:pPr>
            <w:r w:rsidRPr="00C052DD">
              <w:rPr>
                <w:rFonts w:ascii="Arial Narrow" w:hAnsi="Arial Narrow"/>
                <w:sz w:val="20"/>
              </w:rPr>
              <w:t>Proprietary Name and Manufacturer</w:t>
            </w:r>
          </w:p>
        </w:tc>
      </w:tr>
      <w:tr w:rsidR="0064461E" w:rsidRPr="00C052DD" w:rsidTr="004A5E49">
        <w:trPr>
          <w:cantSplit/>
          <w:trHeight w:val="577"/>
        </w:trPr>
        <w:tc>
          <w:tcPr>
            <w:tcW w:w="2835" w:type="dxa"/>
          </w:tcPr>
          <w:p w:rsidR="0064461E" w:rsidRPr="00C052DD" w:rsidRDefault="0064461E" w:rsidP="00D67BBC">
            <w:pPr>
              <w:keepNext/>
              <w:ind w:left="-108"/>
              <w:rPr>
                <w:rFonts w:ascii="Arial Narrow" w:hAnsi="Arial Narrow"/>
                <w:sz w:val="20"/>
              </w:rPr>
            </w:pPr>
            <w:r w:rsidRPr="00C052DD">
              <w:rPr>
                <w:rFonts w:ascii="Arial Narrow" w:hAnsi="Arial Narrow"/>
                <w:smallCaps/>
                <w:sz w:val="20"/>
              </w:rPr>
              <w:t>CERITINIB</w:t>
            </w:r>
          </w:p>
          <w:p w:rsidR="0064461E" w:rsidRPr="00C052DD" w:rsidRDefault="0064461E" w:rsidP="00D67BBC">
            <w:pPr>
              <w:keepNext/>
              <w:ind w:left="-108"/>
              <w:rPr>
                <w:rFonts w:ascii="Arial Narrow" w:hAnsi="Arial Narrow"/>
                <w:sz w:val="20"/>
              </w:rPr>
            </w:pPr>
            <w:proofErr w:type="spellStart"/>
            <w:r w:rsidRPr="00C052DD">
              <w:rPr>
                <w:rFonts w:ascii="Arial Narrow" w:hAnsi="Arial Narrow"/>
                <w:sz w:val="20"/>
              </w:rPr>
              <w:t>ceritinib</w:t>
            </w:r>
            <w:proofErr w:type="spellEnd"/>
            <w:r w:rsidRPr="00C052DD">
              <w:rPr>
                <w:rFonts w:ascii="Arial Narrow" w:hAnsi="Arial Narrow"/>
                <w:sz w:val="20"/>
              </w:rPr>
              <w:t xml:space="preserve"> 150</w:t>
            </w:r>
            <w:r w:rsidR="004A5E49">
              <w:rPr>
                <w:rFonts w:ascii="Arial Narrow" w:hAnsi="Arial Narrow"/>
                <w:sz w:val="20"/>
              </w:rPr>
              <w:t> </w:t>
            </w:r>
            <w:r w:rsidRPr="00C052DD">
              <w:rPr>
                <w:rFonts w:ascii="Arial Narrow" w:hAnsi="Arial Narrow"/>
                <w:sz w:val="20"/>
              </w:rPr>
              <w:t xml:space="preserve">mg capsule, </w:t>
            </w:r>
            <w:r w:rsidRPr="00C052DD">
              <w:rPr>
                <w:rFonts w:ascii="Arial Narrow" w:hAnsi="Arial Narrow"/>
                <w:strike/>
                <w:sz w:val="20"/>
              </w:rPr>
              <w:t>30</w:t>
            </w:r>
            <w:r w:rsidRPr="00C052DD">
              <w:rPr>
                <w:rFonts w:ascii="Arial Narrow" w:hAnsi="Arial Narrow"/>
                <w:i/>
                <w:sz w:val="20"/>
              </w:rPr>
              <w:t xml:space="preserve"> 50</w:t>
            </w:r>
          </w:p>
          <w:p w:rsidR="0064461E" w:rsidRPr="00C052DD" w:rsidRDefault="0064461E" w:rsidP="00D67BBC">
            <w:pPr>
              <w:keepNext/>
              <w:rPr>
                <w:rFonts w:ascii="Arial Narrow" w:hAnsi="Arial Narrow"/>
                <w:sz w:val="20"/>
              </w:rPr>
            </w:pPr>
          </w:p>
        </w:tc>
        <w:tc>
          <w:tcPr>
            <w:tcW w:w="851" w:type="dxa"/>
          </w:tcPr>
          <w:p w:rsidR="0064461E" w:rsidRPr="00C052DD" w:rsidRDefault="0064461E" w:rsidP="00D67BBC">
            <w:pPr>
              <w:keepNext/>
              <w:ind w:left="-108"/>
              <w:rPr>
                <w:rFonts w:ascii="Arial Narrow" w:hAnsi="Arial Narrow"/>
                <w:sz w:val="20"/>
              </w:rPr>
            </w:pPr>
          </w:p>
          <w:p w:rsidR="0064461E" w:rsidRPr="00C052DD" w:rsidRDefault="0064461E" w:rsidP="00D67BBC">
            <w:pPr>
              <w:keepNext/>
              <w:ind w:left="-108"/>
              <w:rPr>
                <w:rFonts w:ascii="Arial Narrow" w:hAnsi="Arial Narrow"/>
                <w:sz w:val="20"/>
              </w:rPr>
            </w:pPr>
            <w:r w:rsidRPr="00C052DD">
              <w:rPr>
                <w:rFonts w:ascii="Arial Narrow" w:hAnsi="Arial Narrow"/>
                <w:sz w:val="20"/>
              </w:rPr>
              <w:t>150</w:t>
            </w:r>
          </w:p>
        </w:tc>
        <w:tc>
          <w:tcPr>
            <w:tcW w:w="567" w:type="dxa"/>
          </w:tcPr>
          <w:p w:rsidR="0064461E" w:rsidRPr="00C052DD" w:rsidRDefault="0064461E" w:rsidP="00D67BBC">
            <w:pPr>
              <w:keepNext/>
              <w:ind w:left="-108"/>
              <w:rPr>
                <w:rFonts w:ascii="Arial Narrow" w:hAnsi="Arial Narrow"/>
                <w:sz w:val="20"/>
              </w:rPr>
            </w:pPr>
          </w:p>
          <w:p w:rsidR="0064461E" w:rsidRPr="00C052DD" w:rsidRDefault="0064461E" w:rsidP="00D67BBC">
            <w:pPr>
              <w:keepNext/>
              <w:ind w:left="-108"/>
              <w:rPr>
                <w:rFonts w:ascii="Arial Narrow" w:hAnsi="Arial Narrow"/>
                <w:sz w:val="20"/>
              </w:rPr>
            </w:pPr>
            <w:r w:rsidRPr="00C052DD">
              <w:rPr>
                <w:rFonts w:ascii="Arial Narrow" w:hAnsi="Arial Narrow"/>
                <w:sz w:val="20"/>
              </w:rPr>
              <w:t>1</w:t>
            </w:r>
          </w:p>
        </w:tc>
        <w:tc>
          <w:tcPr>
            <w:tcW w:w="1701" w:type="dxa"/>
          </w:tcPr>
          <w:p w:rsidR="0064461E" w:rsidRPr="00C052DD" w:rsidRDefault="0064461E" w:rsidP="00D67BBC">
            <w:pPr>
              <w:keepNext/>
              <w:ind w:left="-108"/>
              <w:rPr>
                <w:rFonts w:ascii="Arial Narrow" w:hAnsi="Arial Narrow"/>
                <w:sz w:val="20"/>
              </w:rPr>
            </w:pPr>
          </w:p>
          <w:p w:rsidR="0064461E" w:rsidRPr="00C052DD" w:rsidRDefault="0064461E" w:rsidP="00D67BBC">
            <w:pPr>
              <w:keepNext/>
              <w:ind w:left="-108"/>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r w:rsidRPr="00C052DD">
              <w:rPr>
                <w:rFonts w:ascii="Arial Narrow" w:hAnsi="Arial Narrow"/>
                <w:sz w:val="20"/>
              </w:rPr>
              <w:t xml:space="preserve"> (Published)</w:t>
            </w:r>
          </w:p>
          <w:p w:rsidR="0064461E" w:rsidRPr="00C052DD" w:rsidRDefault="0064461E" w:rsidP="004A5E49">
            <w:pPr>
              <w:keepNext/>
              <w:ind w:left="-108"/>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r w:rsidRPr="00C052DD">
              <w:rPr>
                <w:rFonts w:ascii="Arial Narrow" w:hAnsi="Arial Narrow"/>
                <w:sz w:val="20"/>
              </w:rPr>
              <w:t xml:space="preserve"> (Effective)</w:t>
            </w:r>
          </w:p>
        </w:tc>
        <w:tc>
          <w:tcPr>
            <w:tcW w:w="850" w:type="dxa"/>
            <w:vAlign w:val="center"/>
          </w:tcPr>
          <w:p w:rsidR="0064461E" w:rsidRPr="00C052DD" w:rsidRDefault="0064461E" w:rsidP="00D67BBC">
            <w:pPr>
              <w:keepNext/>
              <w:jc w:val="center"/>
              <w:rPr>
                <w:rFonts w:ascii="Arial Narrow" w:hAnsi="Arial Narrow"/>
                <w:sz w:val="20"/>
              </w:rPr>
            </w:pPr>
            <w:proofErr w:type="spellStart"/>
            <w:r w:rsidRPr="00C052DD">
              <w:rPr>
                <w:rFonts w:ascii="Arial Narrow" w:hAnsi="Arial Narrow"/>
                <w:sz w:val="20"/>
              </w:rPr>
              <w:t>Zykadia</w:t>
            </w:r>
            <w:proofErr w:type="spellEnd"/>
          </w:p>
        </w:tc>
        <w:tc>
          <w:tcPr>
            <w:tcW w:w="1559" w:type="dxa"/>
          </w:tcPr>
          <w:p w:rsidR="0064461E" w:rsidRPr="00C052DD" w:rsidRDefault="0064461E" w:rsidP="00D67BBC">
            <w:pPr>
              <w:keepNext/>
              <w:rPr>
                <w:rFonts w:ascii="Arial Narrow" w:hAnsi="Arial Narrow"/>
                <w:sz w:val="20"/>
              </w:rPr>
            </w:pPr>
            <w:r w:rsidRPr="00C052DD">
              <w:rPr>
                <w:rFonts w:ascii="Arial Narrow" w:hAnsi="Arial Narrow"/>
                <w:sz w:val="20"/>
              </w:rPr>
              <w:t>Novartis Pharmaceuticals Australia Pty Ltd</w:t>
            </w:r>
          </w:p>
        </w:tc>
      </w:tr>
      <w:tr w:rsidR="0064461E" w:rsidRPr="00C052DD" w:rsidTr="00097797">
        <w:trPr>
          <w:cantSplit/>
          <w:trHeight w:val="360"/>
        </w:trPr>
        <w:tc>
          <w:tcPr>
            <w:tcW w:w="8363" w:type="dxa"/>
            <w:gridSpan w:val="6"/>
            <w:tcBorders>
              <w:bottom w:val="single" w:sz="4" w:space="0" w:color="auto"/>
            </w:tcBorders>
          </w:tcPr>
          <w:p w:rsidR="0064461E" w:rsidRPr="00C052DD" w:rsidRDefault="0064461E" w:rsidP="00D67BBC">
            <w:pPr>
              <w:rPr>
                <w:rFonts w:ascii="Arial Narrow" w:hAnsi="Arial Narrow"/>
                <w:sz w:val="20"/>
              </w:rPr>
            </w:pP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64461E">
            <w:pPr>
              <w:rPr>
                <w:rFonts w:ascii="Arial Narrow" w:hAnsi="Arial Narrow"/>
                <w:b/>
                <w:sz w:val="20"/>
              </w:rPr>
            </w:pPr>
            <w:r w:rsidRPr="00C052DD">
              <w:rPr>
                <w:rFonts w:ascii="Arial Narrow" w:hAnsi="Arial Narrow"/>
                <w:b/>
                <w:sz w:val="20"/>
              </w:rPr>
              <w:t>Category / Program</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sz w:val="20"/>
              </w:rPr>
              <w:t>GENERAL – General Schedule (Code GE)</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b/>
                <w:sz w:val="20"/>
              </w:rPr>
            </w:pPr>
            <w:r w:rsidRPr="00C052DD">
              <w:rPr>
                <w:rFonts w:ascii="Arial Narrow" w:hAnsi="Arial Narrow"/>
                <w:b/>
                <w:sz w:val="20"/>
              </w:rPr>
              <w:t>Prescriber type:</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Dental  </w:t>
            </w: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Medical Practitioners  </w:t>
            </w:r>
            <w:r w:rsidRPr="00C052DD">
              <w:rPr>
                <w:rFonts w:ascii="Arial Narrow" w:hAnsi="Arial Narrow"/>
                <w:sz w:val="20"/>
              </w:rPr>
              <w:fldChar w:fldCharType="begin">
                <w:ffData>
                  <w:name w:val="Check3"/>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Nurse practitioners  </w:t>
            </w:r>
          </w:p>
          <w:p w:rsidR="0064461E" w:rsidRPr="00C052DD" w:rsidRDefault="0064461E" w:rsidP="0064461E">
            <w:pPr>
              <w:rPr>
                <w:rFonts w:ascii="Arial Narrow" w:hAnsi="Arial Narrow"/>
                <w:sz w:val="20"/>
              </w:rPr>
            </w:pPr>
            <w:r w:rsidRPr="00C052DD">
              <w:rPr>
                <w:rFonts w:ascii="Arial Narrow" w:hAnsi="Arial Narrow"/>
                <w:sz w:val="20"/>
              </w:rPr>
              <w:fldChar w:fldCharType="begin">
                <w:ffData>
                  <w:name w:val=""/>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Optometrists </w:t>
            </w: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Midwives</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b/>
                <w:sz w:val="20"/>
              </w:rPr>
            </w:pPr>
            <w:r w:rsidRPr="00C052DD">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stage IIIB (locally advanced) or stage IV (metastatic)</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b/>
                <w:sz w:val="20"/>
              </w:rPr>
            </w:pPr>
            <w:r w:rsidRPr="00C052DD">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non-small cell lung cancer</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stage IIIB (locally advanced) or stage IV (metastatic) non-small cell lung cancer</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Initial treatment</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Restriction Level / Method:</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Restricted benefit</w:t>
            </w:r>
          </w:p>
          <w:p w:rsidR="0064461E" w:rsidRPr="00701FEC" w:rsidRDefault="0064461E" w:rsidP="00D67BBC">
            <w:pPr>
              <w:rPr>
                <w:rFonts w:ascii="Arial Narrow" w:hAnsi="Arial Narrow"/>
                <w:i/>
                <w:sz w:val="20"/>
              </w:rPr>
            </w:pPr>
            <w:r w:rsidRPr="00701FEC">
              <w:rPr>
                <w:rFonts w:ascii="Arial Narrow" w:hAnsi="Arial Narrow"/>
                <w:i/>
                <w:sz w:val="20"/>
              </w:rPr>
              <w:fldChar w:fldCharType="begin">
                <w:ffData>
                  <w:name w:val=""/>
                  <w:enabled/>
                  <w:calcOnExit w:val="0"/>
                  <w:checkBox>
                    <w:sizeAuto/>
                    <w:default w:val="1"/>
                  </w:checkBox>
                </w:ffData>
              </w:fldChar>
            </w:r>
            <w:r w:rsidRPr="00701FEC">
              <w:rPr>
                <w:rFonts w:ascii="Arial Narrow" w:hAnsi="Arial Narrow"/>
                <w:i/>
                <w:sz w:val="20"/>
              </w:rPr>
              <w:instrText xml:space="preserve"> FORMCHECKBOX </w:instrText>
            </w:r>
            <w:r w:rsidR="0094152A">
              <w:rPr>
                <w:rFonts w:ascii="Arial Narrow" w:hAnsi="Arial Narrow"/>
                <w:i/>
                <w:sz w:val="20"/>
              </w:rPr>
            </w:r>
            <w:r w:rsidR="0094152A">
              <w:rPr>
                <w:rFonts w:ascii="Arial Narrow" w:hAnsi="Arial Narrow"/>
                <w:i/>
                <w:sz w:val="20"/>
              </w:rPr>
              <w:fldChar w:fldCharType="separate"/>
            </w:r>
            <w:r w:rsidRPr="00701FEC">
              <w:rPr>
                <w:rFonts w:ascii="Arial Narrow" w:hAnsi="Arial Narrow"/>
                <w:i/>
                <w:sz w:val="20"/>
              </w:rPr>
              <w:fldChar w:fldCharType="end"/>
            </w:r>
            <w:r w:rsidRPr="008D10DF">
              <w:rPr>
                <w:rFonts w:ascii="Arial Narrow" w:hAnsi="Arial Narrow"/>
                <w:sz w:val="20"/>
              </w:rPr>
              <w:t>Authority Required - In Writing</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3"/>
                  <w:enabled/>
                  <w:calcOnExit w:val="0"/>
                  <w:checkBox>
                    <w:sizeAuto/>
                    <w:default w:val="1"/>
                  </w:checkBox>
                </w:ffData>
              </w:fldChar>
            </w:r>
            <w:bookmarkStart w:id="3" w:name="Check3"/>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bookmarkEnd w:id="3"/>
            <w:r w:rsidRPr="00C052DD">
              <w:rPr>
                <w:rFonts w:ascii="Arial Narrow" w:hAnsi="Arial Narrow"/>
                <w:sz w:val="20"/>
              </w:rPr>
              <w:t>Authority Required - Telephone</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Emergency</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5"/>
                  <w:enabled/>
                  <w:calcOnExit w:val="0"/>
                  <w:checkBox>
                    <w:sizeAuto/>
                    <w:default w:val="1"/>
                  </w:checkBox>
                </w:ffData>
              </w:fldChar>
            </w:r>
            <w:bookmarkStart w:id="4" w:name="Check5"/>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bookmarkEnd w:id="4"/>
            <w:r w:rsidRPr="00C052DD">
              <w:rPr>
                <w:rFonts w:ascii="Arial Narrow" w:hAnsi="Arial Narrow"/>
                <w:sz w:val="20"/>
              </w:rPr>
              <w:t>Authority Required - Electronic</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Streamlined</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b/>
                <w:sz w:val="20"/>
              </w:rPr>
              <w:lastRenderedPageBreak/>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i/>
                <w:sz w:val="20"/>
              </w:rPr>
            </w:pPr>
            <w:r w:rsidRPr="00C052DD">
              <w:rPr>
                <w:rFonts w:ascii="Arial Narrow" w:hAnsi="Arial Narrow"/>
                <w:i/>
                <w:sz w:val="20"/>
              </w:rPr>
              <w:t>Patient must not have previously received PBS-subsidised treatment with this drug for this condition</w:t>
            </w:r>
          </w:p>
          <w:p w:rsidR="0064461E" w:rsidRPr="00C052DD" w:rsidRDefault="0064461E" w:rsidP="00D67BBC">
            <w:pPr>
              <w:rPr>
                <w:rFonts w:ascii="Arial Narrow" w:hAnsi="Arial Narrow"/>
                <w:i/>
                <w:sz w:val="20"/>
              </w:rPr>
            </w:pPr>
            <w:r w:rsidRPr="00C052DD">
              <w:rPr>
                <w:rFonts w:ascii="Arial Narrow" w:hAnsi="Arial Narrow"/>
                <w:i/>
                <w:sz w:val="20"/>
              </w:rPr>
              <w:t>AND</w:t>
            </w:r>
          </w:p>
          <w:p w:rsidR="0064461E" w:rsidRPr="00C052DD" w:rsidRDefault="0064461E" w:rsidP="00D67BBC">
            <w:pPr>
              <w:rPr>
                <w:rFonts w:ascii="Arial Narrow" w:hAnsi="Arial Narrow"/>
                <w:sz w:val="20"/>
              </w:rPr>
            </w:pPr>
            <w:r w:rsidRPr="00C052DD">
              <w:rPr>
                <w:rFonts w:ascii="Arial Narrow" w:hAnsi="Arial Narrow"/>
                <w:sz w:val="20"/>
              </w:rPr>
              <w:t>Patient must have a WHO performance status of 2 or less;</w:t>
            </w:r>
          </w:p>
          <w:p w:rsidR="0064461E" w:rsidRPr="00C052DD" w:rsidRDefault="0064461E" w:rsidP="00D67BBC">
            <w:pPr>
              <w:rPr>
                <w:rFonts w:ascii="Arial Narrow" w:hAnsi="Arial Narrow"/>
                <w:sz w:val="20"/>
              </w:rPr>
            </w:pPr>
            <w:r w:rsidRPr="00C052DD">
              <w:rPr>
                <w:rFonts w:ascii="Arial Narrow" w:hAnsi="Arial Narrow"/>
                <w:sz w:val="20"/>
              </w:rPr>
              <w:t>AND</w:t>
            </w:r>
          </w:p>
          <w:p w:rsidR="0064461E" w:rsidRPr="00C052DD" w:rsidRDefault="0064461E" w:rsidP="00D67BBC">
            <w:pPr>
              <w:rPr>
                <w:rFonts w:ascii="Arial Narrow" w:hAnsi="Arial Narrow"/>
                <w:sz w:val="20"/>
              </w:rPr>
            </w:pPr>
            <w:r w:rsidRPr="00C052DD">
              <w:rPr>
                <w:rFonts w:ascii="Arial Narrow" w:hAnsi="Arial Narrow"/>
                <w:i/>
                <w:sz w:val="20"/>
              </w:rPr>
              <w:t xml:space="preserve">The condition must have progressed following treatment with </w:t>
            </w:r>
            <w:proofErr w:type="spellStart"/>
            <w:r w:rsidRPr="00C052DD">
              <w:rPr>
                <w:rFonts w:ascii="Arial Narrow" w:hAnsi="Arial Narrow"/>
                <w:i/>
                <w:sz w:val="20"/>
              </w:rPr>
              <w:t>crizotinib</w:t>
            </w:r>
            <w:r w:rsidRPr="00C052DD">
              <w:rPr>
                <w:rFonts w:ascii="Arial Narrow" w:hAnsi="Arial Narrow"/>
                <w:strike/>
                <w:sz w:val="20"/>
              </w:rPr>
              <w:t>Patient</w:t>
            </w:r>
            <w:proofErr w:type="spellEnd"/>
            <w:r w:rsidRPr="00C052DD">
              <w:rPr>
                <w:rFonts w:ascii="Arial Narrow" w:hAnsi="Arial Narrow"/>
                <w:strike/>
                <w:sz w:val="20"/>
              </w:rPr>
              <w:t xml:space="preserve"> must have disease progression following treatment with an anaplastic lymphoma kinase inhibitor (</w:t>
            </w:r>
            <w:proofErr w:type="spellStart"/>
            <w:r w:rsidRPr="00C052DD">
              <w:rPr>
                <w:rFonts w:ascii="Arial Narrow" w:hAnsi="Arial Narrow"/>
                <w:strike/>
                <w:sz w:val="20"/>
              </w:rPr>
              <w:t>ALKi</w:t>
            </w:r>
            <w:proofErr w:type="spellEnd"/>
            <w:r w:rsidRPr="00C052DD">
              <w:rPr>
                <w:rFonts w:ascii="Arial Narrow" w:hAnsi="Arial Narrow"/>
                <w:strike/>
                <w:sz w:val="20"/>
              </w:rPr>
              <w:t>)</w:t>
            </w:r>
            <w:r w:rsidRPr="00C052DD">
              <w:rPr>
                <w:rFonts w:ascii="Arial Narrow" w:hAnsi="Arial Narrow"/>
                <w:sz w:val="20"/>
              </w:rPr>
              <w:t>; OR</w:t>
            </w:r>
          </w:p>
          <w:p w:rsidR="0064461E" w:rsidRPr="00C052DD" w:rsidRDefault="0064461E" w:rsidP="00D67BBC">
            <w:pPr>
              <w:rPr>
                <w:rFonts w:ascii="Arial Narrow" w:hAnsi="Arial Narrow"/>
                <w:i/>
                <w:sz w:val="20"/>
              </w:rPr>
            </w:pPr>
            <w:r w:rsidRPr="00C052DD">
              <w:rPr>
                <w:rFonts w:ascii="Arial Narrow" w:hAnsi="Arial Narrow"/>
                <w:i/>
                <w:sz w:val="20"/>
              </w:rPr>
              <w:t xml:space="preserve">Patient must have developed intolerance to </w:t>
            </w:r>
            <w:proofErr w:type="spellStart"/>
            <w:r w:rsidRPr="00C052DD">
              <w:rPr>
                <w:rFonts w:ascii="Arial Narrow" w:hAnsi="Arial Narrow"/>
                <w:i/>
                <w:sz w:val="20"/>
              </w:rPr>
              <w:t>crizotinib</w:t>
            </w:r>
            <w:proofErr w:type="spellEnd"/>
            <w:r w:rsidRPr="00C052DD">
              <w:rPr>
                <w:rFonts w:ascii="Arial Narrow" w:hAnsi="Arial Narrow"/>
                <w:i/>
                <w:sz w:val="20"/>
              </w:rPr>
              <w:t xml:space="preserve"> of a severity necessitating permanent treatment withdrawal</w:t>
            </w:r>
          </w:p>
          <w:p w:rsidR="0064461E" w:rsidRPr="00C052DD" w:rsidRDefault="0064461E" w:rsidP="00D67BBC">
            <w:pPr>
              <w:rPr>
                <w:rFonts w:ascii="Arial Narrow" w:hAnsi="Arial Narrow"/>
                <w:sz w:val="20"/>
              </w:rPr>
            </w:pPr>
            <w:r w:rsidRPr="00C052DD">
              <w:rPr>
                <w:rFonts w:ascii="Arial Narrow" w:hAnsi="Arial Narrow"/>
                <w:sz w:val="20"/>
              </w:rPr>
              <w:t>AND</w:t>
            </w:r>
          </w:p>
          <w:p w:rsidR="0064461E" w:rsidRPr="00C052DD" w:rsidRDefault="0064461E" w:rsidP="00D67BBC">
            <w:pPr>
              <w:rPr>
                <w:rFonts w:ascii="Arial Narrow" w:hAnsi="Arial Narrow"/>
                <w:strike/>
                <w:sz w:val="20"/>
              </w:rPr>
            </w:pPr>
            <w:r w:rsidRPr="00C052DD">
              <w:rPr>
                <w:rFonts w:ascii="Arial Narrow" w:hAnsi="Arial Narrow"/>
                <w:strike/>
                <w:sz w:val="20"/>
              </w:rPr>
              <w:t xml:space="preserve">Patient must have provided evidence of an anaplastic lymphoma kinase (ALK) gene rearrangement prior to treatment with an </w:t>
            </w:r>
            <w:proofErr w:type="spellStart"/>
            <w:r w:rsidRPr="00C052DD">
              <w:rPr>
                <w:rFonts w:ascii="Arial Narrow" w:hAnsi="Arial Narrow"/>
                <w:strike/>
                <w:sz w:val="20"/>
              </w:rPr>
              <w:t>ALKi</w:t>
            </w:r>
            <w:proofErr w:type="spellEnd"/>
            <w:r w:rsidRPr="00C052DD">
              <w:rPr>
                <w:rFonts w:ascii="Arial Narrow" w:hAnsi="Arial Narrow"/>
                <w:strike/>
                <w:sz w:val="20"/>
              </w:rPr>
              <w:t>;</w:t>
            </w:r>
          </w:p>
          <w:p w:rsidR="0064461E" w:rsidRPr="00C052DD" w:rsidRDefault="0064461E" w:rsidP="00D67BBC">
            <w:pPr>
              <w:rPr>
                <w:rFonts w:ascii="Arial Narrow" w:hAnsi="Arial Narrow"/>
                <w:strike/>
                <w:sz w:val="20"/>
              </w:rPr>
            </w:pPr>
            <w:r w:rsidRPr="00C052DD">
              <w:rPr>
                <w:rFonts w:ascii="Arial Narrow" w:hAnsi="Arial Narrow"/>
                <w:strike/>
                <w:sz w:val="20"/>
              </w:rPr>
              <w:t>AND</w:t>
            </w:r>
          </w:p>
          <w:p w:rsidR="0064461E" w:rsidRPr="00C052DD" w:rsidRDefault="0064461E" w:rsidP="004A5E49">
            <w:pPr>
              <w:rPr>
                <w:rFonts w:ascii="Arial Narrow" w:hAnsi="Arial Narrow"/>
                <w:sz w:val="20"/>
              </w:rPr>
            </w:pPr>
            <w:r w:rsidRPr="00C052DD">
              <w:rPr>
                <w:rFonts w:ascii="Arial Narrow" w:hAnsi="Arial Narrow"/>
                <w:sz w:val="20"/>
              </w:rPr>
              <w:t xml:space="preserve">The treatment must be </w:t>
            </w:r>
            <w:r w:rsidRPr="00C052DD">
              <w:rPr>
                <w:rFonts w:ascii="Arial Narrow" w:hAnsi="Arial Narrow"/>
                <w:i/>
                <w:sz w:val="20"/>
              </w:rPr>
              <w:t xml:space="preserve">the sole PBS-subsidised therapy for this </w:t>
            </w:r>
            <w:proofErr w:type="spellStart"/>
            <w:r w:rsidRPr="00C052DD">
              <w:rPr>
                <w:rFonts w:ascii="Arial Narrow" w:hAnsi="Arial Narrow"/>
                <w:i/>
                <w:sz w:val="20"/>
              </w:rPr>
              <w:t>condition</w:t>
            </w:r>
            <w:r w:rsidRPr="00C052DD">
              <w:rPr>
                <w:rFonts w:ascii="Arial Narrow" w:hAnsi="Arial Narrow"/>
                <w:strike/>
                <w:sz w:val="20"/>
              </w:rPr>
              <w:t>as</w:t>
            </w:r>
            <w:proofErr w:type="spellEnd"/>
            <w:r w:rsidRPr="00C052DD">
              <w:rPr>
                <w:rFonts w:ascii="Arial Narrow" w:hAnsi="Arial Narrow"/>
                <w:strike/>
                <w:sz w:val="20"/>
              </w:rPr>
              <w:t xml:space="preserve"> monotherapy</w:t>
            </w:r>
            <w:r w:rsidRPr="00C052DD">
              <w:rPr>
                <w:rFonts w:ascii="Arial Narrow" w:hAnsi="Arial Narrow"/>
                <w:sz w:val="20"/>
              </w:rPr>
              <w:t>;</w:t>
            </w:r>
          </w:p>
        </w:tc>
      </w:tr>
      <w:tr w:rsidR="0064461E" w:rsidRPr="00C052DD" w:rsidTr="0009779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b/>
                <w:sz w:val="20"/>
              </w:rPr>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i/>
                <w:sz w:val="20"/>
              </w:rPr>
            </w:pPr>
            <w:r w:rsidRPr="00C052DD">
              <w:rPr>
                <w:rFonts w:ascii="Arial Narrow" w:hAnsi="Arial Narrow"/>
                <w:i/>
                <w:sz w:val="20"/>
              </w:rPr>
              <w:t xml:space="preserve">No increase in the maximum quantity or number of units may be authorised. </w:t>
            </w:r>
          </w:p>
          <w:p w:rsidR="0064461E" w:rsidRPr="00C052DD" w:rsidRDefault="0064461E" w:rsidP="00D67BBC">
            <w:pPr>
              <w:rPr>
                <w:rFonts w:ascii="Arial Narrow" w:hAnsi="Arial Narrow"/>
                <w:i/>
                <w:sz w:val="20"/>
              </w:rPr>
            </w:pPr>
          </w:p>
          <w:p w:rsidR="0064461E" w:rsidRPr="00C052DD" w:rsidRDefault="0064461E" w:rsidP="00D67BBC">
            <w:pPr>
              <w:rPr>
                <w:rFonts w:ascii="Arial Narrow" w:hAnsi="Arial Narrow"/>
                <w:i/>
                <w:sz w:val="20"/>
              </w:rPr>
            </w:pPr>
            <w:r w:rsidRPr="00C052DD">
              <w:rPr>
                <w:rFonts w:ascii="Arial Narrow" w:hAnsi="Arial Narrow"/>
                <w:i/>
                <w:sz w:val="20"/>
              </w:rPr>
              <w:t xml:space="preserve">No increase in the maximum number of repeats may be authorised. </w:t>
            </w:r>
          </w:p>
          <w:p w:rsidR="0064461E" w:rsidRPr="00C052DD" w:rsidRDefault="0064461E" w:rsidP="00D67BBC">
            <w:pPr>
              <w:rPr>
                <w:rFonts w:ascii="Arial Narrow" w:hAnsi="Arial Narrow"/>
                <w:i/>
                <w:sz w:val="20"/>
              </w:rPr>
            </w:pPr>
          </w:p>
          <w:p w:rsidR="0064461E" w:rsidRPr="00C052DD" w:rsidRDefault="0064461E" w:rsidP="004A5E49">
            <w:pPr>
              <w:rPr>
                <w:rFonts w:ascii="Arial Narrow" w:hAnsi="Arial Narrow"/>
                <w:sz w:val="20"/>
              </w:rPr>
            </w:pPr>
            <w:r w:rsidRPr="00C052DD">
              <w:rPr>
                <w:rFonts w:ascii="Arial Narrow" w:hAnsi="Arial Narrow"/>
                <w:i/>
                <w:sz w:val="20"/>
              </w:rPr>
              <w:t>Special Pricing Arrangements apply.</w:t>
            </w:r>
          </w:p>
        </w:tc>
      </w:tr>
    </w:tbl>
    <w:p w:rsidR="0064461E" w:rsidRPr="00C052DD" w:rsidRDefault="0064461E" w:rsidP="0064461E">
      <w:pPr>
        <w:rPr>
          <w:szCs w:val="22"/>
        </w:rPr>
      </w:pPr>
    </w:p>
    <w:tbl>
      <w:tblPr>
        <w:tblW w:w="8363" w:type="dxa"/>
        <w:tblInd w:w="817" w:type="dxa"/>
        <w:tblLayout w:type="fixed"/>
        <w:tblLook w:val="0000" w:firstRow="0" w:lastRow="0" w:firstColumn="0" w:lastColumn="0" w:noHBand="0" w:noVBand="0"/>
      </w:tblPr>
      <w:tblGrid>
        <w:gridCol w:w="2835"/>
        <w:gridCol w:w="5528"/>
      </w:tblGrid>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b/>
                <w:sz w:val="20"/>
              </w:rPr>
            </w:pPr>
            <w:r w:rsidRPr="00C052DD">
              <w:rPr>
                <w:rFonts w:ascii="Arial Narrow" w:hAnsi="Arial Narrow"/>
                <w:b/>
                <w:sz w:val="20"/>
              </w:rPr>
              <w:t>Category / Program</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sz w:val="20"/>
              </w:rPr>
              <w:t>GENERAL – General Schedule (Code GE)</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b/>
                <w:sz w:val="20"/>
              </w:rPr>
            </w:pPr>
            <w:r w:rsidRPr="00C052DD">
              <w:rPr>
                <w:rFonts w:ascii="Arial Narrow" w:hAnsi="Arial Narrow"/>
                <w:b/>
                <w:sz w:val="20"/>
              </w:rPr>
              <w:t>Prescriber type:</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64461E">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Dental  </w:t>
            </w: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Medical Practitioners  </w:t>
            </w:r>
            <w:r w:rsidRPr="00C052DD">
              <w:rPr>
                <w:rFonts w:ascii="Arial Narrow" w:hAnsi="Arial Narrow"/>
                <w:sz w:val="20"/>
              </w:rPr>
              <w:fldChar w:fldCharType="begin">
                <w:ffData>
                  <w:name w:val="Check3"/>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Nurse practitioners  </w:t>
            </w:r>
          </w:p>
          <w:p w:rsidR="0064461E" w:rsidRPr="00C052DD" w:rsidRDefault="0064461E" w:rsidP="0064461E">
            <w:pPr>
              <w:rPr>
                <w:rFonts w:ascii="Arial Narrow" w:hAnsi="Arial Narrow"/>
                <w:sz w:val="20"/>
              </w:rPr>
            </w:pPr>
            <w:r w:rsidRPr="00C052DD">
              <w:rPr>
                <w:rFonts w:ascii="Arial Narrow" w:hAnsi="Arial Narrow"/>
                <w:sz w:val="20"/>
              </w:rPr>
              <w:fldChar w:fldCharType="begin">
                <w:ffData>
                  <w:name w:val=""/>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Optometrists </w:t>
            </w: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Midwives</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b/>
                <w:sz w:val="20"/>
              </w:rPr>
            </w:pPr>
            <w:proofErr w:type="spellStart"/>
            <w:r w:rsidRPr="00C052DD">
              <w:rPr>
                <w:rFonts w:ascii="Arial Narrow" w:hAnsi="Arial Narrow"/>
                <w:b/>
                <w:sz w:val="20"/>
              </w:rPr>
              <w:t>Episodicity</w:t>
            </w:r>
            <w:proofErr w:type="spellEnd"/>
            <w:r w:rsidRPr="00C052DD">
              <w:rPr>
                <w:rFonts w:ascii="Arial Narrow" w:hAnsi="Arial Narrow"/>
                <w:b/>
                <w:sz w:val="20"/>
              </w:rPr>
              <w:t>:</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b/>
                <w:sz w:val="20"/>
              </w:rPr>
            </w:pPr>
            <w:r w:rsidRPr="00C052DD">
              <w:rPr>
                <w:rFonts w:ascii="Arial Narrow" w:hAnsi="Arial Narrow"/>
                <w:b/>
                <w:sz w:val="20"/>
              </w:rPr>
              <w:t>Severity:</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stage IIIB (locally advanced) or stage IV (metastatic)</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b/>
                <w:sz w:val="20"/>
              </w:rPr>
            </w:pPr>
            <w:r w:rsidRPr="00C052DD">
              <w:rPr>
                <w:rFonts w:ascii="Arial Narrow" w:hAnsi="Arial Narrow"/>
                <w:b/>
                <w:sz w:val="20"/>
              </w:rPr>
              <w:t>Condition:</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non-small cell lung cancer</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PBS Indication:</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stage IIIB (locally advanced) or stage IV (metastatic) non-small cell lung cancer</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Treatment phase:</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Continuing treatment</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i/>
                <w:sz w:val="20"/>
              </w:rPr>
            </w:pPr>
            <w:r w:rsidRPr="00C052DD">
              <w:rPr>
                <w:rFonts w:ascii="Arial Narrow" w:hAnsi="Arial Narrow"/>
                <w:b/>
                <w:sz w:val="20"/>
              </w:rPr>
              <w:t>Restriction Level / Method:</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Restricted benefit</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8D10DF">
              <w:rPr>
                <w:rFonts w:ascii="Arial Narrow" w:hAnsi="Arial Narrow"/>
                <w:sz w:val="20"/>
              </w:rPr>
              <w:t>Authority Required - In Writing</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3"/>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Telephone</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Emergency</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5"/>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Electronic</w:t>
            </w:r>
          </w:p>
          <w:p w:rsidR="0064461E" w:rsidRPr="00C052DD" w:rsidRDefault="0064461E" w:rsidP="00D67BBC">
            <w:pPr>
              <w:rPr>
                <w:rFonts w:ascii="Arial Narrow" w:hAnsi="Arial Narrow"/>
                <w:sz w:val="20"/>
              </w:rPr>
            </w:pP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Streamlined</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b/>
                <w:sz w:val="20"/>
              </w:rPr>
              <w:t>Clinical criteria:</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sz w:val="20"/>
              </w:rPr>
            </w:pPr>
            <w:r w:rsidRPr="00C052DD">
              <w:rPr>
                <w:rFonts w:ascii="Arial Narrow" w:hAnsi="Arial Narrow"/>
                <w:sz w:val="20"/>
              </w:rPr>
              <w:t xml:space="preserve">The treatment must be </w:t>
            </w:r>
            <w:r w:rsidRPr="00C052DD">
              <w:rPr>
                <w:rFonts w:ascii="Arial Narrow" w:hAnsi="Arial Narrow"/>
                <w:i/>
                <w:sz w:val="20"/>
              </w:rPr>
              <w:t xml:space="preserve">the sole PBS-subsidised therapy for this </w:t>
            </w:r>
            <w:proofErr w:type="spellStart"/>
            <w:r w:rsidRPr="00C052DD">
              <w:rPr>
                <w:rFonts w:ascii="Arial Narrow" w:hAnsi="Arial Narrow"/>
                <w:i/>
                <w:sz w:val="20"/>
              </w:rPr>
              <w:t>condition</w:t>
            </w:r>
            <w:r w:rsidRPr="00C052DD">
              <w:rPr>
                <w:rFonts w:ascii="Arial Narrow" w:hAnsi="Arial Narrow"/>
                <w:strike/>
                <w:sz w:val="20"/>
              </w:rPr>
              <w:t>as</w:t>
            </w:r>
            <w:proofErr w:type="spellEnd"/>
            <w:r w:rsidRPr="00C052DD">
              <w:rPr>
                <w:rFonts w:ascii="Arial Narrow" w:hAnsi="Arial Narrow"/>
                <w:strike/>
                <w:sz w:val="20"/>
              </w:rPr>
              <w:t xml:space="preserve"> monotherapy</w:t>
            </w:r>
            <w:r w:rsidRPr="00C052DD">
              <w:rPr>
                <w:rFonts w:ascii="Arial Narrow" w:hAnsi="Arial Narrow"/>
                <w:sz w:val="20"/>
              </w:rPr>
              <w:t>;</w:t>
            </w:r>
          </w:p>
          <w:p w:rsidR="0064461E" w:rsidRPr="00C052DD" w:rsidRDefault="0064461E" w:rsidP="00D67BBC">
            <w:pPr>
              <w:rPr>
                <w:rFonts w:ascii="Arial Narrow" w:hAnsi="Arial Narrow"/>
                <w:sz w:val="20"/>
              </w:rPr>
            </w:pPr>
            <w:r w:rsidRPr="00C052DD">
              <w:rPr>
                <w:rFonts w:ascii="Arial Narrow" w:hAnsi="Arial Narrow"/>
                <w:sz w:val="20"/>
              </w:rPr>
              <w:t>AND</w:t>
            </w:r>
          </w:p>
          <w:p w:rsidR="0064461E" w:rsidRPr="00C052DD" w:rsidRDefault="0064461E" w:rsidP="00D67BBC">
            <w:pPr>
              <w:rPr>
                <w:rFonts w:ascii="Arial Narrow" w:hAnsi="Arial Narrow"/>
                <w:sz w:val="20"/>
              </w:rPr>
            </w:pPr>
            <w:r w:rsidRPr="00C052DD">
              <w:rPr>
                <w:rFonts w:ascii="Arial Narrow" w:hAnsi="Arial Narrow"/>
                <w:sz w:val="20"/>
              </w:rPr>
              <w:t xml:space="preserve">Patient must have previously been issued with an authority prescription for this drug </w:t>
            </w:r>
            <w:r w:rsidRPr="00C052DD">
              <w:rPr>
                <w:rFonts w:ascii="Arial Narrow" w:hAnsi="Arial Narrow"/>
                <w:i/>
                <w:sz w:val="20"/>
              </w:rPr>
              <w:t>for this condition</w:t>
            </w:r>
            <w:r w:rsidRPr="00C052DD">
              <w:rPr>
                <w:rFonts w:ascii="Arial Narrow" w:hAnsi="Arial Narrow"/>
                <w:sz w:val="20"/>
              </w:rPr>
              <w:t>;</w:t>
            </w:r>
          </w:p>
          <w:p w:rsidR="0064461E" w:rsidRPr="00C052DD" w:rsidRDefault="0064461E" w:rsidP="00D67BBC">
            <w:pPr>
              <w:rPr>
                <w:rFonts w:ascii="Arial Narrow" w:hAnsi="Arial Narrow"/>
                <w:sz w:val="20"/>
              </w:rPr>
            </w:pPr>
            <w:r w:rsidRPr="00C052DD">
              <w:rPr>
                <w:rFonts w:ascii="Arial Narrow" w:hAnsi="Arial Narrow"/>
                <w:sz w:val="20"/>
              </w:rPr>
              <w:t xml:space="preserve">AND </w:t>
            </w:r>
          </w:p>
          <w:p w:rsidR="0064461E" w:rsidRPr="00C052DD" w:rsidRDefault="0064461E" w:rsidP="00D67BBC">
            <w:pPr>
              <w:rPr>
                <w:rFonts w:ascii="Arial Narrow" w:hAnsi="Arial Narrow"/>
                <w:sz w:val="20"/>
              </w:rPr>
            </w:pPr>
            <w:r w:rsidRPr="00C052DD">
              <w:rPr>
                <w:rFonts w:ascii="Arial Narrow" w:hAnsi="Arial Narrow"/>
                <w:sz w:val="20"/>
              </w:rPr>
              <w:t xml:space="preserve">Patient must </w:t>
            </w:r>
            <w:r w:rsidRPr="00C052DD">
              <w:rPr>
                <w:rFonts w:ascii="Arial Narrow" w:hAnsi="Arial Narrow"/>
                <w:strike/>
                <w:sz w:val="20"/>
              </w:rPr>
              <w:t>not have progressive</w:t>
            </w:r>
            <w:r w:rsidRPr="00C052DD">
              <w:rPr>
                <w:rFonts w:ascii="Arial Narrow" w:hAnsi="Arial Narrow"/>
                <w:sz w:val="20"/>
              </w:rPr>
              <w:t xml:space="preserve"> </w:t>
            </w:r>
            <w:r w:rsidRPr="00C052DD">
              <w:rPr>
                <w:rFonts w:ascii="Arial Narrow" w:hAnsi="Arial Narrow"/>
                <w:i/>
                <w:sz w:val="20"/>
              </w:rPr>
              <w:t xml:space="preserve">have stable or responding </w:t>
            </w:r>
            <w:r w:rsidRPr="00C052DD">
              <w:rPr>
                <w:rFonts w:ascii="Arial Narrow" w:hAnsi="Arial Narrow"/>
                <w:sz w:val="20"/>
              </w:rPr>
              <w:t xml:space="preserve">disease </w:t>
            </w:r>
          </w:p>
        </w:tc>
      </w:tr>
      <w:tr w:rsidR="0064461E" w:rsidRPr="00C052DD" w:rsidTr="0064461E">
        <w:trPr>
          <w:cantSplit/>
          <w:trHeight w:val="360"/>
        </w:trPr>
        <w:tc>
          <w:tcPr>
            <w:tcW w:w="2835" w:type="dxa"/>
            <w:tcBorders>
              <w:top w:val="single" w:sz="4" w:space="0" w:color="auto"/>
              <w:left w:val="single" w:sz="4" w:space="0" w:color="auto"/>
              <w:bottom w:val="single" w:sz="4" w:space="0" w:color="auto"/>
              <w:right w:val="single" w:sz="4" w:space="0" w:color="auto"/>
            </w:tcBorders>
          </w:tcPr>
          <w:p w:rsidR="0064461E" w:rsidRPr="00C052DD" w:rsidRDefault="0064461E" w:rsidP="004A5E49">
            <w:pPr>
              <w:rPr>
                <w:rFonts w:ascii="Arial Narrow" w:hAnsi="Arial Narrow"/>
                <w:sz w:val="20"/>
              </w:rPr>
            </w:pPr>
            <w:r w:rsidRPr="00C052DD">
              <w:rPr>
                <w:rFonts w:ascii="Arial Narrow" w:hAnsi="Arial Narrow"/>
                <w:b/>
                <w:sz w:val="20"/>
              </w:rPr>
              <w:t>Administrative Advice</w:t>
            </w:r>
          </w:p>
        </w:tc>
        <w:tc>
          <w:tcPr>
            <w:tcW w:w="5528" w:type="dxa"/>
            <w:tcBorders>
              <w:top w:val="single" w:sz="4" w:space="0" w:color="auto"/>
              <w:left w:val="single" w:sz="4" w:space="0" w:color="auto"/>
              <w:bottom w:val="single" w:sz="4" w:space="0" w:color="auto"/>
              <w:right w:val="single" w:sz="4" w:space="0" w:color="auto"/>
            </w:tcBorders>
          </w:tcPr>
          <w:p w:rsidR="0064461E" w:rsidRPr="00C052DD" w:rsidRDefault="0064461E" w:rsidP="00D67BBC">
            <w:pPr>
              <w:rPr>
                <w:rFonts w:ascii="Arial Narrow" w:hAnsi="Arial Narrow"/>
                <w:i/>
                <w:sz w:val="20"/>
              </w:rPr>
            </w:pPr>
            <w:r w:rsidRPr="00C052DD">
              <w:rPr>
                <w:rFonts w:ascii="Arial Narrow" w:hAnsi="Arial Narrow"/>
                <w:i/>
                <w:sz w:val="20"/>
              </w:rPr>
              <w:t xml:space="preserve">No increase in the maximum quantity or number of units may be authorised. </w:t>
            </w:r>
          </w:p>
          <w:p w:rsidR="0064461E" w:rsidRPr="00C052DD" w:rsidRDefault="0064461E" w:rsidP="00D67BBC">
            <w:pPr>
              <w:rPr>
                <w:rFonts w:ascii="Arial Narrow" w:hAnsi="Arial Narrow"/>
                <w:i/>
                <w:sz w:val="20"/>
              </w:rPr>
            </w:pPr>
          </w:p>
          <w:p w:rsidR="0064461E" w:rsidRPr="00C052DD" w:rsidRDefault="0064461E" w:rsidP="00D67BBC">
            <w:pPr>
              <w:rPr>
                <w:rFonts w:ascii="Arial Narrow" w:hAnsi="Arial Narrow"/>
                <w:i/>
                <w:sz w:val="20"/>
              </w:rPr>
            </w:pPr>
            <w:r w:rsidRPr="00C052DD">
              <w:rPr>
                <w:rFonts w:ascii="Arial Narrow" w:hAnsi="Arial Narrow"/>
                <w:i/>
                <w:sz w:val="20"/>
              </w:rPr>
              <w:t xml:space="preserve">No increase in the maximum number of repeats may be authorised. </w:t>
            </w:r>
          </w:p>
          <w:p w:rsidR="0064461E" w:rsidRPr="00C052DD" w:rsidRDefault="0064461E" w:rsidP="00D67BBC">
            <w:pPr>
              <w:rPr>
                <w:rFonts w:ascii="Arial Narrow" w:hAnsi="Arial Narrow"/>
                <w:i/>
                <w:sz w:val="20"/>
              </w:rPr>
            </w:pPr>
          </w:p>
          <w:p w:rsidR="0064461E" w:rsidRPr="00C052DD" w:rsidRDefault="0064461E" w:rsidP="004A5E49">
            <w:pPr>
              <w:rPr>
                <w:rFonts w:ascii="Arial Narrow" w:hAnsi="Arial Narrow"/>
                <w:sz w:val="20"/>
              </w:rPr>
            </w:pPr>
            <w:r w:rsidRPr="00C052DD">
              <w:rPr>
                <w:rFonts w:ascii="Arial Narrow" w:hAnsi="Arial Narrow"/>
                <w:i/>
                <w:sz w:val="20"/>
              </w:rPr>
              <w:t>Special Pricing Arrangements apply.</w:t>
            </w:r>
          </w:p>
        </w:tc>
      </w:tr>
    </w:tbl>
    <w:p w:rsidR="0064461E" w:rsidRPr="00C052DD" w:rsidRDefault="0064461E" w:rsidP="0064461E"/>
    <w:tbl>
      <w:tblPr>
        <w:tblW w:w="8363" w:type="dxa"/>
        <w:tblInd w:w="817" w:type="dxa"/>
        <w:tblLayout w:type="fixed"/>
        <w:tblLook w:val="0000" w:firstRow="0" w:lastRow="0" w:firstColumn="0" w:lastColumn="0" w:noHBand="0" w:noVBand="0"/>
      </w:tblPr>
      <w:tblGrid>
        <w:gridCol w:w="2835"/>
        <w:gridCol w:w="851"/>
        <w:gridCol w:w="567"/>
        <w:gridCol w:w="1701"/>
        <w:gridCol w:w="850"/>
        <w:gridCol w:w="1559"/>
      </w:tblGrid>
      <w:tr w:rsidR="00206C06" w:rsidRPr="00C052DD" w:rsidTr="004A5E49">
        <w:trPr>
          <w:cantSplit/>
          <w:trHeight w:val="471"/>
        </w:trPr>
        <w:tc>
          <w:tcPr>
            <w:tcW w:w="2835" w:type="dxa"/>
            <w:tcBorders>
              <w:bottom w:val="single" w:sz="4" w:space="0" w:color="auto"/>
            </w:tcBorders>
          </w:tcPr>
          <w:p w:rsidR="00206C06" w:rsidRPr="00C052DD" w:rsidRDefault="00206C06" w:rsidP="009B3283">
            <w:pPr>
              <w:keepNext/>
              <w:ind w:left="-108"/>
              <w:rPr>
                <w:rFonts w:ascii="Arial Narrow" w:hAnsi="Arial Narrow"/>
                <w:sz w:val="20"/>
              </w:rPr>
            </w:pPr>
            <w:r w:rsidRPr="00C052DD">
              <w:rPr>
                <w:rFonts w:ascii="Arial Narrow" w:hAnsi="Arial Narrow"/>
                <w:sz w:val="20"/>
              </w:rPr>
              <w:lastRenderedPageBreak/>
              <w:t>Name, Restriction,</w:t>
            </w:r>
          </w:p>
          <w:p w:rsidR="00206C06" w:rsidRPr="00C052DD" w:rsidRDefault="00206C06" w:rsidP="009B3283">
            <w:pPr>
              <w:keepNext/>
              <w:ind w:left="-108"/>
              <w:rPr>
                <w:rFonts w:ascii="Arial Narrow" w:hAnsi="Arial Narrow"/>
                <w:sz w:val="20"/>
              </w:rPr>
            </w:pPr>
            <w:r w:rsidRPr="00C052DD">
              <w:rPr>
                <w:rFonts w:ascii="Arial Narrow" w:hAnsi="Arial Narrow"/>
                <w:sz w:val="20"/>
              </w:rPr>
              <w:t>Manner of administration and form</w:t>
            </w:r>
          </w:p>
        </w:tc>
        <w:tc>
          <w:tcPr>
            <w:tcW w:w="851" w:type="dxa"/>
            <w:tcBorders>
              <w:bottom w:val="single" w:sz="4" w:space="0" w:color="auto"/>
            </w:tcBorders>
          </w:tcPr>
          <w:p w:rsidR="00206C06" w:rsidRPr="00C052DD" w:rsidRDefault="00206C06" w:rsidP="009B3283">
            <w:pPr>
              <w:keepNext/>
              <w:ind w:left="-108"/>
              <w:rPr>
                <w:rFonts w:ascii="Arial Narrow" w:hAnsi="Arial Narrow"/>
                <w:sz w:val="20"/>
              </w:rPr>
            </w:pPr>
            <w:r w:rsidRPr="00C052DD">
              <w:rPr>
                <w:rFonts w:ascii="Arial Narrow" w:hAnsi="Arial Narrow"/>
                <w:sz w:val="20"/>
              </w:rPr>
              <w:t>Max.</w:t>
            </w:r>
          </w:p>
          <w:p w:rsidR="00206C06" w:rsidRPr="00C052DD" w:rsidRDefault="00206C06" w:rsidP="009B3283">
            <w:pPr>
              <w:keepNext/>
              <w:ind w:left="-108"/>
              <w:rPr>
                <w:rFonts w:ascii="Arial Narrow" w:hAnsi="Arial Narrow"/>
                <w:sz w:val="20"/>
              </w:rPr>
            </w:pPr>
            <w:proofErr w:type="spellStart"/>
            <w:r w:rsidRPr="00C052DD">
              <w:rPr>
                <w:rFonts w:ascii="Arial Narrow" w:hAnsi="Arial Narrow"/>
                <w:sz w:val="20"/>
              </w:rPr>
              <w:t>Qty</w:t>
            </w:r>
            <w:proofErr w:type="spellEnd"/>
            <w:r w:rsidRPr="00C052DD">
              <w:rPr>
                <w:rFonts w:ascii="Arial Narrow" w:hAnsi="Arial Narrow"/>
                <w:sz w:val="20"/>
              </w:rPr>
              <w:t xml:space="preserve"> Units</w:t>
            </w:r>
          </w:p>
        </w:tc>
        <w:tc>
          <w:tcPr>
            <w:tcW w:w="567" w:type="dxa"/>
            <w:tcBorders>
              <w:bottom w:val="single" w:sz="4" w:space="0" w:color="auto"/>
            </w:tcBorders>
          </w:tcPr>
          <w:p w:rsidR="00206C06" w:rsidRPr="00C052DD" w:rsidRDefault="00206C06" w:rsidP="009B3283">
            <w:pPr>
              <w:keepNext/>
              <w:ind w:left="-108"/>
              <w:rPr>
                <w:rFonts w:ascii="Arial Narrow" w:hAnsi="Arial Narrow"/>
                <w:sz w:val="20"/>
              </w:rPr>
            </w:pPr>
            <w:r w:rsidRPr="00C052DD">
              <w:rPr>
                <w:rFonts w:ascii="Arial Narrow" w:hAnsi="Arial Narrow"/>
                <w:sz w:val="20"/>
              </w:rPr>
              <w:t>№.of</w:t>
            </w:r>
          </w:p>
          <w:p w:rsidR="00206C06" w:rsidRPr="00C052DD" w:rsidRDefault="00206C06" w:rsidP="009B3283">
            <w:pPr>
              <w:keepNext/>
              <w:ind w:left="-108"/>
              <w:rPr>
                <w:rFonts w:ascii="Arial Narrow" w:hAnsi="Arial Narrow"/>
                <w:sz w:val="20"/>
              </w:rPr>
            </w:pPr>
            <w:proofErr w:type="spellStart"/>
            <w:r w:rsidRPr="00C052DD">
              <w:rPr>
                <w:rFonts w:ascii="Arial Narrow" w:hAnsi="Arial Narrow"/>
                <w:sz w:val="20"/>
              </w:rPr>
              <w:t>Rpts</w:t>
            </w:r>
            <w:proofErr w:type="spellEnd"/>
          </w:p>
        </w:tc>
        <w:tc>
          <w:tcPr>
            <w:tcW w:w="1701" w:type="dxa"/>
            <w:tcBorders>
              <w:bottom w:val="single" w:sz="4" w:space="0" w:color="auto"/>
            </w:tcBorders>
          </w:tcPr>
          <w:p w:rsidR="00206C06" w:rsidRPr="00C052DD" w:rsidRDefault="00206C06" w:rsidP="009B3283">
            <w:pPr>
              <w:keepNext/>
              <w:ind w:left="-108"/>
              <w:rPr>
                <w:rFonts w:ascii="Arial Narrow" w:hAnsi="Arial Narrow"/>
                <w:sz w:val="20"/>
              </w:rPr>
            </w:pPr>
            <w:r w:rsidRPr="00C052DD">
              <w:rPr>
                <w:rFonts w:ascii="Arial Narrow" w:hAnsi="Arial Narrow"/>
                <w:sz w:val="20"/>
              </w:rPr>
              <w:t xml:space="preserve">Dispensed Price for Max. </w:t>
            </w:r>
            <w:proofErr w:type="spellStart"/>
            <w:r w:rsidRPr="00C052DD">
              <w:rPr>
                <w:rFonts w:ascii="Arial Narrow" w:hAnsi="Arial Narrow"/>
                <w:sz w:val="20"/>
              </w:rPr>
              <w:t>Qty</w:t>
            </w:r>
            <w:proofErr w:type="spellEnd"/>
          </w:p>
        </w:tc>
        <w:tc>
          <w:tcPr>
            <w:tcW w:w="2409" w:type="dxa"/>
            <w:gridSpan w:val="2"/>
            <w:tcBorders>
              <w:bottom w:val="single" w:sz="4" w:space="0" w:color="auto"/>
            </w:tcBorders>
          </w:tcPr>
          <w:p w:rsidR="00206C06" w:rsidRPr="00C052DD" w:rsidRDefault="00206C06" w:rsidP="009B3283">
            <w:pPr>
              <w:keepNext/>
              <w:rPr>
                <w:rFonts w:ascii="Arial Narrow" w:hAnsi="Arial Narrow"/>
                <w:sz w:val="20"/>
              </w:rPr>
            </w:pPr>
            <w:r w:rsidRPr="00C052DD">
              <w:rPr>
                <w:rFonts w:ascii="Arial Narrow" w:hAnsi="Arial Narrow"/>
                <w:sz w:val="20"/>
              </w:rPr>
              <w:t>Proprietary Name and Manufacturer</w:t>
            </w:r>
          </w:p>
        </w:tc>
      </w:tr>
      <w:tr w:rsidR="00206C06" w:rsidRPr="00C052DD" w:rsidTr="004A5E49">
        <w:trPr>
          <w:cantSplit/>
          <w:trHeight w:val="577"/>
        </w:trPr>
        <w:tc>
          <w:tcPr>
            <w:tcW w:w="2835" w:type="dxa"/>
          </w:tcPr>
          <w:p w:rsidR="00206C06" w:rsidRPr="00C052DD" w:rsidRDefault="00206C06" w:rsidP="009B3283">
            <w:pPr>
              <w:keepNext/>
              <w:ind w:left="-108"/>
              <w:rPr>
                <w:rFonts w:ascii="Arial Narrow" w:hAnsi="Arial Narrow"/>
                <w:sz w:val="20"/>
              </w:rPr>
            </w:pPr>
            <w:r w:rsidRPr="00C052DD">
              <w:rPr>
                <w:rFonts w:ascii="Arial Narrow" w:hAnsi="Arial Narrow"/>
                <w:smallCaps/>
                <w:sz w:val="20"/>
              </w:rPr>
              <w:t>CERITINIB</w:t>
            </w:r>
          </w:p>
          <w:p w:rsidR="00206C06" w:rsidRPr="00C052DD" w:rsidRDefault="00206C06" w:rsidP="009B3283">
            <w:pPr>
              <w:keepNext/>
              <w:ind w:left="-108"/>
              <w:rPr>
                <w:rFonts w:ascii="Arial Narrow" w:hAnsi="Arial Narrow"/>
                <w:sz w:val="20"/>
              </w:rPr>
            </w:pPr>
            <w:proofErr w:type="spellStart"/>
            <w:r w:rsidRPr="00C052DD">
              <w:rPr>
                <w:rFonts w:ascii="Arial Narrow" w:hAnsi="Arial Narrow"/>
                <w:sz w:val="20"/>
              </w:rPr>
              <w:t>ceritinib</w:t>
            </w:r>
            <w:proofErr w:type="spellEnd"/>
            <w:r w:rsidRPr="00C052DD">
              <w:rPr>
                <w:rFonts w:ascii="Arial Narrow" w:hAnsi="Arial Narrow"/>
                <w:sz w:val="20"/>
              </w:rPr>
              <w:t xml:space="preserve"> 150</w:t>
            </w:r>
            <w:r w:rsidR="004A5E49">
              <w:rPr>
                <w:rFonts w:ascii="Arial Narrow" w:hAnsi="Arial Narrow"/>
                <w:sz w:val="20"/>
              </w:rPr>
              <w:t> </w:t>
            </w:r>
            <w:r w:rsidRPr="00C052DD">
              <w:rPr>
                <w:rFonts w:ascii="Arial Narrow" w:hAnsi="Arial Narrow"/>
                <w:sz w:val="20"/>
              </w:rPr>
              <w:t xml:space="preserve">mg capsule, </w:t>
            </w:r>
            <w:r w:rsidRPr="00C052DD">
              <w:rPr>
                <w:rFonts w:ascii="Arial Narrow" w:hAnsi="Arial Narrow"/>
                <w:strike/>
                <w:sz w:val="20"/>
              </w:rPr>
              <w:t>30</w:t>
            </w:r>
            <w:r w:rsidRPr="00C052DD">
              <w:rPr>
                <w:rFonts w:ascii="Arial Narrow" w:hAnsi="Arial Narrow"/>
                <w:i/>
                <w:sz w:val="20"/>
              </w:rPr>
              <w:t xml:space="preserve"> 50</w:t>
            </w:r>
          </w:p>
          <w:p w:rsidR="00206C06" w:rsidRPr="00C052DD" w:rsidRDefault="00206C06" w:rsidP="009B3283">
            <w:pPr>
              <w:keepNext/>
              <w:rPr>
                <w:rFonts w:ascii="Arial Narrow" w:hAnsi="Arial Narrow"/>
                <w:sz w:val="20"/>
              </w:rPr>
            </w:pPr>
          </w:p>
        </w:tc>
        <w:tc>
          <w:tcPr>
            <w:tcW w:w="851" w:type="dxa"/>
          </w:tcPr>
          <w:p w:rsidR="00206C06" w:rsidRPr="00C052DD" w:rsidRDefault="00206C06" w:rsidP="009B3283">
            <w:pPr>
              <w:keepNext/>
              <w:ind w:left="-108"/>
              <w:rPr>
                <w:rFonts w:ascii="Arial Narrow" w:hAnsi="Arial Narrow"/>
                <w:sz w:val="20"/>
              </w:rPr>
            </w:pPr>
          </w:p>
          <w:p w:rsidR="00206C06" w:rsidRPr="00C052DD" w:rsidRDefault="00206C06" w:rsidP="009B3283">
            <w:pPr>
              <w:keepNext/>
              <w:ind w:left="-108"/>
              <w:rPr>
                <w:rFonts w:ascii="Arial Narrow" w:hAnsi="Arial Narrow"/>
                <w:sz w:val="20"/>
              </w:rPr>
            </w:pPr>
            <w:r w:rsidRPr="00C052DD">
              <w:rPr>
                <w:rFonts w:ascii="Arial Narrow" w:hAnsi="Arial Narrow"/>
                <w:sz w:val="20"/>
              </w:rPr>
              <w:t>150</w:t>
            </w:r>
          </w:p>
        </w:tc>
        <w:tc>
          <w:tcPr>
            <w:tcW w:w="567" w:type="dxa"/>
          </w:tcPr>
          <w:p w:rsidR="00206C06" w:rsidRPr="00C052DD" w:rsidRDefault="00206C06" w:rsidP="009B3283">
            <w:pPr>
              <w:keepNext/>
              <w:ind w:left="-108"/>
              <w:rPr>
                <w:rFonts w:ascii="Arial Narrow" w:hAnsi="Arial Narrow"/>
                <w:sz w:val="20"/>
              </w:rPr>
            </w:pPr>
          </w:p>
          <w:p w:rsidR="00206C06" w:rsidRPr="00C052DD" w:rsidRDefault="00206C06" w:rsidP="009B3283">
            <w:pPr>
              <w:keepNext/>
              <w:ind w:left="-108"/>
              <w:rPr>
                <w:rFonts w:ascii="Arial Narrow" w:hAnsi="Arial Narrow"/>
                <w:sz w:val="20"/>
              </w:rPr>
            </w:pPr>
            <w:r w:rsidRPr="00C052DD">
              <w:rPr>
                <w:rFonts w:ascii="Arial Narrow" w:hAnsi="Arial Narrow"/>
                <w:sz w:val="20"/>
              </w:rPr>
              <w:t>1</w:t>
            </w:r>
          </w:p>
        </w:tc>
        <w:tc>
          <w:tcPr>
            <w:tcW w:w="1701" w:type="dxa"/>
          </w:tcPr>
          <w:p w:rsidR="00206C06" w:rsidRPr="00C052DD" w:rsidRDefault="00206C06" w:rsidP="009B3283">
            <w:pPr>
              <w:keepNext/>
              <w:ind w:left="-108"/>
              <w:rPr>
                <w:rFonts w:ascii="Arial Narrow" w:hAnsi="Arial Narrow"/>
                <w:sz w:val="20"/>
              </w:rPr>
            </w:pPr>
          </w:p>
          <w:p w:rsidR="00206C06" w:rsidRPr="00C052DD" w:rsidRDefault="00206C06" w:rsidP="009B3283">
            <w:pPr>
              <w:keepNext/>
              <w:ind w:left="-108"/>
              <w:rPr>
                <w:rFonts w:ascii="Arial Narrow" w:hAnsi="Arial Narrow"/>
                <w:sz w:val="20"/>
              </w:rPr>
            </w:pPr>
            <w:r w:rsidRPr="00C052DD">
              <w:rPr>
                <w:rFonts w:ascii="Arial Narrow" w:hAnsi="Arial Narrow"/>
                <w:sz w:val="20"/>
              </w:rPr>
              <w:t>$7275.17 (Published)</w:t>
            </w:r>
          </w:p>
          <w:p w:rsidR="00206C06" w:rsidRPr="00C052DD" w:rsidRDefault="00206C06" w:rsidP="004A5E49">
            <w:pPr>
              <w:keepNext/>
              <w:ind w:left="-108"/>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r w:rsidRPr="00C052DD">
              <w:rPr>
                <w:rFonts w:ascii="Arial Narrow" w:hAnsi="Arial Narrow"/>
                <w:sz w:val="20"/>
              </w:rPr>
              <w:t xml:space="preserve"> (Effective)</w:t>
            </w:r>
          </w:p>
        </w:tc>
        <w:tc>
          <w:tcPr>
            <w:tcW w:w="850" w:type="dxa"/>
            <w:vAlign w:val="center"/>
          </w:tcPr>
          <w:p w:rsidR="00206C06" w:rsidRPr="00C052DD" w:rsidRDefault="00206C06" w:rsidP="009B3283">
            <w:pPr>
              <w:keepNext/>
              <w:jc w:val="center"/>
              <w:rPr>
                <w:rFonts w:ascii="Arial Narrow" w:hAnsi="Arial Narrow"/>
                <w:sz w:val="20"/>
              </w:rPr>
            </w:pPr>
            <w:proofErr w:type="spellStart"/>
            <w:r w:rsidRPr="00C052DD">
              <w:rPr>
                <w:rFonts w:ascii="Arial Narrow" w:hAnsi="Arial Narrow"/>
                <w:sz w:val="20"/>
              </w:rPr>
              <w:t>Zykadia</w:t>
            </w:r>
            <w:proofErr w:type="spellEnd"/>
          </w:p>
        </w:tc>
        <w:tc>
          <w:tcPr>
            <w:tcW w:w="1559" w:type="dxa"/>
          </w:tcPr>
          <w:p w:rsidR="00206C06" w:rsidRPr="00C052DD" w:rsidRDefault="00206C06" w:rsidP="009B3283">
            <w:pPr>
              <w:keepNext/>
              <w:rPr>
                <w:rFonts w:ascii="Arial Narrow" w:hAnsi="Arial Narrow"/>
                <w:sz w:val="20"/>
              </w:rPr>
            </w:pPr>
            <w:r w:rsidRPr="00C052DD">
              <w:rPr>
                <w:rFonts w:ascii="Arial Narrow" w:hAnsi="Arial Narrow"/>
                <w:sz w:val="20"/>
              </w:rPr>
              <w:t>Novartis Pharmaceuticals Australia Pty Ltd</w:t>
            </w:r>
          </w:p>
        </w:tc>
      </w:tr>
      <w:tr w:rsidR="00206C06" w:rsidRPr="00C052DD" w:rsidTr="004A5E49">
        <w:trPr>
          <w:cantSplit/>
          <w:trHeight w:val="360"/>
        </w:trPr>
        <w:tc>
          <w:tcPr>
            <w:tcW w:w="8363" w:type="dxa"/>
            <w:gridSpan w:val="6"/>
            <w:tcBorders>
              <w:bottom w:val="single" w:sz="4" w:space="0" w:color="auto"/>
            </w:tcBorders>
          </w:tcPr>
          <w:p w:rsidR="00206C06" w:rsidRPr="00C052DD" w:rsidRDefault="00206C06" w:rsidP="009B3283">
            <w:pPr>
              <w:rPr>
                <w:rFonts w:ascii="Arial Narrow" w:hAnsi="Arial Narrow"/>
                <w:sz w:val="20"/>
              </w:rPr>
            </w:pP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b/>
                <w:sz w:val="20"/>
              </w:rPr>
            </w:pPr>
            <w:r w:rsidRPr="00C052DD">
              <w:rPr>
                <w:rFonts w:ascii="Arial Narrow" w:hAnsi="Arial Narrow"/>
                <w:b/>
                <w:sz w:val="20"/>
              </w:rPr>
              <w:t xml:space="preserve">Category / </w:t>
            </w:r>
          </w:p>
          <w:p w:rsidR="00206C06" w:rsidRPr="00C052DD" w:rsidRDefault="00206C06" w:rsidP="009B3283">
            <w:pPr>
              <w:rPr>
                <w:rFonts w:ascii="Arial Narrow" w:hAnsi="Arial Narrow"/>
                <w:b/>
                <w:sz w:val="20"/>
              </w:rPr>
            </w:pPr>
            <w:r w:rsidRPr="00C052DD">
              <w:rPr>
                <w:rFonts w:ascii="Arial Narrow" w:hAnsi="Arial Narrow"/>
                <w:b/>
                <w:sz w:val="20"/>
              </w:rPr>
              <w:t>Program</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t>GENERAL – General Schedule (Code GE)</w:t>
            </w:r>
          </w:p>
          <w:p w:rsidR="00206C06" w:rsidRPr="00C052DD" w:rsidRDefault="00206C06" w:rsidP="009B3283">
            <w:pPr>
              <w:rPr>
                <w:rFonts w:ascii="Arial Narrow" w:hAnsi="Arial Narrow"/>
                <w:sz w:val="20"/>
              </w:rPr>
            </w:pP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b/>
                <w:sz w:val="20"/>
              </w:rPr>
            </w:pPr>
            <w:r w:rsidRPr="00C052DD">
              <w:rPr>
                <w:rFonts w:ascii="Arial Narrow" w:hAnsi="Arial Narrow"/>
                <w:b/>
                <w:sz w:val="20"/>
              </w:rPr>
              <w:t>Prescriber type:</w:t>
            </w:r>
          </w:p>
          <w:p w:rsidR="00206C06" w:rsidRPr="00C052DD" w:rsidRDefault="00206C06" w:rsidP="009B3283">
            <w:pPr>
              <w:rPr>
                <w:rFonts w:ascii="Arial Narrow" w:hAnsi="Arial Narrow"/>
                <w:b/>
                <w:sz w:val="20"/>
              </w:rPr>
            </w:pP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Dental  </w:t>
            </w: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Medical Practitioners  </w:t>
            </w:r>
            <w:r w:rsidRPr="00C052DD">
              <w:rPr>
                <w:rFonts w:ascii="Arial Narrow" w:hAnsi="Arial Narrow"/>
                <w:sz w:val="20"/>
              </w:rPr>
              <w:fldChar w:fldCharType="begin">
                <w:ffData>
                  <w:name w:val="Check3"/>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 xml:space="preserve">Nurse practitioners  </w:t>
            </w:r>
            <w:r w:rsidRPr="00C052DD">
              <w:rPr>
                <w:rFonts w:ascii="Arial Narrow" w:hAnsi="Arial Narrow"/>
                <w:sz w:val="20"/>
              </w:rPr>
              <w:fldChar w:fldCharType="begin">
                <w:ffData>
                  <w:name w:val=""/>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Optometrists</w:t>
            </w:r>
          </w:p>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Midwives</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b/>
                <w:sz w:val="20"/>
              </w:rPr>
            </w:pPr>
            <w:r w:rsidRPr="00C052DD">
              <w:rPr>
                <w:rFonts w:ascii="Arial Narrow" w:hAnsi="Arial Narrow"/>
                <w:b/>
                <w:sz w:val="20"/>
              </w:rPr>
              <w:t>Severity:</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t>stage IIIB (locally advanced) or stage IV (metastatic)</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b/>
                <w:sz w:val="20"/>
              </w:rPr>
            </w:pPr>
            <w:r w:rsidRPr="00C052DD">
              <w:rPr>
                <w:rFonts w:ascii="Arial Narrow" w:hAnsi="Arial Narrow"/>
                <w:b/>
                <w:sz w:val="20"/>
              </w:rPr>
              <w:t>Condition:</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t>non-small cell lung cancer</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4A5E49">
            <w:pPr>
              <w:rPr>
                <w:rFonts w:ascii="Arial Narrow" w:hAnsi="Arial Narrow"/>
                <w:i/>
                <w:sz w:val="20"/>
              </w:rPr>
            </w:pPr>
            <w:r w:rsidRPr="00C052DD">
              <w:rPr>
                <w:rFonts w:ascii="Arial Narrow" w:hAnsi="Arial Narrow"/>
                <w:b/>
                <w:sz w:val="20"/>
              </w:rPr>
              <w:t>PBS Indication:</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t>stage IIIB (locally advanced) or stage IV (metastatic) non-small cell lung cancer</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4A5E49">
            <w:pPr>
              <w:rPr>
                <w:rFonts w:ascii="Arial Narrow" w:hAnsi="Arial Narrow"/>
                <w:i/>
                <w:sz w:val="20"/>
              </w:rPr>
            </w:pPr>
            <w:r w:rsidRPr="00C052DD">
              <w:rPr>
                <w:rFonts w:ascii="Arial Narrow" w:hAnsi="Arial Narrow"/>
                <w:b/>
                <w:sz w:val="20"/>
              </w:rPr>
              <w:t>Treatment phase:</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t>Grandfathering treatment</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4A5E49">
            <w:pPr>
              <w:rPr>
                <w:rFonts w:ascii="Arial Narrow" w:hAnsi="Arial Narrow"/>
                <w:i/>
                <w:sz w:val="20"/>
              </w:rPr>
            </w:pPr>
            <w:r w:rsidRPr="00C052DD">
              <w:rPr>
                <w:rFonts w:ascii="Arial Narrow" w:hAnsi="Arial Narrow"/>
                <w:b/>
                <w:sz w:val="20"/>
              </w:rPr>
              <w:t>Restriction Level / Method:</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1"/>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Restricted benefit</w:t>
            </w:r>
          </w:p>
          <w:p w:rsidR="00206C06" w:rsidRPr="00701FEC" w:rsidRDefault="00206C06" w:rsidP="009B3283">
            <w:pPr>
              <w:rPr>
                <w:rFonts w:ascii="Arial Narrow" w:hAnsi="Arial Narrow"/>
                <w:i/>
                <w:sz w:val="20"/>
              </w:rPr>
            </w:pPr>
            <w:r w:rsidRPr="00701FEC">
              <w:rPr>
                <w:rFonts w:ascii="Arial Narrow" w:hAnsi="Arial Narrow"/>
                <w:i/>
                <w:sz w:val="20"/>
              </w:rPr>
              <w:fldChar w:fldCharType="begin">
                <w:ffData>
                  <w:name w:val=""/>
                  <w:enabled/>
                  <w:calcOnExit w:val="0"/>
                  <w:checkBox>
                    <w:sizeAuto/>
                    <w:default w:val="1"/>
                  </w:checkBox>
                </w:ffData>
              </w:fldChar>
            </w:r>
            <w:r w:rsidRPr="00701FEC">
              <w:rPr>
                <w:rFonts w:ascii="Arial Narrow" w:hAnsi="Arial Narrow"/>
                <w:i/>
                <w:sz w:val="20"/>
              </w:rPr>
              <w:instrText xml:space="preserve"> FORMCHECKBOX </w:instrText>
            </w:r>
            <w:r w:rsidR="0094152A">
              <w:rPr>
                <w:rFonts w:ascii="Arial Narrow" w:hAnsi="Arial Narrow"/>
                <w:i/>
                <w:sz w:val="20"/>
              </w:rPr>
            </w:r>
            <w:r w:rsidR="0094152A">
              <w:rPr>
                <w:rFonts w:ascii="Arial Narrow" w:hAnsi="Arial Narrow"/>
                <w:i/>
                <w:sz w:val="20"/>
              </w:rPr>
              <w:fldChar w:fldCharType="separate"/>
            </w:r>
            <w:r w:rsidRPr="00701FEC">
              <w:rPr>
                <w:rFonts w:ascii="Arial Narrow" w:hAnsi="Arial Narrow"/>
                <w:i/>
                <w:sz w:val="20"/>
              </w:rPr>
              <w:fldChar w:fldCharType="end"/>
            </w:r>
            <w:r w:rsidRPr="00F42031">
              <w:rPr>
                <w:rFonts w:ascii="Arial Narrow" w:hAnsi="Arial Narrow"/>
                <w:sz w:val="20"/>
              </w:rPr>
              <w:t>Authority Required - In Writing</w:t>
            </w:r>
          </w:p>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3"/>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Telephone</w:t>
            </w:r>
          </w:p>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Emergency</w:t>
            </w:r>
          </w:p>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5"/>
                  <w:enabled/>
                  <w:calcOnExit w:val="0"/>
                  <w:checkBox>
                    <w:sizeAuto/>
                    <w:default w:val="1"/>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Authority Required - Electronic</w:t>
            </w:r>
          </w:p>
          <w:p w:rsidR="00206C06" w:rsidRPr="00C052DD" w:rsidRDefault="00206C06" w:rsidP="009B3283">
            <w:pPr>
              <w:rPr>
                <w:rFonts w:ascii="Arial Narrow" w:hAnsi="Arial Narrow"/>
                <w:sz w:val="20"/>
              </w:rPr>
            </w:pPr>
            <w:r w:rsidRPr="00C052DD">
              <w:rPr>
                <w:rFonts w:ascii="Arial Narrow" w:hAnsi="Arial Narrow"/>
                <w:sz w:val="20"/>
              </w:rPr>
              <w:fldChar w:fldCharType="begin">
                <w:ffData>
                  <w:name w:val="Check5"/>
                  <w:enabled/>
                  <w:calcOnExit w:val="0"/>
                  <w:checkBox>
                    <w:sizeAuto/>
                    <w:default w:val="0"/>
                  </w:checkBox>
                </w:ffData>
              </w:fldChar>
            </w:r>
            <w:r w:rsidRPr="00C052DD">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C052DD">
              <w:rPr>
                <w:rFonts w:ascii="Arial Narrow" w:hAnsi="Arial Narrow"/>
                <w:sz w:val="20"/>
              </w:rPr>
              <w:fldChar w:fldCharType="end"/>
            </w:r>
            <w:r w:rsidRPr="00C052DD">
              <w:rPr>
                <w:rFonts w:ascii="Arial Narrow" w:hAnsi="Arial Narrow"/>
                <w:sz w:val="20"/>
              </w:rPr>
              <w:t>Streamlined</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4A5E49">
            <w:pPr>
              <w:rPr>
                <w:rFonts w:ascii="Arial Narrow" w:hAnsi="Arial Narrow"/>
                <w:sz w:val="20"/>
              </w:rPr>
            </w:pPr>
            <w:r w:rsidRPr="00C052DD">
              <w:rPr>
                <w:rFonts w:ascii="Arial Narrow" w:hAnsi="Arial Narrow"/>
                <w:b/>
                <w:sz w:val="20"/>
              </w:rPr>
              <w:t>Clinical criteria:</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strike/>
                <w:sz w:val="20"/>
              </w:rPr>
            </w:pPr>
            <w:r w:rsidRPr="00C052DD">
              <w:rPr>
                <w:rFonts w:ascii="Arial Narrow" w:hAnsi="Arial Narrow"/>
                <w:sz w:val="20"/>
              </w:rPr>
              <w:t xml:space="preserve">Patient must have </w:t>
            </w:r>
            <w:r w:rsidRPr="00C052DD">
              <w:rPr>
                <w:rFonts w:ascii="Arial Narrow" w:hAnsi="Arial Narrow"/>
                <w:i/>
                <w:sz w:val="20"/>
              </w:rPr>
              <w:t xml:space="preserve">previously </w:t>
            </w:r>
            <w:r w:rsidRPr="00C052DD">
              <w:rPr>
                <w:rFonts w:ascii="Arial Narrow" w:hAnsi="Arial Narrow"/>
                <w:sz w:val="20"/>
              </w:rPr>
              <w:t xml:space="preserve">received </w:t>
            </w:r>
            <w:r w:rsidRPr="00C052DD">
              <w:rPr>
                <w:rFonts w:ascii="Arial Narrow" w:hAnsi="Arial Narrow"/>
                <w:i/>
                <w:sz w:val="20"/>
              </w:rPr>
              <w:t>non-PBS subsidised treatment with</w:t>
            </w:r>
            <w:r w:rsidRPr="00C052DD">
              <w:rPr>
                <w:rFonts w:ascii="Arial Narrow" w:hAnsi="Arial Narrow"/>
                <w:sz w:val="20"/>
              </w:rPr>
              <w:t xml:space="preserve"> this drug </w:t>
            </w:r>
            <w:r w:rsidRPr="00C052DD">
              <w:rPr>
                <w:rFonts w:ascii="Arial Narrow" w:hAnsi="Arial Narrow"/>
                <w:i/>
                <w:sz w:val="20"/>
              </w:rPr>
              <w:t>for this condition</w:t>
            </w:r>
            <w:r w:rsidRPr="00C052DD">
              <w:rPr>
                <w:rFonts w:ascii="Arial Narrow" w:hAnsi="Arial Narrow"/>
                <w:sz w:val="20"/>
              </w:rPr>
              <w:t xml:space="preserve"> prior to [PBS listing date]</w:t>
            </w:r>
            <w:r w:rsidRPr="00C052DD">
              <w:rPr>
                <w:rFonts w:ascii="Arial Narrow" w:hAnsi="Arial Narrow"/>
                <w:strike/>
                <w:sz w:val="20"/>
              </w:rPr>
              <w:t>;</w:t>
            </w:r>
          </w:p>
          <w:p w:rsidR="00206C06" w:rsidRPr="00C052DD" w:rsidRDefault="00206C06" w:rsidP="009B3283">
            <w:pPr>
              <w:rPr>
                <w:rFonts w:ascii="Arial Narrow" w:hAnsi="Arial Narrow"/>
                <w:sz w:val="20"/>
              </w:rPr>
            </w:pPr>
            <w:r w:rsidRPr="00C052DD">
              <w:rPr>
                <w:rFonts w:ascii="Arial Narrow" w:hAnsi="Arial Narrow"/>
                <w:sz w:val="20"/>
              </w:rPr>
              <w:t>AND</w:t>
            </w:r>
          </w:p>
          <w:p w:rsidR="00206C06" w:rsidRPr="00C052DD" w:rsidRDefault="00206C06" w:rsidP="009B3283">
            <w:pPr>
              <w:rPr>
                <w:rFonts w:ascii="Arial Narrow" w:hAnsi="Arial Narrow"/>
                <w:sz w:val="20"/>
              </w:rPr>
            </w:pPr>
            <w:r w:rsidRPr="00C052DD">
              <w:rPr>
                <w:rFonts w:ascii="Arial Narrow" w:hAnsi="Arial Narrow"/>
                <w:i/>
                <w:sz w:val="20"/>
              </w:rPr>
              <w:t xml:space="preserve">The condition must have progressed following treatment with </w:t>
            </w:r>
            <w:proofErr w:type="spellStart"/>
            <w:r w:rsidRPr="00C052DD">
              <w:rPr>
                <w:rFonts w:ascii="Arial Narrow" w:hAnsi="Arial Narrow"/>
                <w:i/>
                <w:sz w:val="20"/>
              </w:rPr>
              <w:t>crizotinib</w:t>
            </w:r>
            <w:r w:rsidRPr="00C052DD">
              <w:rPr>
                <w:rFonts w:ascii="Arial Narrow" w:hAnsi="Arial Narrow"/>
                <w:strike/>
                <w:sz w:val="20"/>
              </w:rPr>
              <w:t>Patient</w:t>
            </w:r>
            <w:proofErr w:type="spellEnd"/>
            <w:r w:rsidRPr="00C052DD">
              <w:rPr>
                <w:rFonts w:ascii="Arial Narrow" w:hAnsi="Arial Narrow"/>
                <w:strike/>
                <w:sz w:val="20"/>
              </w:rPr>
              <w:t xml:space="preserve"> must have disease progression following treatment with an anaplastic lymphoma kinase inhibitor (</w:t>
            </w:r>
            <w:proofErr w:type="spellStart"/>
            <w:r w:rsidRPr="00C052DD">
              <w:rPr>
                <w:rFonts w:ascii="Arial Narrow" w:hAnsi="Arial Narrow"/>
                <w:strike/>
                <w:sz w:val="20"/>
              </w:rPr>
              <w:t>ALKi</w:t>
            </w:r>
            <w:proofErr w:type="spellEnd"/>
            <w:r w:rsidRPr="00C052DD">
              <w:rPr>
                <w:rFonts w:ascii="Arial Narrow" w:hAnsi="Arial Narrow"/>
                <w:strike/>
                <w:sz w:val="20"/>
              </w:rPr>
              <w:t>)</w:t>
            </w:r>
            <w:r w:rsidRPr="00C052DD">
              <w:rPr>
                <w:rFonts w:ascii="Arial Narrow" w:hAnsi="Arial Narrow"/>
                <w:sz w:val="20"/>
              </w:rPr>
              <w:t>; OR</w:t>
            </w:r>
          </w:p>
          <w:p w:rsidR="00206C06" w:rsidRPr="00C052DD" w:rsidRDefault="00206C06" w:rsidP="009B3283">
            <w:pPr>
              <w:rPr>
                <w:rFonts w:ascii="Arial Narrow" w:hAnsi="Arial Narrow"/>
                <w:i/>
                <w:sz w:val="20"/>
              </w:rPr>
            </w:pPr>
            <w:r w:rsidRPr="00C052DD">
              <w:rPr>
                <w:rFonts w:ascii="Arial Narrow" w:hAnsi="Arial Narrow"/>
                <w:i/>
                <w:sz w:val="20"/>
              </w:rPr>
              <w:t xml:space="preserve">Patient must have developed intolerance to </w:t>
            </w:r>
            <w:proofErr w:type="spellStart"/>
            <w:r w:rsidRPr="00C052DD">
              <w:rPr>
                <w:rFonts w:ascii="Arial Narrow" w:hAnsi="Arial Narrow"/>
                <w:i/>
                <w:sz w:val="20"/>
              </w:rPr>
              <w:t>crizotinib</w:t>
            </w:r>
            <w:proofErr w:type="spellEnd"/>
            <w:r w:rsidRPr="00C052DD">
              <w:rPr>
                <w:rFonts w:ascii="Arial Narrow" w:hAnsi="Arial Narrow"/>
                <w:i/>
                <w:sz w:val="20"/>
              </w:rPr>
              <w:t xml:space="preserve"> of a severity necessitating permanent treatment withdrawal</w:t>
            </w:r>
          </w:p>
          <w:p w:rsidR="00206C06" w:rsidRPr="00C052DD" w:rsidRDefault="00206C06" w:rsidP="009B3283">
            <w:pPr>
              <w:rPr>
                <w:rFonts w:ascii="Arial Narrow" w:hAnsi="Arial Narrow"/>
                <w:sz w:val="20"/>
              </w:rPr>
            </w:pPr>
            <w:r w:rsidRPr="00C052DD">
              <w:rPr>
                <w:rFonts w:ascii="Arial Narrow" w:hAnsi="Arial Narrow"/>
                <w:sz w:val="20"/>
              </w:rPr>
              <w:t>AND</w:t>
            </w:r>
          </w:p>
          <w:p w:rsidR="00206C06" w:rsidRPr="00C052DD" w:rsidRDefault="00206C06" w:rsidP="009B3283">
            <w:pPr>
              <w:rPr>
                <w:rFonts w:ascii="Arial Narrow" w:hAnsi="Arial Narrow"/>
                <w:strike/>
                <w:sz w:val="20"/>
              </w:rPr>
            </w:pPr>
            <w:r w:rsidRPr="00C052DD">
              <w:rPr>
                <w:rFonts w:ascii="Arial Narrow" w:hAnsi="Arial Narrow"/>
                <w:strike/>
                <w:sz w:val="20"/>
              </w:rPr>
              <w:t xml:space="preserve">Patient must have provided evidence of an anaplastic lymphoma kinase (ALK) gene rearrangement prior to treatment with an </w:t>
            </w:r>
            <w:proofErr w:type="spellStart"/>
            <w:r w:rsidRPr="00C052DD">
              <w:rPr>
                <w:rFonts w:ascii="Arial Narrow" w:hAnsi="Arial Narrow"/>
                <w:strike/>
                <w:sz w:val="20"/>
              </w:rPr>
              <w:t>ALKi</w:t>
            </w:r>
            <w:proofErr w:type="spellEnd"/>
            <w:r w:rsidRPr="00C052DD">
              <w:rPr>
                <w:rFonts w:ascii="Arial Narrow" w:hAnsi="Arial Narrow"/>
                <w:strike/>
                <w:sz w:val="20"/>
              </w:rPr>
              <w:t>;</w:t>
            </w:r>
          </w:p>
          <w:p w:rsidR="00206C06" w:rsidRPr="004A5E49" w:rsidRDefault="00206C06" w:rsidP="009B3283">
            <w:pPr>
              <w:rPr>
                <w:rFonts w:ascii="Arial Narrow" w:hAnsi="Arial Narrow"/>
                <w:strike/>
                <w:sz w:val="20"/>
              </w:rPr>
            </w:pPr>
            <w:r w:rsidRPr="004A5E49">
              <w:rPr>
                <w:rFonts w:ascii="Arial Narrow" w:hAnsi="Arial Narrow"/>
                <w:strike/>
                <w:sz w:val="20"/>
              </w:rPr>
              <w:t>AND</w:t>
            </w:r>
          </w:p>
          <w:p w:rsidR="00206C06" w:rsidRPr="00C052DD" w:rsidRDefault="00206C06" w:rsidP="009B3283">
            <w:pPr>
              <w:rPr>
                <w:rFonts w:ascii="Arial Narrow" w:hAnsi="Arial Narrow"/>
                <w:sz w:val="20"/>
              </w:rPr>
            </w:pPr>
            <w:r w:rsidRPr="00C052DD">
              <w:rPr>
                <w:rFonts w:ascii="Arial Narrow" w:hAnsi="Arial Narrow"/>
                <w:sz w:val="20"/>
              </w:rPr>
              <w:t xml:space="preserve">The treatment must be </w:t>
            </w:r>
            <w:r w:rsidRPr="00C052DD">
              <w:rPr>
                <w:rFonts w:ascii="Arial Narrow" w:hAnsi="Arial Narrow"/>
                <w:i/>
                <w:sz w:val="20"/>
              </w:rPr>
              <w:t xml:space="preserve">the sole PBS-subsidised therapy for this condition </w:t>
            </w:r>
            <w:r w:rsidRPr="00C052DD">
              <w:rPr>
                <w:rFonts w:ascii="Arial Narrow" w:hAnsi="Arial Narrow"/>
                <w:strike/>
                <w:sz w:val="20"/>
              </w:rPr>
              <w:t>as monotherapy</w:t>
            </w:r>
            <w:r w:rsidRPr="00C052DD">
              <w:rPr>
                <w:rFonts w:ascii="Arial Narrow" w:hAnsi="Arial Narrow"/>
                <w:sz w:val="20"/>
              </w:rPr>
              <w:t>;</w:t>
            </w:r>
          </w:p>
          <w:p w:rsidR="00206C06" w:rsidRPr="00C052DD" w:rsidRDefault="00206C06" w:rsidP="009B3283">
            <w:pPr>
              <w:rPr>
                <w:rFonts w:ascii="Arial Narrow" w:hAnsi="Arial Narrow"/>
                <w:sz w:val="20"/>
              </w:rPr>
            </w:pPr>
            <w:r w:rsidRPr="00C052DD">
              <w:rPr>
                <w:rFonts w:ascii="Arial Narrow" w:hAnsi="Arial Narrow"/>
                <w:sz w:val="20"/>
              </w:rPr>
              <w:t>AND</w:t>
            </w:r>
          </w:p>
          <w:p w:rsidR="00206C06" w:rsidRPr="00C052DD" w:rsidRDefault="00206C06" w:rsidP="009B3283">
            <w:pPr>
              <w:rPr>
                <w:rFonts w:ascii="Arial Narrow" w:hAnsi="Arial Narrow"/>
                <w:sz w:val="20"/>
              </w:rPr>
            </w:pPr>
            <w:r w:rsidRPr="00C052DD">
              <w:rPr>
                <w:rFonts w:ascii="Arial Narrow" w:hAnsi="Arial Narrow"/>
                <w:sz w:val="20"/>
              </w:rPr>
              <w:t xml:space="preserve">Patient must </w:t>
            </w:r>
            <w:r w:rsidRPr="00C052DD">
              <w:rPr>
                <w:rFonts w:ascii="Arial Narrow" w:hAnsi="Arial Narrow"/>
                <w:strike/>
                <w:sz w:val="20"/>
              </w:rPr>
              <w:t>not have progressive</w:t>
            </w:r>
            <w:r w:rsidRPr="00C052DD">
              <w:rPr>
                <w:rFonts w:ascii="Arial Narrow" w:hAnsi="Arial Narrow"/>
                <w:sz w:val="20"/>
              </w:rPr>
              <w:t xml:space="preserve"> </w:t>
            </w:r>
            <w:r w:rsidRPr="00C052DD">
              <w:rPr>
                <w:rFonts w:ascii="Arial Narrow" w:hAnsi="Arial Narrow"/>
                <w:i/>
                <w:sz w:val="20"/>
              </w:rPr>
              <w:t xml:space="preserve">have stable or responding </w:t>
            </w:r>
            <w:r w:rsidRPr="00C052DD">
              <w:rPr>
                <w:rFonts w:ascii="Arial Narrow" w:hAnsi="Arial Narrow"/>
                <w:sz w:val="20"/>
              </w:rPr>
              <w:t>disease</w:t>
            </w:r>
          </w:p>
        </w:tc>
      </w:tr>
      <w:tr w:rsidR="00206C06" w:rsidRPr="00C052DD" w:rsidTr="004A5E49">
        <w:trPr>
          <w:cantSplit/>
          <w:trHeight w:val="360"/>
        </w:trPr>
        <w:tc>
          <w:tcPr>
            <w:tcW w:w="2835" w:type="dxa"/>
            <w:tcBorders>
              <w:top w:val="single" w:sz="4" w:space="0" w:color="auto"/>
              <w:left w:val="single" w:sz="4" w:space="0" w:color="auto"/>
              <w:bottom w:val="single" w:sz="4" w:space="0" w:color="auto"/>
              <w:right w:val="single" w:sz="4" w:space="0" w:color="auto"/>
            </w:tcBorders>
          </w:tcPr>
          <w:p w:rsidR="00206C06" w:rsidRPr="00C052DD" w:rsidRDefault="00206C06" w:rsidP="004A5E49">
            <w:pPr>
              <w:rPr>
                <w:rFonts w:ascii="Arial Narrow" w:hAnsi="Arial Narrow"/>
                <w:sz w:val="20"/>
              </w:rPr>
            </w:pPr>
            <w:r w:rsidRPr="00C052DD">
              <w:rPr>
                <w:rFonts w:ascii="Arial Narrow" w:hAnsi="Arial Narrow"/>
                <w:b/>
                <w:sz w:val="20"/>
              </w:rPr>
              <w:t>Administrative Advice</w:t>
            </w:r>
          </w:p>
        </w:tc>
        <w:tc>
          <w:tcPr>
            <w:tcW w:w="5528" w:type="dxa"/>
            <w:gridSpan w:val="5"/>
            <w:tcBorders>
              <w:top w:val="single" w:sz="4" w:space="0" w:color="auto"/>
              <w:left w:val="single" w:sz="4" w:space="0" w:color="auto"/>
              <w:bottom w:val="single" w:sz="4" w:space="0" w:color="auto"/>
              <w:right w:val="single" w:sz="4" w:space="0" w:color="auto"/>
            </w:tcBorders>
          </w:tcPr>
          <w:p w:rsidR="00206C06" w:rsidRPr="00C052DD" w:rsidRDefault="00206C06" w:rsidP="009B3283">
            <w:pPr>
              <w:rPr>
                <w:rFonts w:ascii="Arial Narrow" w:hAnsi="Arial Narrow"/>
                <w:i/>
                <w:sz w:val="20"/>
              </w:rPr>
            </w:pPr>
            <w:r w:rsidRPr="00C052DD">
              <w:rPr>
                <w:rFonts w:ascii="Arial Narrow" w:hAnsi="Arial Narrow"/>
                <w:i/>
                <w:sz w:val="20"/>
              </w:rPr>
              <w:t xml:space="preserve">No increase in the maximum quantity or number of units may be authorised. </w:t>
            </w:r>
          </w:p>
          <w:p w:rsidR="00206C06" w:rsidRPr="00C052DD" w:rsidRDefault="00206C06" w:rsidP="009B3283">
            <w:pPr>
              <w:rPr>
                <w:rFonts w:ascii="Arial Narrow" w:hAnsi="Arial Narrow"/>
                <w:i/>
                <w:sz w:val="20"/>
              </w:rPr>
            </w:pPr>
          </w:p>
          <w:p w:rsidR="00206C06" w:rsidRPr="00C052DD" w:rsidRDefault="00206C06" w:rsidP="009B3283">
            <w:pPr>
              <w:rPr>
                <w:rFonts w:ascii="Arial Narrow" w:hAnsi="Arial Narrow"/>
                <w:i/>
                <w:sz w:val="20"/>
              </w:rPr>
            </w:pPr>
            <w:r w:rsidRPr="00C052DD">
              <w:rPr>
                <w:rFonts w:ascii="Arial Narrow" w:hAnsi="Arial Narrow"/>
                <w:i/>
                <w:sz w:val="20"/>
              </w:rPr>
              <w:t xml:space="preserve">No increase in the maximum number of repeats may be authorised. </w:t>
            </w:r>
          </w:p>
          <w:p w:rsidR="00206C06" w:rsidRPr="00C052DD" w:rsidRDefault="00206C06" w:rsidP="009B3283">
            <w:pPr>
              <w:rPr>
                <w:rFonts w:ascii="Arial Narrow" w:hAnsi="Arial Narrow"/>
                <w:i/>
                <w:sz w:val="20"/>
              </w:rPr>
            </w:pPr>
          </w:p>
          <w:p w:rsidR="00206C06" w:rsidRPr="00C052DD" w:rsidRDefault="00206C06" w:rsidP="004A5E49">
            <w:pPr>
              <w:rPr>
                <w:rFonts w:ascii="Arial Narrow" w:hAnsi="Arial Narrow"/>
                <w:sz w:val="20"/>
              </w:rPr>
            </w:pPr>
            <w:r w:rsidRPr="00C052DD">
              <w:rPr>
                <w:rFonts w:ascii="Arial Narrow" w:hAnsi="Arial Narrow"/>
                <w:i/>
                <w:sz w:val="20"/>
              </w:rPr>
              <w:t>Special Pricing Arrangements apply.</w:t>
            </w:r>
          </w:p>
        </w:tc>
      </w:tr>
    </w:tbl>
    <w:p w:rsidR="00AE4460" w:rsidRPr="00C052DD" w:rsidRDefault="00AE4460" w:rsidP="00AE4460">
      <w:pPr>
        <w:widowControl/>
        <w:rPr>
          <w:szCs w:val="22"/>
        </w:rPr>
      </w:pPr>
    </w:p>
    <w:p w:rsidR="00B070C3" w:rsidRPr="00C052DD" w:rsidRDefault="00B070C3" w:rsidP="00F87D21">
      <w:pPr>
        <w:pStyle w:val="ListParagraph"/>
        <w:widowControl/>
        <w:numPr>
          <w:ilvl w:val="1"/>
          <w:numId w:val="1"/>
        </w:numPr>
      </w:pPr>
      <w:r w:rsidRPr="00C052DD">
        <w:rPr>
          <w:szCs w:val="22"/>
        </w:rPr>
        <w:t xml:space="preserve">The submission sought listing on the basis of a cost-minimisation </w:t>
      </w:r>
      <w:r w:rsidR="00721E3A" w:rsidRPr="00C052DD">
        <w:rPr>
          <w:szCs w:val="22"/>
        </w:rPr>
        <w:t>analysis</w:t>
      </w:r>
      <w:r w:rsidRPr="00C052DD">
        <w:rPr>
          <w:szCs w:val="22"/>
        </w:rPr>
        <w:t xml:space="preserve"> of </w:t>
      </w:r>
      <w:proofErr w:type="spellStart"/>
      <w:r w:rsidRPr="00C052DD">
        <w:rPr>
          <w:szCs w:val="22"/>
        </w:rPr>
        <w:t>ceritinib</w:t>
      </w:r>
      <w:proofErr w:type="spellEnd"/>
      <w:r w:rsidRPr="00C052DD">
        <w:rPr>
          <w:szCs w:val="22"/>
        </w:rPr>
        <w:t xml:space="preserve"> compared with platinum doublet chemotherapy followed by </w:t>
      </w:r>
      <w:proofErr w:type="spellStart"/>
      <w:r w:rsidRPr="00C052DD">
        <w:rPr>
          <w:szCs w:val="22"/>
        </w:rPr>
        <w:t>pemetrexed</w:t>
      </w:r>
      <w:proofErr w:type="spellEnd"/>
      <w:r w:rsidRPr="00C052DD">
        <w:rPr>
          <w:szCs w:val="22"/>
        </w:rPr>
        <w:t xml:space="preserve"> maintenance.</w:t>
      </w:r>
    </w:p>
    <w:p w:rsidR="007676CA" w:rsidRPr="00C052DD" w:rsidRDefault="007676CA" w:rsidP="007676CA"/>
    <w:p w:rsidR="007676CA" w:rsidRPr="00C052DD" w:rsidRDefault="005B299C" w:rsidP="007676CA">
      <w:pPr>
        <w:widowControl/>
        <w:rPr>
          <w:i/>
        </w:rPr>
      </w:pPr>
      <w:r w:rsidRPr="00C052DD">
        <w:rPr>
          <w:i/>
        </w:rPr>
        <w:t>For more details on PBAC’s view, see section 7 “PBAC Outcome”</w:t>
      </w:r>
      <w:r w:rsidR="004A5E49">
        <w:rPr>
          <w:i/>
        </w:rPr>
        <w:t>.</w:t>
      </w:r>
    </w:p>
    <w:p w:rsidR="005B299C" w:rsidRDefault="005B299C" w:rsidP="007676CA">
      <w:pPr>
        <w:widowControl/>
      </w:pPr>
    </w:p>
    <w:p w:rsidR="004A5E49" w:rsidRPr="00C052DD" w:rsidRDefault="004A5E49" w:rsidP="007676CA">
      <w:pPr>
        <w:widowControl/>
      </w:pPr>
    </w:p>
    <w:p w:rsidR="00B070C3" w:rsidRPr="00C052DD" w:rsidRDefault="00B070C3" w:rsidP="002F20CE">
      <w:pPr>
        <w:pStyle w:val="PBACHeading1"/>
        <w:keepNext/>
        <w:numPr>
          <w:ilvl w:val="0"/>
          <w:numId w:val="1"/>
        </w:numPr>
        <w:outlineLvl w:val="0"/>
      </w:pPr>
      <w:bookmarkStart w:id="5" w:name="_Toc461200665"/>
      <w:r w:rsidRPr="00C052DD">
        <w:lastRenderedPageBreak/>
        <w:t>Background</w:t>
      </w:r>
      <w:bookmarkEnd w:id="5"/>
    </w:p>
    <w:p w:rsidR="00B070C3" w:rsidRPr="004A5E49" w:rsidRDefault="00B070C3" w:rsidP="00B070C3">
      <w:pPr>
        <w:widowControl/>
        <w:rPr>
          <w:szCs w:val="22"/>
        </w:rPr>
      </w:pPr>
    </w:p>
    <w:p w:rsidR="007676CA" w:rsidRPr="00C052DD" w:rsidRDefault="007676CA" w:rsidP="00F87D21">
      <w:pPr>
        <w:pStyle w:val="ListParagraph"/>
        <w:widowControl/>
        <w:numPr>
          <w:ilvl w:val="1"/>
          <w:numId w:val="1"/>
        </w:numPr>
        <w:rPr>
          <w:szCs w:val="22"/>
        </w:rPr>
      </w:pPr>
      <w:proofErr w:type="spellStart"/>
      <w:r w:rsidRPr="00C052DD">
        <w:rPr>
          <w:szCs w:val="22"/>
        </w:rPr>
        <w:t>Ceritinib</w:t>
      </w:r>
      <w:proofErr w:type="spellEnd"/>
      <w:r w:rsidRPr="00C052DD">
        <w:rPr>
          <w:szCs w:val="22"/>
        </w:rPr>
        <w:t xml:space="preserve"> was TGA registered on 31 March 2016 for the following indication:</w:t>
      </w:r>
    </w:p>
    <w:p w:rsidR="00550C77" w:rsidRPr="00C052DD" w:rsidRDefault="007676CA" w:rsidP="007676CA">
      <w:pPr>
        <w:pStyle w:val="ListParagraph"/>
        <w:widowControl/>
        <w:rPr>
          <w:szCs w:val="22"/>
        </w:rPr>
      </w:pPr>
      <w:r w:rsidRPr="00C052DD">
        <w:rPr>
          <w:szCs w:val="22"/>
        </w:rPr>
        <w:t xml:space="preserve">“as monotherapy for the treatment of adult patients with anaplastic lymphoma kinase (ALK) positive locally advanced or metastatic non-small cell lung cancer (NSCLC) whose disease has progressed on or who are intolerant of </w:t>
      </w:r>
      <w:proofErr w:type="spellStart"/>
      <w:r w:rsidRPr="00C052DD">
        <w:rPr>
          <w:szCs w:val="22"/>
        </w:rPr>
        <w:t>crizotinib</w:t>
      </w:r>
      <w:proofErr w:type="spellEnd"/>
      <w:r w:rsidRPr="00C052DD">
        <w:rPr>
          <w:szCs w:val="22"/>
        </w:rPr>
        <w:t>.”</w:t>
      </w:r>
    </w:p>
    <w:p w:rsidR="00A97B1B" w:rsidRPr="004A5E49" w:rsidRDefault="00A97B1B" w:rsidP="004A5E49">
      <w:pPr>
        <w:widowControl/>
        <w:rPr>
          <w:szCs w:val="22"/>
        </w:rPr>
      </w:pPr>
    </w:p>
    <w:p w:rsidR="00B070C3" w:rsidRPr="00C052DD" w:rsidRDefault="00B070C3" w:rsidP="00F87D21">
      <w:pPr>
        <w:pStyle w:val="ListParagraph"/>
        <w:widowControl/>
        <w:numPr>
          <w:ilvl w:val="1"/>
          <w:numId w:val="1"/>
        </w:numPr>
        <w:rPr>
          <w:szCs w:val="22"/>
        </w:rPr>
      </w:pPr>
      <w:r w:rsidRPr="00C052DD">
        <w:rPr>
          <w:szCs w:val="22"/>
        </w:rPr>
        <w:t xml:space="preserve">This </w:t>
      </w:r>
      <w:r w:rsidR="007676CA" w:rsidRPr="00C052DD">
        <w:rPr>
          <w:szCs w:val="22"/>
        </w:rPr>
        <w:t xml:space="preserve">is </w:t>
      </w:r>
      <w:r w:rsidRPr="00C052DD">
        <w:rPr>
          <w:szCs w:val="22"/>
        </w:rPr>
        <w:t>the first consider</w:t>
      </w:r>
      <w:r w:rsidR="004A5E49">
        <w:rPr>
          <w:szCs w:val="22"/>
        </w:rPr>
        <w:t xml:space="preserve">ation of </w:t>
      </w:r>
      <w:proofErr w:type="spellStart"/>
      <w:r w:rsidR="004A5E49">
        <w:rPr>
          <w:szCs w:val="22"/>
        </w:rPr>
        <w:t>ceritinib</w:t>
      </w:r>
      <w:proofErr w:type="spellEnd"/>
      <w:r w:rsidR="004A5E49">
        <w:rPr>
          <w:szCs w:val="22"/>
        </w:rPr>
        <w:t xml:space="preserve"> by the PBAC.</w:t>
      </w:r>
    </w:p>
    <w:p w:rsidR="005B299C" w:rsidRPr="004A5E49" w:rsidRDefault="005B299C" w:rsidP="005B299C"/>
    <w:p w:rsidR="005B299C" w:rsidRPr="00C052DD" w:rsidRDefault="005B299C" w:rsidP="005B299C">
      <w:pPr>
        <w:widowControl/>
        <w:rPr>
          <w:i/>
        </w:rPr>
      </w:pPr>
      <w:r w:rsidRPr="00C052DD">
        <w:rPr>
          <w:i/>
        </w:rPr>
        <w:t>For more details on PBAC’s view, see section 7 “PBAC Outcome”</w:t>
      </w:r>
      <w:r w:rsidR="004A5E49">
        <w:rPr>
          <w:i/>
        </w:rPr>
        <w:t>.</w:t>
      </w:r>
    </w:p>
    <w:p w:rsidR="005B299C" w:rsidRPr="00C052DD" w:rsidRDefault="005B299C" w:rsidP="005B299C">
      <w:pPr>
        <w:widowControl/>
        <w:rPr>
          <w:i/>
        </w:rPr>
      </w:pPr>
    </w:p>
    <w:p w:rsidR="009C5FBE" w:rsidRPr="00C052DD" w:rsidRDefault="009C5FBE" w:rsidP="004A5E49">
      <w:pPr>
        <w:widowControl/>
      </w:pPr>
    </w:p>
    <w:p w:rsidR="00B070C3" w:rsidRPr="00C052DD" w:rsidRDefault="00B070C3" w:rsidP="002F20CE">
      <w:pPr>
        <w:pStyle w:val="PBACHeading1"/>
        <w:keepNext/>
        <w:numPr>
          <w:ilvl w:val="0"/>
          <w:numId w:val="1"/>
        </w:numPr>
        <w:outlineLvl w:val="0"/>
      </w:pPr>
      <w:bookmarkStart w:id="6" w:name="_Toc461200666"/>
      <w:r w:rsidRPr="00C052DD">
        <w:t>Clinical place for the proposed therapy</w:t>
      </w:r>
      <w:bookmarkEnd w:id="6"/>
    </w:p>
    <w:p w:rsidR="00B070C3" w:rsidRPr="00C052DD" w:rsidRDefault="00B070C3" w:rsidP="00B070C3">
      <w:pPr>
        <w:rPr>
          <w:szCs w:val="22"/>
        </w:rPr>
      </w:pPr>
    </w:p>
    <w:p w:rsidR="00B070C3" w:rsidRPr="00C052DD" w:rsidRDefault="00B070C3" w:rsidP="00F87D21">
      <w:pPr>
        <w:pStyle w:val="ListParagraph"/>
        <w:widowControl/>
        <w:numPr>
          <w:ilvl w:val="1"/>
          <w:numId w:val="1"/>
        </w:numPr>
        <w:rPr>
          <w:szCs w:val="22"/>
        </w:rPr>
      </w:pPr>
      <w:r w:rsidRPr="002571E8">
        <w:rPr>
          <w:i/>
          <w:szCs w:val="22"/>
        </w:rPr>
        <w:t>ALK</w:t>
      </w:r>
      <w:r w:rsidRPr="00C052DD">
        <w:rPr>
          <w:szCs w:val="22"/>
        </w:rPr>
        <w:t xml:space="preserve"> rearrangements are found in approximately 3-5% of cases of </w:t>
      </w:r>
      <w:r w:rsidR="006C36ED" w:rsidRPr="00C052DD">
        <w:rPr>
          <w:szCs w:val="22"/>
        </w:rPr>
        <w:t>NSCLC</w:t>
      </w:r>
      <w:r w:rsidRPr="00C052DD">
        <w:rPr>
          <w:szCs w:val="22"/>
        </w:rPr>
        <w:t xml:space="preserve"> and define a distinct molecular subtype of lung cancer. </w:t>
      </w:r>
      <w:proofErr w:type="spellStart"/>
      <w:r w:rsidRPr="00C052DD">
        <w:rPr>
          <w:szCs w:val="22"/>
        </w:rPr>
        <w:t>Ceritinib</w:t>
      </w:r>
      <w:proofErr w:type="spellEnd"/>
      <w:r w:rsidRPr="00C052DD">
        <w:rPr>
          <w:szCs w:val="22"/>
        </w:rPr>
        <w:t xml:space="preserve"> is an oral, second-generation </w:t>
      </w:r>
      <w:proofErr w:type="spellStart"/>
      <w:r w:rsidRPr="00C052DD">
        <w:rPr>
          <w:szCs w:val="22"/>
        </w:rPr>
        <w:t>ALKi</w:t>
      </w:r>
      <w:proofErr w:type="spellEnd"/>
      <w:r w:rsidR="00DD1EF9" w:rsidRPr="00C052DD">
        <w:rPr>
          <w:szCs w:val="22"/>
        </w:rPr>
        <w:t xml:space="preserve"> that</w:t>
      </w:r>
      <w:r w:rsidRPr="00C052DD">
        <w:rPr>
          <w:szCs w:val="22"/>
        </w:rPr>
        <w:t xml:space="preserve"> directly targets the ALK protein and acts as a tyrosine kinase inhibitor to inhibit </w:t>
      </w:r>
      <w:proofErr w:type="spellStart"/>
      <w:r w:rsidRPr="00C052DD">
        <w:rPr>
          <w:szCs w:val="22"/>
        </w:rPr>
        <w:t>autophosphorylation</w:t>
      </w:r>
      <w:proofErr w:type="spellEnd"/>
      <w:r w:rsidRPr="00C052DD">
        <w:rPr>
          <w:szCs w:val="22"/>
        </w:rPr>
        <w:t xml:space="preserve"> of ALK and ALK-mediated phosphorylation of downstream signalling proteins.</w:t>
      </w:r>
    </w:p>
    <w:p w:rsidR="005B299C" w:rsidRPr="002571E8" w:rsidRDefault="005B299C" w:rsidP="005B299C">
      <w:pPr>
        <w:widowControl/>
      </w:pPr>
    </w:p>
    <w:p w:rsidR="00B070C3" w:rsidRPr="00C052DD" w:rsidRDefault="00B070C3" w:rsidP="00EC3E2B">
      <w:pPr>
        <w:widowControl/>
        <w:rPr>
          <w:szCs w:val="22"/>
        </w:rPr>
      </w:pPr>
    </w:p>
    <w:p w:rsidR="00B070C3" w:rsidRPr="00C052DD" w:rsidRDefault="00B070C3" w:rsidP="002F20CE">
      <w:pPr>
        <w:pStyle w:val="PBACHeading1"/>
        <w:keepNext/>
        <w:numPr>
          <w:ilvl w:val="0"/>
          <w:numId w:val="1"/>
        </w:numPr>
        <w:outlineLvl w:val="0"/>
      </w:pPr>
      <w:bookmarkStart w:id="7" w:name="_Toc461200667"/>
      <w:r w:rsidRPr="00C052DD">
        <w:t>Comparator</w:t>
      </w:r>
      <w:bookmarkEnd w:id="7"/>
    </w:p>
    <w:p w:rsidR="00B070C3" w:rsidRPr="00C052DD" w:rsidRDefault="00B070C3" w:rsidP="00B070C3"/>
    <w:p w:rsidR="00B070C3" w:rsidRPr="00C052DD" w:rsidRDefault="00B070C3" w:rsidP="00F87D21">
      <w:pPr>
        <w:pStyle w:val="ListParagraph"/>
        <w:widowControl/>
        <w:numPr>
          <w:ilvl w:val="1"/>
          <w:numId w:val="1"/>
        </w:numPr>
        <w:rPr>
          <w:szCs w:val="22"/>
        </w:rPr>
      </w:pPr>
      <w:r w:rsidRPr="00C052DD">
        <w:rPr>
          <w:szCs w:val="22"/>
        </w:rPr>
        <w:t xml:space="preserve">The submission nominated platinum doublet chemotherapy (carboplatin or cisplatin with gemcitabine for up to 4 cycles) followed by </w:t>
      </w:r>
      <w:proofErr w:type="spellStart"/>
      <w:r w:rsidRPr="00C052DD">
        <w:rPr>
          <w:szCs w:val="22"/>
        </w:rPr>
        <w:t>pemetrexed</w:t>
      </w:r>
      <w:proofErr w:type="spellEnd"/>
      <w:r w:rsidRPr="00C052DD">
        <w:rPr>
          <w:szCs w:val="22"/>
        </w:rPr>
        <w:t xml:space="preserve"> maintenance until progression as the main comparato</w:t>
      </w:r>
      <w:r w:rsidR="002571E8">
        <w:rPr>
          <w:szCs w:val="22"/>
        </w:rPr>
        <w:t>r.</w:t>
      </w:r>
    </w:p>
    <w:p w:rsidR="00B070C3" w:rsidRPr="00C052DD" w:rsidRDefault="00B070C3" w:rsidP="00DB4D1F"/>
    <w:p w:rsidR="005B299C" w:rsidRPr="00C052DD" w:rsidRDefault="005B299C" w:rsidP="005B299C">
      <w:pPr>
        <w:widowControl/>
        <w:rPr>
          <w:i/>
        </w:rPr>
      </w:pPr>
      <w:r w:rsidRPr="00C052DD">
        <w:rPr>
          <w:i/>
        </w:rPr>
        <w:t>For more details on PBAC’s view, see section 7 “PBAC Outcome”</w:t>
      </w:r>
      <w:r w:rsidR="002571E8">
        <w:rPr>
          <w:i/>
        </w:rPr>
        <w:t>.</w:t>
      </w:r>
    </w:p>
    <w:p w:rsidR="005B299C" w:rsidRPr="00C052DD" w:rsidRDefault="005B299C" w:rsidP="00DB4D1F"/>
    <w:p w:rsidR="00B070C3" w:rsidRPr="00C052DD" w:rsidRDefault="00B070C3" w:rsidP="00B070C3">
      <w:pPr>
        <w:rPr>
          <w:szCs w:val="22"/>
        </w:rPr>
      </w:pPr>
    </w:p>
    <w:p w:rsidR="00B070C3" w:rsidRPr="00C052DD" w:rsidRDefault="00B070C3" w:rsidP="002F20CE">
      <w:pPr>
        <w:pStyle w:val="PBACHeading1"/>
        <w:keepNext/>
        <w:numPr>
          <w:ilvl w:val="0"/>
          <w:numId w:val="1"/>
        </w:numPr>
        <w:outlineLvl w:val="0"/>
      </w:pPr>
      <w:bookmarkStart w:id="8" w:name="_Toc461200668"/>
      <w:r w:rsidRPr="00C052DD">
        <w:t>Consideration of the evidence</w:t>
      </w:r>
      <w:bookmarkEnd w:id="8"/>
    </w:p>
    <w:p w:rsidR="00B070C3" w:rsidRPr="00C052DD" w:rsidRDefault="00B070C3" w:rsidP="00B070C3"/>
    <w:p w:rsidR="00404775" w:rsidRPr="00C052DD" w:rsidRDefault="00404775" w:rsidP="002F20CE">
      <w:pPr>
        <w:pStyle w:val="Heading2"/>
        <w:keepNext/>
        <w:rPr>
          <w:i/>
        </w:rPr>
      </w:pPr>
      <w:bookmarkStart w:id="9" w:name="_Toc461200669"/>
      <w:r w:rsidRPr="00C052DD">
        <w:rPr>
          <w:i/>
        </w:rPr>
        <w:t>Sponsor hearing</w:t>
      </w:r>
    </w:p>
    <w:p w:rsidR="00A57507" w:rsidRPr="00C052DD" w:rsidRDefault="00A57507" w:rsidP="00A57507"/>
    <w:p w:rsidR="00404775" w:rsidRPr="00C052DD" w:rsidRDefault="00404775" w:rsidP="00F87D21">
      <w:pPr>
        <w:numPr>
          <w:ilvl w:val="1"/>
          <w:numId w:val="1"/>
        </w:numPr>
        <w:contextualSpacing/>
        <w:rPr>
          <w:bCs/>
          <w:szCs w:val="22"/>
        </w:rPr>
      </w:pPr>
      <w:r w:rsidRPr="00C052DD">
        <w:rPr>
          <w:bCs/>
          <w:szCs w:val="22"/>
        </w:rPr>
        <w:t>The</w:t>
      </w:r>
      <w:r w:rsidR="00AC4605" w:rsidRPr="00C052DD">
        <w:rPr>
          <w:bCs/>
          <w:szCs w:val="22"/>
        </w:rPr>
        <w:t>re was no hearing for this item.</w:t>
      </w:r>
    </w:p>
    <w:p w:rsidR="00404775" w:rsidRPr="00C052DD" w:rsidRDefault="00404775" w:rsidP="00404775">
      <w:pPr>
        <w:rPr>
          <w:bCs/>
          <w:szCs w:val="22"/>
          <w:highlight w:val="yellow"/>
        </w:rPr>
      </w:pPr>
    </w:p>
    <w:p w:rsidR="00404775" w:rsidRPr="00C052DD" w:rsidRDefault="00404775" w:rsidP="00A57507">
      <w:pPr>
        <w:pStyle w:val="Heading2"/>
        <w:rPr>
          <w:i/>
        </w:rPr>
      </w:pPr>
      <w:r w:rsidRPr="00C052DD">
        <w:rPr>
          <w:i/>
        </w:rPr>
        <w:t>Consumer comments</w:t>
      </w:r>
    </w:p>
    <w:p w:rsidR="00A57507" w:rsidRPr="00C052DD" w:rsidRDefault="00A57507" w:rsidP="00A57507"/>
    <w:p w:rsidR="009740DA" w:rsidRPr="00C052DD" w:rsidRDefault="009740DA" w:rsidP="00F87D21">
      <w:pPr>
        <w:numPr>
          <w:ilvl w:val="1"/>
          <w:numId w:val="1"/>
        </w:numPr>
        <w:contextualSpacing/>
        <w:rPr>
          <w:bCs/>
          <w:szCs w:val="22"/>
        </w:rPr>
      </w:pPr>
      <w:r w:rsidRPr="00C052DD">
        <w:rPr>
          <w:bCs/>
          <w:szCs w:val="22"/>
        </w:rPr>
        <w:t>The PBAC noted and welcomed the input from individuals (18) and organisations (3) via the Consumer Comment</w:t>
      </w:r>
      <w:r w:rsidR="002571E8">
        <w:rPr>
          <w:bCs/>
          <w:szCs w:val="22"/>
        </w:rPr>
        <w:t>s facility on the PBS website.</w:t>
      </w:r>
    </w:p>
    <w:p w:rsidR="009740DA" w:rsidRPr="00C052DD" w:rsidRDefault="009740DA" w:rsidP="009740DA">
      <w:pPr>
        <w:contextualSpacing/>
        <w:rPr>
          <w:bCs/>
          <w:szCs w:val="22"/>
        </w:rPr>
      </w:pPr>
    </w:p>
    <w:p w:rsidR="009740DA" w:rsidRPr="00C052DD" w:rsidRDefault="00DD1EF9" w:rsidP="00F87D21">
      <w:pPr>
        <w:numPr>
          <w:ilvl w:val="1"/>
          <w:numId w:val="1"/>
        </w:numPr>
        <w:contextualSpacing/>
        <w:rPr>
          <w:bCs/>
          <w:szCs w:val="22"/>
        </w:rPr>
      </w:pPr>
      <w:r w:rsidRPr="00C052DD">
        <w:rPr>
          <w:bCs/>
          <w:szCs w:val="22"/>
        </w:rPr>
        <w:t xml:space="preserve">The </w:t>
      </w:r>
      <w:r w:rsidR="009740DA" w:rsidRPr="00C052DD">
        <w:rPr>
          <w:bCs/>
          <w:szCs w:val="22"/>
        </w:rPr>
        <w:t xml:space="preserve">comment from Rare Cancers Australia noted that </w:t>
      </w:r>
      <w:proofErr w:type="spellStart"/>
      <w:r w:rsidR="009740DA" w:rsidRPr="00C052DD">
        <w:rPr>
          <w:bCs/>
          <w:szCs w:val="22"/>
        </w:rPr>
        <w:t>ceritinib</w:t>
      </w:r>
      <w:proofErr w:type="spellEnd"/>
      <w:r w:rsidR="009740DA" w:rsidRPr="00C052DD">
        <w:rPr>
          <w:bCs/>
          <w:szCs w:val="22"/>
        </w:rPr>
        <w:t xml:space="preserve"> would make a big difference in the quality of life of patients who progress on </w:t>
      </w:r>
      <w:proofErr w:type="spellStart"/>
      <w:r w:rsidR="009740DA" w:rsidRPr="00C052DD">
        <w:rPr>
          <w:bCs/>
          <w:szCs w:val="22"/>
        </w:rPr>
        <w:t>crizotinib</w:t>
      </w:r>
      <w:proofErr w:type="spellEnd"/>
      <w:r w:rsidRPr="00C052DD">
        <w:rPr>
          <w:bCs/>
          <w:szCs w:val="22"/>
        </w:rPr>
        <w:t>.</w:t>
      </w:r>
      <w:r w:rsidR="009740DA" w:rsidRPr="00C052DD">
        <w:rPr>
          <w:bCs/>
          <w:szCs w:val="22"/>
        </w:rPr>
        <w:t xml:space="preserve"> </w:t>
      </w:r>
      <w:r w:rsidR="00BF7073" w:rsidRPr="00C052DD">
        <w:rPr>
          <w:bCs/>
          <w:szCs w:val="22"/>
        </w:rPr>
        <w:t>The a</w:t>
      </w:r>
      <w:r w:rsidR="009740DA" w:rsidRPr="00C052DD">
        <w:rPr>
          <w:bCs/>
          <w:szCs w:val="22"/>
        </w:rPr>
        <w:t xml:space="preserve">dvice received from the Lung Foundation </w:t>
      </w:r>
      <w:r w:rsidRPr="00C052DD">
        <w:rPr>
          <w:bCs/>
          <w:szCs w:val="22"/>
        </w:rPr>
        <w:t xml:space="preserve">placed </w:t>
      </w:r>
      <w:r w:rsidR="009740DA" w:rsidRPr="00C052DD">
        <w:rPr>
          <w:bCs/>
          <w:szCs w:val="22"/>
        </w:rPr>
        <w:t xml:space="preserve">emphasis on </w:t>
      </w:r>
      <w:proofErr w:type="spellStart"/>
      <w:r w:rsidR="009740DA" w:rsidRPr="00C052DD">
        <w:rPr>
          <w:bCs/>
          <w:szCs w:val="22"/>
        </w:rPr>
        <w:t>ceritinib</w:t>
      </w:r>
      <w:proofErr w:type="spellEnd"/>
      <w:r w:rsidR="009740DA" w:rsidRPr="00C052DD">
        <w:rPr>
          <w:bCs/>
          <w:szCs w:val="22"/>
        </w:rPr>
        <w:t xml:space="preserve"> being an effective option for second-line treatment of patients with </w:t>
      </w:r>
      <w:r w:rsidR="009740DA" w:rsidRPr="002571E8">
        <w:rPr>
          <w:bCs/>
          <w:i/>
          <w:szCs w:val="22"/>
        </w:rPr>
        <w:t>ALK</w:t>
      </w:r>
      <w:r w:rsidR="007D273D" w:rsidRPr="00C052DD">
        <w:rPr>
          <w:bCs/>
          <w:szCs w:val="22"/>
        </w:rPr>
        <w:t xml:space="preserve"> positive</w:t>
      </w:r>
      <w:r w:rsidR="009740DA" w:rsidRPr="00C052DD">
        <w:rPr>
          <w:bCs/>
          <w:szCs w:val="22"/>
        </w:rPr>
        <w:t xml:space="preserve"> NSCLC, particularly those with brain metastases. The Medical Oncology Group of Australia (MOGA) </w:t>
      </w:r>
      <w:r w:rsidRPr="00C052DD">
        <w:rPr>
          <w:bCs/>
          <w:szCs w:val="22"/>
        </w:rPr>
        <w:t xml:space="preserve">advised </w:t>
      </w:r>
      <w:r w:rsidR="009740DA" w:rsidRPr="00C052DD">
        <w:rPr>
          <w:bCs/>
          <w:szCs w:val="22"/>
        </w:rPr>
        <w:t>that</w:t>
      </w:r>
      <w:r w:rsidRPr="00C052DD">
        <w:rPr>
          <w:bCs/>
          <w:szCs w:val="22"/>
        </w:rPr>
        <w:t>, in its view,</w:t>
      </w:r>
      <w:r w:rsidR="009740DA" w:rsidRPr="00C052DD">
        <w:rPr>
          <w:bCs/>
          <w:szCs w:val="22"/>
        </w:rPr>
        <w:t xml:space="preserve"> </w:t>
      </w:r>
      <w:proofErr w:type="spellStart"/>
      <w:r w:rsidR="009740DA" w:rsidRPr="00C052DD">
        <w:rPr>
          <w:bCs/>
          <w:szCs w:val="22"/>
        </w:rPr>
        <w:t>ceritinib</w:t>
      </w:r>
      <w:proofErr w:type="spellEnd"/>
      <w:r w:rsidR="009740DA" w:rsidRPr="00C052DD">
        <w:rPr>
          <w:bCs/>
          <w:szCs w:val="22"/>
        </w:rPr>
        <w:t xml:space="preserve"> was of </w:t>
      </w:r>
      <w:r w:rsidR="007D273D" w:rsidRPr="00C052DD">
        <w:rPr>
          <w:bCs/>
          <w:szCs w:val="22"/>
        </w:rPr>
        <w:t>considerable</w:t>
      </w:r>
      <w:r w:rsidR="009740DA" w:rsidRPr="00C052DD">
        <w:rPr>
          <w:bCs/>
          <w:szCs w:val="22"/>
        </w:rPr>
        <w:t xml:space="preserve"> clinical value due to its high level of activity in heavily pre-treated patients and modest level of toxicity.</w:t>
      </w:r>
      <w:r w:rsidR="00BF7073" w:rsidRPr="00C052DD">
        <w:rPr>
          <w:bCs/>
          <w:szCs w:val="22"/>
        </w:rPr>
        <w:t xml:space="preserve"> </w:t>
      </w:r>
      <w:r w:rsidR="009740DA" w:rsidRPr="00C052DD">
        <w:rPr>
          <w:bCs/>
          <w:szCs w:val="22"/>
        </w:rPr>
        <w:t xml:space="preserve">The PBAC noted that this advice </w:t>
      </w:r>
      <w:r w:rsidR="003D5CFE" w:rsidRPr="00C052DD">
        <w:rPr>
          <w:bCs/>
          <w:szCs w:val="22"/>
        </w:rPr>
        <w:t>was</w:t>
      </w:r>
      <w:r w:rsidR="009740DA" w:rsidRPr="00C052DD">
        <w:rPr>
          <w:bCs/>
          <w:szCs w:val="22"/>
        </w:rPr>
        <w:t xml:space="preserve"> </w:t>
      </w:r>
      <w:r w:rsidR="00790AF9" w:rsidRPr="00C052DD">
        <w:rPr>
          <w:bCs/>
          <w:szCs w:val="22"/>
        </w:rPr>
        <w:t xml:space="preserve">supportive </w:t>
      </w:r>
      <w:r w:rsidR="009740DA" w:rsidRPr="00C052DD">
        <w:rPr>
          <w:bCs/>
          <w:szCs w:val="22"/>
        </w:rPr>
        <w:t>of the evidence provided in the submission.</w:t>
      </w:r>
    </w:p>
    <w:p w:rsidR="005B299C" w:rsidRPr="002571E8" w:rsidRDefault="005B299C" w:rsidP="00A57507">
      <w:pPr>
        <w:widowControl/>
      </w:pPr>
    </w:p>
    <w:p w:rsidR="009D3570" w:rsidRDefault="009D3570">
      <w:pPr>
        <w:widowControl/>
        <w:jc w:val="left"/>
        <w:rPr>
          <w:b/>
          <w:i/>
        </w:rPr>
      </w:pPr>
      <w:r>
        <w:rPr>
          <w:i/>
        </w:rPr>
        <w:br w:type="page"/>
      </w:r>
    </w:p>
    <w:p w:rsidR="00B070C3" w:rsidRPr="00C052DD" w:rsidRDefault="00B070C3" w:rsidP="00B070C3">
      <w:pPr>
        <w:pStyle w:val="Heading2"/>
        <w:rPr>
          <w:i/>
        </w:rPr>
      </w:pPr>
      <w:r w:rsidRPr="00C052DD">
        <w:rPr>
          <w:i/>
        </w:rPr>
        <w:lastRenderedPageBreak/>
        <w:t>Clinical trials</w:t>
      </w:r>
      <w:bookmarkEnd w:id="9"/>
    </w:p>
    <w:p w:rsidR="00B070C3" w:rsidRPr="00C052DD" w:rsidRDefault="00B070C3" w:rsidP="00B070C3">
      <w:pPr>
        <w:rPr>
          <w:szCs w:val="22"/>
        </w:rPr>
      </w:pPr>
    </w:p>
    <w:p w:rsidR="00B070C3" w:rsidRPr="00C052DD" w:rsidRDefault="00B070C3" w:rsidP="00F87D21">
      <w:pPr>
        <w:pStyle w:val="ListParagraph"/>
        <w:widowControl/>
        <w:numPr>
          <w:ilvl w:val="1"/>
          <w:numId w:val="1"/>
        </w:numPr>
        <w:rPr>
          <w:szCs w:val="22"/>
        </w:rPr>
      </w:pPr>
      <w:r w:rsidRPr="00C052DD">
        <w:t xml:space="preserve">The key evidence provided in the submission was one </w:t>
      </w:r>
      <w:r w:rsidR="002571E8">
        <w:t xml:space="preserve">randomised </w:t>
      </w:r>
      <w:r w:rsidRPr="00C052DD">
        <w:t xml:space="preserve">head-to-head open-label trial comparing </w:t>
      </w:r>
      <w:proofErr w:type="spellStart"/>
      <w:r w:rsidRPr="00C052DD">
        <w:t>ceritinib</w:t>
      </w:r>
      <w:proofErr w:type="spellEnd"/>
      <w:r w:rsidRPr="00C052DD">
        <w:t xml:space="preserve"> to chemotherapy (</w:t>
      </w:r>
      <w:proofErr w:type="spellStart"/>
      <w:r w:rsidRPr="00C052DD">
        <w:t>pemetrexed</w:t>
      </w:r>
      <w:proofErr w:type="spellEnd"/>
      <w:r w:rsidRPr="00C052DD">
        <w:t xml:space="preserve"> or </w:t>
      </w:r>
      <w:proofErr w:type="spellStart"/>
      <w:r w:rsidRPr="00C052DD">
        <w:t>docetaxel</w:t>
      </w:r>
      <w:proofErr w:type="spellEnd"/>
      <w:r w:rsidRPr="00C052DD">
        <w:t>, at the discretion of the investigators) over approximately 10 month</w:t>
      </w:r>
      <w:r w:rsidR="005D26EC" w:rsidRPr="00C052DD">
        <w:t>s</w:t>
      </w:r>
      <w:r w:rsidRPr="00C052DD">
        <w:t xml:space="preserve"> (n=231, </w:t>
      </w:r>
      <w:proofErr w:type="spellStart"/>
      <w:r w:rsidRPr="00C052DD">
        <w:t>c</w:t>
      </w:r>
      <w:r w:rsidR="009D3570">
        <w:t>eritinib</w:t>
      </w:r>
      <w:proofErr w:type="spellEnd"/>
      <w:r w:rsidR="009D3570">
        <w:t xml:space="preserve"> n=115, chemotherapy n=</w:t>
      </w:r>
      <w:r w:rsidRPr="00C052DD">
        <w:t>116).</w:t>
      </w:r>
      <w:r w:rsidR="002571E8">
        <w:rPr>
          <w:color w:val="3366FF"/>
        </w:rPr>
        <w:t xml:space="preserve"> </w:t>
      </w:r>
      <w:r w:rsidRPr="00C052DD">
        <w:t xml:space="preserve">The submission relied upon a sub-group analysis of patients who received </w:t>
      </w:r>
      <w:proofErr w:type="spellStart"/>
      <w:r w:rsidRPr="00C052DD">
        <w:t>pemetrexed</w:t>
      </w:r>
      <w:proofErr w:type="spellEnd"/>
      <w:r w:rsidRPr="00C052DD">
        <w:t xml:space="preserve"> (</w:t>
      </w:r>
      <w:proofErr w:type="spellStart"/>
      <w:r w:rsidRPr="00C052DD">
        <w:t>pemetrexed</w:t>
      </w:r>
      <w:proofErr w:type="spellEnd"/>
      <w:r w:rsidRPr="00C052DD">
        <w:t xml:space="preserve"> n=</w:t>
      </w:r>
      <w:r w:rsidR="000A536B">
        <w:rPr>
          <w:noProof/>
          <w:color w:val="000000"/>
          <w:highlight w:val="black"/>
        </w:rPr>
        <w:t>'''''''</w:t>
      </w:r>
      <w:r w:rsidRPr="00C052DD">
        <w:t xml:space="preserve">) in comparison with </w:t>
      </w:r>
      <w:proofErr w:type="spellStart"/>
      <w:r w:rsidRPr="00C052DD">
        <w:t>ceritinib</w:t>
      </w:r>
      <w:proofErr w:type="spellEnd"/>
      <w:r w:rsidRPr="00C052DD">
        <w:t xml:space="preserve">, to establish the claim of non-inferiority of </w:t>
      </w:r>
      <w:proofErr w:type="spellStart"/>
      <w:r w:rsidRPr="00C052DD">
        <w:t>ceritinib</w:t>
      </w:r>
      <w:proofErr w:type="spellEnd"/>
      <w:r w:rsidRPr="00C052DD">
        <w:t xml:space="preserve"> over </w:t>
      </w:r>
      <w:proofErr w:type="spellStart"/>
      <w:r w:rsidRPr="00C052DD">
        <w:t>pemetrexed</w:t>
      </w:r>
      <w:proofErr w:type="spellEnd"/>
      <w:r w:rsidRPr="00C052DD">
        <w:t xml:space="preserve">. The </w:t>
      </w:r>
      <w:r w:rsidR="00470F01" w:rsidRPr="00C052DD">
        <w:t xml:space="preserve">evaluation noted that the </w:t>
      </w:r>
      <w:r w:rsidRPr="00C052DD">
        <w:t xml:space="preserve">allocation to </w:t>
      </w:r>
      <w:proofErr w:type="spellStart"/>
      <w:r w:rsidRPr="00C052DD">
        <w:t>pemetrexed</w:t>
      </w:r>
      <w:proofErr w:type="spellEnd"/>
      <w:r w:rsidRPr="00C052DD">
        <w:t xml:space="preserve"> or </w:t>
      </w:r>
      <w:proofErr w:type="spellStart"/>
      <w:r w:rsidRPr="00C052DD">
        <w:t>docetaxel</w:t>
      </w:r>
      <w:proofErr w:type="spellEnd"/>
      <w:r w:rsidRPr="00C052DD">
        <w:t xml:space="preserve"> in the control arm was not stratified and it is unclear whether </w:t>
      </w:r>
      <w:r w:rsidR="006C36ED" w:rsidRPr="00C052DD">
        <w:t xml:space="preserve">confounding </w:t>
      </w:r>
      <w:r w:rsidRPr="00C052DD">
        <w:t xml:space="preserve">influenced </w:t>
      </w:r>
      <w:r w:rsidR="006C36ED" w:rsidRPr="00C052DD">
        <w:t>the results</w:t>
      </w:r>
      <w:r w:rsidRPr="00C052DD">
        <w:t>. The subgroup analysis was not pre-specified in the protocol.</w:t>
      </w:r>
    </w:p>
    <w:p w:rsidR="00B070C3" w:rsidRPr="00C052DD" w:rsidRDefault="00B070C3" w:rsidP="00B070C3">
      <w:pPr>
        <w:widowControl/>
        <w:rPr>
          <w:szCs w:val="22"/>
        </w:rPr>
      </w:pPr>
    </w:p>
    <w:p w:rsidR="00B070C3" w:rsidRPr="00C052DD" w:rsidRDefault="00B070C3" w:rsidP="00F87D21">
      <w:pPr>
        <w:pStyle w:val="ListParagraph"/>
        <w:widowControl/>
        <w:numPr>
          <w:ilvl w:val="1"/>
          <w:numId w:val="1"/>
        </w:numPr>
        <w:rPr>
          <w:szCs w:val="22"/>
        </w:rPr>
      </w:pPr>
      <w:r w:rsidRPr="00C052DD">
        <w:rPr>
          <w:szCs w:val="22"/>
        </w:rPr>
        <w:t>Details of the trial presented in the submission are provided in the table below.</w:t>
      </w:r>
    </w:p>
    <w:p w:rsidR="00B070C3" w:rsidRPr="002571E8" w:rsidRDefault="00B070C3" w:rsidP="00B070C3">
      <w:pPr>
        <w:widowControl/>
        <w:rPr>
          <w:szCs w:val="22"/>
        </w:rPr>
      </w:pPr>
    </w:p>
    <w:p w:rsidR="00B070C3" w:rsidRPr="00C052DD" w:rsidRDefault="00D629F1" w:rsidP="00D629F1">
      <w:pPr>
        <w:pStyle w:val="TableHeader"/>
        <w:ind w:firstLine="720"/>
      </w:pPr>
      <w:r w:rsidRPr="00C052DD">
        <w:t xml:space="preserve">Table </w:t>
      </w:r>
      <w:r w:rsidR="009636B2" w:rsidRPr="00C052DD">
        <w:t>1</w:t>
      </w:r>
      <w:r w:rsidRPr="00C052DD">
        <w:tab/>
      </w:r>
      <w:r w:rsidR="00B070C3" w:rsidRPr="00C052DD">
        <w:t>Trials and associated reports presented in the submission</w:t>
      </w:r>
    </w:p>
    <w:tbl>
      <w:tblPr>
        <w:tblW w:w="460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8"/>
        <w:gridCol w:w="5532"/>
        <w:gridCol w:w="1819"/>
      </w:tblGrid>
      <w:tr w:rsidR="00B070C3" w:rsidRPr="00C052DD" w:rsidTr="009D3570">
        <w:tc>
          <w:tcPr>
            <w:tcW w:w="608" w:type="pct"/>
          </w:tcPr>
          <w:p w:rsidR="00B070C3" w:rsidRPr="00C052DD" w:rsidRDefault="00B070C3" w:rsidP="00322906">
            <w:pPr>
              <w:pStyle w:val="Tabletext"/>
            </w:pPr>
            <w:r w:rsidRPr="00C052DD">
              <w:t>Trial ID</w:t>
            </w:r>
          </w:p>
        </w:tc>
        <w:tc>
          <w:tcPr>
            <w:tcW w:w="3305" w:type="pct"/>
          </w:tcPr>
          <w:p w:rsidR="00B070C3" w:rsidRPr="00C052DD" w:rsidRDefault="00B070C3" w:rsidP="00322906">
            <w:pPr>
              <w:pStyle w:val="Tabletext"/>
            </w:pPr>
            <w:r w:rsidRPr="00C052DD">
              <w:t>Protocol title/ Publication title</w:t>
            </w:r>
          </w:p>
        </w:tc>
        <w:tc>
          <w:tcPr>
            <w:tcW w:w="1087" w:type="pct"/>
          </w:tcPr>
          <w:p w:rsidR="00B070C3" w:rsidRPr="00C052DD" w:rsidRDefault="00B070C3" w:rsidP="00322906">
            <w:pPr>
              <w:pStyle w:val="Tabletext"/>
            </w:pPr>
            <w:r w:rsidRPr="00C052DD">
              <w:t>Publication citation</w:t>
            </w:r>
          </w:p>
        </w:tc>
      </w:tr>
      <w:tr w:rsidR="00B070C3" w:rsidRPr="00C052DD" w:rsidTr="009D3570">
        <w:tc>
          <w:tcPr>
            <w:tcW w:w="5000" w:type="pct"/>
            <w:gridSpan w:val="3"/>
            <w:tcBorders>
              <w:bottom w:val="single" w:sz="4" w:space="0" w:color="auto"/>
            </w:tcBorders>
          </w:tcPr>
          <w:p w:rsidR="00B070C3" w:rsidRPr="00C052DD" w:rsidRDefault="00B070C3" w:rsidP="00322906">
            <w:pPr>
              <w:pStyle w:val="Tabletext"/>
            </w:pPr>
            <w:r w:rsidRPr="00C052DD">
              <w:t>Direct randomised trial</w:t>
            </w:r>
          </w:p>
        </w:tc>
      </w:tr>
      <w:tr w:rsidR="00B070C3" w:rsidRPr="00C052DD" w:rsidTr="009D3570">
        <w:tc>
          <w:tcPr>
            <w:tcW w:w="608" w:type="pct"/>
            <w:tcBorders>
              <w:bottom w:val="single" w:sz="4" w:space="0" w:color="auto"/>
            </w:tcBorders>
          </w:tcPr>
          <w:p w:rsidR="00B070C3" w:rsidRPr="00C052DD" w:rsidRDefault="00B070C3" w:rsidP="00322906">
            <w:pPr>
              <w:pStyle w:val="Tabletext"/>
            </w:pPr>
            <w:r w:rsidRPr="00C052DD">
              <w:t>ASCEND-5</w:t>
            </w:r>
          </w:p>
        </w:tc>
        <w:tc>
          <w:tcPr>
            <w:tcW w:w="3305" w:type="pct"/>
            <w:tcBorders>
              <w:bottom w:val="single" w:sz="4" w:space="0" w:color="auto"/>
            </w:tcBorders>
          </w:tcPr>
          <w:p w:rsidR="00B070C3" w:rsidRPr="00C052DD" w:rsidRDefault="00B070C3" w:rsidP="00322906">
            <w:pPr>
              <w:pStyle w:val="Tabletext"/>
            </w:pPr>
            <w:r w:rsidRPr="00C052DD">
              <w:t xml:space="preserve">A Phase III, </w:t>
            </w:r>
            <w:proofErr w:type="spellStart"/>
            <w:r w:rsidRPr="00C052DD">
              <w:t>multicenter</w:t>
            </w:r>
            <w:proofErr w:type="spellEnd"/>
            <w:r w:rsidRPr="00C052DD">
              <w:t xml:space="preserve">, randomized, open-label study of oral LDK378 versus standard chemotherapy in adult patients with ALK-rearranged (ALK-positive) advanced non-small cell lung cancer who have been treated previously with chemotherapy (platinum doublet) and </w:t>
            </w:r>
            <w:proofErr w:type="spellStart"/>
            <w:r w:rsidRPr="00C052DD">
              <w:t>crizotinib</w:t>
            </w:r>
            <w:proofErr w:type="spellEnd"/>
            <w:r w:rsidRPr="00C052DD">
              <w:t>. First Available Results (FAR) Primary analysis. 7 June 2016.</w:t>
            </w:r>
          </w:p>
        </w:tc>
        <w:tc>
          <w:tcPr>
            <w:tcW w:w="1087" w:type="pct"/>
            <w:tcBorders>
              <w:bottom w:val="single" w:sz="4" w:space="0" w:color="auto"/>
            </w:tcBorders>
          </w:tcPr>
          <w:p w:rsidR="00B070C3" w:rsidRPr="00C052DD" w:rsidRDefault="00B070C3" w:rsidP="00322906">
            <w:pPr>
              <w:pStyle w:val="Tabletext"/>
            </w:pPr>
            <w:r w:rsidRPr="00C052DD">
              <w:t>FAR: 7 June 2016</w:t>
            </w:r>
          </w:p>
        </w:tc>
      </w:tr>
      <w:tr w:rsidR="00B070C3" w:rsidRPr="00C052DD" w:rsidTr="009D3570">
        <w:tc>
          <w:tcPr>
            <w:tcW w:w="608" w:type="pct"/>
            <w:tcBorders>
              <w:top w:val="single" w:sz="4" w:space="0" w:color="auto"/>
            </w:tcBorders>
          </w:tcPr>
          <w:p w:rsidR="00B070C3" w:rsidRPr="00C052DD" w:rsidRDefault="00B070C3" w:rsidP="00322906">
            <w:pPr>
              <w:pStyle w:val="Tabletext"/>
            </w:pPr>
          </w:p>
        </w:tc>
        <w:tc>
          <w:tcPr>
            <w:tcW w:w="3305" w:type="pct"/>
            <w:tcBorders>
              <w:top w:val="single" w:sz="4" w:space="0" w:color="auto"/>
            </w:tcBorders>
          </w:tcPr>
          <w:p w:rsidR="00B070C3" w:rsidRPr="00C052DD" w:rsidRDefault="00B070C3" w:rsidP="002571E8">
            <w:pPr>
              <w:pStyle w:val="Tabletext"/>
            </w:pPr>
            <w:r w:rsidRPr="00C052DD">
              <w:t xml:space="preserve">Clinical Trial Protocol. A phase III, </w:t>
            </w:r>
            <w:proofErr w:type="spellStart"/>
            <w:r w:rsidRPr="00C052DD">
              <w:t>multicenter</w:t>
            </w:r>
            <w:proofErr w:type="spellEnd"/>
            <w:r w:rsidRPr="00C052DD">
              <w:t xml:space="preserve">, randomized, open-label study of oral LDK378 versus standard chemotherapy in adult patients with ALK-rearranged (ALK-positive) advanced non-small cell lung cancer who have been treated previously with chemotherapy platinum doublet) and </w:t>
            </w:r>
            <w:proofErr w:type="spellStart"/>
            <w:r w:rsidRPr="00C052DD">
              <w:t>crizotinib</w:t>
            </w:r>
            <w:proofErr w:type="spellEnd"/>
            <w:r w:rsidRPr="00C052DD">
              <w:t>. 23 April 2015.</w:t>
            </w:r>
          </w:p>
        </w:tc>
        <w:tc>
          <w:tcPr>
            <w:tcW w:w="1087" w:type="pct"/>
            <w:tcBorders>
              <w:top w:val="single" w:sz="4" w:space="0" w:color="auto"/>
            </w:tcBorders>
          </w:tcPr>
          <w:p w:rsidR="00B070C3" w:rsidRPr="00C052DD" w:rsidRDefault="00B070C3" w:rsidP="00322906">
            <w:pPr>
              <w:pStyle w:val="Tabletext"/>
            </w:pPr>
            <w:r w:rsidRPr="00C052DD">
              <w:t>Protocol 23 April 2015</w:t>
            </w:r>
          </w:p>
        </w:tc>
      </w:tr>
    </w:tbl>
    <w:p w:rsidR="00FA2BFB" w:rsidRPr="00C052DD" w:rsidRDefault="00FA2BFB" w:rsidP="00FA2BFB">
      <w:pPr>
        <w:pStyle w:val="TableFooter"/>
        <w:ind w:left="720"/>
      </w:pPr>
      <w:r w:rsidRPr="00C052DD">
        <w:t xml:space="preserve">Source: </w:t>
      </w:r>
      <w:r w:rsidR="00FF4D96" w:rsidRPr="00C052DD">
        <w:t>Table 8, p42 of the submission.</w:t>
      </w:r>
    </w:p>
    <w:p w:rsidR="005E70BD" w:rsidRPr="002571E8" w:rsidRDefault="005E70BD">
      <w:pPr>
        <w:widowControl/>
        <w:jc w:val="left"/>
        <w:rPr>
          <w:szCs w:val="22"/>
        </w:rPr>
      </w:pPr>
    </w:p>
    <w:p w:rsidR="00B070C3" w:rsidRPr="00C052DD" w:rsidRDefault="00B070C3" w:rsidP="00F87D21">
      <w:pPr>
        <w:pStyle w:val="ListParagraph"/>
        <w:widowControl/>
        <w:numPr>
          <w:ilvl w:val="1"/>
          <w:numId w:val="1"/>
        </w:numPr>
        <w:rPr>
          <w:szCs w:val="22"/>
        </w:rPr>
      </w:pPr>
      <w:r w:rsidRPr="00C052DD">
        <w:rPr>
          <w:szCs w:val="22"/>
        </w:rPr>
        <w:t>The key features of the direct randomised trial are summarised in the table below.</w:t>
      </w:r>
    </w:p>
    <w:p w:rsidR="00B070C3" w:rsidRPr="00C052DD" w:rsidRDefault="00B070C3" w:rsidP="00B070C3">
      <w:pPr>
        <w:widowControl/>
        <w:rPr>
          <w:szCs w:val="22"/>
        </w:rPr>
      </w:pPr>
    </w:p>
    <w:p w:rsidR="00D629F1" w:rsidRPr="00C052DD" w:rsidRDefault="00D629F1" w:rsidP="009C5FBE">
      <w:pPr>
        <w:pStyle w:val="TableHeader"/>
        <w:ind w:firstLine="720"/>
      </w:pPr>
      <w:r w:rsidRPr="00C052DD">
        <w:t xml:space="preserve">Table </w:t>
      </w:r>
      <w:r w:rsidR="009636B2" w:rsidRPr="00C052DD">
        <w:t>2</w:t>
      </w:r>
      <w:r w:rsidRPr="00C052DD">
        <w:tab/>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6"/>
        <w:gridCol w:w="711"/>
        <w:gridCol w:w="2680"/>
        <w:gridCol w:w="1198"/>
        <w:gridCol w:w="1395"/>
        <w:gridCol w:w="1225"/>
      </w:tblGrid>
      <w:tr w:rsidR="00B070C3" w:rsidRPr="00C052DD" w:rsidTr="00322906">
        <w:tc>
          <w:tcPr>
            <w:tcW w:w="680" w:type="pct"/>
            <w:shd w:val="clear" w:color="auto" w:fill="auto"/>
            <w:vAlign w:val="center"/>
          </w:tcPr>
          <w:p w:rsidR="00B070C3" w:rsidRPr="00C052DD" w:rsidRDefault="00B070C3" w:rsidP="00322906">
            <w:pPr>
              <w:jc w:val="left"/>
              <w:rPr>
                <w:rFonts w:ascii="Arial Narrow" w:hAnsi="Arial Narrow"/>
                <w:b/>
                <w:sz w:val="20"/>
              </w:rPr>
            </w:pPr>
            <w:r w:rsidRPr="00C052DD">
              <w:rPr>
                <w:rFonts w:ascii="Arial Narrow" w:hAnsi="Arial Narrow"/>
                <w:b/>
                <w:sz w:val="20"/>
              </w:rPr>
              <w:t>Trial</w:t>
            </w:r>
          </w:p>
        </w:tc>
        <w:tc>
          <w:tcPr>
            <w:tcW w:w="426" w:type="pct"/>
            <w:shd w:val="clear" w:color="auto" w:fill="auto"/>
            <w:vAlign w:val="center"/>
          </w:tcPr>
          <w:p w:rsidR="00B070C3" w:rsidRPr="00C052DD" w:rsidRDefault="00B070C3" w:rsidP="00322906">
            <w:pPr>
              <w:jc w:val="center"/>
              <w:rPr>
                <w:rFonts w:ascii="Arial Narrow" w:hAnsi="Arial Narrow"/>
                <w:b/>
                <w:sz w:val="20"/>
              </w:rPr>
            </w:pPr>
            <w:r w:rsidRPr="00C052DD">
              <w:rPr>
                <w:rFonts w:ascii="Arial Narrow" w:hAnsi="Arial Narrow"/>
                <w:b/>
                <w:sz w:val="20"/>
              </w:rPr>
              <w:t>N</w:t>
            </w:r>
          </w:p>
        </w:tc>
        <w:tc>
          <w:tcPr>
            <w:tcW w:w="1606" w:type="pct"/>
            <w:shd w:val="clear" w:color="auto" w:fill="auto"/>
            <w:vAlign w:val="center"/>
          </w:tcPr>
          <w:p w:rsidR="00B070C3" w:rsidRPr="00C052DD" w:rsidRDefault="00B070C3" w:rsidP="00322906">
            <w:pPr>
              <w:jc w:val="center"/>
              <w:rPr>
                <w:rFonts w:ascii="Arial Narrow" w:hAnsi="Arial Narrow"/>
                <w:b/>
                <w:sz w:val="20"/>
              </w:rPr>
            </w:pPr>
            <w:r w:rsidRPr="00C052DD">
              <w:rPr>
                <w:rFonts w:ascii="Arial Narrow" w:hAnsi="Arial Narrow"/>
                <w:b/>
                <w:sz w:val="20"/>
              </w:rPr>
              <w:t>Design/ duration</w:t>
            </w:r>
          </w:p>
        </w:tc>
        <w:tc>
          <w:tcPr>
            <w:tcW w:w="718" w:type="pct"/>
            <w:shd w:val="clear" w:color="auto" w:fill="auto"/>
            <w:vAlign w:val="center"/>
          </w:tcPr>
          <w:p w:rsidR="00B070C3" w:rsidRPr="00C052DD" w:rsidRDefault="00B070C3" w:rsidP="00322906">
            <w:pPr>
              <w:jc w:val="center"/>
              <w:rPr>
                <w:rFonts w:ascii="Arial Narrow" w:hAnsi="Arial Narrow"/>
                <w:b/>
                <w:sz w:val="20"/>
              </w:rPr>
            </w:pPr>
            <w:r w:rsidRPr="00C052DD">
              <w:rPr>
                <w:rFonts w:ascii="Arial Narrow" w:hAnsi="Arial Narrow"/>
                <w:b/>
                <w:sz w:val="20"/>
              </w:rPr>
              <w:t>Risk of bias</w:t>
            </w:r>
          </w:p>
        </w:tc>
        <w:tc>
          <w:tcPr>
            <w:tcW w:w="836" w:type="pct"/>
            <w:shd w:val="clear" w:color="auto" w:fill="auto"/>
            <w:vAlign w:val="center"/>
          </w:tcPr>
          <w:p w:rsidR="00B070C3" w:rsidRPr="00C052DD" w:rsidRDefault="00B070C3" w:rsidP="00322906">
            <w:pPr>
              <w:jc w:val="center"/>
              <w:rPr>
                <w:rFonts w:ascii="Arial Narrow" w:hAnsi="Arial Narrow"/>
                <w:b/>
                <w:sz w:val="20"/>
              </w:rPr>
            </w:pPr>
            <w:r w:rsidRPr="00C052DD">
              <w:rPr>
                <w:rFonts w:ascii="Arial Narrow" w:hAnsi="Arial Narrow"/>
                <w:b/>
                <w:sz w:val="20"/>
              </w:rPr>
              <w:t>Patient population</w:t>
            </w:r>
          </w:p>
        </w:tc>
        <w:tc>
          <w:tcPr>
            <w:tcW w:w="734" w:type="pct"/>
            <w:shd w:val="clear" w:color="auto" w:fill="auto"/>
            <w:vAlign w:val="center"/>
          </w:tcPr>
          <w:p w:rsidR="00B070C3" w:rsidRPr="00C052DD" w:rsidRDefault="00B070C3" w:rsidP="00322906">
            <w:pPr>
              <w:jc w:val="center"/>
              <w:rPr>
                <w:rFonts w:ascii="Arial Narrow" w:hAnsi="Arial Narrow"/>
                <w:b/>
                <w:sz w:val="20"/>
              </w:rPr>
            </w:pPr>
            <w:r w:rsidRPr="00C052DD">
              <w:rPr>
                <w:rFonts w:ascii="Arial Narrow" w:hAnsi="Arial Narrow"/>
                <w:b/>
                <w:sz w:val="20"/>
              </w:rPr>
              <w:t>Outcome</w:t>
            </w:r>
          </w:p>
        </w:tc>
      </w:tr>
      <w:tr w:rsidR="00B070C3" w:rsidRPr="00C052DD" w:rsidTr="00322906">
        <w:tc>
          <w:tcPr>
            <w:tcW w:w="5000" w:type="pct"/>
            <w:gridSpan w:val="6"/>
            <w:shd w:val="clear" w:color="auto" w:fill="auto"/>
            <w:vAlign w:val="center"/>
          </w:tcPr>
          <w:p w:rsidR="00B070C3" w:rsidRPr="00C052DD" w:rsidRDefault="00B070C3" w:rsidP="00322906">
            <w:pPr>
              <w:jc w:val="left"/>
              <w:rPr>
                <w:rFonts w:ascii="Arial Narrow" w:hAnsi="Arial Narrow"/>
                <w:b/>
                <w:sz w:val="20"/>
              </w:rPr>
            </w:pPr>
            <w:proofErr w:type="spellStart"/>
            <w:r w:rsidRPr="00C052DD">
              <w:rPr>
                <w:rFonts w:ascii="Arial Narrow" w:hAnsi="Arial Narrow"/>
                <w:b/>
                <w:sz w:val="20"/>
              </w:rPr>
              <w:t>ceritinib</w:t>
            </w:r>
            <w:proofErr w:type="spellEnd"/>
            <w:r w:rsidRPr="00C052DD">
              <w:rPr>
                <w:rFonts w:ascii="Arial Narrow" w:hAnsi="Arial Narrow"/>
                <w:b/>
                <w:sz w:val="20"/>
              </w:rPr>
              <w:t xml:space="preserve"> vs. chemotherapy</w:t>
            </w:r>
          </w:p>
        </w:tc>
      </w:tr>
      <w:tr w:rsidR="00B070C3" w:rsidRPr="00C052DD" w:rsidTr="00322906">
        <w:tc>
          <w:tcPr>
            <w:tcW w:w="680" w:type="pct"/>
            <w:shd w:val="clear" w:color="auto" w:fill="auto"/>
            <w:vAlign w:val="center"/>
          </w:tcPr>
          <w:p w:rsidR="00B070C3" w:rsidRPr="00C052DD" w:rsidRDefault="00B070C3" w:rsidP="00322906">
            <w:pPr>
              <w:jc w:val="left"/>
              <w:rPr>
                <w:rFonts w:ascii="Arial Narrow" w:hAnsi="Arial Narrow"/>
                <w:sz w:val="20"/>
              </w:rPr>
            </w:pPr>
            <w:r w:rsidRPr="00C052DD">
              <w:rPr>
                <w:rFonts w:ascii="Arial Narrow" w:hAnsi="Arial Narrow"/>
                <w:sz w:val="20"/>
              </w:rPr>
              <w:t>ASCEND-5</w:t>
            </w:r>
          </w:p>
        </w:tc>
        <w:tc>
          <w:tcPr>
            <w:tcW w:w="426"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231</w:t>
            </w:r>
          </w:p>
        </w:tc>
        <w:tc>
          <w:tcPr>
            <w:tcW w:w="1606"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R, OL</w:t>
            </w:r>
          </w:p>
          <w:p w:rsidR="00B070C3" w:rsidRPr="00C052DD" w:rsidRDefault="00B070C3" w:rsidP="00322906">
            <w:pPr>
              <w:jc w:val="center"/>
              <w:rPr>
                <w:rFonts w:ascii="Arial Narrow" w:hAnsi="Arial Narrow"/>
                <w:sz w:val="20"/>
              </w:rPr>
            </w:pPr>
            <w:r w:rsidRPr="00C052DD">
              <w:rPr>
                <w:rFonts w:ascii="Arial Narrow" w:hAnsi="Arial Narrow"/>
                <w:sz w:val="20"/>
              </w:rPr>
              <w:t xml:space="preserve">Median </w:t>
            </w:r>
            <w:r w:rsidR="00A05571">
              <w:rPr>
                <w:rFonts w:ascii="Arial Narrow" w:hAnsi="Arial Narrow"/>
                <w:noProof/>
                <w:color w:val="000000"/>
                <w:sz w:val="20"/>
                <w:highlight w:val="black"/>
              </w:rPr>
              <w:t>''''''''''''''</w:t>
            </w:r>
            <w:r w:rsidRPr="00C052DD">
              <w:rPr>
                <w:rFonts w:ascii="Arial Narrow" w:hAnsi="Arial Narrow"/>
                <w:sz w:val="20"/>
              </w:rPr>
              <w:t xml:space="preserve"> </w:t>
            </w:r>
            <w:proofErr w:type="spellStart"/>
            <w:r w:rsidRPr="00C052DD">
              <w:rPr>
                <w:rFonts w:ascii="Arial Narrow" w:hAnsi="Arial Narrow"/>
                <w:sz w:val="20"/>
              </w:rPr>
              <w:t>mths</w:t>
            </w:r>
            <w:proofErr w:type="spellEnd"/>
            <w:r w:rsidRPr="00C052DD">
              <w:rPr>
                <w:rFonts w:ascii="Arial Narrow" w:hAnsi="Arial Narrow"/>
                <w:sz w:val="20"/>
              </w:rPr>
              <w:t xml:space="preserve"> (</w:t>
            </w:r>
            <w:proofErr w:type="spellStart"/>
            <w:r w:rsidRPr="00C052DD">
              <w:rPr>
                <w:rFonts w:ascii="Arial Narrow" w:hAnsi="Arial Narrow"/>
                <w:sz w:val="20"/>
              </w:rPr>
              <w:t>ceritinib</w:t>
            </w:r>
            <w:proofErr w:type="spellEnd"/>
            <w:r w:rsidRPr="00C052DD">
              <w:rPr>
                <w:rFonts w:ascii="Arial Narrow" w:hAnsi="Arial Narrow"/>
                <w:sz w:val="20"/>
              </w:rPr>
              <w:t xml:space="preserve"> arm)</w:t>
            </w:r>
          </w:p>
          <w:p w:rsidR="00B070C3" w:rsidRPr="00C052DD" w:rsidRDefault="00A05571" w:rsidP="00322906">
            <w:pPr>
              <w:jc w:val="center"/>
              <w:rPr>
                <w:rFonts w:ascii="Arial Narrow" w:hAnsi="Arial Narrow"/>
                <w:sz w:val="20"/>
              </w:rPr>
            </w:pPr>
            <w:r>
              <w:rPr>
                <w:rFonts w:ascii="Arial Narrow" w:hAnsi="Arial Narrow"/>
                <w:noProof/>
                <w:color w:val="000000"/>
                <w:sz w:val="20"/>
                <w:highlight w:val="black"/>
              </w:rPr>
              <w:t>''''''''''</w:t>
            </w:r>
            <w:r w:rsidR="00B070C3" w:rsidRPr="00C052DD">
              <w:rPr>
                <w:rFonts w:ascii="Arial Narrow" w:hAnsi="Arial Narrow"/>
                <w:sz w:val="20"/>
              </w:rPr>
              <w:t xml:space="preserve"> </w:t>
            </w:r>
            <w:proofErr w:type="spellStart"/>
            <w:r w:rsidR="00B070C3" w:rsidRPr="00C052DD">
              <w:rPr>
                <w:rFonts w:ascii="Arial Narrow" w:hAnsi="Arial Narrow"/>
                <w:sz w:val="20"/>
              </w:rPr>
              <w:t>mths</w:t>
            </w:r>
            <w:proofErr w:type="spellEnd"/>
            <w:r w:rsidR="00B070C3" w:rsidRPr="00C052DD">
              <w:rPr>
                <w:rFonts w:ascii="Arial Narrow" w:hAnsi="Arial Narrow"/>
                <w:sz w:val="20"/>
              </w:rPr>
              <w:t xml:space="preserve"> (chemo arm)</w:t>
            </w:r>
          </w:p>
        </w:tc>
        <w:tc>
          <w:tcPr>
            <w:tcW w:w="718"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Low/high*</w:t>
            </w:r>
          </w:p>
        </w:tc>
        <w:tc>
          <w:tcPr>
            <w:tcW w:w="836"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 xml:space="preserve">Failed chemo and </w:t>
            </w:r>
            <w:proofErr w:type="spellStart"/>
            <w:r w:rsidRPr="00C052DD">
              <w:rPr>
                <w:rFonts w:ascii="Arial Narrow" w:hAnsi="Arial Narrow"/>
                <w:sz w:val="20"/>
              </w:rPr>
              <w:t>crizotinib</w:t>
            </w:r>
            <w:proofErr w:type="spellEnd"/>
          </w:p>
        </w:tc>
        <w:tc>
          <w:tcPr>
            <w:tcW w:w="734"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PFS</w:t>
            </w:r>
          </w:p>
        </w:tc>
      </w:tr>
      <w:tr w:rsidR="00B070C3" w:rsidRPr="00C052DD" w:rsidTr="00322906">
        <w:tc>
          <w:tcPr>
            <w:tcW w:w="5000" w:type="pct"/>
            <w:gridSpan w:val="6"/>
            <w:shd w:val="clear" w:color="auto" w:fill="auto"/>
            <w:vAlign w:val="center"/>
          </w:tcPr>
          <w:p w:rsidR="00B070C3" w:rsidRPr="00C052DD" w:rsidRDefault="00B070C3" w:rsidP="00322906">
            <w:pPr>
              <w:jc w:val="left"/>
              <w:rPr>
                <w:rFonts w:ascii="Arial Narrow" w:hAnsi="Arial Narrow"/>
                <w:sz w:val="20"/>
              </w:rPr>
            </w:pPr>
            <w:proofErr w:type="spellStart"/>
            <w:r w:rsidRPr="00C052DD">
              <w:rPr>
                <w:rFonts w:ascii="Arial Narrow" w:hAnsi="Arial Narrow"/>
                <w:b/>
                <w:sz w:val="20"/>
              </w:rPr>
              <w:t>ceritinib</w:t>
            </w:r>
            <w:proofErr w:type="spellEnd"/>
            <w:r w:rsidRPr="00C052DD">
              <w:rPr>
                <w:rFonts w:ascii="Arial Narrow" w:hAnsi="Arial Narrow"/>
                <w:b/>
                <w:sz w:val="20"/>
              </w:rPr>
              <w:t xml:space="preserve"> vs. </w:t>
            </w:r>
            <w:proofErr w:type="spellStart"/>
            <w:r w:rsidRPr="00C052DD">
              <w:rPr>
                <w:rFonts w:ascii="Arial Narrow" w:hAnsi="Arial Narrow"/>
                <w:b/>
                <w:sz w:val="20"/>
              </w:rPr>
              <w:t>pemetrexed</w:t>
            </w:r>
            <w:proofErr w:type="spellEnd"/>
          </w:p>
        </w:tc>
      </w:tr>
      <w:tr w:rsidR="00B070C3" w:rsidRPr="00C052DD" w:rsidTr="00322906">
        <w:tc>
          <w:tcPr>
            <w:tcW w:w="680" w:type="pct"/>
            <w:shd w:val="clear" w:color="auto" w:fill="auto"/>
            <w:vAlign w:val="center"/>
          </w:tcPr>
          <w:p w:rsidR="00B070C3" w:rsidRPr="00C052DD" w:rsidRDefault="00B070C3" w:rsidP="00322906">
            <w:pPr>
              <w:jc w:val="left"/>
              <w:rPr>
                <w:rFonts w:ascii="Arial Narrow" w:hAnsi="Arial Narrow"/>
                <w:sz w:val="20"/>
              </w:rPr>
            </w:pPr>
            <w:r w:rsidRPr="00C052DD">
              <w:rPr>
                <w:rFonts w:ascii="Arial Narrow" w:hAnsi="Arial Narrow"/>
                <w:sz w:val="20"/>
              </w:rPr>
              <w:t>Subgroup of ASCEND-5</w:t>
            </w:r>
          </w:p>
        </w:tc>
        <w:tc>
          <w:tcPr>
            <w:tcW w:w="426" w:type="pct"/>
            <w:shd w:val="clear" w:color="auto" w:fill="auto"/>
            <w:vAlign w:val="center"/>
          </w:tcPr>
          <w:p w:rsidR="00B070C3" w:rsidRPr="00A05571" w:rsidRDefault="00A05571" w:rsidP="00322906">
            <w:pPr>
              <w:jc w:val="center"/>
              <w:rPr>
                <w:rFonts w:ascii="Arial Narrow" w:hAnsi="Arial Narrow"/>
                <w:sz w:val="20"/>
                <w:highlight w:val="black"/>
              </w:rPr>
            </w:pPr>
            <w:r>
              <w:rPr>
                <w:rFonts w:ascii="Arial Narrow" w:hAnsi="Arial Narrow"/>
                <w:noProof/>
                <w:color w:val="000000"/>
                <w:sz w:val="20"/>
                <w:highlight w:val="black"/>
              </w:rPr>
              <w:t>''''''''</w:t>
            </w:r>
          </w:p>
        </w:tc>
        <w:tc>
          <w:tcPr>
            <w:tcW w:w="1606"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NR, OL</w:t>
            </w:r>
          </w:p>
          <w:p w:rsidR="00B070C3" w:rsidRPr="00C052DD" w:rsidRDefault="00B070C3" w:rsidP="00322906">
            <w:pPr>
              <w:jc w:val="center"/>
              <w:rPr>
                <w:rFonts w:ascii="Arial Narrow" w:hAnsi="Arial Narrow"/>
                <w:sz w:val="20"/>
              </w:rPr>
            </w:pPr>
            <w:r w:rsidRPr="00C052DD">
              <w:rPr>
                <w:rFonts w:ascii="Arial Narrow" w:hAnsi="Arial Narrow"/>
                <w:sz w:val="20"/>
              </w:rPr>
              <w:t xml:space="preserve">Median </w:t>
            </w:r>
            <w:r w:rsidR="00A05571">
              <w:rPr>
                <w:rFonts w:ascii="Arial Narrow" w:hAnsi="Arial Narrow"/>
                <w:noProof/>
                <w:color w:val="000000"/>
                <w:sz w:val="20"/>
                <w:highlight w:val="black"/>
              </w:rPr>
              <w:t>'''''''''''''''</w:t>
            </w:r>
            <w:r w:rsidRPr="00C052DD">
              <w:rPr>
                <w:rFonts w:ascii="Arial Narrow" w:hAnsi="Arial Narrow"/>
                <w:sz w:val="20"/>
              </w:rPr>
              <w:t xml:space="preserve"> </w:t>
            </w:r>
            <w:proofErr w:type="spellStart"/>
            <w:r w:rsidRPr="00C052DD">
              <w:rPr>
                <w:rFonts w:ascii="Arial Narrow" w:hAnsi="Arial Narrow"/>
                <w:sz w:val="20"/>
              </w:rPr>
              <w:t>mths</w:t>
            </w:r>
            <w:proofErr w:type="spellEnd"/>
            <w:r w:rsidRPr="00C052DD">
              <w:rPr>
                <w:rFonts w:ascii="Arial Narrow" w:hAnsi="Arial Narrow"/>
                <w:sz w:val="20"/>
              </w:rPr>
              <w:t xml:space="preserve"> (</w:t>
            </w:r>
            <w:proofErr w:type="spellStart"/>
            <w:r w:rsidRPr="00C052DD">
              <w:rPr>
                <w:rFonts w:ascii="Arial Narrow" w:hAnsi="Arial Narrow"/>
                <w:sz w:val="20"/>
              </w:rPr>
              <w:t>ceritinib</w:t>
            </w:r>
            <w:proofErr w:type="spellEnd"/>
            <w:r w:rsidRPr="00C052DD">
              <w:rPr>
                <w:rFonts w:ascii="Arial Narrow" w:hAnsi="Arial Narrow"/>
                <w:sz w:val="20"/>
              </w:rPr>
              <w:t xml:space="preserve"> arm)</w:t>
            </w:r>
          </w:p>
          <w:p w:rsidR="00B070C3" w:rsidRPr="00C052DD" w:rsidRDefault="000A536B" w:rsidP="00322906">
            <w:pPr>
              <w:jc w:val="center"/>
              <w:rPr>
                <w:rFonts w:ascii="Arial Narrow" w:hAnsi="Arial Narrow"/>
                <w:sz w:val="20"/>
              </w:rPr>
            </w:pPr>
            <w:r>
              <w:rPr>
                <w:rFonts w:ascii="Arial Narrow" w:hAnsi="Arial Narrow"/>
                <w:noProof/>
                <w:color w:val="000000"/>
                <w:sz w:val="20"/>
                <w:highlight w:val="black"/>
              </w:rPr>
              <w:t>'''''''''''''''</w:t>
            </w:r>
            <w:r w:rsidR="00B070C3" w:rsidRPr="00C052DD">
              <w:rPr>
                <w:rFonts w:ascii="Arial Narrow" w:hAnsi="Arial Narrow"/>
                <w:sz w:val="20"/>
              </w:rPr>
              <w:t xml:space="preserve"> </w:t>
            </w:r>
            <w:proofErr w:type="spellStart"/>
            <w:r w:rsidR="00B070C3" w:rsidRPr="00C052DD">
              <w:rPr>
                <w:rFonts w:ascii="Arial Narrow" w:hAnsi="Arial Narrow"/>
                <w:sz w:val="20"/>
              </w:rPr>
              <w:t>mths</w:t>
            </w:r>
            <w:proofErr w:type="spellEnd"/>
            <w:r w:rsidR="00B070C3" w:rsidRPr="00C052DD">
              <w:rPr>
                <w:rFonts w:ascii="Arial Narrow" w:hAnsi="Arial Narrow"/>
                <w:sz w:val="20"/>
              </w:rPr>
              <w:t xml:space="preserve"> (</w:t>
            </w:r>
            <w:proofErr w:type="spellStart"/>
            <w:r w:rsidR="00B070C3" w:rsidRPr="00C052DD">
              <w:rPr>
                <w:rFonts w:ascii="Arial Narrow" w:hAnsi="Arial Narrow"/>
                <w:sz w:val="20"/>
              </w:rPr>
              <w:t>pemetrexed</w:t>
            </w:r>
            <w:proofErr w:type="spellEnd"/>
            <w:r w:rsidR="00B070C3" w:rsidRPr="00C052DD">
              <w:rPr>
                <w:rFonts w:ascii="Arial Narrow" w:hAnsi="Arial Narrow"/>
                <w:sz w:val="20"/>
              </w:rPr>
              <w:t xml:space="preserve"> arm)</w:t>
            </w:r>
          </w:p>
        </w:tc>
        <w:tc>
          <w:tcPr>
            <w:tcW w:w="718"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High**</w:t>
            </w:r>
          </w:p>
        </w:tc>
        <w:tc>
          <w:tcPr>
            <w:tcW w:w="836"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 xml:space="preserve">Failed chemo and </w:t>
            </w:r>
            <w:proofErr w:type="spellStart"/>
            <w:r w:rsidRPr="00C052DD">
              <w:rPr>
                <w:rFonts w:ascii="Arial Narrow" w:hAnsi="Arial Narrow"/>
                <w:sz w:val="20"/>
              </w:rPr>
              <w:t>crizotinib</w:t>
            </w:r>
            <w:proofErr w:type="spellEnd"/>
          </w:p>
        </w:tc>
        <w:tc>
          <w:tcPr>
            <w:tcW w:w="734" w:type="pct"/>
            <w:shd w:val="clear" w:color="auto" w:fill="auto"/>
            <w:vAlign w:val="center"/>
          </w:tcPr>
          <w:p w:rsidR="00B070C3" w:rsidRPr="00C052DD" w:rsidRDefault="00B070C3" w:rsidP="00322906">
            <w:pPr>
              <w:jc w:val="center"/>
              <w:rPr>
                <w:rFonts w:ascii="Arial Narrow" w:hAnsi="Arial Narrow"/>
                <w:sz w:val="20"/>
              </w:rPr>
            </w:pPr>
            <w:r w:rsidRPr="00C052DD">
              <w:rPr>
                <w:rFonts w:ascii="Arial Narrow" w:hAnsi="Arial Narrow"/>
                <w:sz w:val="20"/>
              </w:rPr>
              <w:t>PFS</w:t>
            </w:r>
          </w:p>
        </w:tc>
      </w:tr>
    </w:tbl>
    <w:p w:rsidR="00B070C3" w:rsidRPr="00C052DD" w:rsidRDefault="00B070C3" w:rsidP="00B070C3">
      <w:pPr>
        <w:pStyle w:val="TableFooter"/>
        <w:ind w:left="720"/>
      </w:pPr>
      <w:r w:rsidRPr="00C052DD">
        <w:t xml:space="preserve">R=randomised, NR = not randomised; OL=open label; PFS=progression-free survival; </w:t>
      </w:r>
      <w:proofErr w:type="spellStart"/>
      <w:r w:rsidRPr="00C052DD">
        <w:t>mths</w:t>
      </w:r>
      <w:proofErr w:type="spellEnd"/>
      <w:r w:rsidRPr="00C052DD">
        <w:t xml:space="preserve"> = months; chemo = chemotherapy.</w:t>
      </w:r>
    </w:p>
    <w:p w:rsidR="00B070C3" w:rsidRPr="00C052DD" w:rsidRDefault="00B070C3" w:rsidP="00B070C3">
      <w:pPr>
        <w:pStyle w:val="TableFooter"/>
        <w:ind w:left="720"/>
      </w:pPr>
      <w:r w:rsidRPr="00C052DD">
        <w:t>* For the primary endpoint of PFS, the overall risk of bias is low, given that it was determined by a blinded independent review committee (BIRC). However, due to the open-label design of the study, patient reported outcome measures may be subject to bias.</w:t>
      </w:r>
    </w:p>
    <w:p w:rsidR="00B070C3" w:rsidRPr="00C052DD" w:rsidRDefault="00B070C3" w:rsidP="00B070C3">
      <w:pPr>
        <w:pStyle w:val="TableFooter"/>
        <w:ind w:left="720"/>
      </w:pPr>
      <w:r w:rsidRPr="00C052DD">
        <w:t xml:space="preserve">** Since the allocation to </w:t>
      </w:r>
      <w:proofErr w:type="spellStart"/>
      <w:r w:rsidRPr="00C052DD">
        <w:t>pemetrexed</w:t>
      </w:r>
      <w:proofErr w:type="spellEnd"/>
      <w:r w:rsidRPr="00C052DD">
        <w:t xml:space="preserve"> was not randomised and the subgroup analysis was not pre-specified in the protocol, the analysis was subject to high risk of bias.</w:t>
      </w:r>
    </w:p>
    <w:p w:rsidR="00B070C3" w:rsidRPr="00C052DD" w:rsidRDefault="00B070C3" w:rsidP="00B070C3">
      <w:pPr>
        <w:pStyle w:val="TableFooter"/>
        <w:ind w:left="720"/>
      </w:pPr>
      <w:r w:rsidRPr="00C052DD">
        <w:t>Source: compiled during the evaluation</w:t>
      </w:r>
    </w:p>
    <w:p w:rsidR="00B070C3" w:rsidRPr="00C052DD" w:rsidRDefault="00B070C3" w:rsidP="00B070C3"/>
    <w:p w:rsidR="00B070C3" w:rsidRPr="00C052DD" w:rsidRDefault="00B070C3" w:rsidP="00F87D21">
      <w:pPr>
        <w:pStyle w:val="ListParagraph"/>
        <w:widowControl/>
        <w:numPr>
          <w:ilvl w:val="1"/>
          <w:numId w:val="1"/>
        </w:numPr>
        <w:rPr>
          <w:szCs w:val="22"/>
        </w:rPr>
      </w:pPr>
      <w:proofErr w:type="spellStart"/>
      <w:r w:rsidRPr="00C052DD">
        <w:rPr>
          <w:szCs w:val="22"/>
        </w:rPr>
        <w:t>Ceritinib</w:t>
      </w:r>
      <w:proofErr w:type="spellEnd"/>
      <w:r w:rsidRPr="00C052DD">
        <w:rPr>
          <w:szCs w:val="22"/>
        </w:rPr>
        <w:t xml:space="preserve"> was used as a 3</w:t>
      </w:r>
      <w:r w:rsidRPr="00C052DD">
        <w:rPr>
          <w:szCs w:val="22"/>
          <w:vertAlign w:val="superscript"/>
        </w:rPr>
        <w:t>rd</w:t>
      </w:r>
      <w:r w:rsidRPr="00C052DD">
        <w:rPr>
          <w:szCs w:val="22"/>
        </w:rPr>
        <w:t xml:space="preserve"> or </w:t>
      </w:r>
      <w:r w:rsidR="006C36ED" w:rsidRPr="00C052DD">
        <w:rPr>
          <w:szCs w:val="22"/>
        </w:rPr>
        <w:t>fourth</w:t>
      </w:r>
      <w:r w:rsidRPr="00C052DD">
        <w:rPr>
          <w:szCs w:val="22"/>
        </w:rPr>
        <w:t xml:space="preserve"> line therapy in ASCEND-5. The </w:t>
      </w:r>
      <w:r w:rsidR="00717FBC" w:rsidRPr="00C052DD">
        <w:rPr>
          <w:szCs w:val="22"/>
        </w:rPr>
        <w:t xml:space="preserve">evaluation noted that the </w:t>
      </w:r>
      <w:r w:rsidRPr="00C052DD">
        <w:rPr>
          <w:szCs w:val="22"/>
        </w:rPr>
        <w:t>comparator in the trial (</w:t>
      </w:r>
      <w:proofErr w:type="spellStart"/>
      <w:r w:rsidRPr="00C052DD">
        <w:rPr>
          <w:szCs w:val="22"/>
        </w:rPr>
        <w:t>docetaxel</w:t>
      </w:r>
      <w:proofErr w:type="spellEnd"/>
      <w:r w:rsidRPr="00C052DD">
        <w:rPr>
          <w:szCs w:val="22"/>
        </w:rPr>
        <w:t xml:space="preserve"> or </w:t>
      </w:r>
      <w:proofErr w:type="spellStart"/>
      <w:r w:rsidRPr="00C052DD">
        <w:rPr>
          <w:szCs w:val="22"/>
        </w:rPr>
        <w:t>pemetrexed</w:t>
      </w:r>
      <w:proofErr w:type="spellEnd"/>
      <w:r w:rsidRPr="00C052DD">
        <w:rPr>
          <w:szCs w:val="22"/>
        </w:rPr>
        <w:t xml:space="preserve">) did not </w:t>
      </w:r>
      <w:r w:rsidR="00717FBC" w:rsidRPr="00C052DD">
        <w:rPr>
          <w:szCs w:val="22"/>
        </w:rPr>
        <w:t xml:space="preserve">directly </w:t>
      </w:r>
      <w:r w:rsidRPr="00C052DD">
        <w:rPr>
          <w:szCs w:val="22"/>
        </w:rPr>
        <w:t xml:space="preserve">match the </w:t>
      </w:r>
      <w:r w:rsidR="00717FBC" w:rsidRPr="00C052DD">
        <w:rPr>
          <w:szCs w:val="22"/>
        </w:rPr>
        <w:t xml:space="preserve">submission’s </w:t>
      </w:r>
      <w:r w:rsidRPr="00C052DD">
        <w:rPr>
          <w:szCs w:val="22"/>
        </w:rPr>
        <w:t>proposed comparator of platinum chemotherapy foll</w:t>
      </w:r>
      <w:r w:rsidR="002571E8">
        <w:rPr>
          <w:szCs w:val="22"/>
        </w:rPr>
        <w:t xml:space="preserve">owed by </w:t>
      </w:r>
      <w:proofErr w:type="spellStart"/>
      <w:r w:rsidR="002571E8">
        <w:rPr>
          <w:szCs w:val="22"/>
        </w:rPr>
        <w:t>pemetrexed</w:t>
      </w:r>
      <w:proofErr w:type="spellEnd"/>
      <w:r w:rsidR="002571E8">
        <w:rPr>
          <w:szCs w:val="22"/>
        </w:rPr>
        <w:t xml:space="preserve"> maintenance.</w:t>
      </w:r>
    </w:p>
    <w:p w:rsidR="00717FBC" w:rsidRPr="002571E8" w:rsidRDefault="00717FBC" w:rsidP="00717FBC">
      <w:pPr>
        <w:widowControl/>
        <w:rPr>
          <w:szCs w:val="22"/>
        </w:rPr>
      </w:pPr>
    </w:p>
    <w:p w:rsidR="00B070C3" w:rsidRPr="00C052DD" w:rsidRDefault="00B070C3" w:rsidP="00F87D21">
      <w:pPr>
        <w:pStyle w:val="ListParagraph"/>
        <w:widowControl/>
        <w:numPr>
          <w:ilvl w:val="1"/>
          <w:numId w:val="1"/>
        </w:numPr>
        <w:rPr>
          <w:szCs w:val="22"/>
        </w:rPr>
      </w:pPr>
      <w:r w:rsidRPr="00C052DD">
        <w:rPr>
          <w:szCs w:val="22"/>
        </w:rPr>
        <w:t xml:space="preserve">The submission relied upon blinded independent review committee (BIRC) determined progression-free survival (PFS), the primary outcome in the ASCEND-5 trial, to determine non-inferiority of </w:t>
      </w:r>
      <w:proofErr w:type="spellStart"/>
      <w:r w:rsidRPr="00C052DD">
        <w:rPr>
          <w:szCs w:val="22"/>
        </w:rPr>
        <w:t>ceritinib</w:t>
      </w:r>
      <w:proofErr w:type="spellEnd"/>
      <w:r w:rsidRPr="00C052DD">
        <w:rPr>
          <w:szCs w:val="22"/>
        </w:rPr>
        <w:t xml:space="preserve"> over </w:t>
      </w:r>
      <w:proofErr w:type="spellStart"/>
      <w:r w:rsidRPr="00C052DD">
        <w:rPr>
          <w:szCs w:val="22"/>
        </w:rPr>
        <w:t>pemetrexed</w:t>
      </w:r>
      <w:proofErr w:type="spellEnd"/>
      <w:r w:rsidRPr="00C052DD">
        <w:rPr>
          <w:szCs w:val="22"/>
        </w:rPr>
        <w:t xml:space="preserve">. </w:t>
      </w:r>
      <w:r w:rsidR="00717FBC" w:rsidRPr="00C052DD">
        <w:rPr>
          <w:szCs w:val="22"/>
        </w:rPr>
        <w:t>The evaluation noted that it remains uncertain w</w:t>
      </w:r>
      <w:r w:rsidRPr="00C052DD">
        <w:rPr>
          <w:szCs w:val="22"/>
        </w:rPr>
        <w:t xml:space="preserve">hether </w:t>
      </w:r>
      <w:r w:rsidR="006C36ED" w:rsidRPr="00C052DD">
        <w:rPr>
          <w:szCs w:val="22"/>
        </w:rPr>
        <w:t>PFS</w:t>
      </w:r>
      <w:r w:rsidRPr="00C052DD">
        <w:rPr>
          <w:szCs w:val="22"/>
        </w:rPr>
        <w:t xml:space="preserve"> is an appropriate surrogate for overall survival </w:t>
      </w:r>
      <w:r w:rsidR="006C36ED" w:rsidRPr="00C052DD">
        <w:rPr>
          <w:szCs w:val="22"/>
        </w:rPr>
        <w:t xml:space="preserve">(OS) </w:t>
      </w:r>
      <w:r w:rsidRPr="00C052DD">
        <w:rPr>
          <w:szCs w:val="22"/>
        </w:rPr>
        <w:t>in NSCLC</w:t>
      </w:r>
      <w:r w:rsidR="00D629F1" w:rsidRPr="00C052DD">
        <w:rPr>
          <w:rStyle w:val="FootnoteReference"/>
          <w:szCs w:val="22"/>
        </w:rPr>
        <w:footnoteReference w:id="1"/>
      </w:r>
      <w:r w:rsidRPr="00C052DD">
        <w:rPr>
          <w:szCs w:val="22"/>
        </w:rPr>
        <w:t xml:space="preserve">. The results of OS </w:t>
      </w:r>
      <w:r w:rsidR="00B27A0A" w:rsidRPr="00C052DD">
        <w:rPr>
          <w:szCs w:val="22"/>
        </w:rPr>
        <w:t>were</w:t>
      </w:r>
      <w:r w:rsidRPr="00C052DD">
        <w:rPr>
          <w:szCs w:val="22"/>
        </w:rPr>
        <w:t xml:space="preserve"> confounded due to a considerable proportion of patients in the control arm switch</w:t>
      </w:r>
      <w:r w:rsidR="00B27A0A" w:rsidRPr="00C052DD">
        <w:rPr>
          <w:szCs w:val="22"/>
        </w:rPr>
        <w:t>ing</w:t>
      </w:r>
      <w:r w:rsidRPr="00C052DD">
        <w:rPr>
          <w:szCs w:val="22"/>
        </w:rPr>
        <w:t xml:space="preserve"> to </w:t>
      </w:r>
      <w:proofErr w:type="spellStart"/>
      <w:r w:rsidRPr="00C052DD">
        <w:rPr>
          <w:szCs w:val="22"/>
        </w:rPr>
        <w:t>ceritinib</w:t>
      </w:r>
      <w:proofErr w:type="spellEnd"/>
      <w:r w:rsidRPr="00C052DD">
        <w:rPr>
          <w:szCs w:val="22"/>
        </w:rPr>
        <w:t xml:space="preserve"> after progression on chemotherapy.</w:t>
      </w:r>
    </w:p>
    <w:p w:rsidR="009A254C" w:rsidRPr="002571E8" w:rsidRDefault="009A254C" w:rsidP="009A254C">
      <w:pPr>
        <w:rPr>
          <w:szCs w:val="22"/>
        </w:rPr>
      </w:pPr>
    </w:p>
    <w:p w:rsidR="009A254C" w:rsidRPr="00C052DD" w:rsidRDefault="009A254C" w:rsidP="00F87D21">
      <w:pPr>
        <w:pStyle w:val="ListParagraph"/>
        <w:widowControl/>
        <w:numPr>
          <w:ilvl w:val="1"/>
          <w:numId w:val="1"/>
        </w:numPr>
        <w:rPr>
          <w:szCs w:val="22"/>
        </w:rPr>
      </w:pPr>
      <w:r w:rsidRPr="00C052DD">
        <w:rPr>
          <w:szCs w:val="22"/>
        </w:rPr>
        <w:t>Patient reported outcome questionnaires (EORTC QLQ-C30/LC13, Lung Cancer Symptom Scale (LCSS) and EQ-5D) were collected at baseline, during treatment and up until progression (even i</w:t>
      </w:r>
      <w:r w:rsidR="002571E8">
        <w:rPr>
          <w:szCs w:val="22"/>
        </w:rPr>
        <w:t>f treatment was stopped prior).</w:t>
      </w:r>
    </w:p>
    <w:p w:rsidR="00B070C3" w:rsidRPr="00C052DD" w:rsidRDefault="00B070C3" w:rsidP="00B070C3"/>
    <w:p w:rsidR="00B070C3" w:rsidRPr="00C052DD" w:rsidRDefault="00B070C3" w:rsidP="00B070C3">
      <w:pPr>
        <w:pStyle w:val="Heading2"/>
        <w:rPr>
          <w:i/>
        </w:rPr>
      </w:pPr>
      <w:bookmarkStart w:id="10" w:name="_Toc461200670"/>
      <w:r w:rsidRPr="00C052DD">
        <w:rPr>
          <w:i/>
        </w:rPr>
        <w:t>Comparative effectiveness</w:t>
      </w:r>
      <w:bookmarkEnd w:id="10"/>
    </w:p>
    <w:p w:rsidR="00B070C3" w:rsidRPr="00C052DD" w:rsidRDefault="00B070C3" w:rsidP="00B070C3">
      <w:pPr>
        <w:rPr>
          <w:szCs w:val="22"/>
        </w:rPr>
      </w:pPr>
    </w:p>
    <w:p w:rsidR="00B070C3" w:rsidRPr="00C052DD" w:rsidRDefault="00B070C3" w:rsidP="00F87D21">
      <w:pPr>
        <w:pStyle w:val="ListParagraph"/>
        <w:widowControl/>
        <w:numPr>
          <w:ilvl w:val="1"/>
          <w:numId w:val="1"/>
        </w:numPr>
        <w:rPr>
          <w:szCs w:val="22"/>
        </w:rPr>
      </w:pPr>
      <w:r w:rsidRPr="00C052DD">
        <w:rPr>
          <w:szCs w:val="22"/>
        </w:rPr>
        <w:t xml:space="preserve">The difference in median </w:t>
      </w:r>
      <w:r w:rsidR="006C36ED" w:rsidRPr="00C052DD">
        <w:rPr>
          <w:szCs w:val="22"/>
        </w:rPr>
        <w:t xml:space="preserve">PFS </w:t>
      </w:r>
      <w:r w:rsidRPr="00C052DD">
        <w:rPr>
          <w:szCs w:val="22"/>
        </w:rPr>
        <w:t xml:space="preserve">for the full analysis set is 3.8 months and 5.1 months when progression is determined by BIRC and investigators, respectively. In both BIRC and investigator analyses, the hazard ratio (HR) favours </w:t>
      </w:r>
      <w:proofErr w:type="spellStart"/>
      <w:r w:rsidRPr="00C052DD">
        <w:rPr>
          <w:szCs w:val="22"/>
        </w:rPr>
        <w:t>ceritinib</w:t>
      </w:r>
      <w:proofErr w:type="spellEnd"/>
      <w:r w:rsidRPr="00C052DD">
        <w:rPr>
          <w:szCs w:val="22"/>
        </w:rPr>
        <w:t xml:space="preserve"> and is statistically significant (</w:t>
      </w:r>
      <w:r w:rsidR="009636B2" w:rsidRPr="00C052DD">
        <w:t>Table 3</w:t>
      </w:r>
      <w:r w:rsidRPr="00C052DD">
        <w:rPr>
          <w:szCs w:val="22"/>
        </w:rPr>
        <w:t>).</w:t>
      </w:r>
    </w:p>
    <w:p w:rsidR="005E70BD" w:rsidRPr="002571E8" w:rsidRDefault="005E70BD">
      <w:pPr>
        <w:widowControl/>
        <w:jc w:val="left"/>
        <w:rPr>
          <w:szCs w:val="22"/>
        </w:rPr>
      </w:pPr>
      <w:bookmarkStart w:id="11" w:name="_Ref459044352"/>
    </w:p>
    <w:p w:rsidR="00B070C3" w:rsidRPr="00C052DD" w:rsidRDefault="00624E96" w:rsidP="00B070C3">
      <w:pPr>
        <w:pStyle w:val="Caption"/>
        <w:keepNext/>
        <w:ind w:firstLine="720"/>
      </w:pPr>
      <w:r w:rsidRPr="00C052DD">
        <w:t xml:space="preserve">Table </w:t>
      </w:r>
      <w:r w:rsidR="009636B2" w:rsidRPr="00C052DD">
        <w:t>3</w:t>
      </w:r>
      <w:bookmarkEnd w:id="11"/>
      <w:r w:rsidRPr="00C052DD">
        <w:tab/>
      </w:r>
      <w:r w:rsidR="00B070C3" w:rsidRPr="00C052DD">
        <w:t xml:space="preserve">Results of progression free survival (BIRC and Investigator) for the full analysis set in ASCEND-5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218"/>
        <w:gridCol w:w="1376"/>
        <w:gridCol w:w="889"/>
        <w:gridCol w:w="1318"/>
        <w:gridCol w:w="903"/>
        <w:gridCol w:w="1473"/>
      </w:tblGrid>
      <w:tr w:rsidR="00B070C3" w:rsidRPr="00C052DD" w:rsidTr="000E49F4">
        <w:trPr>
          <w:tblHeader/>
        </w:trPr>
        <w:tc>
          <w:tcPr>
            <w:tcW w:w="1186" w:type="dxa"/>
          </w:tcPr>
          <w:p w:rsidR="00B070C3" w:rsidRPr="00C052DD" w:rsidRDefault="00B070C3" w:rsidP="00322906">
            <w:pPr>
              <w:pStyle w:val="TableHeading"/>
              <w:keepNext w:val="0"/>
              <w:rPr>
                <w:bCs w:val="0"/>
              </w:rPr>
            </w:pPr>
          </w:p>
        </w:tc>
        <w:tc>
          <w:tcPr>
            <w:tcW w:w="2594" w:type="dxa"/>
            <w:gridSpan w:val="2"/>
          </w:tcPr>
          <w:p w:rsidR="00B070C3" w:rsidRPr="00C052DD" w:rsidRDefault="00B070C3" w:rsidP="00322906">
            <w:pPr>
              <w:pStyle w:val="TableHeading"/>
              <w:keepNext w:val="0"/>
              <w:jc w:val="center"/>
            </w:pPr>
            <w:proofErr w:type="spellStart"/>
            <w:r w:rsidRPr="00C052DD">
              <w:t>Ceritinib</w:t>
            </w:r>
            <w:proofErr w:type="spellEnd"/>
          </w:p>
        </w:tc>
        <w:tc>
          <w:tcPr>
            <w:tcW w:w="2207" w:type="dxa"/>
            <w:gridSpan w:val="2"/>
          </w:tcPr>
          <w:p w:rsidR="00B070C3" w:rsidRPr="00C052DD" w:rsidRDefault="00B070C3" w:rsidP="00322906">
            <w:pPr>
              <w:pStyle w:val="TableHeading"/>
              <w:keepNext w:val="0"/>
              <w:jc w:val="center"/>
            </w:pPr>
            <w:r w:rsidRPr="00C052DD">
              <w:t>Chemotherapy</w:t>
            </w:r>
          </w:p>
        </w:tc>
        <w:tc>
          <w:tcPr>
            <w:tcW w:w="903" w:type="dxa"/>
            <w:vMerge w:val="restart"/>
          </w:tcPr>
          <w:p w:rsidR="00B070C3" w:rsidRPr="00C052DD" w:rsidRDefault="00B070C3" w:rsidP="00322906">
            <w:pPr>
              <w:pStyle w:val="TableHeading"/>
              <w:keepNext w:val="0"/>
            </w:pPr>
            <w:r w:rsidRPr="00C052DD">
              <w:t>Diff. in medians</w:t>
            </w:r>
          </w:p>
        </w:tc>
        <w:tc>
          <w:tcPr>
            <w:tcW w:w="1473" w:type="dxa"/>
            <w:vMerge w:val="restart"/>
          </w:tcPr>
          <w:p w:rsidR="00B070C3" w:rsidRPr="00C052DD" w:rsidRDefault="00B070C3" w:rsidP="00322906">
            <w:pPr>
              <w:pStyle w:val="TableHeading"/>
              <w:keepNext w:val="0"/>
            </w:pPr>
            <w:r w:rsidRPr="00C052DD">
              <w:t>Hazard ratio (95% CI)</w:t>
            </w:r>
          </w:p>
          <w:p w:rsidR="00B070C3" w:rsidRPr="00C052DD" w:rsidRDefault="00B070C3" w:rsidP="00322906">
            <w:pPr>
              <w:pStyle w:val="TableHeading"/>
              <w:keepNext w:val="0"/>
            </w:pPr>
            <w:r w:rsidRPr="00C052DD">
              <w:t>Log rank p value</w:t>
            </w:r>
          </w:p>
        </w:tc>
      </w:tr>
      <w:tr w:rsidR="00B070C3" w:rsidRPr="00C052DD" w:rsidTr="000E49F4">
        <w:trPr>
          <w:tblHeader/>
        </w:trPr>
        <w:tc>
          <w:tcPr>
            <w:tcW w:w="1186" w:type="dxa"/>
          </w:tcPr>
          <w:p w:rsidR="00B070C3" w:rsidRPr="00C052DD" w:rsidRDefault="00B070C3" w:rsidP="00322906">
            <w:pPr>
              <w:pStyle w:val="TableHeading"/>
              <w:keepNext w:val="0"/>
              <w:rPr>
                <w:bCs w:val="0"/>
              </w:rPr>
            </w:pPr>
          </w:p>
        </w:tc>
        <w:tc>
          <w:tcPr>
            <w:tcW w:w="1218" w:type="dxa"/>
          </w:tcPr>
          <w:p w:rsidR="00B070C3" w:rsidRPr="00C052DD" w:rsidRDefault="00B070C3" w:rsidP="00322906">
            <w:pPr>
              <w:pStyle w:val="TableHeading"/>
              <w:keepNext w:val="0"/>
              <w:rPr>
                <w:bCs w:val="0"/>
              </w:rPr>
            </w:pPr>
            <w:proofErr w:type="gramStart"/>
            <w:r w:rsidRPr="00C052DD">
              <w:rPr>
                <w:rStyle w:val="Emphasis"/>
                <w:i w:val="0"/>
              </w:rPr>
              <w:t>n/N</w:t>
            </w:r>
            <w:proofErr w:type="gramEnd"/>
            <w:r w:rsidRPr="00C052DD">
              <w:t xml:space="preserve"> with event (%)</w:t>
            </w:r>
          </w:p>
        </w:tc>
        <w:tc>
          <w:tcPr>
            <w:tcW w:w="1376" w:type="dxa"/>
          </w:tcPr>
          <w:p w:rsidR="00B070C3" w:rsidRPr="00C052DD" w:rsidRDefault="00B070C3" w:rsidP="00322906">
            <w:pPr>
              <w:pStyle w:val="TableHeading"/>
              <w:keepNext w:val="0"/>
              <w:rPr>
                <w:bCs w:val="0"/>
              </w:rPr>
            </w:pPr>
            <w:r w:rsidRPr="00C052DD">
              <w:t xml:space="preserve">Median months to event </w:t>
            </w:r>
            <w:r w:rsidRPr="00C052DD">
              <w:br/>
              <w:t>(95% CI)</w:t>
            </w:r>
          </w:p>
        </w:tc>
        <w:tc>
          <w:tcPr>
            <w:tcW w:w="889" w:type="dxa"/>
          </w:tcPr>
          <w:p w:rsidR="00B070C3" w:rsidRPr="00C052DD" w:rsidRDefault="00B070C3" w:rsidP="00322906">
            <w:pPr>
              <w:pStyle w:val="TableHeading"/>
              <w:keepNext w:val="0"/>
              <w:rPr>
                <w:bCs w:val="0"/>
              </w:rPr>
            </w:pPr>
            <w:proofErr w:type="gramStart"/>
            <w:r w:rsidRPr="00C052DD">
              <w:rPr>
                <w:rStyle w:val="Emphasis"/>
                <w:i w:val="0"/>
              </w:rPr>
              <w:t>n/N</w:t>
            </w:r>
            <w:proofErr w:type="gramEnd"/>
            <w:r w:rsidRPr="00C052DD">
              <w:t xml:space="preserve"> with event (%)</w:t>
            </w:r>
          </w:p>
        </w:tc>
        <w:tc>
          <w:tcPr>
            <w:tcW w:w="1318" w:type="dxa"/>
          </w:tcPr>
          <w:p w:rsidR="00B070C3" w:rsidRPr="00C052DD" w:rsidRDefault="00B070C3" w:rsidP="00322906">
            <w:pPr>
              <w:pStyle w:val="TableHeading"/>
              <w:keepNext w:val="0"/>
              <w:rPr>
                <w:bCs w:val="0"/>
              </w:rPr>
            </w:pPr>
            <w:r w:rsidRPr="00C052DD">
              <w:t xml:space="preserve">Median months to event </w:t>
            </w:r>
            <w:r w:rsidRPr="00C052DD">
              <w:br/>
              <w:t>(95% CI)</w:t>
            </w:r>
          </w:p>
        </w:tc>
        <w:tc>
          <w:tcPr>
            <w:tcW w:w="903" w:type="dxa"/>
            <w:vMerge/>
          </w:tcPr>
          <w:p w:rsidR="00B070C3" w:rsidRPr="00C052DD" w:rsidRDefault="00B070C3" w:rsidP="00322906">
            <w:pPr>
              <w:pStyle w:val="TableHeading"/>
              <w:keepNext w:val="0"/>
              <w:rPr>
                <w:bCs w:val="0"/>
              </w:rPr>
            </w:pPr>
          </w:p>
        </w:tc>
        <w:tc>
          <w:tcPr>
            <w:tcW w:w="1473" w:type="dxa"/>
            <w:vMerge/>
          </w:tcPr>
          <w:p w:rsidR="00B070C3" w:rsidRPr="00C052DD" w:rsidRDefault="00B070C3" w:rsidP="00322906">
            <w:pPr>
              <w:pStyle w:val="TableHeading"/>
              <w:keepNext w:val="0"/>
              <w:rPr>
                <w:bCs w:val="0"/>
              </w:rPr>
            </w:pPr>
          </w:p>
        </w:tc>
      </w:tr>
      <w:tr w:rsidR="00B070C3" w:rsidRPr="00C052DD" w:rsidTr="000E49F4">
        <w:tc>
          <w:tcPr>
            <w:tcW w:w="1186" w:type="dxa"/>
          </w:tcPr>
          <w:p w:rsidR="00B070C3" w:rsidRPr="00C052DD" w:rsidRDefault="00B070C3" w:rsidP="00322906">
            <w:pPr>
              <w:pStyle w:val="TableText1"/>
            </w:pPr>
            <w:r w:rsidRPr="00C052DD">
              <w:t>BIRC</w:t>
            </w:r>
          </w:p>
        </w:tc>
        <w:tc>
          <w:tcPr>
            <w:tcW w:w="1218" w:type="dxa"/>
          </w:tcPr>
          <w:p w:rsidR="00B070C3" w:rsidRPr="00C052DD" w:rsidRDefault="00B070C3" w:rsidP="00322906">
            <w:pPr>
              <w:pStyle w:val="TableText1"/>
            </w:pPr>
            <w:r w:rsidRPr="00C052DD">
              <w:t>83/115 (72.2)</w:t>
            </w:r>
          </w:p>
        </w:tc>
        <w:tc>
          <w:tcPr>
            <w:tcW w:w="1376" w:type="dxa"/>
          </w:tcPr>
          <w:p w:rsidR="00B070C3" w:rsidRPr="00C052DD" w:rsidRDefault="00B070C3" w:rsidP="00322906">
            <w:pPr>
              <w:pStyle w:val="TableText1"/>
            </w:pPr>
            <w:r w:rsidRPr="00C052DD">
              <w:t>5.4 (4.1, 6.9)</w:t>
            </w:r>
          </w:p>
        </w:tc>
        <w:tc>
          <w:tcPr>
            <w:tcW w:w="889" w:type="dxa"/>
          </w:tcPr>
          <w:p w:rsidR="00B070C3" w:rsidRPr="00C052DD" w:rsidRDefault="00B070C3" w:rsidP="00322906">
            <w:pPr>
              <w:pStyle w:val="TableText1"/>
            </w:pPr>
            <w:r w:rsidRPr="00C052DD">
              <w:t>89/116 (76.7)</w:t>
            </w:r>
          </w:p>
        </w:tc>
        <w:tc>
          <w:tcPr>
            <w:tcW w:w="1318" w:type="dxa"/>
          </w:tcPr>
          <w:p w:rsidR="00B070C3" w:rsidRPr="00C052DD" w:rsidRDefault="00B070C3" w:rsidP="00322906">
            <w:pPr>
              <w:pStyle w:val="TableText1"/>
            </w:pPr>
            <w:r w:rsidRPr="00C052DD">
              <w:t>1.6 (1.4, 2.8)</w:t>
            </w:r>
          </w:p>
        </w:tc>
        <w:tc>
          <w:tcPr>
            <w:tcW w:w="903" w:type="dxa"/>
          </w:tcPr>
          <w:p w:rsidR="00B070C3" w:rsidRPr="00C052DD" w:rsidRDefault="00B070C3" w:rsidP="00322906">
            <w:pPr>
              <w:pStyle w:val="TableText1"/>
              <w:rPr>
                <w:i/>
              </w:rPr>
            </w:pPr>
            <w:r w:rsidRPr="00C052DD">
              <w:rPr>
                <w:i/>
              </w:rPr>
              <w:t>3.8</w:t>
            </w:r>
          </w:p>
        </w:tc>
        <w:tc>
          <w:tcPr>
            <w:tcW w:w="1473" w:type="dxa"/>
          </w:tcPr>
          <w:p w:rsidR="00B070C3" w:rsidRPr="00C052DD" w:rsidRDefault="00B070C3" w:rsidP="00322906">
            <w:pPr>
              <w:pStyle w:val="TableText1"/>
            </w:pPr>
            <w:r w:rsidRPr="00C052DD">
              <w:t>0.49 (0.36, 0.67)</w:t>
            </w:r>
          </w:p>
          <w:p w:rsidR="00B070C3" w:rsidRPr="00C052DD" w:rsidRDefault="00B070C3" w:rsidP="00322906">
            <w:pPr>
              <w:pStyle w:val="TableText1"/>
            </w:pPr>
            <w:r w:rsidRPr="00C052DD">
              <w:t>p&lt;0.001</w:t>
            </w:r>
          </w:p>
        </w:tc>
      </w:tr>
      <w:tr w:rsidR="00B070C3" w:rsidRPr="00C052DD" w:rsidTr="000E49F4">
        <w:tc>
          <w:tcPr>
            <w:tcW w:w="1186" w:type="dxa"/>
          </w:tcPr>
          <w:p w:rsidR="00B070C3" w:rsidRPr="00C052DD" w:rsidRDefault="00B070C3" w:rsidP="00322906">
            <w:pPr>
              <w:pStyle w:val="TableText1"/>
            </w:pPr>
            <w:r w:rsidRPr="00C052DD">
              <w:t>Investigator</w:t>
            </w:r>
          </w:p>
        </w:tc>
        <w:tc>
          <w:tcPr>
            <w:tcW w:w="1218" w:type="dxa"/>
          </w:tcPr>
          <w:p w:rsidR="00B070C3" w:rsidRPr="00C052DD" w:rsidRDefault="00B070C3" w:rsidP="00322906">
            <w:pPr>
              <w:pStyle w:val="TableText1"/>
            </w:pPr>
            <w:r w:rsidRPr="00C052DD">
              <w:t>83/115 (72.2)</w:t>
            </w:r>
          </w:p>
        </w:tc>
        <w:tc>
          <w:tcPr>
            <w:tcW w:w="1376" w:type="dxa"/>
          </w:tcPr>
          <w:p w:rsidR="00B070C3" w:rsidRPr="00C052DD" w:rsidRDefault="00B070C3" w:rsidP="00322906">
            <w:pPr>
              <w:pStyle w:val="TableText1"/>
            </w:pPr>
            <w:r w:rsidRPr="00C052DD">
              <w:t>6.7 (4.4, 7.9)</w:t>
            </w:r>
          </w:p>
        </w:tc>
        <w:tc>
          <w:tcPr>
            <w:tcW w:w="889" w:type="dxa"/>
          </w:tcPr>
          <w:p w:rsidR="00B070C3" w:rsidRPr="00C052DD" w:rsidRDefault="00B070C3" w:rsidP="00322906">
            <w:pPr>
              <w:pStyle w:val="TableText1"/>
            </w:pPr>
            <w:r w:rsidRPr="00C052DD">
              <w:t>96/116 (82.8)</w:t>
            </w:r>
          </w:p>
        </w:tc>
        <w:tc>
          <w:tcPr>
            <w:tcW w:w="1318" w:type="dxa"/>
          </w:tcPr>
          <w:p w:rsidR="00B070C3" w:rsidRPr="00C052DD" w:rsidRDefault="00B070C3" w:rsidP="00322906">
            <w:pPr>
              <w:pStyle w:val="TableText1"/>
            </w:pPr>
            <w:r w:rsidRPr="00C052DD">
              <w:t>1.6 (1.4, 2.6)</w:t>
            </w:r>
          </w:p>
        </w:tc>
        <w:tc>
          <w:tcPr>
            <w:tcW w:w="903" w:type="dxa"/>
          </w:tcPr>
          <w:p w:rsidR="00B070C3" w:rsidRPr="00C052DD" w:rsidRDefault="00B070C3" w:rsidP="00322906">
            <w:pPr>
              <w:pStyle w:val="TableText1"/>
              <w:rPr>
                <w:i/>
              </w:rPr>
            </w:pPr>
            <w:r w:rsidRPr="00C052DD">
              <w:rPr>
                <w:i/>
              </w:rPr>
              <w:t>5.1</w:t>
            </w:r>
          </w:p>
        </w:tc>
        <w:tc>
          <w:tcPr>
            <w:tcW w:w="1473" w:type="dxa"/>
          </w:tcPr>
          <w:p w:rsidR="00B070C3" w:rsidRPr="00C052DD" w:rsidRDefault="00B070C3" w:rsidP="00322906">
            <w:pPr>
              <w:pStyle w:val="TableText1"/>
            </w:pPr>
            <w:r w:rsidRPr="00C052DD">
              <w:t>0.40 (0.29, 0.54)</w:t>
            </w:r>
          </w:p>
          <w:p w:rsidR="00B070C3" w:rsidRPr="00C052DD" w:rsidRDefault="00B070C3" w:rsidP="00322906">
            <w:pPr>
              <w:pStyle w:val="TableText1"/>
            </w:pPr>
            <w:r w:rsidRPr="00C052DD">
              <w:t>p&lt;0.001</w:t>
            </w:r>
          </w:p>
        </w:tc>
      </w:tr>
    </w:tbl>
    <w:p w:rsidR="00B070C3" w:rsidRPr="00C052DD" w:rsidRDefault="00B070C3" w:rsidP="00B070C3">
      <w:pPr>
        <w:pStyle w:val="TableFooter"/>
        <w:ind w:left="720"/>
      </w:pPr>
      <w:r w:rsidRPr="00C052DD">
        <w:t xml:space="preserve">CI = confidence interval; </w:t>
      </w:r>
      <w:r w:rsidRPr="00C052DD">
        <w:rPr>
          <w:rFonts w:ascii="Arial" w:hAnsi="Arial"/>
          <w:i/>
          <w:iCs/>
          <w:sz w:val="22"/>
        </w:rPr>
        <w:t>n</w:t>
      </w:r>
      <w:r w:rsidRPr="00C052DD">
        <w:t xml:space="preserve"> = number of participants reporting data; </w:t>
      </w:r>
      <w:r w:rsidRPr="00C052DD">
        <w:rPr>
          <w:rFonts w:ascii="Arial" w:hAnsi="Arial"/>
          <w:i/>
          <w:iCs/>
          <w:sz w:val="22"/>
        </w:rPr>
        <w:t>N</w:t>
      </w:r>
      <w:r w:rsidRPr="00C052DD">
        <w:t xml:space="preserve"> = total participants in group</w:t>
      </w:r>
    </w:p>
    <w:p w:rsidR="00B070C3" w:rsidRPr="00C052DD" w:rsidRDefault="00B070C3" w:rsidP="00B070C3">
      <w:pPr>
        <w:pStyle w:val="TableFooter"/>
        <w:ind w:left="720"/>
      </w:pPr>
      <w:r w:rsidRPr="00C052DD">
        <w:t>Source: Table 18, p61, Table 19, p62, Table 22, p65, T</w:t>
      </w:r>
      <w:r w:rsidR="00273D29">
        <w:t>able 23, p66 of the submission.</w:t>
      </w:r>
    </w:p>
    <w:p w:rsidR="00B070C3" w:rsidRPr="00C052DD" w:rsidRDefault="00B070C3" w:rsidP="00B070C3">
      <w:pPr>
        <w:rPr>
          <w:szCs w:val="22"/>
        </w:rPr>
      </w:pPr>
    </w:p>
    <w:p w:rsidR="00B070C3" w:rsidRPr="00C052DD" w:rsidRDefault="00B070C3" w:rsidP="00F87D21">
      <w:pPr>
        <w:pStyle w:val="ListParagraph"/>
        <w:widowControl/>
        <w:numPr>
          <w:ilvl w:val="1"/>
          <w:numId w:val="1"/>
        </w:numPr>
        <w:rPr>
          <w:i/>
          <w:szCs w:val="22"/>
        </w:rPr>
      </w:pPr>
      <w:r w:rsidRPr="00C052DD">
        <w:rPr>
          <w:szCs w:val="22"/>
        </w:rPr>
        <w:t xml:space="preserve">In a post hoc comparison of </w:t>
      </w:r>
      <w:proofErr w:type="spellStart"/>
      <w:r w:rsidRPr="00C052DD">
        <w:rPr>
          <w:szCs w:val="22"/>
        </w:rPr>
        <w:t>ceritinib</w:t>
      </w:r>
      <w:proofErr w:type="spellEnd"/>
      <w:r w:rsidRPr="00C052DD">
        <w:rPr>
          <w:szCs w:val="22"/>
        </w:rPr>
        <w:t xml:space="preserve"> with the </w:t>
      </w:r>
      <w:proofErr w:type="spellStart"/>
      <w:r w:rsidRPr="00C052DD">
        <w:rPr>
          <w:szCs w:val="22"/>
        </w:rPr>
        <w:t>pemetrexed</w:t>
      </w:r>
      <w:proofErr w:type="spellEnd"/>
      <w:r w:rsidRPr="00C052DD">
        <w:rPr>
          <w:szCs w:val="22"/>
        </w:rPr>
        <w:t xml:space="preserve"> subgroup, the median </w:t>
      </w:r>
      <w:r w:rsidR="006C36ED" w:rsidRPr="00C052DD">
        <w:rPr>
          <w:szCs w:val="22"/>
        </w:rPr>
        <w:t xml:space="preserve">PFS </w:t>
      </w:r>
      <w:r w:rsidRPr="00C052DD">
        <w:rPr>
          <w:szCs w:val="22"/>
        </w:rPr>
        <w:t xml:space="preserve">measured by BIRC favoured </w:t>
      </w:r>
      <w:proofErr w:type="spellStart"/>
      <w:r w:rsidRPr="00C052DD">
        <w:rPr>
          <w:szCs w:val="22"/>
        </w:rPr>
        <w:t>ceritinib</w:t>
      </w:r>
      <w:proofErr w:type="spellEnd"/>
      <w:r w:rsidRPr="00C052DD">
        <w:rPr>
          <w:szCs w:val="22"/>
        </w:rPr>
        <w:t xml:space="preserve"> by approximately </w:t>
      </w:r>
      <w:r w:rsidR="000A536B">
        <w:rPr>
          <w:noProof/>
          <w:color w:val="000000"/>
          <w:szCs w:val="22"/>
          <w:highlight w:val="black"/>
        </w:rPr>
        <w:t>'''''''</w:t>
      </w:r>
      <w:r w:rsidRPr="00C052DD">
        <w:rPr>
          <w:szCs w:val="22"/>
        </w:rPr>
        <w:t xml:space="preserve"> months, although the </w:t>
      </w:r>
      <w:r w:rsidR="006C36ED" w:rsidRPr="00C052DD">
        <w:rPr>
          <w:szCs w:val="22"/>
        </w:rPr>
        <w:t xml:space="preserve">HR </w:t>
      </w:r>
      <w:r w:rsidRPr="00C052DD">
        <w:rPr>
          <w:szCs w:val="22"/>
        </w:rPr>
        <w:t xml:space="preserve">was not statistically significantly different </w:t>
      </w:r>
      <w:r w:rsidR="00273D29">
        <w:rPr>
          <w:szCs w:val="22"/>
        </w:rPr>
        <w:t>from 1 (</w:t>
      </w:r>
      <w:r w:rsidR="00DC1AD3">
        <w:rPr>
          <w:szCs w:val="22"/>
        </w:rPr>
        <w:t>i.e.</w:t>
      </w:r>
      <w:r w:rsidR="00273D29">
        <w:rPr>
          <w:szCs w:val="22"/>
        </w:rPr>
        <w:t xml:space="preserve"> no effect) </w:t>
      </w:r>
      <w:r w:rsidRPr="00C052DD">
        <w:rPr>
          <w:szCs w:val="22"/>
        </w:rPr>
        <w:t>(</w:t>
      </w:r>
      <w:r w:rsidR="009636B2" w:rsidRPr="00C052DD">
        <w:t>Table 4</w:t>
      </w:r>
      <w:r w:rsidRPr="00C052DD">
        <w:rPr>
          <w:szCs w:val="22"/>
        </w:rPr>
        <w:t xml:space="preserve"> below).</w:t>
      </w:r>
    </w:p>
    <w:p w:rsidR="00470F01" w:rsidRPr="00273D29" w:rsidRDefault="00470F01">
      <w:pPr>
        <w:widowControl/>
        <w:jc w:val="left"/>
        <w:rPr>
          <w:bCs/>
          <w:szCs w:val="22"/>
        </w:rPr>
      </w:pPr>
      <w:bookmarkStart w:id="12" w:name="_Ref459044388"/>
    </w:p>
    <w:p w:rsidR="0071352F" w:rsidRDefault="0071352F">
      <w:pPr>
        <w:widowControl/>
        <w:jc w:val="left"/>
        <w:rPr>
          <w:rFonts w:ascii="Arial Narrow" w:hAnsi="Arial Narrow"/>
          <w:b/>
          <w:bCs/>
          <w:sz w:val="20"/>
          <w:szCs w:val="18"/>
        </w:rPr>
      </w:pPr>
      <w:r>
        <w:br w:type="page"/>
      </w:r>
    </w:p>
    <w:p w:rsidR="00B070C3" w:rsidRPr="00C052DD" w:rsidRDefault="00624E96" w:rsidP="00B070C3">
      <w:pPr>
        <w:pStyle w:val="Caption"/>
        <w:keepNext/>
        <w:ind w:left="720"/>
      </w:pPr>
      <w:r w:rsidRPr="00C052DD">
        <w:lastRenderedPageBreak/>
        <w:t xml:space="preserve">Table </w:t>
      </w:r>
      <w:r w:rsidR="009636B2" w:rsidRPr="00C052DD">
        <w:t>4</w:t>
      </w:r>
      <w:bookmarkEnd w:id="12"/>
      <w:r w:rsidRPr="00C052DD">
        <w:tab/>
      </w:r>
      <w:r w:rsidR="00B070C3" w:rsidRPr="00C052DD">
        <w:t xml:space="preserve">Results of progression free survival (BIRC and Investigator) for the </w:t>
      </w:r>
      <w:proofErr w:type="spellStart"/>
      <w:r w:rsidR="00B070C3" w:rsidRPr="00C052DD">
        <w:t>pemetrexed</w:t>
      </w:r>
      <w:proofErr w:type="spellEnd"/>
      <w:r w:rsidR="00B070C3" w:rsidRPr="00C052DD">
        <w:t xml:space="preserve"> subgroup in ASCEND-5</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1418"/>
        <w:gridCol w:w="992"/>
        <w:gridCol w:w="1418"/>
        <w:gridCol w:w="1134"/>
        <w:gridCol w:w="1275"/>
      </w:tblGrid>
      <w:tr w:rsidR="00B070C3" w:rsidRPr="00C052DD" w:rsidTr="00623B80">
        <w:tc>
          <w:tcPr>
            <w:tcW w:w="1134" w:type="dxa"/>
          </w:tcPr>
          <w:p w:rsidR="00B070C3" w:rsidRPr="00C052DD" w:rsidRDefault="00B070C3" w:rsidP="00322906">
            <w:pPr>
              <w:pStyle w:val="TableText1"/>
              <w:rPr>
                <w:b/>
              </w:rPr>
            </w:pPr>
          </w:p>
        </w:tc>
        <w:tc>
          <w:tcPr>
            <w:tcW w:w="2410" w:type="dxa"/>
            <w:gridSpan w:val="2"/>
          </w:tcPr>
          <w:p w:rsidR="00B070C3" w:rsidRPr="00C052DD" w:rsidRDefault="00B070C3" w:rsidP="00322906">
            <w:pPr>
              <w:pStyle w:val="TableText1"/>
              <w:jc w:val="center"/>
              <w:rPr>
                <w:b/>
              </w:rPr>
            </w:pPr>
            <w:proofErr w:type="spellStart"/>
            <w:r w:rsidRPr="00C052DD">
              <w:rPr>
                <w:rStyle w:val="Emphasis"/>
                <w:b/>
                <w:i w:val="0"/>
              </w:rPr>
              <w:t>Ceritinib</w:t>
            </w:r>
            <w:proofErr w:type="spellEnd"/>
          </w:p>
        </w:tc>
        <w:tc>
          <w:tcPr>
            <w:tcW w:w="2410" w:type="dxa"/>
            <w:gridSpan w:val="2"/>
          </w:tcPr>
          <w:p w:rsidR="00B070C3" w:rsidRPr="00C052DD" w:rsidRDefault="00B070C3" w:rsidP="00322906">
            <w:pPr>
              <w:pStyle w:val="TableText1"/>
              <w:jc w:val="center"/>
              <w:rPr>
                <w:b/>
              </w:rPr>
            </w:pPr>
            <w:proofErr w:type="spellStart"/>
            <w:r w:rsidRPr="00C052DD">
              <w:rPr>
                <w:rStyle w:val="Emphasis"/>
                <w:b/>
                <w:i w:val="0"/>
              </w:rPr>
              <w:t>Pemetrexed</w:t>
            </w:r>
            <w:proofErr w:type="spellEnd"/>
          </w:p>
        </w:tc>
        <w:tc>
          <w:tcPr>
            <w:tcW w:w="1134" w:type="dxa"/>
            <w:vMerge w:val="restart"/>
          </w:tcPr>
          <w:p w:rsidR="00B070C3" w:rsidRPr="00C052DD" w:rsidRDefault="00B070C3" w:rsidP="00623B80">
            <w:pPr>
              <w:pStyle w:val="TableText1"/>
              <w:rPr>
                <w:b/>
              </w:rPr>
            </w:pPr>
            <w:r w:rsidRPr="00C052DD">
              <w:rPr>
                <w:b/>
                <w:bCs/>
              </w:rPr>
              <w:t>Diff</w:t>
            </w:r>
            <w:r w:rsidR="00623B80">
              <w:rPr>
                <w:b/>
                <w:bCs/>
              </w:rPr>
              <w:t>erence</w:t>
            </w:r>
            <w:r w:rsidRPr="00C052DD">
              <w:rPr>
                <w:b/>
                <w:bCs/>
              </w:rPr>
              <w:t xml:space="preserve"> in median</w:t>
            </w:r>
            <w:r w:rsidR="00623B80">
              <w:rPr>
                <w:b/>
                <w:bCs/>
              </w:rPr>
              <w:t xml:space="preserve"> months to event</w:t>
            </w:r>
          </w:p>
        </w:tc>
        <w:tc>
          <w:tcPr>
            <w:tcW w:w="1275" w:type="dxa"/>
            <w:vMerge w:val="restart"/>
          </w:tcPr>
          <w:p w:rsidR="00B070C3" w:rsidRPr="00C052DD" w:rsidRDefault="00B070C3" w:rsidP="00322906">
            <w:pPr>
              <w:pStyle w:val="TableText1"/>
              <w:rPr>
                <w:b/>
              </w:rPr>
            </w:pPr>
            <w:r w:rsidRPr="00C052DD">
              <w:rPr>
                <w:b/>
                <w:bCs/>
              </w:rPr>
              <w:t>Hazard ratio (95% CI)</w:t>
            </w:r>
          </w:p>
        </w:tc>
      </w:tr>
      <w:tr w:rsidR="00B070C3" w:rsidRPr="00C052DD" w:rsidTr="00623B80">
        <w:tc>
          <w:tcPr>
            <w:tcW w:w="1134" w:type="dxa"/>
          </w:tcPr>
          <w:p w:rsidR="00B070C3" w:rsidRPr="00C052DD" w:rsidRDefault="00B070C3" w:rsidP="00322906">
            <w:pPr>
              <w:pStyle w:val="TableText1"/>
              <w:rPr>
                <w:b/>
              </w:rPr>
            </w:pPr>
          </w:p>
        </w:tc>
        <w:tc>
          <w:tcPr>
            <w:tcW w:w="992" w:type="dxa"/>
          </w:tcPr>
          <w:p w:rsidR="00B070C3" w:rsidRPr="00C052DD" w:rsidRDefault="00B070C3" w:rsidP="00322906">
            <w:pPr>
              <w:pStyle w:val="TableText1"/>
              <w:rPr>
                <w:b/>
              </w:rPr>
            </w:pPr>
            <w:proofErr w:type="gramStart"/>
            <w:r w:rsidRPr="00C052DD">
              <w:rPr>
                <w:rStyle w:val="Emphasis"/>
                <w:b/>
                <w:i w:val="0"/>
              </w:rPr>
              <w:t>n/N</w:t>
            </w:r>
            <w:proofErr w:type="gramEnd"/>
            <w:r w:rsidRPr="00C052DD">
              <w:rPr>
                <w:b/>
              </w:rPr>
              <w:t xml:space="preserve"> with event (%)</w:t>
            </w:r>
          </w:p>
        </w:tc>
        <w:tc>
          <w:tcPr>
            <w:tcW w:w="1418" w:type="dxa"/>
          </w:tcPr>
          <w:p w:rsidR="00B070C3" w:rsidRPr="00C052DD" w:rsidRDefault="00B070C3" w:rsidP="00623B80">
            <w:pPr>
              <w:pStyle w:val="TableText1"/>
              <w:ind w:right="-108"/>
              <w:rPr>
                <w:b/>
              </w:rPr>
            </w:pPr>
            <w:r w:rsidRPr="00C052DD">
              <w:rPr>
                <w:b/>
              </w:rPr>
              <w:t xml:space="preserve">Median </w:t>
            </w:r>
            <w:r w:rsidR="00273D29">
              <w:rPr>
                <w:b/>
              </w:rPr>
              <w:t>months</w:t>
            </w:r>
            <w:r w:rsidRPr="00C052DD">
              <w:rPr>
                <w:b/>
              </w:rPr>
              <w:t xml:space="preserve"> to event</w:t>
            </w:r>
            <w:r w:rsidR="00273D29">
              <w:rPr>
                <w:b/>
              </w:rPr>
              <w:br/>
            </w:r>
            <w:r w:rsidRPr="00C052DD">
              <w:rPr>
                <w:b/>
              </w:rPr>
              <w:t>(95% CI)</w:t>
            </w:r>
          </w:p>
        </w:tc>
        <w:tc>
          <w:tcPr>
            <w:tcW w:w="992" w:type="dxa"/>
          </w:tcPr>
          <w:p w:rsidR="00B070C3" w:rsidRPr="00C052DD" w:rsidRDefault="00B070C3" w:rsidP="00322906">
            <w:pPr>
              <w:pStyle w:val="TableText1"/>
              <w:rPr>
                <w:b/>
              </w:rPr>
            </w:pPr>
            <w:proofErr w:type="gramStart"/>
            <w:r w:rsidRPr="00C052DD">
              <w:rPr>
                <w:rStyle w:val="Emphasis"/>
                <w:b/>
                <w:i w:val="0"/>
              </w:rPr>
              <w:t>n/N</w:t>
            </w:r>
            <w:proofErr w:type="gramEnd"/>
            <w:r w:rsidRPr="00C052DD">
              <w:rPr>
                <w:b/>
              </w:rPr>
              <w:t xml:space="preserve"> with event (%)</w:t>
            </w:r>
          </w:p>
        </w:tc>
        <w:tc>
          <w:tcPr>
            <w:tcW w:w="1418" w:type="dxa"/>
          </w:tcPr>
          <w:p w:rsidR="00B070C3" w:rsidRPr="00C052DD" w:rsidRDefault="00B070C3" w:rsidP="00623B80">
            <w:pPr>
              <w:pStyle w:val="TableText1"/>
              <w:ind w:right="-108"/>
              <w:rPr>
                <w:b/>
              </w:rPr>
            </w:pPr>
            <w:r w:rsidRPr="00C052DD">
              <w:rPr>
                <w:b/>
              </w:rPr>
              <w:t xml:space="preserve">Median </w:t>
            </w:r>
            <w:r w:rsidR="00623B80">
              <w:rPr>
                <w:b/>
              </w:rPr>
              <w:t>months</w:t>
            </w:r>
            <w:r w:rsidRPr="00C052DD">
              <w:rPr>
                <w:b/>
              </w:rPr>
              <w:t xml:space="preserve"> to event</w:t>
            </w:r>
            <w:r w:rsidRPr="00C052DD">
              <w:rPr>
                <w:b/>
              </w:rPr>
              <w:br/>
              <w:t>(95% CI)</w:t>
            </w:r>
          </w:p>
        </w:tc>
        <w:tc>
          <w:tcPr>
            <w:tcW w:w="1134" w:type="dxa"/>
            <w:vMerge/>
          </w:tcPr>
          <w:p w:rsidR="00B070C3" w:rsidRPr="00C052DD" w:rsidRDefault="00B070C3" w:rsidP="00322906">
            <w:pPr>
              <w:pStyle w:val="TableText1"/>
              <w:rPr>
                <w:b/>
              </w:rPr>
            </w:pPr>
          </w:p>
        </w:tc>
        <w:tc>
          <w:tcPr>
            <w:tcW w:w="1275" w:type="dxa"/>
            <w:vMerge/>
          </w:tcPr>
          <w:p w:rsidR="00B070C3" w:rsidRPr="00C052DD" w:rsidRDefault="00B070C3" w:rsidP="00322906">
            <w:pPr>
              <w:pStyle w:val="TableText1"/>
              <w:rPr>
                <w:b/>
              </w:rPr>
            </w:pPr>
          </w:p>
        </w:tc>
      </w:tr>
      <w:tr w:rsidR="00B070C3" w:rsidRPr="00C052DD" w:rsidTr="00623B80">
        <w:tc>
          <w:tcPr>
            <w:tcW w:w="1134" w:type="dxa"/>
          </w:tcPr>
          <w:p w:rsidR="00B070C3" w:rsidRPr="00C052DD" w:rsidRDefault="00B070C3" w:rsidP="00322906">
            <w:pPr>
              <w:pStyle w:val="TableText1"/>
            </w:pPr>
            <w:r w:rsidRPr="00C052DD">
              <w:t>BIRC</w:t>
            </w:r>
          </w:p>
        </w:tc>
        <w:tc>
          <w:tcPr>
            <w:tcW w:w="992" w:type="dxa"/>
          </w:tcPr>
          <w:p w:rsidR="00B070C3" w:rsidRPr="00C052DD" w:rsidRDefault="00B070C3" w:rsidP="00322906">
            <w:pPr>
              <w:pStyle w:val="TableText1"/>
              <w:rPr>
                <w:rStyle w:val="Emphasis"/>
              </w:rPr>
            </w:pPr>
            <w:r w:rsidRPr="00C052DD">
              <w:t>83/115 (72.2)</w:t>
            </w:r>
          </w:p>
        </w:tc>
        <w:tc>
          <w:tcPr>
            <w:tcW w:w="1418" w:type="dxa"/>
          </w:tcPr>
          <w:p w:rsidR="00B070C3" w:rsidRPr="00C052DD" w:rsidRDefault="00B070C3" w:rsidP="00322906">
            <w:pPr>
              <w:pStyle w:val="TableText1"/>
            </w:pPr>
            <w:r w:rsidRPr="00C052DD">
              <w:t>5.4 (4.1, 6.9)</w:t>
            </w:r>
          </w:p>
        </w:tc>
        <w:tc>
          <w:tcPr>
            <w:tcW w:w="992" w:type="dxa"/>
          </w:tcPr>
          <w:p w:rsidR="00B070C3" w:rsidRPr="00C052DD" w:rsidRDefault="000A536B" w:rsidP="00322906">
            <w:pPr>
              <w:pStyle w:val="TableText1"/>
              <w:rPr>
                <w:rStyle w:val="Emphasis"/>
                <w:i w:val="0"/>
              </w:rPr>
            </w:pPr>
            <w:r>
              <w:rPr>
                <w:rStyle w:val="Emphasis"/>
                <w:i w:val="0"/>
                <w:noProof/>
                <w:color w:val="000000"/>
                <w:highlight w:val="black"/>
              </w:rPr>
              <w:t>'''''''</w:t>
            </w:r>
            <w:r w:rsidR="00B070C3" w:rsidRPr="00C052DD">
              <w:rPr>
                <w:rStyle w:val="Emphasis"/>
                <w:i w:val="0"/>
              </w:rPr>
              <w:t>/</w:t>
            </w:r>
            <w:r>
              <w:rPr>
                <w:rStyle w:val="Emphasis"/>
                <w:i w:val="0"/>
                <w:noProof/>
                <w:color w:val="000000"/>
                <w:highlight w:val="black"/>
              </w:rPr>
              <w:t>''''''</w:t>
            </w:r>
            <w:r w:rsidR="00B070C3" w:rsidRPr="00C052DD">
              <w:rPr>
                <w:rStyle w:val="Emphasis"/>
                <w:i w:val="0"/>
              </w:rPr>
              <w:t xml:space="preserve"> (</w:t>
            </w:r>
            <w:r>
              <w:rPr>
                <w:rStyle w:val="Emphasis"/>
                <w:i w:val="0"/>
                <w:noProof/>
                <w:color w:val="000000"/>
                <w:highlight w:val="black"/>
              </w:rPr>
              <w:t>'''''''''''</w:t>
            </w:r>
            <w:r w:rsidR="00B070C3" w:rsidRPr="00C052DD">
              <w:rPr>
                <w:rStyle w:val="Emphasis"/>
                <w:i w:val="0"/>
              </w:rPr>
              <w:t>)</w:t>
            </w:r>
          </w:p>
        </w:tc>
        <w:tc>
          <w:tcPr>
            <w:tcW w:w="1418" w:type="dxa"/>
          </w:tcPr>
          <w:p w:rsidR="00B070C3" w:rsidRPr="00C052DD" w:rsidRDefault="000A536B" w:rsidP="00322906">
            <w:pPr>
              <w:pStyle w:val="TableText1"/>
            </w:pPr>
            <w:r>
              <w:rPr>
                <w:noProof/>
                <w:color w:val="000000"/>
                <w:highlight w:val="black"/>
              </w:rPr>
              <w:t>'''''''</w:t>
            </w:r>
            <w:r w:rsidR="00B070C3" w:rsidRPr="00C052DD">
              <w:t xml:space="preserve"> (</w:t>
            </w:r>
            <w:r>
              <w:rPr>
                <w:noProof/>
                <w:color w:val="000000"/>
                <w:highlight w:val="black"/>
              </w:rPr>
              <w:t>''''''''</w:t>
            </w:r>
            <w:r w:rsidR="00B070C3" w:rsidRPr="00C052DD">
              <w:t xml:space="preserve">, </w:t>
            </w:r>
            <w:r>
              <w:rPr>
                <w:noProof/>
                <w:color w:val="000000"/>
                <w:highlight w:val="black"/>
              </w:rPr>
              <w:t>'''''''</w:t>
            </w:r>
            <w:r w:rsidR="00B070C3" w:rsidRPr="00C052DD">
              <w:t>)</w:t>
            </w:r>
            <w:r w:rsidR="00B070C3" w:rsidRPr="00C052DD">
              <w:rPr>
                <w:vertAlign w:val="superscript"/>
              </w:rPr>
              <w:t>a</w:t>
            </w:r>
          </w:p>
        </w:tc>
        <w:tc>
          <w:tcPr>
            <w:tcW w:w="1134" w:type="dxa"/>
          </w:tcPr>
          <w:p w:rsidR="00B070C3" w:rsidRPr="00C052DD" w:rsidRDefault="000A536B" w:rsidP="00623B80">
            <w:pPr>
              <w:pStyle w:val="TableText1"/>
            </w:pPr>
            <w:r>
              <w:rPr>
                <w:noProof/>
                <w:color w:val="000000"/>
                <w:highlight w:val="black"/>
              </w:rPr>
              <w:t>''''''''</w:t>
            </w:r>
            <w:r w:rsidR="00623B80">
              <w:br/>
            </w:r>
            <w:r w:rsidR="00B070C3" w:rsidRPr="00C052DD">
              <w:t>(</w:t>
            </w:r>
            <w:r>
              <w:rPr>
                <w:noProof/>
                <w:color w:val="000000"/>
                <w:highlight w:val="black"/>
              </w:rPr>
              <w:t>'''''''''</w:t>
            </w:r>
            <w:r w:rsidR="00B070C3" w:rsidRPr="00C052DD">
              <w:t xml:space="preserve">, </w:t>
            </w:r>
            <w:r>
              <w:rPr>
                <w:noProof/>
                <w:color w:val="000000"/>
                <w:highlight w:val="black"/>
              </w:rPr>
              <w:t>''''''''</w:t>
            </w:r>
            <w:r w:rsidR="00B070C3" w:rsidRPr="00C052DD">
              <w:t>)</w:t>
            </w:r>
            <w:r w:rsidR="00B070C3" w:rsidRPr="00C052DD">
              <w:rPr>
                <w:vertAlign w:val="superscript"/>
              </w:rPr>
              <w:t>b</w:t>
            </w:r>
          </w:p>
        </w:tc>
        <w:tc>
          <w:tcPr>
            <w:tcW w:w="1275" w:type="dxa"/>
          </w:tcPr>
          <w:p w:rsidR="00B070C3" w:rsidRPr="00C052DD" w:rsidRDefault="000A536B" w:rsidP="00322906">
            <w:pPr>
              <w:pStyle w:val="TableText1"/>
            </w:pPr>
            <w:r>
              <w:rPr>
                <w:noProof/>
                <w:color w:val="000000"/>
                <w:highlight w:val="black"/>
              </w:rPr>
              <w:t>'''''''''''</w:t>
            </w:r>
            <w:r w:rsidR="00273D29">
              <w:br/>
            </w:r>
            <w:r w:rsidR="00B070C3" w:rsidRPr="00C052DD">
              <w:t>(</w:t>
            </w:r>
            <w:r>
              <w:rPr>
                <w:noProof/>
                <w:color w:val="000000"/>
                <w:highlight w:val="black"/>
              </w:rPr>
              <w:t>''''''''''</w:t>
            </w:r>
            <w:r w:rsidR="00B070C3" w:rsidRPr="00C052DD">
              <w:t xml:space="preserve">, </w:t>
            </w:r>
            <w:r>
              <w:rPr>
                <w:noProof/>
                <w:color w:val="000000"/>
                <w:highlight w:val="black"/>
              </w:rPr>
              <w:t>''''''''''''</w:t>
            </w:r>
            <w:r w:rsidR="00B070C3" w:rsidRPr="00C052DD">
              <w:t>)</w:t>
            </w:r>
          </w:p>
        </w:tc>
      </w:tr>
      <w:tr w:rsidR="00B070C3" w:rsidRPr="00C052DD" w:rsidTr="00623B80">
        <w:tc>
          <w:tcPr>
            <w:tcW w:w="1134" w:type="dxa"/>
          </w:tcPr>
          <w:p w:rsidR="00B070C3" w:rsidRPr="00C052DD" w:rsidRDefault="00B070C3" w:rsidP="00322906">
            <w:pPr>
              <w:pStyle w:val="TableText1"/>
            </w:pPr>
            <w:r w:rsidRPr="00C052DD">
              <w:t>Investigator</w:t>
            </w:r>
          </w:p>
        </w:tc>
        <w:tc>
          <w:tcPr>
            <w:tcW w:w="992" w:type="dxa"/>
          </w:tcPr>
          <w:p w:rsidR="00B070C3" w:rsidRPr="00C052DD" w:rsidRDefault="00B070C3" w:rsidP="00322906">
            <w:pPr>
              <w:pStyle w:val="TableText1"/>
            </w:pPr>
            <w:r w:rsidRPr="00C052DD">
              <w:t>83/115 (72.2)</w:t>
            </w:r>
          </w:p>
        </w:tc>
        <w:tc>
          <w:tcPr>
            <w:tcW w:w="1418" w:type="dxa"/>
          </w:tcPr>
          <w:p w:rsidR="00B070C3" w:rsidRPr="00C052DD" w:rsidRDefault="00B070C3" w:rsidP="00322906">
            <w:pPr>
              <w:pStyle w:val="TableText1"/>
            </w:pPr>
            <w:r w:rsidRPr="00C052DD">
              <w:t>6.7 (4.4, 7.9)</w:t>
            </w:r>
          </w:p>
        </w:tc>
        <w:tc>
          <w:tcPr>
            <w:tcW w:w="992" w:type="dxa"/>
          </w:tcPr>
          <w:p w:rsidR="00B070C3" w:rsidRPr="00C052DD" w:rsidRDefault="00B070C3" w:rsidP="00322906">
            <w:pPr>
              <w:pStyle w:val="TableText1"/>
            </w:pPr>
            <w:r w:rsidRPr="00C052DD">
              <w:t>Not reported</w:t>
            </w:r>
          </w:p>
        </w:tc>
        <w:tc>
          <w:tcPr>
            <w:tcW w:w="1418" w:type="dxa"/>
          </w:tcPr>
          <w:p w:rsidR="00B070C3" w:rsidRPr="00C052DD" w:rsidRDefault="000A536B" w:rsidP="00322906">
            <w:pPr>
              <w:pStyle w:val="TableText1"/>
            </w:pPr>
            <w:r>
              <w:rPr>
                <w:noProof/>
                <w:color w:val="000000"/>
                <w:highlight w:val="black"/>
              </w:rPr>
              <w:t>'''''''</w:t>
            </w:r>
            <w:r w:rsidR="00B070C3" w:rsidRPr="00C052DD">
              <w:t xml:space="preserve"> (</w:t>
            </w:r>
            <w:r>
              <w:rPr>
                <w:noProof/>
                <w:color w:val="000000"/>
                <w:highlight w:val="black"/>
              </w:rPr>
              <w:t>'''''''''</w:t>
            </w:r>
            <w:r w:rsidR="00B070C3" w:rsidRPr="00C052DD">
              <w:t xml:space="preserve">, </w:t>
            </w:r>
            <w:r>
              <w:rPr>
                <w:noProof/>
                <w:color w:val="000000"/>
                <w:highlight w:val="black"/>
              </w:rPr>
              <w:t>'''''''''</w:t>
            </w:r>
            <w:r w:rsidR="00B070C3" w:rsidRPr="00C052DD">
              <w:t>)</w:t>
            </w:r>
          </w:p>
        </w:tc>
        <w:tc>
          <w:tcPr>
            <w:tcW w:w="1134" w:type="dxa"/>
          </w:tcPr>
          <w:p w:rsidR="00B070C3" w:rsidRPr="000A536B" w:rsidRDefault="000A536B" w:rsidP="00322906">
            <w:pPr>
              <w:pStyle w:val="TableText1"/>
              <w:rPr>
                <w:i/>
                <w:highlight w:val="black"/>
              </w:rPr>
            </w:pPr>
            <w:r>
              <w:rPr>
                <w:i/>
                <w:noProof/>
                <w:color w:val="000000"/>
                <w:highlight w:val="black"/>
              </w:rPr>
              <w:t>''''''''</w:t>
            </w:r>
          </w:p>
        </w:tc>
        <w:tc>
          <w:tcPr>
            <w:tcW w:w="1275" w:type="dxa"/>
          </w:tcPr>
          <w:p w:rsidR="00B070C3" w:rsidRPr="00C052DD" w:rsidRDefault="000A536B" w:rsidP="00273D29">
            <w:pPr>
              <w:pStyle w:val="TableText1"/>
            </w:pPr>
            <w:r>
              <w:rPr>
                <w:noProof/>
                <w:color w:val="000000"/>
                <w:highlight w:val="black"/>
              </w:rPr>
              <w:t>''''''''''</w:t>
            </w:r>
            <w:r w:rsidR="00273D29">
              <w:br/>
            </w:r>
            <w:r>
              <w:rPr>
                <w:noProof/>
                <w:color w:val="000000"/>
                <w:highlight w:val="black"/>
              </w:rPr>
              <w:t>''''''''''''</w:t>
            </w:r>
            <w:r w:rsidR="00B070C3" w:rsidRPr="00C052DD">
              <w:t xml:space="preserve">, </w:t>
            </w:r>
            <w:r>
              <w:rPr>
                <w:noProof/>
                <w:color w:val="000000"/>
                <w:highlight w:val="black"/>
              </w:rPr>
              <w:t>''''''''''</w:t>
            </w:r>
            <w:r w:rsidR="00B070C3" w:rsidRPr="00C052DD">
              <w:t>)</w:t>
            </w:r>
          </w:p>
        </w:tc>
      </w:tr>
    </w:tbl>
    <w:p w:rsidR="00B070C3" w:rsidRPr="00C052DD" w:rsidRDefault="00B070C3" w:rsidP="00B070C3">
      <w:pPr>
        <w:pStyle w:val="TableFooter"/>
        <w:ind w:left="720"/>
      </w:pPr>
      <w:r w:rsidRPr="00C052DD">
        <w:t>CI = confidence interval;</w:t>
      </w:r>
      <w:r w:rsidRPr="00C052DD">
        <w:rPr>
          <w:szCs w:val="18"/>
        </w:rPr>
        <w:t xml:space="preserve"> </w:t>
      </w:r>
      <w:r w:rsidRPr="00C052DD">
        <w:rPr>
          <w:i/>
          <w:iCs/>
          <w:szCs w:val="18"/>
        </w:rPr>
        <w:t>n</w:t>
      </w:r>
      <w:r w:rsidRPr="00C052DD">
        <w:rPr>
          <w:szCs w:val="18"/>
        </w:rPr>
        <w:t xml:space="preserve"> = number of participants reporting data; </w:t>
      </w:r>
      <w:r w:rsidRPr="00C052DD">
        <w:rPr>
          <w:i/>
          <w:iCs/>
          <w:szCs w:val="18"/>
        </w:rPr>
        <w:t>N</w:t>
      </w:r>
      <w:r w:rsidRPr="00C052DD">
        <w:rPr>
          <w:szCs w:val="18"/>
        </w:rPr>
        <w:t xml:space="preserve"> = tota</w:t>
      </w:r>
      <w:r w:rsidRPr="00C052DD">
        <w:t>l participants in group</w:t>
      </w:r>
    </w:p>
    <w:p w:rsidR="00B070C3" w:rsidRPr="00C052DD" w:rsidRDefault="00B070C3" w:rsidP="00B070C3">
      <w:pPr>
        <w:pStyle w:val="TableFooter"/>
        <w:ind w:left="720"/>
      </w:pPr>
      <w:proofErr w:type="spellStart"/>
      <w:proofErr w:type="gramStart"/>
      <w:r w:rsidRPr="00C052DD">
        <w:rPr>
          <w:vertAlign w:val="superscript"/>
        </w:rPr>
        <w:t>a</w:t>
      </w:r>
      <w:r w:rsidRPr="00C052DD">
        <w:t>Note</w:t>
      </w:r>
      <w:proofErr w:type="spellEnd"/>
      <w:proofErr w:type="gramEnd"/>
      <w:r w:rsidRPr="00C052DD">
        <w:t xml:space="preserve"> that the median time to event presented in the submission is slightly inconsistent with that presented in the FAR (2.9 months [95% CI 1.5, 5.1]). The submission references have not been provided (Post-text Supplement Figure 6-1; Figure 14.2-1.2a). </w:t>
      </w:r>
    </w:p>
    <w:p w:rsidR="00B070C3" w:rsidRPr="00C052DD" w:rsidRDefault="00B070C3" w:rsidP="00B070C3">
      <w:pPr>
        <w:pStyle w:val="TableFooter"/>
        <w:ind w:left="720"/>
        <w:rPr>
          <w:i/>
        </w:rPr>
      </w:pPr>
      <w:proofErr w:type="spellStart"/>
      <w:proofErr w:type="gramStart"/>
      <w:r w:rsidRPr="00C052DD">
        <w:rPr>
          <w:vertAlign w:val="superscript"/>
        </w:rPr>
        <w:t>b</w:t>
      </w:r>
      <w:r w:rsidRPr="00C052DD">
        <w:t>The</w:t>
      </w:r>
      <w:proofErr w:type="spellEnd"/>
      <w:proofErr w:type="gramEnd"/>
      <w:r w:rsidRPr="00C052DD">
        <w:t xml:space="preserve"> 95% confidence interval for the difference in medians has been calculated using the standard method for a difference between two statistically independent quantities assuming approximately normal distribution. It is not clear what approach has been used to estimate confidence intervals or whether an assumption of a normal distribution for this parameter is appropriate.</w:t>
      </w:r>
    </w:p>
    <w:p w:rsidR="00624E96" w:rsidRPr="00C052DD" w:rsidRDefault="00624E96" w:rsidP="007676CA">
      <w:pPr>
        <w:pStyle w:val="TableFooter"/>
        <w:ind w:left="720"/>
        <w:rPr>
          <w:i/>
        </w:rPr>
      </w:pPr>
      <w:r w:rsidRPr="00C052DD">
        <w:t>Source: Table 30, p71 of the submission and Table 14.2-1.1a of the First Available Results (FAR).</w:t>
      </w:r>
    </w:p>
    <w:p w:rsidR="005E70BD" w:rsidRPr="00C052DD" w:rsidRDefault="005E70BD">
      <w:pPr>
        <w:widowControl/>
        <w:jc w:val="left"/>
      </w:pPr>
    </w:p>
    <w:p w:rsidR="00B070C3" w:rsidRPr="00C052DD" w:rsidRDefault="00B070C3" w:rsidP="00F87D21">
      <w:pPr>
        <w:pStyle w:val="ListParagraph"/>
        <w:widowControl/>
        <w:numPr>
          <w:ilvl w:val="1"/>
          <w:numId w:val="1"/>
        </w:numPr>
        <w:rPr>
          <w:szCs w:val="22"/>
        </w:rPr>
      </w:pPr>
      <w:r w:rsidRPr="00C052DD">
        <w:rPr>
          <w:szCs w:val="22"/>
        </w:rPr>
        <w:t xml:space="preserve">The Kaplan-Meier plots of </w:t>
      </w:r>
      <w:r w:rsidR="00483C6F">
        <w:rPr>
          <w:szCs w:val="22"/>
        </w:rPr>
        <w:t>PFS</w:t>
      </w:r>
      <w:r w:rsidRPr="00C052DD">
        <w:rPr>
          <w:szCs w:val="22"/>
        </w:rPr>
        <w:t xml:space="preserve"> (BIRC assessment) by treatment are presented below.</w:t>
      </w:r>
    </w:p>
    <w:p w:rsidR="00B070C3" w:rsidRPr="00273D29" w:rsidRDefault="00B070C3" w:rsidP="00624E96">
      <w:pPr>
        <w:widowControl/>
        <w:rPr>
          <w:szCs w:val="22"/>
        </w:rPr>
      </w:pPr>
    </w:p>
    <w:p w:rsidR="00624E96" w:rsidRPr="00C052DD" w:rsidRDefault="00624E96" w:rsidP="00624E96">
      <w:pPr>
        <w:pStyle w:val="Caption"/>
        <w:keepNext/>
        <w:ind w:firstLine="720"/>
      </w:pPr>
      <w:r w:rsidRPr="00C052DD">
        <w:t xml:space="preserve">Figure </w:t>
      </w:r>
      <w:r w:rsidR="009636B2" w:rsidRPr="00C052DD">
        <w:t>1</w:t>
      </w:r>
      <w:r w:rsidRPr="00C052DD">
        <w:tab/>
      </w:r>
      <w:r w:rsidR="00291BDD" w:rsidRPr="00C052DD">
        <w:t xml:space="preserve"> </w:t>
      </w:r>
      <w:r w:rsidRPr="00C052DD">
        <w:t>Kaplan-Meier plot of PFS (BIRC assessment) by treatment received in the ASCEND-5 trial</w:t>
      </w:r>
    </w:p>
    <w:p w:rsidR="00B070C3" w:rsidRPr="00C052DD" w:rsidRDefault="000A536B" w:rsidP="00B070C3">
      <w:pPr>
        <w:pStyle w:val="ListParagraph"/>
        <w:widowControl/>
        <w:rPr>
          <w:i/>
          <w:szCs w:val="22"/>
        </w:rPr>
      </w:pPr>
      <w:r>
        <w:rPr>
          <w:i/>
          <w:noProof/>
          <w:snapToGrid/>
          <w:szCs w:val="22"/>
          <w:lang w:eastAsia="en-AU"/>
        </w:rPr>
        <w:drawing>
          <wp:inline distT="0" distB="0" distL="0" distR="0" wp14:anchorId="22B56AD6" wp14:editId="24D04F16">
            <wp:extent cx="5235575" cy="2726690"/>
            <wp:effectExtent l="0" t="0" r="3175" b="0"/>
            <wp:docPr id="1" name="Picture 1" descr="Figure 1  Kaplan-Meier plot of PFS (BIRC assessment) by treatment received in the ASCEND-5 trial&#10;" title="Figure 1  Kaplan-Meier plot of PFS (BIRC assessment) by treatment received in the ASCEND-5 tri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35575" cy="2726690"/>
                    </a:xfrm>
                    <a:prstGeom prst="rect">
                      <a:avLst/>
                    </a:prstGeom>
                  </pic:spPr>
                </pic:pic>
              </a:graphicData>
            </a:graphic>
          </wp:inline>
        </w:drawing>
      </w:r>
    </w:p>
    <w:p w:rsidR="00FA2BFB" w:rsidRPr="00C052DD" w:rsidRDefault="00FA2BFB" w:rsidP="00DC19CD">
      <w:pPr>
        <w:pStyle w:val="TableFooter"/>
        <w:ind w:left="720"/>
      </w:pPr>
      <w:r w:rsidRPr="00C052DD">
        <w:t>BIRC = blinded independent review committee;</w:t>
      </w:r>
      <w:r w:rsidR="00DC19CD" w:rsidRPr="00C052DD">
        <w:t xml:space="preserve"> CI = confidence interval; </w:t>
      </w:r>
      <w:r w:rsidRPr="00C052DD">
        <w:t xml:space="preserve"> </w:t>
      </w:r>
    </w:p>
    <w:p w:rsidR="00B070C3" w:rsidRPr="00C052DD" w:rsidRDefault="00FA2BFB" w:rsidP="00DC19CD">
      <w:pPr>
        <w:pStyle w:val="TableFooter"/>
        <w:ind w:left="720"/>
      </w:pPr>
      <w:r w:rsidRPr="00C052DD">
        <w:t xml:space="preserve">Source: Figure </w:t>
      </w:r>
      <w:r w:rsidR="00DC19CD" w:rsidRPr="00C052DD">
        <w:t>14.2-1.1a, p306 of the First Available Results.</w:t>
      </w:r>
    </w:p>
    <w:p w:rsidR="00B070C3" w:rsidRPr="00623B80" w:rsidRDefault="00B070C3" w:rsidP="00623B80">
      <w:pPr>
        <w:widowControl/>
        <w:rPr>
          <w:szCs w:val="22"/>
        </w:rPr>
      </w:pPr>
    </w:p>
    <w:p w:rsidR="00B070C3" w:rsidRPr="00C052DD" w:rsidRDefault="00B070C3" w:rsidP="00F87D21">
      <w:pPr>
        <w:pStyle w:val="ListParagraph"/>
        <w:widowControl/>
        <w:numPr>
          <w:ilvl w:val="1"/>
          <w:numId w:val="1"/>
        </w:numPr>
        <w:rPr>
          <w:szCs w:val="22"/>
        </w:rPr>
      </w:pPr>
      <w:r w:rsidRPr="00C052DD">
        <w:rPr>
          <w:szCs w:val="22"/>
        </w:rPr>
        <w:t>The non-inferiority margin</w:t>
      </w:r>
      <w:r w:rsidR="00CC159C" w:rsidRPr="00C052DD">
        <w:rPr>
          <w:szCs w:val="22"/>
        </w:rPr>
        <w:t xml:space="preserve"> used in the submission for the HR (1.23)</w:t>
      </w:r>
      <w:r w:rsidRPr="00C052DD">
        <w:rPr>
          <w:szCs w:val="22"/>
        </w:rPr>
        <w:t xml:space="preserve"> was not pre-specified. </w:t>
      </w:r>
      <w:r w:rsidR="00717FBC" w:rsidRPr="00C052DD">
        <w:rPr>
          <w:szCs w:val="22"/>
        </w:rPr>
        <w:t>However, th</w:t>
      </w:r>
      <w:r w:rsidR="00CC159C" w:rsidRPr="00C052DD">
        <w:rPr>
          <w:szCs w:val="22"/>
        </w:rPr>
        <w:t>is</w:t>
      </w:r>
      <w:r w:rsidRPr="00C052DD">
        <w:rPr>
          <w:szCs w:val="22"/>
        </w:rPr>
        <w:t xml:space="preserve"> non-inferiority margin is consistent with the ESC comments in the March 2015 public summary document for </w:t>
      </w:r>
      <w:proofErr w:type="spellStart"/>
      <w:r w:rsidRPr="00C052DD">
        <w:rPr>
          <w:szCs w:val="22"/>
        </w:rPr>
        <w:t>nintedanib</w:t>
      </w:r>
      <w:proofErr w:type="spellEnd"/>
      <w:r w:rsidRPr="00C052DD">
        <w:rPr>
          <w:szCs w:val="22"/>
        </w:rPr>
        <w:t xml:space="preserve"> for NSCLC (paragraph 6.9-6.11), which noted a HR of 1.21 to 1.25.</w:t>
      </w:r>
      <w:r w:rsidR="00717FBC" w:rsidRPr="00C052DD">
        <w:rPr>
          <w:szCs w:val="22"/>
        </w:rPr>
        <w:t xml:space="preserve"> The evaluation noted that </w:t>
      </w:r>
      <w:r w:rsidRPr="00C052DD">
        <w:rPr>
          <w:szCs w:val="22"/>
        </w:rPr>
        <w:t xml:space="preserve">that non-inferiority was tested for both PFS and OS for </w:t>
      </w:r>
      <w:proofErr w:type="spellStart"/>
      <w:r w:rsidRPr="00C052DD">
        <w:rPr>
          <w:szCs w:val="22"/>
        </w:rPr>
        <w:t>nintedanib</w:t>
      </w:r>
      <w:proofErr w:type="spellEnd"/>
      <w:r w:rsidR="00717FBC" w:rsidRPr="00C052DD">
        <w:rPr>
          <w:szCs w:val="22"/>
        </w:rPr>
        <w:t xml:space="preserve"> and a</w:t>
      </w:r>
      <w:r w:rsidRPr="00C052DD">
        <w:rPr>
          <w:szCs w:val="22"/>
        </w:rPr>
        <w:t xml:space="preserve"> non-inferiority margin for </w:t>
      </w:r>
      <w:r w:rsidR="006C36ED" w:rsidRPr="00C052DD">
        <w:rPr>
          <w:szCs w:val="22"/>
        </w:rPr>
        <w:t xml:space="preserve">PFS </w:t>
      </w:r>
      <w:proofErr w:type="gramStart"/>
      <w:r w:rsidRPr="00C052DD">
        <w:rPr>
          <w:szCs w:val="22"/>
        </w:rPr>
        <w:t>is</w:t>
      </w:r>
      <w:proofErr w:type="gramEnd"/>
      <w:r w:rsidRPr="00C052DD">
        <w:rPr>
          <w:szCs w:val="22"/>
        </w:rPr>
        <w:t xml:space="preserve"> meaningful only when there is an accepted relationship between PFS and </w:t>
      </w:r>
      <w:r w:rsidR="00624E96" w:rsidRPr="00C052DD">
        <w:rPr>
          <w:szCs w:val="22"/>
        </w:rPr>
        <w:t>OS</w:t>
      </w:r>
      <w:r w:rsidR="00623B80">
        <w:rPr>
          <w:szCs w:val="22"/>
        </w:rPr>
        <w:t>.</w:t>
      </w:r>
    </w:p>
    <w:p w:rsidR="00B070C3" w:rsidRPr="00623B80" w:rsidRDefault="00B070C3" w:rsidP="00B070C3">
      <w:pPr>
        <w:rPr>
          <w:szCs w:val="22"/>
        </w:rPr>
      </w:pPr>
    </w:p>
    <w:p w:rsidR="00550C77" w:rsidRPr="00C052DD" w:rsidRDefault="00550C77" w:rsidP="00F87D21">
      <w:pPr>
        <w:pStyle w:val="ListParagraph"/>
        <w:widowControl/>
        <w:numPr>
          <w:ilvl w:val="1"/>
          <w:numId w:val="1"/>
        </w:numPr>
        <w:rPr>
          <w:szCs w:val="22"/>
        </w:rPr>
      </w:pPr>
      <w:r w:rsidRPr="00C052DD">
        <w:rPr>
          <w:szCs w:val="22"/>
        </w:rPr>
        <w:lastRenderedPageBreak/>
        <w:t xml:space="preserve">The ESC </w:t>
      </w:r>
      <w:r w:rsidR="00DC494B" w:rsidRPr="00C052DD">
        <w:rPr>
          <w:szCs w:val="22"/>
        </w:rPr>
        <w:t xml:space="preserve">considered that based on the data presented in the submission, it was not clear whether a conclusion of non-inferiority for PFS would translate to the same conclusion for </w:t>
      </w:r>
      <w:r w:rsidR="006C36ED" w:rsidRPr="00C052DD">
        <w:rPr>
          <w:szCs w:val="22"/>
        </w:rPr>
        <w:t xml:space="preserve">OS </w:t>
      </w:r>
      <w:r w:rsidR="00DC494B" w:rsidRPr="00C052DD">
        <w:rPr>
          <w:szCs w:val="22"/>
        </w:rPr>
        <w:t>or quality of life.</w:t>
      </w:r>
    </w:p>
    <w:p w:rsidR="00550C77" w:rsidRPr="00623B80" w:rsidRDefault="00550C77" w:rsidP="00550C77">
      <w:pPr>
        <w:rPr>
          <w:szCs w:val="22"/>
        </w:rPr>
      </w:pPr>
    </w:p>
    <w:p w:rsidR="00736585" w:rsidRPr="00C052DD" w:rsidRDefault="00736585" w:rsidP="00F87D21">
      <w:pPr>
        <w:pStyle w:val="ListParagraph"/>
        <w:widowControl/>
        <w:numPr>
          <w:ilvl w:val="1"/>
          <w:numId w:val="1"/>
        </w:numPr>
      </w:pPr>
      <w:r w:rsidRPr="00C052DD">
        <w:t xml:space="preserve">The ESC </w:t>
      </w:r>
      <w:r w:rsidR="00B6364F" w:rsidRPr="00C052DD">
        <w:t xml:space="preserve">also </w:t>
      </w:r>
      <w:r w:rsidRPr="00C052DD">
        <w:t xml:space="preserve">noted that the subgroup analysis was not pre-specified, and the allocation to </w:t>
      </w:r>
      <w:proofErr w:type="spellStart"/>
      <w:r w:rsidRPr="00C052DD">
        <w:t>pemetrexed</w:t>
      </w:r>
      <w:proofErr w:type="spellEnd"/>
      <w:r w:rsidRPr="00C052DD">
        <w:t xml:space="preserve"> or </w:t>
      </w:r>
      <w:proofErr w:type="spellStart"/>
      <w:r w:rsidRPr="00C052DD">
        <w:t>docetaxel</w:t>
      </w:r>
      <w:proofErr w:type="spellEnd"/>
      <w:r w:rsidRPr="00C052DD">
        <w:t xml:space="preserve"> in the control arm was not stratified. Therefore, the ESC considered that there is potential for imbalances in unreported prognostic factors and treatment effect modifiers between the treatment groups, resulting in </w:t>
      </w:r>
      <w:r w:rsidR="00DC494B" w:rsidRPr="00C052DD">
        <w:t>potential</w:t>
      </w:r>
      <w:r w:rsidR="00623B80">
        <w:t xml:space="preserve"> bias.</w:t>
      </w:r>
    </w:p>
    <w:p w:rsidR="005F5242" w:rsidRPr="00C052DD" w:rsidRDefault="005F5242" w:rsidP="00D05FD7">
      <w:pPr>
        <w:widowControl/>
        <w:rPr>
          <w:szCs w:val="22"/>
        </w:rPr>
      </w:pPr>
    </w:p>
    <w:p w:rsidR="00D05FD7" w:rsidRPr="00C052DD" w:rsidRDefault="00DC494B" w:rsidP="00F87D21">
      <w:pPr>
        <w:pStyle w:val="ListParagraph"/>
        <w:numPr>
          <w:ilvl w:val="1"/>
          <w:numId w:val="1"/>
        </w:numPr>
      </w:pPr>
      <w:r w:rsidRPr="00C052DD">
        <w:t>T</w:t>
      </w:r>
      <w:r w:rsidR="006675DC" w:rsidRPr="00C052DD">
        <w:t xml:space="preserve">here was no difference between </w:t>
      </w:r>
      <w:proofErr w:type="spellStart"/>
      <w:r w:rsidR="006675DC" w:rsidRPr="00C052DD">
        <w:t>ceritinib</w:t>
      </w:r>
      <w:proofErr w:type="spellEnd"/>
      <w:r w:rsidR="006675DC" w:rsidRPr="00C052DD">
        <w:t xml:space="preserve"> and chemotherapy arms in </w:t>
      </w:r>
      <w:r w:rsidR="00D81595" w:rsidRPr="00C052DD">
        <w:t xml:space="preserve">OS </w:t>
      </w:r>
      <w:r w:rsidR="006675DC" w:rsidRPr="00C052DD">
        <w:t xml:space="preserve">(full analysis set, HR 1.00 [95% CI 0.67, 1.49]). </w:t>
      </w:r>
      <w:r w:rsidR="00B6364F" w:rsidRPr="00C052DD">
        <w:t>The evaluation noted that a</w:t>
      </w:r>
      <w:r w:rsidR="006675DC" w:rsidRPr="00C052DD">
        <w:t xml:space="preserve"> </w:t>
      </w:r>
      <w:r w:rsidR="00D81595" w:rsidRPr="00C052DD">
        <w:t xml:space="preserve">HR </w:t>
      </w:r>
      <w:r w:rsidR="006675DC" w:rsidRPr="00C052DD">
        <w:t xml:space="preserve">may not be appropriate given there appears to be a crossing of the survival curves and a violation of the proportional hazards assumption. </w:t>
      </w:r>
      <w:r w:rsidRPr="00C052DD">
        <w:t>N</w:t>
      </w:r>
      <w:r w:rsidR="006675DC" w:rsidRPr="00C052DD">
        <w:t xml:space="preserve">early 65% of patients treated with chemotherapy switched to </w:t>
      </w:r>
      <w:proofErr w:type="spellStart"/>
      <w:r w:rsidR="006675DC" w:rsidRPr="00C052DD">
        <w:t>ceritinib</w:t>
      </w:r>
      <w:proofErr w:type="spellEnd"/>
      <w:r w:rsidR="006675DC" w:rsidRPr="00C052DD">
        <w:t xml:space="preserve"> on progression.</w:t>
      </w:r>
    </w:p>
    <w:p w:rsidR="009A254C" w:rsidRPr="00C052DD" w:rsidRDefault="009A254C" w:rsidP="009A254C"/>
    <w:p w:rsidR="009A254C" w:rsidRPr="00C052DD" w:rsidRDefault="009A254C" w:rsidP="00F87D21">
      <w:pPr>
        <w:pStyle w:val="ListParagraph"/>
        <w:numPr>
          <w:ilvl w:val="1"/>
          <w:numId w:val="1"/>
        </w:numPr>
      </w:pPr>
      <w:r w:rsidRPr="00C052DD">
        <w:t xml:space="preserve">There was a substantial difference in median time to symptom deterioration based on the LCSS composite endpoint (pain, cough, shortness of breath) favouring the </w:t>
      </w:r>
      <w:proofErr w:type="spellStart"/>
      <w:r w:rsidRPr="00C052DD">
        <w:t>ceritinib</w:t>
      </w:r>
      <w:proofErr w:type="spellEnd"/>
      <w:r w:rsidRPr="00C052DD">
        <w:t xml:space="preserve"> arm (18 months vs 4.4 months), and a similar finding for the composite endpoint for EORTC QLQ-LC13 (pain, </w:t>
      </w:r>
      <w:proofErr w:type="spellStart"/>
      <w:r w:rsidRPr="00C052DD">
        <w:t>dyspnea</w:t>
      </w:r>
      <w:proofErr w:type="spellEnd"/>
      <w:r w:rsidRPr="00C052DD">
        <w:t xml:space="preserve"> and coughing) (11.1 months vs 2.1 months).</w:t>
      </w:r>
    </w:p>
    <w:p w:rsidR="009A254C" w:rsidRPr="00623B80" w:rsidRDefault="009A254C" w:rsidP="00623B80">
      <w:pPr>
        <w:pStyle w:val="PBACHeading1"/>
        <w:rPr>
          <w:b w:val="0"/>
        </w:rPr>
      </w:pPr>
    </w:p>
    <w:p w:rsidR="009A254C" w:rsidRPr="00C052DD" w:rsidRDefault="009A254C" w:rsidP="00F87D21">
      <w:pPr>
        <w:pStyle w:val="ListParagraph"/>
        <w:numPr>
          <w:ilvl w:val="1"/>
          <w:numId w:val="1"/>
        </w:numPr>
      </w:pPr>
      <w:r w:rsidRPr="00C052DD">
        <w:t xml:space="preserve">There was a statistically significant difference in EQ-5D score (scale of 0-1) favouring </w:t>
      </w:r>
      <w:proofErr w:type="spellStart"/>
      <w:r w:rsidRPr="00C052DD">
        <w:t>ceritinib</w:t>
      </w:r>
      <w:proofErr w:type="spellEnd"/>
      <w:r w:rsidRPr="00C052DD">
        <w:t xml:space="preserve"> over chemotherapy (0.08 [0.04, 0.13]). EQ-5D results were not presented for the </w:t>
      </w:r>
      <w:proofErr w:type="spellStart"/>
      <w:r w:rsidRPr="00C052DD">
        <w:t>pemetrexed</w:t>
      </w:r>
      <w:proofErr w:type="spellEnd"/>
      <w:r w:rsidRPr="00C052DD">
        <w:t xml:space="preserve"> subgroup.</w:t>
      </w:r>
    </w:p>
    <w:p w:rsidR="008176D5" w:rsidRPr="00C052DD" w:rsidRDefault="008176D5" w:rsidP="008176D5"/>
    <w:p w:rsidR="008176D5" w:rsidRPr="00C052DD" w:rsidRDefault="00715960" w:rsidP="00F87D21">
      <w:pPr>
        <w:pStyle w:val="ListParagraph"/>
        <w:numPr>
          <w:ilvl w:val="1"/>
          <w:numId w:val="1"/>
        </w:numPr>
      </w:pPr>
      <w:r w:rsidRPr="00C052DD">
        <w:t>A</w:t>
      </w:r>
      <w:r w:rsidR="008176D5" w:rsidRPr="00C052DD">
        <w:t xml:space="preserve"> phase III randomised study of </w:t>
      </w:r>
      <w:proofErr w:type="spellStart"/>
      <w:r w:rsidR="008176D5" w:rsidRPr="00C052DD">
        <w:t>ceritinib</w:t>
      </w:r>
      <w:proofErr w:type="spellEnd"/>
      <w:r w:rsidR="008176D5" w:rsidRPr="00C052DD">
        <w:t xml:space="preserve"> in the first-line setting (versus chemotherapy)</w:t>
      </w:r>
      <w:r w:rsidRPr="00C052DD">
        <w:t xml:space="preserve"> is</w:t>
      </w:r>
      <w:r w:rsidR="008176D5" w:rsidRPr="00C052DD">
        <w:t xml:space="preserve"> currently underway with results expected in 2018 (ASCEND-4). A matching adjusted indirect comparison (MAIC) has been published that compared individual patient data from two single arm studies of </w:t>
      </w:r>
      <w:proofErr w:type="spellStart"/>
      <w:r w:rsidR="008176D5" w:rsidRPr="00C052DD">
        <w:t>ceritinib</w:t>
      </w:r>
      <w:proofErr w:type="spellEnd"/>
      <w:r w:rsidR="008176D5" w:rsidRPr="00C052DD">
        <w:t xml:space="preserve"> (ASCEND-1 and ASCEND-3) with the published data from three </w:t>
      </w:r>
      <w:proofErr w:type="spellStart"/>
      <w:r w:rsidR="008176D5" w:rsidRPr="00C052DD">
        <w:t>crizotinib</w:t>
      </w:r>
      <w:proofErr w:type="spellEnd"/>
      <w:r w:rsidR="008176D5" w:rsidRPr="00C052DD">
        <w:t xml:space="preserve"> trial</w:t>
      </w:r>
      <w:r w:rsidR="00424313" w:rsidRPr="00C052DD">
        <w:t>s (PROFILE 1001, 1005 and 1007)</w:t>
      </w:r>
      <w:r w:rsidR="00424313" w:rsidRPr="00C052DD">
        <w:rPr>
          <w:rStyle w:val="FootnoteReference"/>
        </w:rPr>
        <w:footnoteReference w:id="2"/>
      </w:r>
      <w:r w:rsidR="008176D5" w:rsidRPr="00C052DD">
        <w:t xml:space="preserve">. The results for both pre-matching and post-matching analyses suggest that </w:t>
      </w:r>
      <w:proofErr w:type="spellStart"/>
      <w:r w:rsidR="008176D5" w:rsidRPr="00C052DD">
        <w:t>ceritinib</w:t>
      </w:r>
      <w:proofErr w:type="spellEnd"/>
      <w:r w:rsidR="008176D5" w:rsidRPr="00C052DD">
        <w:t xml:space="preserve"> </w:t>
      </w:r>
      <w:r w:rsidR="00B6364F" w:rsidRPr="00C052DD">
        <w:t>may be</w:t>
      </w:r>
      <w:r w:rsidR="00F75266" w:rsidRPr="00C052DD">
        <w:t xml:space="preserve"> </w:t>
      </w:r>
      <w:r w:rsidR="008176D5" w:rsidRPr="00C052DD">
        <w:t>superior</w:t>
      </w:r>
      <w:r w:rsidR="00F75266" w:rsidRPr="00C052DD">
        <w:t xml:space="preserve"> in efficacy</w:t>
      </w:r>
      <w:r w:rsidR="008176D5" w:rsidRPr="00C052DD">
        <w:t xml:space="preserve"> to </w:t>
      </w:r>
      <w:proofErr w:type="spellStart"/>
      <w:r w:rsidR="008176D5" w:rsidRPr="00C052DD">
        <w:t>crizotinib</w:t>
      </w:r>
      <w:proofErr w:type="spellEnd"/>
      <w:r w:rsidR="008176D5" w:rsidRPr="00C052DD">
        <w:t xml:space="preserve">. Median PFS was 13.8 months in the </w:t>
      </w:r>
      <w:proofErr w:type="spellStart"/>
      <w:r w:rsidR="008176D5" w:rsidRPr="00C052DD">
        <w:t>ceritinib</w:t>
      </w:r>
      <w:proofErr w:type="spellEnd"/>
      <w:r w:rsidR="008176D5" w:rsidRPr="00C052DD">
        <w:t xml:space="preserve"> patients compared with 8.3 in the </w:t>
      </w:r>
      <w:proofErr w:type="spellStart"/>
      <w:r w:rsidR="008176D5" w:rsidRPr="00C052DD">
        <w:t>crizotinib</w:t>
      </w:r>
      <w:proofErr w:type="spellEnd"/>
      <w:r w:rsidR="008176D5" w:rsidRPr="00C052DD">
        <w:t xml:space="preserve"> patients (HR 0.52, 95% CI 0.44, 0.62). </w:t>
      </w:r>
      <w:r w:rsidR="00F75266" w:rsidRPr="00C052DD">
        <w:t xml:space="preserve">Further, </w:t>
      </w:r>
      <w:r w:rsidR="00D81595" w:rsidRPr="00C052DD">
        <w:t xml:space="preserve">OS </w:t>
      </w:r>
      <w:r w:rsidR="008176D5" w:rsidRPr="00C052DD">
        <w:t>was significantly longer (HR 0.59, 95% CI 0.46, 0.75)</w:t>
      </w:r>
      <w:r w:rsidR="002E1111" w:rsidRPr="00C052DD">
        <w:t xml:space="preserve"> with </w:t>
      </w:r>
      <w:proofErr w:type="spellStart"/>
      <w:r w:rsidR="002E1111" w:rsidRPr="00C052DD">
        <w:t>ceritinib</w:t>
      </w:r>
      <w:proofErr w:type="spellEnd"/>
      <w:r w:rsidR="008176D5" w:rsidRPr="00C052DD">
        <w:t>.</w:t>
      </w:r>
      <w:r w:rsidR="002E1111" w:rsidRPr="00C052DD">
        <w:t xml:space="preserve"> However, there was no significant difference in overall response rate between </w:t>
      </w:r>
      <w:proofErr w:type="spellStart"/>
      <w:r w:rsidR="002E1111" w:rsidRPr="00C052DD">
        <w:t>ceritinib</w:t>
      </w:r>
      <w:proofErr w:type="spellEnd"/>
      <w:r w:rsidR="002E1111" w:rsidRPr="00C052DD">
        <w:t xml:space="preserve"> and </w:t>
      </w:r>
      <w:proofErr w:type="spellStart"/>
      <w:r w:rsidR="002E1111" w:rsidRPr="00C052DD">
        <w:t>crizotinib</w:t>
      </w:r>
      <w:proofErr w:type="spellEnd"/>
      <w:r w:rsidR="002E1111" w:rsidRPr="00C052DD">
        <w:t>.</w:t>
      </w:r>
    </w:p>
    <w:p w:rsidR="00B070C3" w:rsidRPr="00C052DD" w:rsidRDefault="00B070C3" w:rsidP="00C56A8F">
      <w:pPr>
        <w:widowControl/>
        <w:rPr>
          <w:i/>
          <w:szCs w:val="22"/>
        </w:rPr>
      </w:pPr>
    </w:p>
    <w:p w:rsidR="00B070C3" w:rsidRPr="00C052DD" w:rsidRDefault="00B070C3" w:rsidP="00B070C3">
      <w:pPr>
        <w:pStyle w:val="Heading2"/>
        <w:rPr>
          <w:i/>
        </w:rPr>
      </w:pPr>
      <w:bookmarkStart w:id="13" w:name="_Toc461200671"/>
      <w:r w:rsidRPr="00C052DD">
        <w:rPr>
          <w:i/>
        </w:rPr>
        <w:t>Comparative harms</w:t>
      </w:r>
      <w:bookmarkEnd w:id="13"/>
    </w:p>
    <w:p w:rsidR="00B070C3" w:rsidRPr="00C052DD" w:rsidRDefault="00B070C3" w:rsidP="00B070C3">
      <w:pPr>
        <w:ind w:left="720" w:hanging="720"/>
        <w:rPr>
          <w:szCs w:val="22"/>
        </w:rPr>
      </w:pPr>
    </w:p>
    <w:p w:rsidR="00B070C3" w:rsidRPr="00C052DD" w:rsidRDefault="00B070C3" w:rsidP="00F87D21">
      <w:pPr>
        <w:pStyle w:val="ListParagraph"/>
        <w:widowControl/>
        <w:numPr>
          <w:ilvl w:val="1"/>
          <w:numId w:val="1"/>
        </w:numPr>
        <w:rPr>
          <w:szCs w:val="22"/>
        </w:rPr>
      </w:pPr>
      <w:r w:rsidRPr="00C052DD">
        <w:rPr>
          <w:szCs w:val="22"/>
        </w:rPr>
        <w:t xml:space="preserve">Grade 3 and 4 adverse events (AEs) were more common in the </w:t>
      </w:r>
      <w:proofErr w:type="spellStart"/>
      <w:r w:rsidRPr="00C052DD">
        <w:rPr>
          <w:szCs w:val="22"/>
        </w:rPr>
        <w:t>ceritinib</w:t>
      </w:r>
      <w:proofErr w:type="spellEnd"/>
      <w:r w:rsidRPr="00C052DD">
        <w:rPr>
          <w:szCs w:val="22"/>
        </w:rPr>
        <w:t xml:space="preserve"> arm compared </w:t>
      </w:r>
      <w:r w:rsidR="00DC1AD3">
        <w:rPr>
          <w:szCs w:val="22"/>
        </w:rPr>
        <w:t>with</w:t>
      </w:r>
      <w:r w:rsidR="00D81595" w:rsidRPr="00C052DD">
        <w:rPr>
          <w:szCs w:val="22"/>
        </w:rPr>
        <w:t xml:space="preserve"> </w:t>
      </w:r>
      <w:r w:rsidRPr="00C052DD">
        <w:rPr>
          <w:szCs w:val="22"/>
        </w:rPr>
        <w:t xml:space="preserve">patients receiving </w:t>
      </w:r>
      <w:proofErr w:type="spellStart"/>
      <w:r w:rsidRPr="00C052DD">
        <w:rPr>
          <w:szCs w:val="22"/>
        </w:rPr>
        <w:t>pemetrexed</w:t>
      </w:r>
      <w:proofErr w:type="spellEnd"/>
      <w:r w:rsidRPr="00C052DD">
        <w:rPr>
          <w:szCs w:val="22"/>
        </w:rPr>
        <w:t xml:space="preserve"> (</w:t>
      </w:r>
      <w:r w:rsidR="000A536B">
        <w:rPr>
          <w:noProof/>
          <w:color w:val="000000"/>
          <w:szCs w:val="22"/>
          <w:highlight w:val="black"/>
        </w:rPr>
        <w:t>''''''''''</w:t>
      </w:r>
      <w:r w:rsidRPr="00C052DD">
        <w:rPr>
          <w:szCs w:val="22"/>
        </w:rPr>
        <w:t xml:space="preserve">% vs </w:t>
      </w:r>
      <w:proofErr w:type="gramStart"/>
      <w:r w:rsidR="000A536B">
        <w:rPr>
          <w:noProof/>
          <w:color w:val="000000"/>
          <w:szCs w:val="22"/>
          <w:highlight w:val="black"/>
        </w:rPr>
        <w:t>''''''</w:t>
      </w:r>
      <w:r w:rsidRPr="00C052DD">
        <w:rPr>
          <w:szCs w:val="22"/>
        </w:rPr>
        <w:t>%</w:t>
      </w:r>
      <w:proofErr w:type="gramEnd"/>
      <w:r w:rsidRPr="00C052DD">
        <w:rPr>
          <w:szCs w:val="22"/>
        </w:rPr>
        <w:t xml:space="preserve">). Similar numbers discontinued due to adverse events. Two on-treatment deaths were classified as caused by an </w:t>
      </w:r>
      <w:r w:rsidR="00D81595" w:rsidRPr="00C052DD">
        <w:rPr>
          <w:szCs w:val="22"/>
        </w:rPr>
        <w:t>AE</w:t>
      </w:r>
      <w:r w:rsidRPr="00C052DD">
        <w:rPr>
          <w:szCs w:val="22"/>
        </w:rPr>
        <w:t xml:space="preserve">, both in the </w:t>
      </w:r>
      <w:proofErr w:type="spellStart"/>
      <w:r w:rsidRPr="00C052DD">
        <w:rPr>
          <w:szCs w:val="22"/>
        </w:rPr>
        <w:t>ceritinib</w:t>
      </w:r>
      <w:proofErr w:type="spellEnd"/>
      <w:r w:rsidRPr="00C052DD">
        <w:rPr>
          <w:szCs w:val="22"/>
        </w:rPr>
        <w:t xml:space="preserve"> arm, but were not considered related </w:t>
      </w:r>
      <w:proofErr w:type="gramStart"/>
      <w:r w:rsidRPr="00C052DD">
        <w:rPr>
          <w:szCs w:val="22"/>
        </w:rPr>
        <w:t>to study</w:t>
      </w:r>
      <w:proofErr w:type="gramEnd"/>
      <w:r w:rsidRPr="00C052DD">
        <w:rPr>
          <w:szCs w:val="22"/>
        </w:rPr>
        <w:t xml:space="preserve"> treatment by investigator assessment. </w:t>
      </w:r>
      <w:r w:rsidR="009636B2" w:rsidRPr="00C052DD">
        <w:t>Table 5</w:t>
      </w:r>
      <w:r w:rsidRPr="00C052DD">
        <w:rPr>
          <w:szCs w:val="22"/>
        </w:rPr>
        <w:t xml:space="preserve"> below summarises the safety data from the ASCEND-5 trial.</w:t>
      </w:r>
    </w:p>
    <w:p w:rsidR="009C5FBE" w:rsidRPr="00C052DD" w:rsidRDefault="009C5FBE" w:rsidP="00623B80">
      <w:pPr>
        <w:ind w:left="720" w:hanging="720"/>
      </w:pPr>
      <w:bookmarkStart w:id="14" w:name="_Ref459044548"/>
    </w:p>
    <w:p w:rsidR="00B070C3" w:rsidRPr="00C052DD" w:rsidRDefault="00624E96" w:rsidP="00624E96">
      <w:pPr>
        <w:pStyle w:val="Caption"/>
        <w:keepNext/>
        <w:ind w:firstLine="720"/>
      </w:pPr>
      <w:r w:rsidRPr="00C052DD">
        <w:lastRenderedPageBreak/>
        <w:t xml:space="preserve">Table </w:t>
      </w:r>
      <w:r w:rsidR="009636B2" w:rsidRPr="00C052DD">
        <w:t>5</w:t>
      </w:r>
      <w:bookmarkEnd w:id="14"/>
      <w:r w:rsidRPr="00C052DD">
        <w:tab/>
      </w:r>
      <w:r w:rsidR="00B070C3" w:rsidRPr="00C052DD">
        <w:t>Summary of aggregate AE categories in ASCEND-5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992"/>
        <w:gridCol w:w="993"/>
        <w:gridCol w:w="992"/>
        <w:gridCol w:w="992"/>
        <w:gridCol w:w="992"/>
      </w:tblGrid>
      <w:tr w:rsidR="00B070C3" w:rsidRPr="00C052DD" w:rsidTr="000E49F4">
        <w:trPr>
          <w:cantSplit/>
          <w:tblHeader/>
        </w:trPr>
        <w:tc>
          <w:tcPr>
            <w:tcW w:w="2268" w:type="dxa"/>
            <w:vMerge w:val="restart"/>
            <w:shd w:val="clear" w:color="auto" w:fill="auto"/>
          </w:tcPr>
          <w:p w:rsidR="00B070C3" w:rsidRPr="00C052DD" w:rsidRDefault="00B070C3" w:rsidP="00322906">
            <w:pPr>
              <w:pStyle w:val="PBACTableTextBoldLeft"/>
              <w:rPr>
                <w:lang w:val="en-AU"/>
              </w:rPr>
            </w:pPr>
          </w:p>
        </w:tc>
        <w:tc>
          <w:tcPr>
            <w:tcW w:w="2126" w:type="dxa"/>
            <w:gridSpan w:val="2"/>
            <w:shd w:val="clear" w:color="auto" w:fill="auto"/>
          </w:tcPr>
          <w:p w:rsidR="00B070C3" w:rsidRPr="00C052DD" w:rsidRDefault="00B070C3" w:rsidP="00322906">
            <w:pPr>
              <w:pStyle w:val="PBACTableTextBoldCentered"/>
              <w:rPr>
                <w:lang w:val="en-AU"/>
              </w:rPr>
            </w:pPr>
            <w:proofErr w:type="spellStart"/>
            <w:r w:rsidRPr="00C052DD">
              <w:rPr>
                <w:lang w:val="en-AU"/>
              </w:rPr>
              <w:t>Ceritinib</w:t>
            </w:r>
            <w:proofErr w:type="spellEnd"/>
            <w:r w:rsidRPr="00C052DD">
              <w:rPr>
                <w:lang w:val="en-AU"/>
              </w:rPr>
              <w:br/>
              <w:t>N=115</w:t>
            </w:r>
            <w:r w:rsidRPr="00C052DD">
              <w:rPr>
                <w:lang w:val="en-AU"/>
              </w:rPr>
              <w:br/>
              <w:t>n (%)</w:t>
            </w:r>
          </w:p>
        </w:tc>
        <w:tc>
          <w:tcPr>
            <w:tcW w:w="1985" w:type="dxa"/>
            <w:gridSpan w:val="2"/>
            <w:shd w:val="clear" w:color="auto" w:fill="auto"/>
          </w:tcPr>
          <w:p w:rsidR="00B070C3" w:rsidRPr="00C052DD" w:rsidRDefault="00B070C3" w:rsidP="00322906">
            <w:pPr>
              <w:pStyle w:val="PBACTableTextBoldCentered"/>
              <w:rPr>
                <w:lang w:val="en-AU"/>
              </w:rPr>
            </w:pPr>
            <w:proofErr w:type="spellStart"/>
            <w:r w:rsidRPr="00C052DD">
              <w:rPr>
                <w:lang w:val="en-AU"/>
              </w:rPr>
              <w:t>Pemetrexed</w:t>
            </w:r>
            <w:proofErr w:type="spellEnd"/>
            <w:r w:rsidRPr="00C052DD">
              <w:rPr>
                <w:lang w:val="en-AU"/>
              </w:rPr>
              <w:br/>
              <w:t>N=</w:t>
            </w:r>
            <w:r w:rsidR="000A536B">
              <w:rPr>
                <w:noProof/>
                <w:color w:val="000000"/>
                <w:highlight w:val="black"/>
                <w:lang w:val="en-AU"/>
              </w:rPr>
              <w:t>'''''</w:t>
            </w:r>
            <w:r w:rsidRPr="00C052DD">
              <w:rPr>
                <w:lang w:val="en-AU"/>
              </w:rPr>
              <w:br/>
              <w:t>n (%)</w:t>
            </w:r>
          </w:p>
        </w:tc>
        <w:tc>
          <w:tcPr>
            <w:tcW w:w="1984" w:type="dxa"/>
            <w:gridSpan w:val="2"/>
          </w:tcPr>
          <w:p w:rsidR="00B070C3" w:rsidRPr="00C052DD" w:rsidRDefault="00B070C3" w:rsidP="00322906">
            <w:pPr>
              <w:pStyle w:val="PBACTableTextBoldCentered"/>
              <w:rPr>
                <w:lang w:val="en-AU"/>
              </w:rPr>
            </w:pPr>
            <w:proofErr w:type="spellStart"/>
            <w:r w:rsidRPr="00C052DD">
              <w:rPr>
                <w:lang w:val="en-AU"/>
              </w:rPr>
              <w:t>Docetaxel</w:t>
            </w:r>
            <w:proofErr w:type="spellEnd"/>
            <w:r w:rsidRPr="00C052DD">
              <w:rPr>
                <w:lang w:val="en-AU"/>
              </w:rPr>
              <w:br/>
              <w:t>N=73</w:t>
            </w:r>
            <w:r w:rsidRPr="00C052DD">
              <w:rPr>
                <w:lang w:val="en-AU"/>
              </w:rPr>
              <w:br/>
              <w:t>n (%)</w:t>
            </w:r>
          </w:p>
        </w:tc>
      </w:tr>
      <w:tr w:rsidR="00B070C3" w:rsidRPr="00C052DD" w:rsidTr="000E49F4">
        <w:trPr>
          <w:cantSplit/>
        </w:trPr>
        <w:tc>
          <w:tcPr>
            <w:tcW w:w="2268" w:type="dxa"/>
            <w:vMerge/>
            <w:shd w:val="clear" w:color="auto" w:fill="auto"/>
          </w:tcPr>
          <w:p w:rsidR="00B070C3" w:rsidRPr="00C052DD" w:rsidRDefault="00B070C3" w:rsidP="00322906">
            <w:pPr>
              <w:pStyle w:val="PBACTableText"/>
              <w:rPr>
                <w:lang w:val="en-AU"/>
              </w:rPr>
            </w:pPr>
          </w:p>
        </w:tc>
        <w:tc>
          <w:tcPr>
            <w:tcW w:w="1134" w:type="dxa"/>
            <w:shd w:val="clear" w:color="auto" w:fill="auto"/>
          </w:tcPr>
          <w:p w:rsidR="00B070C3" w:rsidRPr="00C052DD" w:rsidRDefault="00B070C3" w:rsidP="00322906">
            <w:pPr>
              <w:pStyle w:val="PBACTableText"/>
              <w:jc w:val="center"/>
              <w:rPr>
                <w:b/>
                <w:lang w:val="en-AU"/>
              </w:rPr>
            </w:pPr>
            <w:r w:rsidRPr="00C052DD">
              <w:rPr>
                <w:b/>
                <w:lang w:val="en-AU"/>
              </w:rPr>
              <w:t>All grades</w:t>
            </w:r>
          </w:p>
        </w:tc>
        <w:tc>
          <w:tcPr>
            <w:tcW w:w="992" w:type="dxa"/>
            <w:shd w:val="clear" w:color="auto" w:fill="auto"/>
          </w:tcPr>
          <w:p w:rsidR="00B070C3" w:rsidRPr="00C052DD" w:rsidRDefault="00B070C3" w:rsidP="00322906">
            <w:pPr>
              <w:pStyle w:val="PBACTableText"/>
              <w:jc w:val="center"/>
              <w:rPr>
                <w:b/>
                <w:lang w:val="en-AU"/>
              </w:rPr>
            </w:pPr>
            <w:r w:rsidRPr="00C052DD">
              <w:rPr>
                <w:b/>
                <w:lang w:val="en-AU"/>
              </w:rPr>
              <w:t>Grades 3/4</w:t>
            </w:r>
          </w:p>
        </w:tc>
        <w:tc>
          <w:tcPr>
            <w:tcW w:w="993" w:type="dxa"/>
            <w:shd w:val="clear" w:color="auto" w:fill="auto"/>
          </w:tcPr>
          <w:p w:rsidR="00B070C3" w:rsidRPr="00C052DD" w:rsidRDefault="00B070C3" w:rsidP="00322906">
            <w:pPr>
              <w:pStyle w:val="PBACTableText"/>
              <w:jc w:val="center"/>
              <w:rPr>
                <w:b/>
                <w:lang w:val="en-AU"/>
              </w:rPr>
            </w:pPr>
            <w:r w:rsidRPr="00C052DD">
              <w:rPr>
                <w:b/>
                <w:lang w:val="en-AU"/>
              </w:rPr>
              <w:t>All grades</w:t>
            </w:r>
          </w:p>
        </w:tc>
        <w:tc>
          <w:tcPr>
            <w:tcW w:w="992" w:type="dxa"/>
            <w:shd w:val="clear" w:color="auto" w:fill="auto"/>
          </w:tcPr>
          <w:p w:rsidR="00B070C3" w:rsidRPr="00C052DD" w:rsidRDefault="00B070C3" w:rsidP="00322906">
            <w:pPr>
              <w:pStyle w:val="PBACTableText"/>
              <w:jc w:val="center"/>
              <w:rPr>
                <w:b/>
                <w:lang w:val="en-AU"/>
              </w:rPr>
            </w:pPr>
            <w:r w:rsidRPr="00C052DD">
              <w:rPr>
                <w:b/>
                <w:lang w:val="en-AU"/>
              </w:rPr>
              <w:t>Grades 3/4</w:t>
            </w:r>
          </w:p>
        </w:tc>
        <w:tc>
          <w:tcPr>
            <w:tcW w:w="992" w:type="dxa"/>
          </w:tcPr>
          <w:p w:rsidR="00B070C3" w:rsidRPr="00C052DD" w:rsidRDefault="00B070C3" w:rsidP="00322906">
            <w:pPr>
              <w:pStyle w:val="PBACTableText"/>
              <w:jc w:val="center"/>
              <w:rPr>
                <w:b/>
                <w:lang w:val="en-AU"/>
              </w:rPr>
            </w:pPr>
            <w:r w:rsidRPr="00C052DD">
              <w:rPr>
                <w:b/>
                <w:lang w:val="en-AU"/>
              </w:rPr>
              <w:t>All grades</w:t>
            </w:r>
          </w:p>
        </w:tc>
        <w:tc>
          <w:tcPr>
            <w:tcW w:w="992" w:type="dxa"/>
          </w:tcPr>
          <w:p w:rsidR="00B070C3" w:rsidRPr="00C052DD" w:rsidRDefault="00B070C3" w:rsidP="00322906">
            <w:pPr>
              <w:pStyle w:val="PBACTableText"/>
              <w:jc w:val="center"/>
              <w:rPr>
                <w:b/>
                <w:lang w:val="en-AU"/>
              </w:rPr>
            </w:pPr>
            <w:r w:rsidRPr="00C052DD">
              <w:rPr>
                <w:b/>
                <w:lang w:val="en-AU"/>
              </w:rPr>
              <w:t>Grades 3/4</w:t>
            </w:r>
          </w:p>
        </w:tc>
      </w:tr>
      <w:tr w:rsidR="00B070C3" w:rsidRPr="00C052DD" w:rsidTr="000E49F4">
        <w:trPr>
          <w:cantSplit/>
        </w:trPr>
        <w:tc>
          <w:tcPr>
            <w:tcW w:w="2268" w:type="dxa"/>
            <w:shd w:val="clear" w:color="auto" w:fill="auto"/>
          </w:tcPr>
          <w:p w:rsidR="00B070C3" w:rsidRPr="00C052DD" w:rsidRDefault="00B070C3" w:rsidP="00322906">
            <w:pPr>
              <w:pStyle w:val="PBACTableText"/>
              <w:rPr>
                <w:lang w:val="en-AU"/>
              </w:rPr>
            </w:pPr>
            <w:r w:rsidRPr="00C052DD">
              <w:rPr>
                <w:lang w:val="en-AU"/>
              </w:rPr>
              <w:t>Any AE</w:t>
            </w:r>
          </w:p>
        </w:tc>
        <w:tc>
          <w:tcPr>
            <w:tcW w:w="1134" w:type="dxa"/>
            <w:shd w:val="clear" w:color="auto" w:fill="auto"/>
          </w:tcPr>
          <w:p w:rsidR="00B070C3" w:rsidRPr="00C052DD" w:rsidRDefault="00B070C3" w:rsidP="00322906">
            <w:pPr>
              <w:pStyle w:val="PBACTableText"/>
              <w:jc w:val="center"/>
              <w:rPr>
                <w:lang w:val="en-AU"/>
              </w:rPr>
            </w:pPr>
            <w:r w:rsidRPr="00C052DD">
              <w:rPr>
                <w:lang w:val="en-AU"/>
              </w:rPr>
              <w:t>115 (100)</w:t>
            </w:r>
          </w:p>
        </w:tc>
        <w:tc>
          <w:tcPr>
            <w:tcW w:w="992" w:type="dxa"/>
            <w:shd w:val="clear" w:color="auto" w:fill="auto"/>
          </w:tcPr>
          <w:p w:rsidR="00B070C3" w:rsidRPr="00C052DD" w:rsidRDefault="00B070C3" w:rsidP="00322906">
            <w:pPr>
              <w:pStyle w:val="PBACTableText"/>
              <w:jc w:val="center"/>
              <w:rPr>
                <w:lang w:val="en-AU"/>
              </w:rPr>
            </w:pPr>
            <w:r w:rsidRPr="00C052DD">
              <w:rPr>
                <w:lang w:val="en-AU"/>
              </w:rPr>
              <w:t>89 (77.4)</w:t>
            </w:r>
          </w:p>
        </w:tc>
        <w:tc>
          <w:tcPr>
            <w:tcW w:w="993"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tcPr>
          <w:p w:rsidR="00B070C3" w:rsidRPr="00C052DD" w:rsidRDefault="00B070C3" w:rsidP="00322906">
            <w:pPr>
              <w:pStyle w:val="PBACTableText"/>
              <w:jc w:val="center"/>
              <w:rPr>
                <w:lang w:val="en-AU"/>
              </w:rPr>
            </w:pPr>
            <w:r w:rsidRPr="00C052DD">
              <w:rPr>
                <w:lang w:val="en-AU"/>
              </w:rPr>
              <w:t>72 (98.6)</w:t>
            </w:r>
          </w:p>
        </w:tc>
        <w:tc>
          <w:tcPr>
            <w:tcW w:w="992" w:type="dxa"/>
          </w:tcPr>
          <w:p w:rsidR="00B070C3" w:rsidRPr="00C052DD" w:rsidRDefault="00B070C3" w:rsidP="00322906">
            <w:pPr>
              <w:pStyle w:val="PBACTableText"/>
              <w:jc w:val="center"/>
              <w:rPr>
                <w:lang w:val="en-AU"/>
              </w:rPr>
            </w:pPr>
            <w:r w:rsidRPr="00C052DD">
              <w:rPr>
                <w:lang w:val="en-AU"/>
              </w:rPr>
              <w:t>54 (74)</w:t>
            </w:r>
          </w:p>
        </w:tc>
      </w:tr>
      <w:tr w:rsidR="00B070C3" w:rsidRPr="00C052DD" w:rsidTr="000E49F4">
        <w:trPr>
          <w:cantSplit/>
        </w:trPr>
        <w:tc>
          <w:tcPr>
            <w:tcW w:w="2268" w:type="dxa"/>
            <w:shd w:val="clear" w:color="auto" w:fill="auto"/>
          </w:tcPr>
          <w:p w:rsidR="00B070C3" w:rsidRPr="00C052DD" w:rsidRDefault="00B070C3" w:rsidP="00322906">
            <w:pPr>
              <w:pStyle w:val="PBACTableText"/>
              <w:rPr>
                <w:lang w:val="en-AU"/>
              </w:rPr>
            </w:pPr>
            <w:r w:rsidRPr="00C052DD">
              <w:rPr>
                <w:lang w:val="en-AU"/>
              </w:rPr>
              <w:t>Any AE resulting in discontinuation</w:t>
            </w:r>
          </w:p>
        </w:tc>
        <w:tc>
          <w:tcPr>
            <w:tcW w:w="1134" w:type="dxa"/>
            <w:shd w:val="clear" w:color="auto" w:fill="auto"/>
          </w:tcPr>
          <w:p w:rsidR="00B070C3" w:rsidRPr="00C052DD" w:rsidRDefault="00B070C3" w:rsidP="00322906">
            <w:pPr>
              <w:pStyle w:val="PBACTableText"/>
              <w:jc w:val="center"/>
              <w:rPr>
                <w:lang w:val="en-AU"/>
              </w:rPr>
            </w:pPr>
            <w:r w:rsidRPr="00C052DD">
              <w:rPr>
                <w:lang w:val="en-AU"/>
              </w:rPr>
              <w:t>18 (15.7)</w:t>
            </w:r>
          </w:p>
        </w:tc>
        <w:tc>
          <w:tcPr>
            <w:tcW w:w="992" w:type="dxa"/>
            <w:shd w:val="clear" w:color="auto" w:fill="auto"/>
          </w:tcPr>
          <w:p w:rsidR="00B070C3" w:rsidRPr="00C052DD" w:rsidRDefault="00B070C3" w:rsidP="00322906">
            <w:pPr>
              <w:pStyle w:val="PBACTableText"/>
              <w:jc w:val="center"/>
              <w:rPr>
                <w:lang w:val="en-AU"/>
              </w:rPr>
            </w:pPr>
            <w:r w:rsidRPr="00C052DD">
              <w:rPr>
                <w:lang w:val="en-AU"/>
              </w:rPr>
              <w:t>15 (13)</w:t>
            </w:r>
          </w:p>
        </w:tc>
        <w:tc>
          <w:tcPr>
            <w:tcW w:w="993"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tcPr>
          <w:p w:rsidR="00B070C3" w:rsidRPr="00C052DD" w:rsidRDefault="00B070C3" w:rsidP="00322906">
            <w:pPr>
              <w:pStyle w:val="PBACTableText"/>
              <w:jc w:val="center"/>
              <w:rPr>
                <w:lang w:val="en-AU"/>
              </w:rPr>
            </w:pPr>
            <w:r w:rsidRPr="00C052DD">
              <w:rPr>
                <w:lang w:val="en-AU"/>
              </w:rPr>
              <w:t>7 (9.6)</w:t>
            </w:r>
          </w:p>
        </w:tc>
        <w:tc>
          <w:tcPr>
            <w:tcW w:w="992" w:type="dxa"/>
          </w:tcPr>
          <w:p w:rsidR="00B070C3" w:rsidRPr="00C052DD" w:rsidRDefault="00B070C3" w:rsidP="00322906">
            <w:pPr>
              <w:pStyle w:val="PBACTableText"/>
              <w:jc w:val="center"/>
              <w:rPr>
                <w:lang w:val="en-AU"/>
              </w:rPr>
            </w:pPr>
            <w:r w:rsidRPr="00C052DD">
              <w:rPr>
                <w:lang w:val="en-AU"/>
              </w:rPr>
              <w:t>5 (6.8)</w:t>
            </w:r>
          </w:p>
        </w:tc>
      </w:tr>
      <w:tr w:rsidR="00B070C3" w:rsidRPr="00C052DD" w:rsidTr="000E49F4">
        <w:trPr>
          <w:cantSplit/>
        </w:trPr>
        <w:tc>
          <w:tcPr>
            <w:tcW w:w="2268" w:type="dxa"/>
            <w:shd w:val="clear" w:color="auto" w:fill="auto"/>
          </w:tcPr>
          <w:p w:rsidR="00B070C3" w:rsidRPr="00C052DD" w:rsidRDefault="00B070C3" w:rsidP="00322906">
            <w:pPr>
              <w:pStyle w:val="PBACTableText"/>
              <w:rPr>
                <w:lang w:val="en-AU"/>
              </w:rPr>
            </w:pPr>
            <w:r w:rsidRPr="00C052DD">
              <w:rPr>
                <w:lang w:val="en-AU"/>
              </w:rPr>
              <w:t>On treatment death</w:t>
            </w:r>
          </w:p>
        </w:tc>
        <w:tc>
          <w:tcPr>
            <w:tcW w:w="2126" w:type="dxa"/>
            <w:gridSpan w:val="2"/>
            <w:shd w:val="clear" w:color="auto" w:fill="auto"/>
          </w:tcPr>
          <w:p w:rsidR="00B070C3" w:rsidRPr="00C052DD" w:rsidRDefault="00B070C3" w:rsidP="00322906">
            <w:pPr>
              <w:pStyle w:val="PBACTableText"/>
              <w:jc w:val="center"/>
              <w:rPr>
                <w:lang w:val="en-AU"/>
              </w:rPr>
            </w:pPr>
            <w:r w:rsidRPr="00C052DD">
              <w:rPr>
                <w:lang w:val="en-AU"/>
              </w:rPr>
              <w:t>15 (13.0)</w:t>
            </w:r>
          </w:p>
        </w:tc>
        <w:tc>
          <w:tcPr>
            <w:tcW w:w="1985" w:type="dxa"/>
            <w:gridSpan w:val="2"/>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1984" w:type="dxa"/>
            <w:gridSpan w:val="2"/>
          </w:tcPr>
          <w:p w:rsidR="00B070C3" w:rsidRPr="00C052DD" w:rsidRDefault="00B070C3" w:rsidP="00322906">
            <w:pPr>
              <w:pStyle w:val="PBACTableText"/>
              <w:jc w:val="center"/>
              <w:rPr>
                <w:lang w:val="en-AU"/>
              </w:rPr>
            </w:pPr>
            <w:r w:rsidRPr="00C052DD">
              <w:rPr>
                <w:lang w:val="en-AU"/>
              </w:rPr>
              <w:t>3 (4.1)</w:t>
            </w:r>
          </w:p>
        </w:tc>
      </w:tr>
      <w:tr w:rsidR="00B070C3" w:rsidRPr="00C052DD" w:rsidTr="000E49F4">
        <w:trPr>
          <w:cantSplit/>
        </w:trPr>
        <w:tc>
          <w:tcPr>
            <w:tcW w:w="2268" w:type="dxa"/>
            <w:shd w:val="clear" w:color="auto" w:fill="auto"/>
          </w:tcPr>
          <w:p w:rsidR="00B070C3" w:rsidRPr="00C052DD" w:rsidRDefault="00B070C3" w:rsidP="00322906">
            <w:pPr>
              <w:pStyle w:val="PBACTableText"/>
              <w:rPr>
                <w:lang w:val="en-AU"/>
              </w:rPr>
            </w:pPr>
            <w:r w:rsidRPr="00C052DD">
              <w:rPr>
                <w:lang w:val="en-AU"/>
              </w:rPr>
              <w:t>Any AE resulting in death</w:t>
            </w:r>
          </w:p>
        </w:tc>
        <w:tc>
          <w:tcPr>
            <w:tcW w:w="2126" w:type="dxa"/>
            <w:gridSpan w:val="2"/>
            <w:shd w:val="clear" w:color="auto" w:fill="auto"/>
          </w:tcPr>
          <w:p w:rsidR="00B070C3" w:rsidRPr="00C052DD" w:rsidRDefault="00B070C3" w:rsidP="00322906">
            <w:pPr>
              <w:pStyle w:val="PBACTableText"/>
              <w:jc w:val="center"/>
              <w:rPr>
                <w:lang w:val="en-AU"/>
              </w:rPr>
            </w:pPr>
            <w:r w:rsidRPr="00C052DD">
              <w:rPr>
                <w:lang w:val="en-AU"/>
              </w:rPr>
              <w:t>2 (1.7)</w:t>
            </w:r>
          </w:p>
        </w:tc>
        <w:tc>
          <w:tcPr>
            <w:tcW w:w="1985" w:type="dxa"/>
            <w:gridSpan w:val="2"/>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1984" w:type="dxa"/>
            <w:gridSpan w:val="2"/>
          </w:tcPr>
          <w:p w:rsidR="00B070C3" w:rsidRPr="00C052DD" w:rsidRDefault="00B070C3" w:rsidP="00322906">
            <w:pPr>
              <w:pStyle w:val="PBACTableText"/>
              <w:jc w:val="center"/>
              <w:rPr>
                <w:lang w:val="en-AU"/>
              </w:rPr>
            </w:pPr>
            <w:r w:rsidRPr="00C052DD">
              <w:rPr>
                <w:lang w:val="en-AU"/>
              </w:rPr>
              <w:t>0 (0)</w:t>
            </w:r>
          </w:p>
        </w:tc>
      </w:tr>
      <w:tr w:rsidR="00B070C3" w:rsidRPr="00C052DD" w:rsidTr="000E49F4">
        <w:trPr>
          <w:cantSplit/>
        </w:trPr>
        <w:tc>
          <w:tcPr>
            <w:tcW w:w="2268" w:type="dxa"/>
            <w:shd w:val="clear" w:color="auto" w:fill="auto"/>
          </w:tcPr>
          <w:p w:rsidR="00B070C3" w:rsidRPr="00C052DD" w:rsidRDefault="00B070C3" w:rsidP="00322906">
            <w:pPr>
              <w:pStyle w:val="PBACTableText"/>
              <w:rPr>
                <w:lang w:val="en-AU"/>
              </w:rPr>
            </w:pPr>
            <w:r w:rsidRPr="00C052DD">
              <w:rPr>
                <w:lang w:val="en-AU"/>
              </w:rPr>
              <w:t>AEs suspected to be drug-related</w:t>
            </w:r>
          </w:p>
        </w:tc>
        <w:tc>
          <w:tcPr>
            <w:tcW w:w="1134" w:type="dxa"/>
            <w:shd w:val="clear" w:color="auto" w:fill="auto"/>
          </w:tcPr>
          <w:p w:rsidR="00B070C3" w:rsidRPr="00C052DD" w:rsidRDefault="00B070C3" w:rsidP="00322906">
            <w:pPr>
              <w:pStyle w:val="PBACTableText"/>
              <w:jc w:val="center"/>
              <w:rPr>
                <w:lang w:val="en-AU"/>
              </w:rPr>
            </w:pPr>
            <w:r w:rsidRPr="00C052DD">
              <w:rPr>
                <w:lang w:val="en-AU"/>
              </w:rPr>
              <w:t>110 (95.7)</w:t>
            </w:r>
          </w:p>
        </w:tc>
        <w:tc>
          <w:tcPr>
            <w:tcW w:w="992" w:type="dxa"/>
            <w:shd w:val="clear" w:color="auto" w:fill="auto"/>
          </w:tcPr>
          <w:p w:rsidR="00B070C3" w:rsidRPr="00C052DD" w:rsidRDefault="00B070C3" w:rsidP="00322906">
            <w:pPr>
              <w:pStyle w:val="PBACTableText"/>
              <w:jc w:val="center"/>
              <w:rPr>
                <w:lang w:val="en-AU"/>
              </w:rPr>
            </w:pPr>
            <w:r w:rsidRPr="00C052DD">
              <w:rPr>
                <w:lang w:val="en-AU"/>
              </w:rPr>
              <w:t>60 (52.2)</w:t>
            </w:r>
          </w:p>
        </w:tc>
        <w:tc>
          <w:tcPr>
            <w:tcW w:w="993"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shd w:val="clear" w:color="auto" w:fill="auto"/>
          </w:tcPr>
          <w:p w:rsidR="00B070C3" w:rsidRPr="00C052DD" w:rsidRDefault="000A536B" w:rsidP="00322906">
            <w:pPr>
              <w:pStyle w:val="PBACTableText"/>
              <w:jc w:val="center"/>
              <w:rPr>
                <w:lang w:val="en-AU"/>
              </w:rPr>
            </w:pPr>
            <w:r>
              <w:rPr>
                <w:noProof/>
                <w:color w:val="000000"/>
                <w:highlight w:val="black"/>
                <w:lang w:val="en-AU"/>
              </w:rPr>
              <w:t>''''</w:t>
            </w:r>
            <w:r w:rsidR="00B070C3" w:rsidRPr="00C052DD">
              <w:rPr>
                <w:lang w:val="en-AU"/>
              </w:rPr>
              <w:t xml:space="preserve"> (</w:t>
            </w:r>
            <w:r>
              <w:rPr>
                <w:noProof/>
                <w:color w:val="000000"/>
                <w:highlight w:val="black"/>
                <w:lang w:val="en-AU"/>
              </w:rPr>
              <w:t>''''''''''</w:t>
            </w:r>
            <w:r w:rsidR="00B070C3" w:rsidRPr="00C052DD">
              <w:rPr>
                <w:lang w:val="en-AU"/>
              </w:rPr>
              <w:t>)</w:t>
            </w:r>
          </w:p>
        </w:tc>
        <w:tc>
          <w:tcPr>
            <w:tcW w:w="992" w:type="dxa"/>
          </w:tcPr>
          <w:p w:rsidR="00B070C3" w:rsidRPr="00C052DD" w:rsidRDefault="00B070C3" w:rsidP="00322906">
            <w:pPr>
              <w:pStyle w:val="PBACTableText"/>
              <w:jc w:val="center"/>
              <w:rPr>
                <w:lang w:val="en-AU"/>
              </w:rPr>
            </w:pPr>
            <w:r w:rsidRPr="00C052DD">
              <w:rPr>
                <w:lang w:val="en-AU"/>
              </w:rPr>
              <w:t>58 (79.5)</w:t>
            </w:r>
          </w:p>
        </w:tc>
        <w:tc>
          <w:tcPr>
            <w:tcW w:w="992" w:type="dxa"/>
          </w:tcPr>
          <w:p w:rsidR="00B070C3" w:rsidRPr="00C052DD" w:rsidRDefault="00B070C3" w:rsidP="00322906">
            <w:pPr>
              <w:pStyle w:val="PBACTableText"/>
              <w:jc w:val="center"/>
              <w:rPr>
                <w:lang w:val="en-AU"/>
              </w:rPr>
            </w:pPr>
            <w:r w:rsidRPr="00C052DD">
              <w:rPr>
                <w:lang w:val="en-AU"/>
              </w:rPr>
              <w:t>33 (45.2)</w:t>
            </w:r>
          </w:p>
        </w:tc>
      </w:tr>
    </w:tbl>
    <w:p w:rsidR="00B070C3" w:rsidRPr="00C052DD" w:rsidRDefault="00B070C3" w:rsidP="00B070C3">
      <w:pPr>
        <w:pStyle w:val="TableFooter"/>
        <w:ind w:firstLine="720"/>
      </w:pPr>
      <w:r w:rsidRPr="00C052DD">
        <w:t>AE = adverse event</w:t>
      </w:r>
    </w:p>
    <w:p w:rsidR="00B070C3" w:rsidRPr="00C052DD" w:rsidRDefault="00B070C3" w:rsidP="00B070C3">
      <w:pPr>
        <w:pStyle w:val="TableFooter"/>
        <w:ind w:firstLine="720"/>
      </w:pPr>
      <w:r w:rsidRPr="00C052DD">
        <w:t xml:space="preserve">Source: Table 32, pp75-76 of the submission and Table 5-1, pp41-42 of the First Available Results (FAR) Primary analysis. </w:t>
      </w:r>
    </w:p>
    <w:p w:rsidR="00B070C3" w:rsidRPr="00623B80" w:rsidRDefault="00B070C3" w:rsidP="00623B80">
      <w:pPr>
        <w:widowControl/>
        <w:rPr>
          <w:szCs w:val="22"/>
        </w:rPr>
      </w:pPr>
    </w:p>
    <w:p w:rsidR="00B070C3" w:rsidRPr="00C052DD" w:rsidRDefault="00B070C3" w:rsidP="00F87D21">
      <w:pPr>
        <w:pStyle w:val="ListParagraph"/>
        <w:widowControl/>
        <w:numPr>
          <w:ilvl w:val="1"/>
          <w:numId w:val="1"/>
        </w:numPr>
        <w:rPr>
          <w:szCs w:val="22"/>
        </w:rPr>
      </w:pPr>
      <w:proofErr w:type="spellStart"/>
      <w:r w:rsidRPr="00C052DD">
        <w:rPr>
          <w:szCs w:val="22"/>
        </w:rPr>
        <w:t>Ceritinib</w:t>
      </w:r>
      <w:proofErr w:type="spellEnd"/>
      <w:r w:rsidRPr="00C052DD">
        <w:rPr>
          <w:szCs w:val="22"/>
        </w:rPr>
        <w:t xml:space="preserve"> patients experienced a higher rate of gastrointestinal, cardiac and liver enzyme related AEs. The submission stated that this was not unexpected, and is consistent with the findings of other trials of </w:t>
      </w:r>
      <w:proofErr w:type="spellStart"/>
      <w:r w:rsidRPr="00C052DD">
        <w:rPr>
          <w:szCs w:val="22"/>
        </w:rPr>
        <w:t>ceritinib</w:t>
      </w:r>
      <w:proofErr w:type="spellEnd"/>
      <w:r w:rsidRPr="00C052DD">
        <w:rPr>
          <w:szCs w:val="22"/>
        </w:rPr>
        <w:t xml:space="preserve"> on which the registration was based. These findings led to the inclusion of a boxed warning in the approved Product Information.</w:t>
      </w:r>
      <w:r w:rsidR="00CC159C" w:rsidRPr="00C052DD">
        <w:rPr>
          <w:szCs w:val="22"/>
        </w:rPr>
        <w:t xml:space="preserve"> The boxed warning identifies the following serious adverse events and recommends close monitoring and early dose reduction: QT interval prolongation; interstitial lung disease/pneumonitis; hepatotoxicity; gastrointestinal toxicity. In addition, the boxed warning </w:t>
      </w:r>
      <w:r w:rsidR="006C21FB" w:rsidRPr="00C052DD">
        <w:rPr>
          <w:szCs w:val="22"/>
        </w:rPr>
        <w:t xml:space="preserve">states that </w:t>
      </w:r>
      <w:proofErr w:type="spellStart"/>
      <w:r w:rsidR="006C21FB" w:rsidRPr="00C052DD">
        <w:rPr>
          <w:szCs w:val="22"/>
        </w:rPr>
        <w:t>ceritinib</w:t>
      </w:r>
      <w:proofErr w:type="spellEnd"/>
      <w:r w:rsidR="006C21FB" w:rsidRPr="00C052DD">
        <w:rPr>
          <w:szCs w:val="22"/>
        </w:rPr>
        <w:t xml:space="preserve"> has not been studied in patients with moderate and severe hepatic impairment, must be taken while fasting and should only be prescribed and supervised by a qualified physician experienced in the use of anticancer agents.</w:t>
      </w:r>
    </w:p>
    <w:p w:rsidR="00B070C3" w:rsidRPr="00C052DD" w:rsidRDefault="00B070C3" w:rsidP="005E70BD">
      <w:pPr>
        <w:widowControl/>
        <w:rPr>
          <w:color w:val="FF0000"/>
          <w:szCs w:val="22"/>
        </w:rPr>
      </w:pPr>
    </w:p>
    <w:p w:rsidR="00A86622" w:rsidRPr="00C052DD" w:rsidRDefault="00B070C3" w:rsidP="00F87D21">
      <w:pPr>
        <w:pStyle w:val="ListParagraph"/>
        <w:widowControl/>
        <w:numPr>
          <w:ilvl w:val="1"/>
          <w:numId w:val="1"/>
        </w:numPr>
        <w:rPr>
          <w:szCs w:val="22"/>
        </w:rPr>
      </w:pPr>
      <w:r w:rsidRPr="00C052DD">
        <w:t xml:space="preserve">Patients receiving </w:t>
      </w:r>
      <w:proofErr w:type="spellStart"/>
      <w:r w:rsidRPr="00C052DD">
        <w:t>ceritinib</w:t>
      </w:r>
      <w:proofErr w:type="spellEnd"/>
      <w:r w:rsidRPr="00C052DD">
        <w:t xml:space="preserve"> were significantly more likely to experience a liver enzyme related Grade 3 or 4 </w:t>
      </w:r>
      <w:r w:rsidR="00D81595" w:rsidRPr="00C052DD">
        <w:t xml:space="preserve">AE </w:t>
      </w:r>
      <w:r w:rsidRPr="00C052DD">
        <w:t xml:space="preserve">than patients receiving </w:t>
      </w:r>
      <w:proofErr w:type="spellStart"/>
      <w:r w:rsidRPr="00C052DD">
        <w:t>pemetrexed</w:t>
      </w:r>
      <w:proofErr w:type="spellEnd"/>
      <w:r w:rsidRPr="00C052DD">
        <w:t xml:space="preserve">. Grade 3 or 4 anaemia was more common in the </w:t>
      </w:r>
      <w:proofErr w:type="spellStart"/>
      <w:r w:rsidRPr="00C052DD">
        <w:t>pemetrexed</w:t>
      </w:r>
      <w:proofErr w:type="spellEnd"/>
      <w:r w:rsidRPr="00C052DD">
        <w:t xml:space="preserve"> arm.</w:t>
      </w:r>
      <w:r w:rsidR="00A86622" w:rsidRPr="00C052DD">
        <w:t xml:space="preserve"> The ESC noted that the most common Grade 3 or 4 </w:t>
      </w:r>
      <w:r w:rsidR="00D81595" w:rsidRPr="00C052DD">
        <w:t>AEs</w:t>
      </w:r>
      <w:r w:rsidR="00A86622" w:rsidRPr="00C052DD">
        <w:t xml:space="preserve"> were elevated liver enzymes, suggesting liver toxicity, increased incidence of vomiting and nausea and prolonged QT interval on electrocardiograph indicating an increased risk of cardiac arrhythmia.</w:t>
      </w:r>
    </w:p>
    <w:p w:rsidR="00B070C3" w:rsidRPr="00623B80" w:rsidRDefault="00B070C3" w:rsidP="00B070C3">
      <w:pPr>
        <w:widowControl/>
        <w:rPr>
          <w:szCs w:val="22"/>
        </w:rPr>
      </w:pPr>
    </w:p>
    <w:p w:rsidR="00B070C3" w:rsidRPr="00C052DD" w:rsidRDefault="00B070C3" w:rsidP="00F87D21">
      <w:pPr>
        <w:pStyle w:val="ListParagraph"/>
        <w:widowControl/>
        <w:numPr>
          <w:ilvl w:val="1"/>
          <w:numId w:val="1"/>
        </w:numPr>
        <w:rPr>
          <w:szCs w:val="22"/>
        </w:rPr>
      </w:pPr>
      <w:r w:rsidRPr="00C052DD">
        <w:rPr>
          <w:szCs w:val="22"/>
        </w:rPr>
        <w:t xml:space="preserve">The </w:t>
      </w:r>
      <w:r w:rsidR="00B6364F" w:rsidRPr="00C052DD">
        <w:rPr>
          <w:szCs w:val="22"/>
        </w:rPr>
        <w:t xml:space="preserve">evaluation noted that the </w:t>
      </w:r>
      <w:r w:rsidRPr="00C052DD">
        <w:rPr>
          <w:szCs w:val="22"/>
        </w:rPr>
        <w:t xml:space="preserve">analysis of safety, which is reported for the on-treatment period, may have been confounded by the disparity of exposure to active therapy in each arm. Mean duration of exposure to </w:t>
      </w:r>
      <w:proofErr w:type="spellStart"/>
      <w:r w:rsidRPr="00C052DD">
        <w:rPr>
          <w:szCs w:val="22"/>
        </w:rPr>
        <w:t>ceritinib</w:t>
      </w:r>
      <w:proofErr w:type="spellEnd"/>
      <w:r w:rsidRPr="00C052DD">
        <w:rPr>
          <w:szCs w:val="22"/>
        </w:rPr>
        <w:t xml:space="preserve"> was </w:t>
      </w:r>
      <w:r w:rsidR="00A05571">
        <w:rPr>
          <w:noProof/>
          <w:color w:val="000000"/>
          <w:szCs w:val="22"/>
          <w:highlight w:val="black"/>
        </w:rPr>
        <w:t>''''''''''</w:t>
      </w:r>
      <w:r w:rsidRPr="00C052DD">
        <w:rPr>
          <w:szCs w:val="22"/>
        </w:rPr>
        <w:t xml:space="preserve"> weeks compared with </w:t>
      </w:r>
      <w:r w:rsidR="00A05571">
        <w:rPr>
          <w:noProof/>
          <w:color w:val="000000"/>
          <w:szCs w:val="22"/>
          <w:highlight w:val="black"/>
        </w:rPr>
        <w:t>'''''''''''</w:t>
      </w:r>
      <w:r w:rsidRPr="00C052DD">
        <w:rPr>
          <w:szCs w:val="22"/>
        </w:rPr>
        <w:t xml:space="preserve"> weeks in the chemotherapy arm, or </w:t>
      </w:r>
      <w:r w:rsidR="000A536B">
        <w:rPr>
          <w:noProof/>
          <w:color w:val="000000"/>
          <w:szCs w:val="22"/>
          <w:highlight w:val="black"/>
        </w:rPr>
        <w:t>'''''''''''</w:t>
      </w:r>
      <w:r w:rsidRPr="00C052DD">
        <w:rPr>
          <w:szCs w:val="22"/>
        </w:rPr>
        <w:t xml:space="preserve"> weeks in the </w:t>
      </w:r>
      <w:proofErr w:type="spellStart"/>
      <w:r w:rsidRPr="00C052DD">
        <w:rPr>
          <w:szCs w:val="22"/>
        </w:rPr>
        <w:t>pemetrexed</w:t>
      </w:r>
      <w:proofErr w:type="spellEnd"/>
      <w:r w:rsidRPr="00C052DD">
        <w:rPr>
          <w:szCs w:val="22"/>
        </w:rPr>
        <w:t xml:space="preserve"> subgroup. </w:t>
      </w:r>
      <w:r w:rsidRPr="00C052DD">
        <w:t xml:space="preserve">The duration of exposure to </w:t>
      </w:r>
      <w:proofErr w:type="spellStart"/>
      <w:r w:rsidRPr="00C052DD">
        <w:t>ceritinib</w:t>
      </w:r>
      <w:proofErr w:type="spellEnd"/>
      <w:r w:rsidRPr="00C052DD">
        <w:t xml:space="preserve"> was substantially longer than it was to </w:t>
      </w:r>
      <w:proofErr w:type="spellStart"/>
      <w:r w:rsidRPr="00C052DD">
        <w:t>pemetrexed</w:t>
      </w:r>
      <w:proofErr w:type="spellEnd"/>
      <w:r w:rsidRPr="00C052DD">
        <w:t>, and the proportion of patients experiencing an adverse event would be expected to be higher.</w:t>
      </w:r>
    </w:p>
    <w:p w:rsidR="00B070C3" w:rsidRPr="00C052DD" w:rsidRDefault="00B070C3" w:rsidP="00B070C3">
      <w:pPr>
        <w:pStyle w:val="ListParagraph"/>
        <w:ind w:left="0"/>
        <w:rPr>
          <w:szCs w:val="22"/>
        </w:rPr>
      </w:pPr>
    </w:p>
    <w:p w:rsidR="00B070C3" w:rsidRPr="00C052DD" w:rsidRDefault="00B070C3" w:rsidP="00B070C3">
      <w:pPr>
        <w:pStyle w:val="Heading2"/>
        <w:rPr>
          <w:i/>
        </w:rPr>
      </w:pPr>
      <w:bookmarkStart w:id="15" w:name="_Toc461200673"/>
      <w:r w:rsidRPr="00C052DD">
        <w:rPr>
          <w:i/>
        </w:rPr>
        <w:t>Clinical claim</w:t>
      </w:r>
      <w:bookmarkEnd w:id="15"/>
    </w:p>
    <w:p w:rsidR="00B070C3" w:rsidRPr="00C052DD" w:rsidRDefault="00B070C3" w:rsidP="00B070C3">
      <w:pPr>
        <w:ind w:left="720" w:hanging="720"/>
        <w:rPr>
          <w:szCs w:val="22"/>
        </w:rPr>
      </w:pPr>
    </w:p>
    <w:p w:rsidR="00826988" w:rsidRPr="00C052DD" w:rsidRDefault="00B070C3" w:rsidP="00F87D21">
      <w:pPr>
        <w:pStyle w:val="ListParagraph"/>
        <w:widowControl/>
        <w:numPr>
          <w:ilvl w:val="1"/>
          <w:numId w:val="1"/>
        </w:numPr>
        <w:rPr>
          <w:szCs w:val="22"/>
        </w:rPr>
      </w:pPr>
      <w:r w:rsidRPr="00C052DD">
        <w:rPr>
          <w:szCs w:val="22"/>
        </w:rPr>
        <w:t xml:space="preserve">The submission described </w:t>
      </w:r>
      <w:proofErr w:type="spellStart"/>
      <w:r w:rsidRPr="00C052DD">
        <w:rPr>
          <w:szCs w:val="22"/>
        </w:rPr>
        <w:t>ceritinib</w:t>
      </w:r>
      <w:proofErr w:type="spellEnd"/>
      <w:r w:rsidRPr="00C052DD">
        <w:rPr>
          <w:szCs w:val="22"/>
        </w:rPr>
        <w:t xml:space="preserve"> as non-inferior in terms of efficacy and inferior in terms of safety to platinum doublet chemotherapy followed by </w:t>
      </w:r>
      <w:proofErr w:type="spellStart"/>
      <w:r w:rsidRPr="00C052DD">
        <w:rPr>
          <w:szCs w:val="22"/>
        </w:rPr>
        <w:t>pemetrexed</w:t>
      </w:r>
      <w:proofErr w:type="spellEnd"/>
      <w:r w:rsidRPr="00C052DD">
        <w:rPr>
          <w:szCs w:val="22"/>
        </w:rPr>
        <w:t xml:space="preserve">, based on the subgroup analysis of </w:t>
      </w:r>
      <w:proofErr w:type="spellStart"/>
      <w:r w:rsidRPr="00C052DD">
        <w:rPr>
          <w:szCs w:val="22"/>
        </w:rPr>
        <w:t>ceritinib</w:t>
      </w:r>
      <w:proofErr w:type="spellEnd"/>
      <w:r w:rsidRPr="00C052DD">
        <w:rPr>
          <w:szCs w:val="22"/>
        </w:rPr>
        <w:t xml:space="preserve"> compared with </w:t>
      </w:r>
      <w:proofErr w:type="spellStart"/>
      <w:r w:rsidRPr="00C052DD">
        <w:rPr>
          <w:szCs w:val="22"/>
        </w:rPr>
        <w:t>pe</w:t>
      </w:r>
      <w:r w:rsidR="00623B80">
        <w:rPr>
          <w:szCs w:val="22"/>
        </w:rPr>
        <w:t>metrexed</w:t>
      </w:r>
      <w:proofErr w:type="spellEnd"/>
      <w:r w:rsidR="00623B80">
        <w:rPr>
          <w:szCs w:val="22"/>
        </w:rPr>
        <w:t xml:space="preserve"> in the ASCEND-5 trial.</w:t>
      </w:r>
    </w:p>
    <w:p w:rsidR="00826988" w:rsidRPr="00623B80" w:rsidRDefault="00826988" w:rsidP="00826988">
      <w:pPr>
        <w:widowControl/>
        <w:rPr>
          <w:szCs w:val="22"/>
        </w:rPr>
      </w:pPr>
    </w:p>
    <w:p w:rsidR="00404775" w:rsidRPr="00C052DD" w:rsidRDefault="00EC6077" w:rsidP="00F87D21">
      <w:pPr>
        <w:pStyle w:val="ListParagraph"/>
        <w:numPr>
          <w:ilvl w:val="1"/>
          <w:numId w:val="1"/>
        </w:numPr>
        <w:rPr>
          <w:szCs w:val="22"/>
        </w:rPr>
      </w:pPr>
      <w:r w:rsidRPr="00C052DD">
        <w:rPr>
          <w:szCs w:val="22"/>
        </w:rPr>
        <w:t xml:space="preserve">The PBAC considered that the submission’s claim of at least non-inferiority for </w:t>
      </w:r>
      <w:r w:rsidRPr="00C052DD">
        <w:rPr>
          <w:szCs w:val="22"/>
        </w:rPr>
        <w:lastRenderedPageBreak/>
        <w:t xml:space="preserve">efficacy and inferiority for safety was reasonable, and therefore </w:t>
      </w:r>
      <w:r w:rsidR="0017033A" w:rsidRPr="00C052DD">
        <w:rPr>
          <w:szCs w:val="22"/>
        </w:rPr>
        <w:t xml:space="preserve">that a </w:t>
      </w:r>
      <w:r w:rsidRPr="00C052DD">
        <w:rPr>
          <w:szCs w:val="22"/>
        </w:rPr>
        <w:t>cost-minimisation approach was approp</w:t>
      </w:r>
      <w:r w:rsidR="00623B80">
        <w:rPr>
          <w:szCs w:val="22"/>
        </w:rPr>
        <w:t>riate.</w:t>
      </w:r>
    </w:p>
    <w:p w:rsidR="00B070C3" w:rsidRPr="00C052DD" w:rsidRDefault="00B070C3" w:rsidP="00B070C3">
      <w:pPr>
        <w:ind w:left="720" w:hanging="720"/>
        <w:rPr>
          <w:szCs w:val="22"/>
        </w:rPr>
      </w:pPr>
    </w:p>
    <w:p w:rsidR="00B070C3" w:rsidRPr="00C052DD" w:rsidRDefault="00B070C3" w:rsidP="00B070C3">
      <w:pPr>
        <w:pStyle w:val="Heading2"/>
        <w:rPr>
          <w:i/>
        </w:rPr>
      </w:pPr>
      <w:bookmarkStart w:id="16" w:name="_Toc461200674"/>
      <w:r w:rsidRPr="00C052DD">
        <w:rPr>
          <w:i/>
        </w:rPr>
        <w:t>Economic analysis</w:t>
      </w:r>
      <w:bookmarkEnd w:id="16"/>
    </w:p>
    <w:p w:rsidR="00B070C3" w:rsidRPr="00C052DD" w:rsidRDefault="00B070C3" w:rsidP="00B070C3">
      <w:pPr>
        <w:ind w:left="720" w:hanging="720"/>
        <w:rPr>
          <w:szCs w:val="22"/>
        </w:rPr>
      </w:pPr>
    </w:p>
    <w:p w:rsidR="00B070C3" w:rsidRPr="00C052DD" w:rsidRDefault="00826988" w:rsidP="00F87D21">
      <w:pPr>
        <w:pStyle w:val="ListParagraph"/>
        <w:numPr>
          <w:ilvl w:val="1"/>
          <w:numId w:val="1"/>
        </w:numPr>
        <w:rPr>
          <w:szCs w:val="22"/>
        </w:rPr>
      </w:pPr>
      <w:r w:rsidRPr="00C052DD">
        <w:rPr>
          <w:szCs w:val="22"/>
        </w:rPr>
        <w:t>T</w:t>
      </w:r>
      <w:r w:rsidR="00B070C3" w:rsidRPr="00C052DD">
        <w:rPr>
          <w:szCs w:val="22"/>
        </w:rPr>
        <w:t xml:space="preserve">he submission presented a cost-minimisation analysis of </w:t>
      </w:r>
      <w:proofErr w:type="spellStart"/>
      <w:r w:rsidR="00B070C3" w:rsidRPr="00C052DD">
        <w:rPr>
          <w:szCs w:val="22"/>
        </w:rPr>
        <w:t>ceritinib</w:t>
      </w:r>
      <w:proofErr w:type="spellEnd"/>
      <w:r w:rsidR="00B070C3" w:rsidRPr="00C052DD">
        <w:rPr>
          <w:szCs w:val="22"/>
        </w:rPr>
        <w:t xml:space="preserve"> compared with the platinum chemo</w:t>
      </w:r>
      <w:r w:rsidR="00623B80">
        <w:rPr>
          <w:szCs w:val="22"/>
        </w:rPr>
        <w:t xml:space="preserve">therapy followed by </w:t>
      </w:r>
      <w:proofErr w:type="spellStart"/>
      <w:r w:rsidR="00623B80">
        <w:rPr>
          <w:szCs w:val="22"/>
        </w:rPr>
        <w:t>pemetrexed</w:t>
      </w:r>
      <w:proofErr w:type="spellEnd"/>
      <w:r w:rsidR="00623B80">
        <w:rPr>
          <w:szCs w:val="22"/>
        </w:rPr>
        <w:t>.</w:t>
      </w:r>
    </w:p>
    <w:p w:rsidR="00470F01" w:rsidRPr="00623B80" w:rsidRDefault="00470F01" w:rsidP="00623B80">
      <w:pPr>
        <w:rPr>
          <w:szCs w:val="22"/>
        </w:rPr>
      </w:pPr>
    </w:p>
    <w:p w:rsidR="00B070C3" w:rsidRPr="00C052DD" w:rsidRDefault="00B070C3" w:rsidP="00F87D21">
      <w:pPr>
        <w:pStyle w:val="ListParagraph"/>
        <w:widowControl/>
        <w:numPr>
          <w:ilvl w:val="1"/>
          <w:numId w:val="1"/>
        </w:numPr>
        <w:rPr>
          <w:szCs w:val="22"/>
        </w:rPr>
      </w:pPr>
      <w:r w:rsidRPr="00C052DD">
        <w:t xml:space="preserve">The </w:t>
      </w:r>
      <w:proofErr w:type="spellStart"/>
      <w:r w:rsidRPr="00C052DD">
        <w:t>equi</w:t>
      </w:r>
      <w:proofErr w:type="spellEnd"/>
      <w:r w:rsidRPr="00C052DD">
        <w:t xml:space="preserve">-effective doses </w:t>
      </w:r>
      <w:r w:rsidR="00206C06" w:rsidRPr="00C052DD">
        <w:t xml:space="preserve">proposed in the submission </w:t>
      </w:r>
      <w:r w:rsidRPr="00C052DD">
        <w:t xml:space="preserve">were assumed on the basis that treatment duration with </w:t>
      </w:r>
      <w:proofErr w:type="spellStart"/>
      <w:r w:rsidRPr="00C052DD">
        <w:t>ceritinib</w:t>
      </w:r>
      <w:proofErr w:type="spellEnd"/>
      <w:r w:rsidRPr="00C052DD">
        <w:t xml:space="preserve"> and with platinum chemotherapy followed by </w:t>
      </w:r>
      <w:proofErr w:type="spellStart"/>
      <w:r w:rsidRPr="00C052DD">
        <w:t>pemetrexed</w:t>
      </w:r>
      <w:proofErr w:type="spellEnd"/>
      <w:r w:rsidRPr="00C052DD">
        <w:t xml:space="preserve"> would be the same, and the monthly cost of </w:t>
      </w:r>
      <w:proofErr w:type="spellStart"/>
      <w:r w:rsidRPr="00C052DD">
        <w:t>ceritinib</w:t>
      </w:r>
      <w:proofErr w:type="spellEnd"/>
      <w:r w:rsidRPr="00C052DD">
        <w:t xml:space="preserve"> was equal to the average monthly cost of chemotherapy followed by </w:t>
      </w:r>
      <w:proofErr w:type="spellStart"/>
      <w:r w:rsidRPr="00C052DD">
        <w:t>pemetrexed</w:t>
      </w:r>
      <w:proofErr w:type="spellEnd"/>
      <w:r w:rsidRPr="00C052DD">
        <w:t xml:space="preserve">. </w:t>
      </w:r>
      <w:r w:rsidR="00532066" w:rsidRPr="00C052DD">
        <w:t xml:space="preserve">The ESC did not consider this </w:t>
      </w:r>
      <w:r w:rsidR="00AB338D" w:rsidRPr="00C052DD">
        <w:t>assumption</w:t>
      </w:r>
      <w:r w:rsidR="00532066" w:rsidRPr="00C052DD">
        <w:t xml:space="preserve"> reas</w:t>
      </w:r>
      <w:r w:rsidR="00AB338D" w:rsidRPr="00C052DD">
        <w:t xml:space="preserve">onable, given </w:t>
      </w:r>
      <w:r w:rsidR="00233DD7" w:rsidRPr="00C052DD">
        <w:t>the</w:t>
      </w:r>
      <w:r w:rsidR="00AB338D" w:rsidRPr="00C052DD">
        <w:t xml:space="preserve"> substantial</w:t>
      </w:r>
      <w:r w:rsidR="00233DD7" w:rsidRPr="00C052DD">
        <w:t>ly</w:t>
      </w:r>
      <w:r w:rsidR="00AB338D" w:rsidRPr="00C052DD">
        <w:t xml:space="preserve"> longer treatment duration with </w:t>
      </w:r>
      <w:proofErr w:type="spellStart"/>
      <w:r w:rsidR="00AB338D" w:rsidRPr="00C052DD">
        <w:t>ceritinib</w:t>
      </w:r>
      <w:proofErr w:type="spellEnd"/>
      <w:r w:rsidR="00AB338D" w:rsidRPr="00C052DD">
        <w:t xml:space="preserve"> than with </w:t>
      </w:r>
      <w:proofErr w:type="spellStart"/>
      <w:r w:rsidR="00AB338D" w:rsidRPr="00C052DD">
        <w:t>pemetrexed</w:t>
      </w:r>
      <w:proofErr w:type="spellEnd"/>
      <w:r w:rsidR="00AB338D" w:rsidRPr="00C052DD">
        <w:t xml:space="preserve"> monotherapy as observed in ASCEND-5. </w:t>
      </w:r>
      <w:r w:rsidR="002B5AFA" w:rsidRPr="00C052DD">
        <w:t xml:space="preserve">Mean treatment duration with </w:t>
      </w:r>
      <w:proofErr w:type="spellStart"/>
      <w:r w:rsidR="002B5AFA" w:rsidRPr="00C052DD">
        <w:t>ceritinib</w:t>
      </w:r>
      <w:proofErr w:type="spellEnd"/>
      <w:r w:rsidR="002B5AFA" w:rsidRPr="00C052DD">
        <w:t xml:space="preserve"> in ASCEND-5 (</w:t>
      </w:r>
      <w:r w:rsidR="00A05571">
        <w:rPr>
          <w:noProof/>
          <w:color w:val="000000"/>
          <w:highlight w:val="black"/>
        </w:rPr>
        <w:t>'''''''''</w:t>
      </w:r>
      <w:r w:rsidR="002B5AFA" w:rsidRPr="00C052DD">
        <w:t xml:space="preserve"> months) remains longer than the assumed treatment duration of platinum chemotherapy (</w:t>
      </w:r>
      <w:r w:rsidR="00A05571">
        <w:rPr>
          <w:noProof/>
          <w:color w:val="000000"/>
          <w:highlight w:val="black"/>
        </w:rPr>
        <w:t>''''''''</w:t>
      </w:r>
      <w:r w:rsidR="002B5AFA" w:rsidRPr="00C052DD">
        <w:t xml:space="preserve"> months) followed by </w:t>
      </w:r>
      <w:proofErr w:type="spellStart"/>
      <w:r w:rsidR="002B5AFA" w:rsidRPr="00C052DD">
        <w:t>pemetrexed</w:t>
      </w:r>
      <w:proofErr w:type="spellEnd"/>
      <w:r w:rsidR="002B5AFA" w:rsidRPr="00C052DD">
        <w:t xml:space="preserve"> (</w:t>
      </w:r>
      <w:r w:rsidR="000A536B">
        <w:rPr>
          <w:noProof/>
          <w:color w:val="000000"/>
          <w:highlight w:val="black"/>
        </w:rPr>
        <w:t>'''''''</w:t>
      </w:r>
      <w:r w:rsidR="002B5AFA" w:rsidRPr="00C052DD">
        <w:t xml:space="preserve"> months), neither of which were</w:t>
      </w:r>
      <w:r w:rsidR="00956D7C" w:rsidRPr="00C052DD">
        <w:t xml:space="preserve"> s</w:t>
      </w:r>
      <w:r w:rsidR="00623B80">
        <w:t>ourced from the ASCEND-5 study.</w:t>
      </w:r>
    </w:p>
    <w:p w:rsidR="00B070C3" w:rsidRPr="00C052DD" w:rsidRDefault="00B070C3" w:rsidP="00B070C3"/>
    <w:p w:rsidR="00B070C3" w:rsidRPr="00C052DD" w:rsidRDefault="00B070C3" w:rsidP="00F87D21">
      <w:pPr>
        <w:pStyle w:val="ListParagraph"/>
        <w:widowControl/>
        <w:numPr>
          <w:ilvl w:val="1"/>
          <w:numId w:val="1"/>
        </w:numPr>
        <w:rPr>
          <w:szCs w:val="22"/>
        </w:rPr>
      </w:pPr>
      <w:r w:rsidRPr="00C052DD">
        <w:t xml:space="preserve">Platinum doublet chemotherapy was assumed to be given on average </w:t>
      </w:r>
      <w:r w:rsidR="000A536B">
        <w:rPr>
          <w:noProof/>
          <w:color w:val="000000"/>
          <w:highlight w:val="black"/>
        </w:rPr>
        <w:t>''''''''</w:t>
      </w:r>
      <w:r w:rsidRPr="00C052DD">
        <w:t xml:space="preserve"> cycles followed by </w:t>
      </w:r>
      <w:r w:rsidR="000A536B">
        <w:rPr>
          <w:noProof/>
          <w:color w:val="000000"/>
          <w:highlight w:val="black"/>
        </w:rPr>
        <w:t>''''''''''''</w:t>
      </w:r>
      <w:r w:rsidRPr="00C052DD">
        <w:t xml:space="preserve"> cycles of </w:t>
      </w:r>
      <w:proofErr w:type="spellStart"/>
      <w:r w:rsidRPr="00C052DD">
        <w:t>pemetrexed</w:t>
      </w:r>
      <w:proofErr w:type="spellEnd"/>
      <w:r w:rsidRPr="00C052DD">
        <w:t xml:space="preserve"> maintenance. Administration costs of chemotherapy, </w:t>
      </w:r>
      <w:proofErr w:type="spellStart"/>
      <w:r w:rsidRPr="00C052DD">
        <w:t>pemetrexed</w:t>
      </w:r>
      <w:proofErr w:type="spellEnd"/>
      <w:r w:rsidRPr="00C052DD">
        <w:t xml:space="preserve"> and the costs associated with managing </w:t>
      </w:r>
      <w:r w:rsidR="00D81595" w:rsidRPr="00C052DD">
        <w:t xml:space="preserve">AEs </w:t>
      </w:r>
      <w:r w:rsidRPr="00C052DD">
        <w:t xml:space="preserve">were also included. There </w:t>
      </w:r>
      <w:r w:rsidR="004A00F0" w:rsidRPr="00C052DD">
        <w:t xml:space="preserve">were </w:t>
      </w:r>
      <w:r w:rsidRPr="00C052DD">
        <w:t>a number of concerns in the submission’s approach:</w:t>
      </w:r>
    </w:p>
    <w:p w:rsidR="00B070C3" w:rsidRPr="00C052DD" w:rsidRDefault="00B070C3" w:rsidP="00F87D21">
      <w:pPr>
        <w:pStyle w:val="ListParagraph"/>
        <w:widowControl/>
        <w:numPr>
          <w:ilvl w:val="0"/>
          <w:numId w:val="3"/>
        </w:numPr>
        <w:ind w:left="1092"/>
      </w:pPr>
      <w:r w:rsidRPr="00C052DD">
        <w:t xml:space="preserve">The dosing of carboplatin, cisplatin and </w:t>
      </w:r>
      <w:proofErr w:type="spellStart"/>
      <w:r w:rsidRPr="00C052DD">
        <w:t>pemetrexed</w:t>
      </w:r>
      <w:proofErr w:type="spellEnd"/>
      <w:r w:rsidRPr="00C052DD">
        <w:t xml:space="preserve"> are consistent with </w:t>
      </w:r>
      <w:proofErr w:type="spellStart"/>
      <w:r w:rsidRPr="00C052DD">
        <w:t>eviQ</w:t>
      </w:r>
      <w:proofErr w:type="spellEnd"/>
      <w:r w:rsidRPr="00C052DD">
        <w:t xml:space="preserve"> treatment protocols</w:t>
      </w:r>
      <w:r w:rsidRPr="00C052DD">
        <w:rPr>
          <w:rStyle w:val="FootnoteReference"/>
        </w:rPr>
        <w:footnoteReference w:id="3"/>
      </w:r>
      <w:r w:rsidRPr="00C052DD">
        <w:t xml:space="preserve">, however, dosing intensity of </w:t>
      </w:r>
      <w:proofErr w:type="spellStart"/>
      <w:r w:rsidRPr="00C052DD">
        <w:t>ceritinib</w:t>
      </w:r>
      <w:proofErr w:type="spellEnd"/>
      <w:r w:rsidRPr="00C052DD">
        <w:t xml:space="preserve"> (</w:t>
      </w:r>
      <w:r w:rsidR="000A536B">
        <w:rPr>
          <w:noProof/>
          <w:color w:val="000000"/>
          <w:highlight w:val="black"/>
        </w:rPr>
        <w:t>'''''''''''</w:t>
      </w:r>
      <w:r w:rsidRPr="00C052DD">
        <w:t xml:space="preserve">% of the recommended dose) and </w:t>
      </w:r>
      <w:proofErr w:type="spellStart"/>
      <w:r w:rsidRPr="00C052DD">
        <w:t>pemetrexed</w:t>
      </w:r>
      <w:proofErr w:type="spellEnd"/>
      <w:r w:rsidRPr="00C052DD">
        <w:t xml:space="preserve"> (</w:t>
      </w:r>
      <w:r w:rsidR="000A536B">
        <w:rPr>
          <w:noProof/>
          <w:color w:val="000000"/>
          <w:highlight w:val="black"/>
        </w:rPr>
        <w:t>''''''</w:t>
      </w:r>
      <w:r w:rsidRPr="00C052DD">
        <w:t xml:space="preserve">% of the recommended dose), as observed in ASCEND-5, was included. The application of a differential dosing intensity for </w:t>
      </w:r>
      <w:proofErr w:type="spellStart"/>
      <w:r w:rsidRPr="00C052DD">
        <w:t>ceritinib</w:t>
      </w:r>
      <w:proofErr w:type="spellEnd"/>
      <w:r w:rsidRPr="00C052DD">
        <w:t xml:space="preserve"> and </w:t>
      </w:r>
      <w:proofErr w:type="spellStart"/>
      <w:r w:rsidRPr="00C052DD">
        <w:t>pemetrexed</w:t>
      </w:r>
      <w:proofErr w:type="spellEnd"/>
      <w:r w:rsidR="00624E96" w:rsidRPr="00C052DD">
        <w:t>, as observed in 3</w:t>
      </w:r>
      <w:r w:rsidR="00624E96" w:rsidRPr="00C052DD">
        <w:rPr>
          <w:vertAlign w:val="superscript"/>
        </w:rPr>
        <w:t>rd</w:t>
      </w:r>
      <w:r w:rsidR="00624E96" w:rsidRPr="00C052DD">
        <w:t xml:space="preserve"> or later line setting,</w:t>
      </w:r>
      <w:r w:rsidRPr="00C052DD">
        <w:t xml:space="preserve"> resulted in a higher price for </w:t>
      </w:r>
      <w:proofErr w:type="spellStart"/>
      <w:r w:rsidRPr="00C052DD">
        <w:t>ceritinib</w:t>
      </w:r>
      <w:proofErr w:type="spellEnd"/>
      <w:r w:rsidRPr="00C052DD">
        <w:t>.</w:t>
      </w:r>
    </w:p>
    <w:p w:rsidR="00B070C3" w:rsidRPr="00C052DD" w:rsidRDefault="00B070C3" w:rsidP="00F87D21">
      <w:pPr>
        <w:pStyle w:val="ListParagraph"/>
        <w:widowControl/>
        <w:numPr>
          <w:ilvl w:val="0"/>
          <w:numId w:val="3"/>
        </w:numPr>
        <w:ind w:left="1092"/>
      </w:pPr>
      <w:r w:rsidRPr="00C052DD">
        <w:t>The duration of treatment with platinum chemotherapy was based on opinion of a limited number of clinicians;</w:t>
      </w:r>
    </w:p>
    <w:p w:rsidR="00B070C3" w:rsidRPr="00C052DD" w:rsidRDefault="00B070C3" w:rsidP="00F87D21">
      <w:pPr>
        <w:pStyle w:val="ListParagraph"/>
        <w:widowControl/>
        <w:numPr>
          <w:ilvl w:val="0"/>
          <w:numId w:val="3"/>
        </w:numPr>
        <w:ind w:left="1092"/>
        <w:rPr>
          <w:szCs w:val="22"/>
        </w:rPr>
      </w:pPr>
      <w:r w:rsidRPr="00C052DD">
        <w:t xml:space="preserve">The duration of </w:t>
      </w:r>
      <w:proofErr w:type="spellStart"/>
      <w:r w:rsidRPr="00C052DD">
        <w:t>pemetrexed</w:t>
      </w:r>
      <w:proofErr w:type="spellEnd"/>
      <w:r w:rsidRPr="00C052DD">
        <w:t xml:space="preserve"> maintenance was based on </w:t>
      </w:r>
      <w:proofErr w:type="spellStart"/>
      <w:r w:rsidRPr="00C052DD">
        <w:t>Ciuleanu</w:t>
      </w:r>
      <w:proofErr w:type="spellEnd"/>
      <w:r w:rsidRPr="00C052DD">
        <w:t xml:space="preserve"> et al (2009) in which the median progression-free survival (4.3 months) was reported. </w:t>
      </w:r>
    </w:p>
    <w:p w:rsidR="00B070C3" w:rsidRPr="00C052DD" w:rsidRDefault="00B070C3" w:rsidP="00F87D21">
      <w:pPr>
        <w:pStyle w:val="ListParagraph"/>
        <w:widowControl/>
        <w:numPr>
          <w:ilvl w:val="0"/>
          <w:numId w:val="4"/>
        </w:numPr>
      </w:pPr>
      <w:r w:rsidRPr="00C052DD">
        <w:t xml:space="preserve">The average duration may have been underestimated using the median </w:t>
      </w:r>
      <w:r w:rsidR="00D81595" w:rsidRPr="00C052DD">
        <w:t xml:space="preserve">PFS </w:t>
      </w:r>
      <w:r w:rsidRPr="00C052DD">
        <w:t xml:space="preserve">as the proxy for </w:t>
      </w:r>
      <w:r w:rsidR="00057A47" w:rsidRPr="00C052DD">
        <w:t xml:space="preserve">mean </w:t>
      </w:r>
      <w:r w:rsidRPr="00C052DD">
        <w:t xml:space="preserve">treatment duration. Median duration of treatment with </w:t>
      </w:r>
      <w:proofErr w:type="spellStart"/>
      <w:r w:rsidRPr="00C052DD">
        <w:t>pemetrexed</w:t>
      </w:r>
      <w:proofErr w:type="spellEnd"/>
      <w:r w:rsidRPr="00C052DD">
        <w:t xml:space="preserve"> in ASCEND-5 was </w:t>
      </w:r>
      <w:r w:rsidR="000A536B">
        <w:rPr>
          <w:noProof/>
          <w:color w:val="000000"/>
          <w:highlight w:val="black"/>
        </w:rPr>
        <w:t>''''''''''</w:t>
      </w:r>
      <w:r w:rsidRPr="00C052DD">
        <w:t xml:space="preserve"> weeks, which was substantially shorter than the mean duration of </w:t>
      </w:r>
      <w:r w:rsidR="000A536B">
        <w:rPr>
          <w:noProof/>
          <w:color w:val="000000"/>
          <w:highlight w:val="black"/>
        </w:rPr>
        <w:t>''''''''''''</w:t>
      </w:r>
      <w:r w:rsidRPr="00C052DD">
        <w:t xml:space="preserve"> weeks.</w:t>
      </w:r>
    </w:p>
    <w:p w:rsidR="006675DC" w:rsidRPr="00C052DD" w:rsidRDefault="00B070C3" w:rsidP="00F87D21">
      <w:pPr>
        <w:pStyle w:val="ListParagraph"/>
        <w:widowControl/>
        <w:numPr>
          <w:ilvl w:val="0"/>
          <w:numId w:val="4"/>
        </w:numPr>
        <w:rPr>
          <w:szCs w:val="22"/>
        </w:rPr>
      </w:pPr>
      <w:r w:rsidRPr="00C052DD">
        <w:t xml:space="preserve">On the other hand, the average duration of treatment with </w:t>
      </w:r>
      <w:proofErr w:type="spellStart"/>
      <w:r w:rsidRPr="00C052DD">
        <w:t>pemetrexed</w:t>
      </w:r>
      <w:proofErr w:type="spellEnd"/>
      <w:r w:rsidRPr="00C052DD">
        <w:t xml:space="preserve"> may have been overestimated, compared with the mean duration of </w:t>
      </w:r>
      <w:proofErr w:type="spellStart"/>
      <w:r w:rsidRPr="00C052DD">
        <w:t>pemetrexed</w:t>
      </w:r>
      <w:proofErr w:type="spellEnd"/>
      <w:r w:rsidRPr="00C052DD">
        <w:t xml:space="preserve"> observed in ASCEND-5. The submission argued that patients in ASCEND-5 were more heavily </w:t>
      </w:r>
      <w:r w:rsidR="00F42031">
        <w:t>pre-</w:t>
      </w:r>
      <w:r w:rsidRPr="00C052DD">
        <w:t xml:space="preserve">treated than in the proposed PBS setting. If this is the case, the dosing intensity of </w:t>
      </w:r>
      <w:proofErr w:type="spellStart"/>
      <w:r w:rsidRPr="00C052DD">
        <w:t>ceritinib</w:t>
      </w:r>
      <w:proofErr w:type="spellEnd"/>
      <w:r w:rsidRPr="00C052DD">
        <w:t xml:space="preserve"> and </w:t>
      </w:r>
      <w:proofErr w:type="spellStart"/>
      <w:r w:rsidRPr="00C052DD">
        <w:t>pemetrexed</w:t>
      </w:r>
      <w:proofErr w:type="spellEnd"/>
      <w:r w:rsidRPr="00C052DD">
        <w:t xml:space="preserve"> would also </w:t>
      </w:r>
      <w:r w:rsidR="00D81595" w:rsidRPr="00C052DD">
        <w:t xml:space="preserve">be an </w:t>
      </w:r>
      <w:r w:rsidRPr="00C052DD">
        <w:t xml:space="preserve">inappropriate </w:t>
      </w:r>
      <w:r w:rsidR="00D81595" w:rsidRPr="00C052DD">
        <w:t xml:space="preserve">basis for </w:t>
      </w:r>
      <w:r w:rsidRPr="00C052DD">
        <w:t>the cost analysis.</w:t>
      </w:r>
    </w:p>
    <w:p w:rsidR="006675DC" w:rsidRPr="00C052DD" w:rsidRDefault="006675DC" w:rsidP="00F87D21">
      <w:pPr>
        <w:pStyle w:val="ListParagraph"/>
        <w:widowControl/>
        <w:numPr>
          <w:ilvl w:val="0"/>
          <w:numId w:val="4"/>
        </w:numPr>
        <w:rPr>
          <w:i/>
        </w:rPr>
      </w:pPr>
      <w:r w:rsidRPr="00C052DD">
        <w:t xml:space="preserve">The likely overestimate of the duration of </w:t>
      </w:r>
      <w:proofErr w:type="spellStart"/>
      <w:r w:rsidRPr="00C052DD">
        <w:t>pemetrexed</w:t>
      </w:r>
      <w:proofErr w:type="spellEnd"/>
      <w:r w:rsidRPr="00C052DD">
        <w:t xml:space="preserve"> was also due to the fact that </w:t>
      </w:r>
      <w:proofErr w:type="spellStart"/>
      <w:r w:rsidRPr="00C052DD">
        <w:t>Ciuleanu</w:t>
      </w:r>
      <w:proofErr w:type="spellEnd"/>
      <w:r w:rsidRPr="00C052DD">
        <w:t xml:space="preserve"> et al (2009) is a study of switch maintenance with </w:t>
      </w:r>
      <w:proofErr w:type="spellStart"/>
      <w:r w:rsidRPr="00C052DD">
        <w:t>pemetrexed</w:t>
      </w:r>
      <w:proofErr w:type="spellEnd"/>
      <w:r w:rsidRPr="00C052DD">
        <w:t xml:space="preserve"> versus placebo in the first-line setting. Patients are likely to achieve a longer duration of </w:t>
      </w:r>
      <w:r w:rsidR="00483C6F">
        <w:t>PFS</w:t>
      </w:r>
      <w:r w:rsidRPr="00C052DD">
        <w:t>, and thus longer duration of treatment, in the first-line setting than the proposed</w:t>
      </w:r>
      <w:r w:rsidR="00623B80">
        <w:t xml:space="preserve"> second- or later-line setting.</w:t>
      </w:r>
    </w:p>
    <w:p w:rsidR="00B070C3" w:rsidRPr="00C052DD" w:rsidRDefault="00B070C3" w:rsidP="00A96230">
      <w:pPr>
        <w:rPr>
          <w:szCs w:val="22"/>
        </w:rPr>
      </w:pPr>
    </w:p>
    <w:p w:rsidR="00B070C3" w:rsidRPr="00C052DD" w:rsidRDefault="00B070C3" w:rsidP="00F87D21">
      <w:pPr>
        <w:pStyle w:val="ListParagraph"/>
        <w:widowControl/>
        <w:numPr>
          <w:ilvl w:val="1"/>
          <w:numId w:val="1"/>
        </w:numPr>
        <w:rPr>
          <w:szCs w:val="22"/>
        </w:rPr>
      </w:pPr>
      <w:r w:rsidRPr="00C052DD">
        <w:lastRenderedPageBreak/>
        <w:t xml:space="preserve">The </w:t>
      </w:r>
      <w:r w:rsidR="00E1326C" w:rsidRPr="00C052DD">
        <w:t>submission estimated</w:t>
      </w:r>
      <w:r w:rsidRPr="00C052DD">
        <w:t xml:space="preserve"> the monthly cost of the comparator by adding all of the costs of each treatment regimen (chemotherapy followed by </w:t>
      </w:r>
      <w:proofErr w:type="spellStart"/>
      <w:r w:rsidRPr="00C052DD">
        <w:t>pemetrexed</w:t>
      </w:r>
      <w:proofErr w:type="spellEnd"/>
      <w:r w:rsidRPr="00C052DD">
        <w:t>) and dividing it by the average number of months of treatment.</w:t>
      </w:r>
      <w:r w:rsidRPr="00C052DD">
        <w:rPr>
          <w:i/>
        </w:rPr>
        <w:t xml:space="preserve"> </w:t>
      </w:r>
      <w:r w:rsidRPr="00C052DD">
        <w:t>The submission’s approach to estimating an average monthly cost was inappropriate, since the cost of the comparator throughout the duration of the treatment is not constant</w:t>
      </w:r>
      <w:r w:rsidR="00826988" w:rsidRPr="00C052DD">
        <w:t>:</w:t>
      </w:r>
      <w:r w:rsidRPr="00C052DD">
        <w:t xml:space="preserve"> the cost of chemotherapy should </w:t>
      </w:r>
      <w:r w:rsidR="00D81595" w:rsidRPr="00C052DD">
        <w:t xml:space="preserve">only </w:t>
      </w:r>
      <w:r w:rsidRPr="00C052DD">
        <w:t xml:space="preserve">be applied in the first </w:t>
      </w:r>
      <w:r w:rsidR="000A536B">
        <w:rPr>
          <w:noProof/>
          <w:color w:val="000000"/>
          <w:highlight w:val="black"/>
        </w:rPr>
        <w:t>'''''''''</w:t>
      </w:r>
      <w:r w:rsidRPr="00C052DD">
        <w:t xml:space="preserve"> cycles and the cost of </w:t>
      </w:r>
      <w:proofErr w:type="spellStart"/>
      <w:r w:rsidRPr="00C052DD">
        <w:t>pemetrexed</w:t>
      </w:r>
      <w:proofErr w:type="spellEnd"/>
      <w:r w:rsidRPr="00C052DD">
        <w:t xml:space="preserve"> in the second stage (next </w:t>
      </w:r>
      <w:r w:rsidR="000A536B">
        <w:rPr>
          <w:noProof/>
          <w:color w:val="000000"/>
          <w:highlight w:val="black"/>
        </w:rPr>
        <w:t>''''''''''''</w:t>
      </w:r>
      <w:r w:rsidRPr="00C052DD">
        <w:t xml:space="preserve"> cycles). The ratio of duration of chemotherapy to </w:t>
      </w:r>
      <w:proofErr w:type="spellStart"/>
      <w:r w:rsidRPr="00C052DD">
        <w:t>pemetrexed</w:t>
      </w:r>
      <w:proofErr w:type="spellEnd"/>
      <w:r w:rsidRPr="00C052DD">
        <w:t xml:space="preserve"> is important in this calculation, given the substantial difference in the cost of </w:t>
      </w:r>
      <w:proofErr w:type="spellStart"/>
      <w:r w:rsidRPr="00C052DD">
        <w:t>pemetrexed</w:t>
      </w:r>
      <w:proofErr w:type="spellEnd"/>
      <w:r w:rsidRPr="00C052DD">
        <w:t xml:space="preserve"> treatment and that of the platinum chemotherapy. The greater the proportion of overall treatment duration is applied to </w:t>
      </w:r>
      <w:proofErr w:type="spellStart"/>
      <w:r w:rsidRPr="00C052DD">
        <w:t>pemetrexed</w:t>
      </w:r>
      <w:proofErr w:type="spellEnd"/>
      <w:r w:rsidRPr="00C052DD">
        <w:t xml:space="preserve">, the </w:t>
      </w:r>
      <w:r w:rsidR="00D81595" w:rsidRPr="00C052DD">
        <w:t xml:space="preserve">higher </w:t>
      </w:r>
      <w:r w:rsidRPr="00C052DD">
        <w:t>the average “per month” cos</w:t>
      </w:r>
      <w:r w:rsidR="00623B80">
        <w:t>t would be.</w:t>
      </w:r>
    </w:p>
    <w:p w:rsidR="00B070C3" w:rsidRPr="00623B80" w:rsidRDefault="00B070C3" w:rsidP="00B070C3">
      <w:pPr>
        <w:rPr>
          <w:color w:val="3366FF"/>
        </w:rPr>
      </w:pPr>
    </w:p>
    <w:p w:rsidR="00B070C3" w:rsidRPr="00C052DD" w:rsidRDefault="00826988" w:rsidP="00F87D21">
      <w:pPr>
        <w:pStyle w:val="ListParagraph"/>
        <w:widowControl/>
        <w:numPr>
          <w:ilvl w:val="1"/>
          <w:numId w:val="1"/>
        </w:numPr>
        <w:rPr>
          <w:szCs w:val="22"/>
        </w:rPr>
      </w:pPr>
      <w:r w:rsidRPr="00C052DD">
        <w:t>T</w:t>
      </w:r>
      <w:r w:rsidR="00B070C3" w:rsidRPr="00C052DD">
        <w:t xml:space="preserve">he submission’s approach to estimating the price of </w:t>
      </w:r>
      <w:proofErr w:type="spellStart"/>
      <w:r w:rsidR="00B070C3" w:rsidRPr="00C052DD">
        <w:t>ceritinib</w:t>
      </w:r>
      <w:proofErr w:type="spellEnd"/>
      <w:r w:rsidR="00B070C3" w:rsidRPr="00C052DD">
        <w:t xml:space="preserve"> is summarised below.</w:t>
      </w:r>
    </w:p>
    <w:p w:rsidR="00B070C3" w:rsidRPr="00C052DD" w:rsidRDefault="00B070C3" w:rsidP="00B070C3">
      <w:pPr>
        <w:widowControl/>
        <w:jc w:val="left"/>
        <w:rPr>
          <w:rFonts w:ascii="Arial Narrow" w:hAnsi="Arial Narrow"/>
          <w:b/>
          <w:sz w:val="20"/>
        </w:rPr>
      </w:pPr>
    </w:p>
    <w:p w:rsidR="00B070C3" w:rsidRPr="00C052DD" w:rsidRDefault="00624E96" w:rsidP="00624E96">
      <w:pPr>
        <w:pStyle w:val="TableHeader"/>
        <w:ind w:left="720"/>
      </w:pPr>
      <w:r w:rsidRPr="00C052DD">
        <w:t xml:space="preserve">Table </w:t>
      </w:r>
      <w:r w:rsidR="00291BDD" w:rsidRPr="00C052DD">
        <w:t>6</w:t>
      </w:r>
      <w:r w:rsidRPr="00C052DD">
        <w:tab/>
      </w:r>
      <w:r w:rsidR="00B070C3" w:rsidRPr="00C052DD">
        <w:t xml:space="preserve">The approach to estimating the average monthly cost of platinum chemotherapy followed by </w:t>
      </w:r>
      <w:proofErr w:type="spellStart"/>
      <w:r w:rsidR="00B070C3" w:rsidRPr="00C052DD">
        <w:t>pemetrexed</w:t>
      </w:r>
      <w:proofErr w:type="spellEnd"/>
      <w:r w:rsidR="00B070C3" w:rsidRPr="00C052DD">
        <w:t xml:space="preserve"> maintenance and the price of </w:t>
      </w:r>
      <w:proofErr w:type="spellStart"/>
      <w:r w:rsidR="00B070C3" w:rsidRPr="00C052DD">
        <w:t>ceritinib</w:t>
      </w:r>
      <w:proofErr w:type="spellEnd"/>
    </w:p>
    <w:tbl>
      <w:tblPr>
        <w:tblStyle w:val="TableGrid"/>
        <w:tblW w:w="4524" w:type="pct"/>
        <w:tblInd w:w="817" w:type="dxa"/>
        <w:tblLook w:val="04A0" w:firstRow="1" w:lastRow="0" w:firstColumn="1" w:lastColumn="0" w:noHBand="0" w:noVBand="1"/>
        <w:tblCaption w:val="Table 7 The approach to estimating the average monthly cost of platinum chemotherapy followed by pemetrexed maintenance and the price of ceritinib"/>
      </w:tblPr>
      <w:tblGrid>
        <w:gridCol w:w="3402"/>
        <w:gridCol w:w="1985"/>
        <w:gridCol w:w="1701"/>
        <w:gridCol w:w="1275"/>
      </w:tblGrid>
      <w:tr w:rsidR="00B070C3" w:rsidRPr="00C052DD" w:rsidTr="0094152A">
        <w:trPr>
          <w:trHeight w:val="88"/>
          <w:tblHeader/>
        </w:trPr>
        <w:tc>
          <w:tcPr>
            <w:tcW w:w="2034" w:type="pct"/>
            <w:vMerge w:val="restart"/>
          </w:tcPr>
          <w:p w:rsidR="00B070C3" w:rsidRPr="00C052DD" w:rsidRDefault="00B070C3" w:rsidP="00322906">
            <w:pPr>
              <w:pStyle w:val="ListParagraph"/>
              <w:ind w:left="0"/>
              <w:rPr>
                <w:rFonts w:ascii="Arial Narrow" w:hAnsi="Arial Narrow"/>
                <w:sz w:val="20"/>
              </w:rPr>
            </w:pPr>
            <w:bookmarkStart w:id="17" w:name="_GoBack" w:colFirst="0" w:colLast="1"/>
          </w:p>
        </w:tc>
        <w:tc>
          <w:tcPr>
            <w:tcW w:w="1187" w:type="pct"/>
            <w:vMerge w:val="restart"/>
          </w:tcPr>
          <w:p w:rsidR="00B070C3" w:rsidRPr="00C052DD" w:rsidRDefault="00B070C3" w:rsidP="00322906">
            <w:pPr>
              <w:pStyle w:val="ListParagraph"/>
              <w:ind w:left="0"/>
              <w:jc w:val="center"/>
              <w:rPr>
                <w:rFonts w:ascii="Arial Narrow" w:hAnsi="Arial Narrow"/>
                <w:sz w:val="20"/>
              </w:rPr>
            </w:pPr>
            <w:proofErr w:type="spellStart"/>
            <w:r w:rsidRPr="00C052DD">
              <w:rPr>
                <w:rFonts w:ascii="Arial Narrow" w:hAnsi="Arial Narrow"/>
                <w:sz w:val="20"/>
              </w:rPr>
              <w:t>Ceritinib</w:t>
            </w:r>
            <w:proofErr w:type="spellEnd"/>
          </w:p>
        </w:tc>
        <w:tc>
          <w:tcPr>
            <w:tcW w:w="1779" w:type="pct"/>
            <w:gridSpan w:val="2"/>
          </w:tcPr>
          <w:p w:rsidR="00B070C3" w:rsidRPr="00C052DD" w:rsidRDefault="00B070C3" w:rsidP="00322906">
            <w:pPr>
              <w:pStyle w:val="ListParagraph"/>
              <w:ind w:left="0"/>
              <w:jc w:val="center"/>
              <w:rPr>
                <w:rFonts w:ascii="Arial Narrow" w:hAnsi="Arial Narrow"/>
                <w:sz w:val="20"/>
              </w:rPr>
            </w:pPr>
            <w:r w:rsidRPr="00C052DD">
              <w:rPr>
                <w:rFonts w:ascii="Arial Narrow" w:hAnsi="Arial Narrow"/>
                <w:sz w:val="20"/>
              </w:rPr>
              <w:t xml:space="preserve">Chemo + </w:t>
            </w:r>
            <w:proofErr w:type="spellStart"/>
            <w:r w:rsidRPr="00C052DD">
              <w:rPr>
                <w:rFonts w:ascii="Arial Narrow" w:hAnsi="Arial Narrow"/>
                <w:sz w:val="20"/>
              </w:rPr>
              <w:t>Pemetrexed</w:t>
            </w:r>
            <w:r w:rsidRPr="00C052DD">
              <w:rPr>
                <w:rFonts w:ascii="Arial Narrow" w:hAnsi="Arial Narrow"/>
                <w:sz w:val="20"/>
                <w:vertAlign w:val="superscript"/>
              </w:rPr>
              <w:t>a</w:t>
            </w:r>
            <w:proofErr w:type="spellEnd"/>
          </w:p>
        </w:tc>
      </w:tr>
      <w:bookmarkEnd w:id="17"/>
      <w:tr w:rsidR="00B070C3" w:rsidRPr="00C052DD" w:rsidTr="0094152A">
        <w:trPr>
          <w:trHeight w:val="87"/>
          <w:tblHeader/>
        </w:trPr>
        <w:tc>
          <w:tcPr>
            <w:tcW w:w="2034" w:type="pct"/>
            <w:vMerge/>
          </w:tcPr>
          <w:p w:rsidR="00B070C3" w:rsidRPr="00C052DD" w:rsidRDefault="00B070C3" w:rsidP="00322906">
            <w:pPr>
              <w:pStyle w:val="ListParagraph"/>
              <w:ind w:left="0"/>
              <w:rPr>
                <w:rFonts w:ascii="Arial Narrow" w:hAnsi="Arial Narrow"/>
                <w:sz w:val="20"/>
              </w:rPr>
            </w:pPr>
          </w:p>
        </w:tc>
        <w:tc>
          <w:tcPr>
            <w:tcW w:w="1187" w:type="pct"/>
            <w:vMerge/>
          </w:tcPr>
          <w:p w:rsidR="00B070C3" w:rsidRPr="00C052DD" w:rsidRDefault="00B070C3" w:rsidP="00322906">
            <w:pPr>
              <w:pStyle w:val="ListParagraph"/>
              <w:ind w:left="0"/>
              <w:rPr>
                <w:rFonts w:ascii="Arial Narrow" w:hAnsi="Arial Narrow"/>
                <w:sz w:val="20"/>
              </w:rPr>
            </w:pPr>
          </w:p>
        </w:tc>
        <w:tc>
          <w:tcPr>
            <w:tcW w:w="1017" w:type="pct"/>
          </w:tcPr>
          <w:p w:rsidR="00B070C3" w:rsidRPr="00C052DD" w:rsidRDefault="00B070C3" w:rsidP="00322906">
            <w:pPr>
              <w:pStyle w:val="ListParagraph"/>
              <w:ind w:left="0"/>
              <w:jc w:val="center"/>
              <w:rPr>
                <w:rFonts w:ascii="Arial Narrow" w:hAnsi="Arial Narrow"/>
                <w:sz w:val="20"/>
              </w:rPr>
            </w:pPr>
            <w:r w:rsidRPr="00C052DD">
              <w:rPr>
                <w:rFonts w:ascii="Arial Narrow" w:hAnsi="Arial Narrow"/>
                <w:sz w:val="20"/>
              </w:rPr>
              <w:t>Chemo</w:t>
            </w:r>
          </w:p>
        </w:tc>
        <w:tc>
          <w:tcPr>
            <w:tcW w:w="762" w:type="pct"/>
          </w:tcPr>
          <w:p w:rsidR="00B070C3" w:rsidRPr="00C052DD" w:rsidRDefault="00B070C3" w:rsidP="00322906">
            <w:pPr>
              <w:pStyle w:val="ListParagraph"/>
              <w:ind w:left="0"/>
              <w:jc w:val="center"/>
              <w:rPr>
                <w:rFonts w:ascii="Arial Narrow" w:hAnsi="Arial Narrow"/>
                <w:sz w:val="20"/>
              </w:rPr>
            </w:pPr>
            <w:proofErr w:type="spellStart"/>
            <w:r w:rsidRPr="00C052DD">
              <w:rPr>
                <w:rFonts w:ascii="Arial Narrow" w:hAnsi="Arial Narrow"/>
                <w:sz w:val="20"/>
              </w:rPr>
              <w:t>Pemetrexed</w:t>
            </w:r>
            <w:proofErr w:type="spellEnd"/>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Dose</w:t>
            </w:r>
          </w:p>
        </w:tc>
        <w:tc>
          <w:tcPr>
            <w:tcW w:w="1187" w:type="pct"/>
          </w:tcPr>
          <w:p w:rsidR="00B070C3" w:rsidRPr="00C052DD" w:rsidRDefault="00B070C3" w:rsidP="00322906">
            <w:pPr>
              <w:pStyle w:val="ListParagraph"/>
              <w:ind w:left="0"/>
              <w:rPr>
                <w:rFonts w:ascii="Arial Narrow" w:hAnsi="Arial Narrow"/>
                <w:sz w:val="20"/>
              </w:rPr>
            </w:pPr>
          </w:p>
        </w:tc>
        <w:tc>
          <w:tcPr>
            <w:tcW w:w="1017"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Carboplatin AUC 5</w:t>
            </w:r>
            <w:r w:rsidRPr="00C052DD">
              <w:rPr>
                <w:rFonts w:ascii="Arial Narrow" w:hAnsi="Arial Narrow"/>
                <w:sz w:val="20"/>
              </w:rPr>
              <w:br/>
              <w:t>Gem 1000</w:t>
            </w:r>
            <w:r w:rsidR="00623B80">
              <w:rPr>
                <w:rFonts w:ascii="Arial Narrow" w:hAnsi="Arial Narrow"/>
                <w:sz w:val="20"/>
              </w:rPr>
              <w:t> </w:t>
            </w:r>
            <w:r w:rsidRPr="00C052DD">
              <w:rPr>
                <w:rFonts w:ascii="Arial Narrow" w:hAnsi="Arial Narrow"/>
                <w:sz w:val="20"/>
              </w:rPr>
              <w:t>mg/m</w:t>
            </w:r>
            <w:r w:rsidRPr="00C052DD">
              <w:rPr>
                <w:rFonts w:ascii="Arial Narrow" w:hAnsi="Arial Narrow"/>
                <w:sz w:val="20"/>
                <w:vertAlign w:val="superscript"/>
              </w:rPr>
              <w:t>2</w:t>
            </w:r>
            <w:r w:rsidRPr="00C052DD">
              <w:rPr>
                <w:rFonts w:ascii="Arial Narrow" w:hAnsi="Arial Narrow"/>
                <w:sz w:val="20"/>
              </w:rPr>
              <w:t xml:space="preserve"> or</w:t>
            </w:r>
          </w:p>
          <w:p w:rsidR="00B070C3" w:rsidRPr="00C052DD" w:rsidRDefault="00B070C3" w:rsidP="00322906">
            <w:pPr>
              <w:pStyle w:val="ListParagraph"/>
              <w:ind w:left="0"/>
              <w:rPr>
                <w:rFonts w:ascii="Arial Narrow" w:hAnsi="Arial Narrow"/>
                <w:sz w:val="20"/>
              </w:rPr>
            </w:pPr>
            <w:r w:rsidRPr="00C052DD">
              <w:rPr>
                <w:rFonts w:ascii="Arial Narrow" w:hAnsi="Arial Narrow"/>
                <w:sz w:val="20"/>
              </w:rPr>
              <w:t>Cisplatin 80</w:t>
            </w:r>
            <w:r w:rsidR="00623B80">
              <w:rPr>
                <w:rFonts w:ascii="Arial Narrow" w:hAnsi="Arial Narrow"/>
                <w:sz w:val="20"/>
              </w:rPr>
              <w:t> </w:t>
            </w:r>
            <w:r w:rsidRPr="00C052DD">
              <w:rPr>
                <w:rFonts w:ascii="Arial Narrow" w:hAnsi="Arial Narrow"/>
                <w:sz w:val="20"/>
              </w:rPr>
              <w:t>mg/m</w:t>
            </w:r>
            <w:r w:rsidRPr="00C052DD">
              <w:rPr>
                <w:rFonts w:ascii="Arial Narrow" w:hAnsi="Arial Narrow"/>
                <w:sz w:val="20"/>
                <w:vertAlign w:val="superscript"/>
              </w:rPr>
              <w:t>2</w:t>
            </w:r>
            <w:r w:rsidRPr="00C052DD">
              <w:rPr>
                <w:rFonts w:ascii="Arial Narrow" w:hAnsi="Arial Narrow"/>
                <w:sz w:val="20"/>
              </w:rPr>
              <w:t xml:space="preserve"> </w:t>
            </w:r>
            <w:r w:rsidRPr="00C052DD">
              <w:rPr>
                <w:rFonts w:ascii="Arial Narrow" w:hAnsi="Arial Narrow"/>
                <w:sz w:val="20"/>
              </w:rPr>
              <w:br/>
              <w:t>Gem 1250</w:t>
            </w:r>
            <w:r w:rsidR="00623B80">
              <w:rPr>
                <w:rFonts w:ascii="Arial Narrow" w:hAnsi="Arial Narrow"/>
                <w:sz w:val="20"/>
              </w:rPr>
              <w:t> </w:t>
            </w:r>
            <w:r w:rsidRPr="00C052DD">
              <w:rPr>
                <w:rFonts w:ascii="Arial Narrow" w:hAnsi="Arial Narrow"/>
                <w:sz w:val="20"/>
              </w:rPr>
              <w:t>mg/m</w:t>
            </w:r>
            <w:r w:rsidRPr="00C052DD">
              <w:rPr>
                <w:rFonts w:ascii="Arial Narrow" w:hAnsi="Arial Narrow"/>
                <w:sz w:val="20"/>
                <w:vertAlign w:val="superscript"/>
              </w:rPr>
              <w:t>2</w:t>
            </w:r>
          </w:p>
        </w:tc>
        <w:tc>
          <w:tcPr>
            <w:tcW w:w="762" w:type="pct"/>
          </w:tcPr>
          <w:p w:rsidR="00B070C3" w:rsidRPr="00C052DD" w:rsidRDefault="00B070C3" w:rsidP="00623B80">
            <w:pPr>
              <w:pStyle w:val="ListParagraph"/>
              <w:ind w:left="0"/>
              <w:jc w:val="center"/>
              <w:rPr>
                <w:rFonts w:ascii="Arial Narrow" w:hAnsi="Arial Narrow"/>
                <w:sz w:val="20"/>
              </w:rPr>
            </w:pPr>
            <w:r w:rsidRPr="00C052DD">
              <w:rPr>
                <w:rFonts w:ascii="Arial Narrow" w:hAnsi="Arial Narrow"/>
                <w:sz w:val="20"/>
              </w:rPr>
              <w:t>500</w:t>
            </w:r>
            <w:r w:rsidR="00623B80">
              <w:rPr>
                <w:rFonts w:ascii="Arial Narrow" w:hAnsi="Arial Narrow"/>
                <w:sz w:val="20"/>
              </w:rPr>
              <w:t> </w:t>
            </w:r>
            <w:r w:rsidRPr="00C052DD">
              <w:rPr>
                <w:rFonts w:ascii="Arial Narrow" w:hAnsi="Arial Narrow"/>
                <w:sz w:val="20"/>
              </w:rPr>
              <w:t>mg/m</w:t>
            </w:r>
            <w:r w:rsidRPr="00C052DD">
              <w:rPr>
                <w:rFonts w:ascii="Arial Narrow" w:hAnsi="Arial Narrow"/>
                <w:sz w:val="20"/>
                <w:vertAlign w:val="superscript"/>
              </w:rPr>
              <w:t>2</w:t>
            </w:r>
          </w:p>
        </w:tc>
      </w:tr>
      <w:tr w:rsidR="00B070C3" w:rsidRPr="00C052DD" w:rsidTr="00544916">
        <w:trPr>
          <w:trHeight w:val="88"/>
        </w:trPr>
        <w:tc>
          <w:tcPr>
            <w:tcW w:w="2034" w:type="pct"/>
            <w:vMerge w:val="restar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The number of </w:t>
            </w:r>
            <w:proofErr w:type="spellStart"/>
            <w:r w:rsidRPr="00C052DD">
              <w:rPr>
                <w:rFonts w:ascii="Arial Narrow" w:hAnsi="Arial Narrow"/>
                <w:sz w:val="20"/>
              </w:rPr>
              <w:t>cycles</w:t>
            </w:r>
            <w:r w:rsidRPr="00C052DD">
              <w:rPr>
                <w:rFonts w:ascii="Arial Narrow" w:hAnsi="Arial Narrow"/>
                <w:sz w:val="20"/>
                <w:vertAlign w:val="superscript"/>
              </w:rPr>
              <w:t>b</w:t>
            </w:r>
            <w:proofErr w:type="spellEnd"/>
          </w:p>
        </w:tc>
        <w:tc>
          <w:tcPr>
            <w:tcW w:w="1187" w:type="pct"/>
            <w:vMerge w:val="restart"/>
          </w:tcPr>
          <w:p w:rsidR="00B070C3" w:rsidRPr="00F42031" w:rsidRDefault="00B070C3" w:rsidP="00322906">
            <w:pPr>
              <w:pStyle w:val="ListParagraph"/>
              <w:ind w:left="0"/>
              <w:rPr>
                <w:rFonts w:ascii="Arial Narrow" w:hAnsi="Arial Narrow"/>
                <w:sz w:val="20"/>
              </w:rPr>
            </w:pPr>
          </w:p>
        </w:tc>
        <w:tc>
          <w:tcPr>
            <w:tcW w:w="1017" w:type="pct"/>
          </w:tcPr>
          <w:p w:rsidR="00B070C3" w:rsidRPr="000A536B" w:rsidRDefault="000A536B" w:rsidP="00322906">
            <w:pPr>
              <w:pStyle w:val="ListParagraph"/>
              <w:ind w:left="0"/>
              <w:jc w:val="center"/>
              <w:rPr>
                <w:rFonts w:ascii="Arial Narrow" w:hAnsi="Arial Narrow"/>
                <w:sz w:val="20"/>
                <w:highlight w:val="black"/>
              </w:rPr>
            </w:pPr>
            <w:r>
              <w:rPr>
                <w:rFonts w:ascii="Arial Narrow" w:hAnsi="Arial Narrow"/>
                <w:noProof/>
                <w:color w:val="000000"/>
                <w:sz w:val="20"/>
                <w:highlight w:val="black"/>
              </w:rPr>
              <w:t>''''''''</w:t>
            </w:r>
          </w:p>
        </w:tc>
        <w:tc>
          <w:tcPr>
            <w:tcW w:w="762" w:type="pct"/>
          </w:tcPr>
          <w:p w:rsidR="00B070C3" w:rsidRPr="00A05571" w:rsidRDefault="00A05571" w:rsidP="00322906">
            <w:pPr>
              <w:pStyle w:val="ListParagraph"/>
              <w:ind w:left="0"/>
              <w:jc w:val="center"/>
              <w:rPr>
                <w:rFonts w:ascii="Arial Narrow" w:hAnsi="Arial Narrow"/>
                <w:sz w:val="20"/>
                <w:highlight w:val="black"/>
              </w:rPr>
            </w:pPr>
            <w:r>
              <w:rPr>
                <w:rFonts w:ascii="Arial Narrow" w:hAnsi="Arial Narrow"/>
                <w:noProof/>
                <w:color w:val="000000"/>
                <w:sz w:val="20"/>
                <w:highlight w:val="black"/>
              </w:rPr>
              <w:t>''''''''''</w:t>
            </w:r>
          </w:p>
        </w:tc>
      </w:tr>
      <w:tr w:rsidR="00B070C3" w:rsidRPr="00C052DD" w:rsidTr="00544916">
        <w:trPr>
          <w:trHeight w:val="87"/>
        </w:trPr>
        <w:tc>
          <w:tcPr>
            <w:tcW w:w="2034" w:type="pct"/>
            <w:vMerge/>
          </w:tcPr>
          <w:p w:rsidR="00B070C3" w:rsidRPr="00C052DD" w:rsidRDefault="00B070C3" w:rsidP="00322906">
            <w:pPr>
              <w:pStyle w:val="ListParagraph"/>
              <w:ind w:left="0"/>
              <w:rPr>
                <w:rFonts w:ascii="Arial Narrow" w:hAnsi="Arial Narrow"/>
                <w:sz w:val="20"/>
              </w:rPr>
            </w:pPr>
          </w:p>
        </w:tc>
        <w:tc>
          <w:tcPr>
            <w:tcW w:w="1187" w:type="pct"/>
            <w:vMerge/>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0A536B" w:rsidP="00322906">
            <w:pPr>
              <w:pStyle w:val="ListParagraph"/>
              <w:ind w:left="0"/>
              <w:jc w:val="center"/>
              <w:rPr>
                <w:rFonts w:ascii="Arial Narrow" w:hAnsi="Arial Narrow"/>
                <w:sz w:val="20"/>
              </w:rPr>
            </w:pPr>
            <w:r>
              <w:rPr>
                <w:rFonts w:ascii="Arial Narrow" w:hAnsi="Arial Narrow"/>
                <w:noProof/>
                <w:color w:val="000000"/>
                <w:sz w:val="20"/>
                <w:highlight w:val="black"/>
              </w:rPr>
              <w:t xml:space="preserve">'''''''''' </w:t>
            </w:r>
            <w:r w:rsidR="00B070C3" w:rsidRPr="00F42031">
              <w:rPr>
                <w:rFonts w:ascii="Arial Narrow" w:hAnsi="Arial Narrow"/>
                <w:sz w:val="20"/>
              </w:rPr>
              <w:t>cycles</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Average number of months</w:t>
            </w:r>
          </w:p>
        </w:tc>
        <w:tc>
          <w:tcPr>
            <w:tcW w:w="1187" w:type="pct"/>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0A536B" w:rsidP="00322906">
            <w:pPr>
              <w:pStyle w:val="ListParagraph"/>
              <w:ind w:left="0"/>
              <w:jc w:val="center"/>
              <w:rPr>
                <w:rFonts w:ascii="Arial Narrow" w:hAnsi="Arial Narrow"/>
                <w:sz w:val="20"/>
              </w:rPr>
            </w:pPr>
            <w:r>
              <w:rPr>
                <w:rFonts w:ascii="Arial Narrow" w:hAnsi="Arial Narrow"/>
                <w:noProof/>
                <w:color w:val="000000"/>
                <w:sz w:val="20"/>
                <w:highlight w:val="black"/>
              </w:rPr>
              <w:t xml:space="preserve">''''''''''' </w:t>
            </w:r>
            <w:r w:rsidR="00B070C3" w:rsidRPr="00F42031">
              <w:rPr>
                <w:rFonts w:ascii="Arial Narrow" w:hAnsi="Arial Narrow"/>
                <w:sz w:val="20"/>
              </w:rPr>
              <w:t>(</w:t>
            </w:r>
            <w:r>
              <w:rPr>
                <w:rFonts w:ascii="Arial Narrow" w:hAnsi="Arial Narrow"/>
                <w:noProof/>
                <w:color w:val="000000"/>
                <w:sz w:val="20"/>
                <w:highlight w:val="black"/>
              </w:rPr>
              <w:t xml:space="preserve">'''''''''' </w:t>
            </w:r>
            <w:r w:rsidR="00B070C3" w:rsidRPr="00F42031">
              <w:rPr>
                <w:rFonts w:ascii="Arial Narrow" w:hAnsi="Arial Narrow"/>
                <w:sz w:val="20"/>
              </w:rPr>
              <w:t xml:space="preserve">cycles x </w:t>
            </w:r>
            <w:r>
              <w:rPr>
                <w:rFonts w:ascii="Arial Narrow" w:hAnsi="Arial Narrow"/>
                <w:noProof/>
                <w:color w:val="000000"/>
                <w:sz w:val="20"/>
                <w:highlight w:val="black"/>
              </w:rPr>
              <w:t>''''''</w:t>
            </w:r>
            <w:r w:rsidR="00B070C3" w:rsidRPr="00F42031">
              <w:rPr>
                <w:rFonts w:ascii="Arial Narrow" w:hAnsi="Arial Narrow"/>
                <w:sz w:val="20"/>
              </w:rPr>
              <w:t>days/</w:t>
            </w:r>
            <w:r>
              <w:rPr>
                <w:rFonts w:ascii="Arial Narrow" w:hAnsi="Arial Narrow"/>
                <w:noProof/>
                <w:color w:val="000000"/>
                <w:sz w:val="20"/>
                <w:highlight w:val="black"/>
              </w:rPr>
              <w:t>''''''</w:t>
            </w:r>
            <w:r w:rsidR="00B070C3" w:rsidRPr="00F42031">
              <w:rPr>
                <w:rFonts w:ascii="Arial Narrow" w:hAnsi="Arial Narrow"/>
                <w:sz w:val="20"/>
              </w:rPr>
              <w:t xml:space="preserve"> days)</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Cost of </w:t>
            </w:r>
            <w:proofErr w:type="spellStart"/>
            <w:r w:rsidRPr="00C052DD">
              <w:rPr>
                <w:rFonts w:ascii="Arial Narrow" w:hAnsi="Arial Narrow"/>
                <w:sz w:val="20"/>
              </w:rPr>
              <w:t>regimen</w:t>
            </w:r>
            <w:r w:rsidRPr="00C052DD">
              <w:rPr>
                <w:rFonts w:ascii="Arial Narrow" w:hAnsi="Arial Narrow"/>
                <w:sz w:val="20"/>
                <w:vertAlign w:val="superscript"/>
              </w:rPr>
              <w:t>c</w:t>
            </w:r>
            <w:proofErr w:type="spellEnd"/>
          </w:p>
        </w:tc>
        <w:tc>
          <w:tcPr>
            <w:tcW w:w="1187" w:type="pct"/>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vertAlign w:val="superscript"/>
              </w:rPr>
              <w:t xml:space="preserve"> d</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Average monthly cost</w:t>
            </w:r>
          </w:p>
        </w:tc>
        <w:tc>
          <w:tcPr>
            <w:tcW w:w="1187" w:type="pct"/>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rPr>
              <w:t xml:space="preserve"> </w:t>
            </w:r>
            <w:r w:rsidRPr="00F42031">
              <w:rPr>
                <w:rFonts w:ascii="Arial Narrow" w:hAnsi="Arial Narrow"/>
                <w:sz w:val="20"/>
                <w:vertAlign w:val="superscript"/>
              </w:rPr>
              <w:t>d</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Dose intensity of </w:t>
            </w:r>
            <w:proofErr w:type="spellStart"/>
            <w:r w:rsidRPr="00C052DD">
              <w:rPr>
                <w:rFonts w:ascii="Arial Narrow" w:hAnsi="Arial Narrow"/>
                <w:sz w:val="20"/>
              </w:rPr>
              <w:t>pemetrexed</w:t>
            </w:r>
            <w:proofErr w:type="spellEnd"/>
            <w:r w:rsidRPr="00C052DD">
              <w:rPr>
                <w:rFonts w:ascii="Arial Narrow" w:hAnsi="Arial Narrow"/>
                <w:sz w:val="20"/>
              </w:rPr>
              <w:t xml:space="preserve"> in ASCEND-5</w:t>
            </w:r>
          </w:p>
        </w:tc>
        <w:tc>
          <w:tcPr>
            <w:tcW w:w="1187" w:type="pct"/>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0A536B" w:rsidP="00322906">
            <w:pPr>
              <w:pStyle w:val="ListParagraph"/>
              <w:ind w:left="0"/>
              <w:jc w:val="center"/>
              <w:rPr>
                <w:rFonts w:ascii="Arial Narrow" w:hAnsi="Arial Narrow"/>
                <w:sz w:val="20"/>
              </w:rPr>
            </w:pPr>
            <w:r>
              <w:rPr>
                <w:rFonts w:ascii="Arial Narrow" w:hAnsi="Arial Narrow"/>
                <w:noProof/>
                <w:color w:val="000000"/>
                <w:sz w:val="20"/>
                <w:highlight w:val="black"/>
              </w:rPr>
              <w:t>'''''''</w:t>
            </w:r>
            <w:r w:rsidR="00B070C3" w:rsidRPr="00F42031">
              <w:rPr>
                <w:rFonts w:ascii="Arial Narrow" w:hAnsi="Arial Narrow"/>
                <w:sz w:val="20"/>
              </w:rPr>
              <w:t xml:space="preserve">% </w:t>
            </w:r>
            <w:r w:rsidR="00B070C3" w:rsidRPr="00F42031">
              <w:rPr>
                <w:rFonts w:ascii="Arial Narrow" w:hAnsi="Arial Narrow"/>
                <w:sz w:val="20"/>
                <w:vertAlign w:val="superscript"/>
              </w:rPr>
              <w:t>e</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Average monthly cost adjusted by dose intensity</w:t>
            </w:r>
          </w:p>
        </w:tc>
        <w:tc>
          <w:tcPr>
            <w:tcW w:w="1187" w:type="pct"/>
          </w:tcPr>
          <w:p w:rsidR="00B070C3" w:rsidRPr="00F42031" w:rsidRDefault="00B070C3" w:rsidP="00322906">
            <w:pPr>
              <w:pStyle w:val="ListParagraph"/>
              <w:ind w:left="0"/>
              <w:rPr>
                <w:rFonts w:ascii="Arial Narrow" w:hAnsi="Arial Narrow"/>
                <w:sz w:val="20"/>
              </w:rPr>
            </w:pPr>
          </w:p>
        </w:tc>
        <w:tc>
          <w:tcPr>
            <w:tcW w:w="1779" w:type="pct"/>
            <w:gridSpan w:val="2"/>
          </w:tcPr>
          <w:p w:rsidR="00B070C3" w:rsidRPr="00F42031" w:rsidRDefault="00B070C3" w:rsidP="00322906">
            <w:pPr>
              <w:pStyle w:val="ListParagraph"/>
              <w:ind w:left="0"/>
              <w:jc w:val="center"/>
              <w:rPr>
                <w:rFonts w:ascii="Arial Narrow" w:hAnsi="Arial Narrow"/>
                <w:b/>
                <w:sz w:val="20"/>
              </w:rPr>
            </w:pPr>
            <w:r w:rsidRPr="00F42031">
              <w:rPr>
                <w:rFonts w:ascii="Arial Narrow" w:hAnsi="Arial Narrow"/>
                <w:b/>
                <w:sz w:val="20"/>
              </w:rPr>
              <w:t>$</w:t>
            </w:r>
            <w:r w:rsidR="000A536B">
              <w:rPr>
                <w:rFonts w:ascii="Arial Narrow" w:hAnsi="Arial Narrow"/>
                <w:b/>
                <w:noProof/>
                <w:color w:val="000000"/>
                <w:sz w:val="20"/>
                <w:highlight w:val="black"/>
              </w:rPr>
              <w:t>'''''''''''''''''</w:t>
            </w:r>
            <w:r w:rsidRPr="00F42031">
              <w:rPr>
                <w:rFonts w:ascii="Arial Narrow" w:hAnsi="Arial Narrow"/>
                <w:b/>
                <w:sz w:val="20"/>
              </w:rPr>
              <w:t xml:space="preserve"> </w:t>
            </w:r>
            <w:r w:rsidRPr="00F42031">
              <w:rPr>
                <w:rFonts w:ascii="Arial Narrow" w:hAnsi="Arial Narrow"/>
                <w:b/>
                <w:sz w:val="20"/>
                <w:vertAlign w:val="superscript"/>
              </w:rPr>
              <w:t>d</w:t>
            </w:r>
          </w:p>
        </w:tc>
      </w:tr>
      <w:tr w:rsidR="00B070C3" w:rsidRPr="00C052DD" w:rsidTr="00544916">
        <w:tc>
          <w:tcPr>
            <w:tcW w:w="2034" w:type="pct"/>
          </w:tcPr>
          <w:p w:rsidR="00B070C3" w:rsidRPr="00C052DD" w:rsidRDefault="004C70B2" w:rsidP="00322906">
            <w:pPr>
              <w:pStyle w:val="ListParagraph"/>
              <w:ind w:left="0"/>
              <w:rPr>
                <w:rFonts w:ascii="Arial Narrow" w:hAnsi="Arial Narrow"/>
                <w:sz w:val="20"/>
              </w:rPr>
            </w:pPr>
            <w:r w:rsidRPr="00C052DD">
              <w:rPr>
                <w:rFonts w:ascii="Arial Narrow" w:hAnsi="Arial Narrow"/>
                <w:sz w:val="20"/>
              </w:rPr>
              <w:t>Average</w:t>
            </w:r>
            <w:r w:rsidR="00B070C3" w:rsidRPr="00C052DD">
              <w:rPr>
                <w:rFonts w:ascii="Arial Narrow" w:hAnsi="Arial Narrow"/>
                <w:sz w:val="20"/>
              </w:rPr>
              <w:t xml:space="preserve"> monthly administration cost (for managing AEs and drug administration)</w:t>
            </w:r>
          </w:p>
        </w:tc>
        <w:tc>
          <w:tcPr>
            <w:tcW w:w="1187" w:type="pct"/>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p>
        </w:tc>
        <w:tc>
          <w:tcPr>
            <w:tcW w:w="1779" w:type="pct"/>
            <w:gridSpan w:val="2"/>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Incremental monthly administration cost</w:t>
            </w:r>
          </w:p>
        </w:tc>
        <w:tc>
          <w:tcPr>
            <w:tcW w:w="2966" w:type="pct"/>
            <w:gridSpan w:val="3"/>
          </w:tcPr>
          <w:p w:rsidR="00B070C3" w:rsidRPr="00F42031" w:rsidRDefault="00B070C3" w:rsidP="00322906">
            <w:pPr>
              <w:pStyle w:val="ListParagraph"/>
              <w:ind w:left="0"/>
              <w:jc w:val="center"/>
              <w:rPr>
                <w:rFonts w:ascii="Arial Narrow" w:hAnsi="Arial Narrow"/>
                <w:b/>
                <w:sz w:val="20"/>
              </w:rPr>
            </w:pPr>
            <w:r w:rsidRPr="00F42031">
              <w:rPr>
                <w:rFonts w:ascii="Arial Narrow" w:hAnsi="Arial Narrow"/>
                <w:b/>
                <w:sz w:val="20"/>
              </w:rPr>
              <w:t>$</w:t>
            </w:r>
            <w:r w:rsidR="000A536B">
              <w:rPr>
                <w:rFonts w:ascii="Arial Narrow" w:hAnsi="Arial Narrow"/>
                <w:b/>
                <w:noProof/>
                <w:color w:val="000000"/>
                <w:sz w:val="20"/>
                <w:highlight w:val="black"/>
              </w:rPr>
              <w:t>''''''''''''</w:t>
            </w: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Monthly cost of </w:t>
            </w:r>
            <w:proofErr w:type="spellStart"/>
            <w:r w:rsidRPr="00C052DD">
              <w:rPr>
                <w:rFonts w:ascii="Arial Narrow" w:hAnsi="Arial Narrow"/>
                <w:sz w:val="20"/>
              </w:rPr>
              <w:t>ceritinib</w:t>
            </w:r>
            <w:proofErr w:type="spellEnd"/>
          </w:p>
        </w:tc>
        <w:tc>
          <w:tcPr>
            <w:tcW w:w="1187" w:type="pct"/>
          </w:tcPr>
          <w:p w:rsidR="00B070C3" w:rsidRPr="00F42031" w:rsidRDefault="00B070C3" w:rsidP="00322906">
            <w:pPr>
              <w:pStyle w:val="ListParagraph"/>
              <w:ind w:left="0"/>
              <w:jc w:val="center"/>
              <w:rPr>
                <w:rFonts w:ascii="Arial Narrow" w:hAnsi="Arial Narrow"/>
                <w:b/>
                <w:sz w:val="20"/>
              </w:rPr>
            </w:pPr>
            <w:r w:rsidRPr="00F42031">
              <w:rPr>
                <w:rFonts w:ascii="Arial Narrow" w:hAnsi="Arial Narrow"/>
                <w:b/>
                <w:sz w:val="20"/>
              </w:rPr>
              <w:t>$</w:t>
            </w:r>
            <w:r w:rsidR="000A536B">
              <w:rPr>
                <w:rFonts w:ascii="Arial Narrow" w:hAnsi="Arial Narrow"/>
                <w:b/>
                <w:noProof/>
                <w:color w:val="000000"/>
                <w:sz w:val="20"/>
                <w:highlight w:val="black"/>
              </w:rPr>
              <w:t>''''''''''''''''''</w:t>
            </w:r>
            <w:r w:rsidRPr="00F42031">
              <w:rPr>
                <w:rFonts w:ascii="Arial Narrow" w:hAnsi="Arial Narrow"/>
                <w:b/>
                <w:sz w:val="20"/>
                <w:vertAlign w:val="superscript"/>
              </w:rPr>
              <w:t>d</w:t>
            </w:r>
            <w:r w:rsidRPr="00F42031">
              <w:rPr>
                <w:rFonts w:ascii="Arial Narrow" w:hAnsi="Arial Narrow"/>
                <w:b/>
                <w:sz w:val="20"/>
                <w:vertAlign w:val="superscript"/>
              </w:rPr>
              <w:br/>
            </w:r>
            <w:r w:rsidRPr="00F42031">
              <w:rPr>
                <w:rFonts w:ascii="Arial Narrow" w:hAnsi="Arial Narrow"/>
                <w:b/>
                <w:sz w:val="20"/>
              </w:rPr>
              <w:t>(=$</w:t>
            </w:r>
            <w:r w:rsidR="000A536B">
              <w:rPr>
                <w:rFonts w:ascii="Arial Narrow" w:hAnsi="Arial Narrow"/>
                <w:b/>
                <w:noProof/>
                <w:color w:val="000000"/>
                <w:sz w:val="20"/>
                <w:highlight w:val="black"/>
              </w:rPr>
              <w:t>'''''''''''''''''</w:t>
            </w:r>
            <w:r w:rsidRPr="00F42031">
              <w:rPr>
                <w:rFonts w:ascii="Arial Narrow" w:hAnsi="Arial Narrow"/>
                <w:b/>
                <w:sz w:val="20"/>
              </w:rPr>
              <w:t>+$</w:t>
            </w:r>
            <w:r w:rsidR="000A536B">
              <w:rPr>
                <w:rFonts w:ascii="Arial Narrow" w:hAnsi="Arial Narrow"/>
                <w:b/>
                <w:noProof/>
                <w:color w:val="000000"/>
                <w:sz w:val="20"/>
                <w:highlight w:val="black"/>
              </w:rPr>
              <w:t>'''''''''''''</w:t>
            </w:r>
            <w:r w:rsidRPr="00F42031">
              <w:rPr>
                <w:rFonts w:ascii="Arial Narrow" w:hAnsi="Arial Narrow"/>
                <w:b/>
                <w:sz w:val="20"/>
              </w:rPr>
              <w:t>)</w:t>
            </w:r>
          </w:p>
        </w:tc>
        <w:tc>
          <w:tcPr>
            <w:tcW w:w="1779" w:type="pct"/>
            <w:gridSpan w:val="2"/>
          </w:tcPr>
          <w:p w:rsidR="00B070C3" w:rsidRPr="00F42031" w:rsidRDefault="00B070C3" w:rsidP="00322906">
            <w:pPr>
              <w:pStyle w:val="ListParagraph"/>
              <w:ind w:left="0"/>
              <w:rPr>
                <w:rFonts w:ascii="Arial Narrow" w:hAnsi="Arial Narrow"/>
                <w:sz w:val="20"/>
              </w:rPr>
            </w:pP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Dose intensity of </w:t>
            </w:r>
            <w:proofErr w:type="spellStart"/>
            <w:r w:rsidRPr="00C052DD">
              <w:rPr>
                <w:rFonts w:ascii="Arial Narrow" w:hAnsi="Arial Narrow"/>
                <w:sz w:val="20"/>
              </w:rPr>
              <w:t>ceritinib</w:t>
            </w:r>
            <w:proofErr w:type="spellEnd"/>
            <w:r w:rsidRPr="00C052DD">
              <w:rPr>
                <w:rFonts w:ascii="Arial Narrow" w:hAnsi="Arial Narrow"/>
                <w:sz w:val="20"/>
              </w:rPr>
              <w:t xml:space="preserve"> in ASCEND-5</w:t>
            </w:r>
          </w:p>
        </w:tc>
        <w:tc>
          <w:tcPr>
            <w:tcW w:w="1187" w:type="pct"/>
          </w:tcPr>
          <w:p w:rsidR="00B070C3" w:rsidRPr="00F42031" w:rsidRDefault="000A536B" w:rsidP="00322906">
            <w:pPr>
              <w:pStyle w:val="ListParagraph"/>
              <w:ind w:left="0"/>
              <w:jc w:val="center"/>
              <w:rPr>
                <w:rFonts w:ascii="Arial Narrow" w:hAnsi="Arial Narrow"/>
                <w:sz w:val="20"/>
              </w:rPr>
            </w:pPr>
            <w:r>
              <w:rPr>
                <w:rFonts w:ascii="Arial Narrow" w:hAnsi="Arial Narrow"/>
                <w:noProof/>
                <w:color w:val="000000"/>
                <w:sz w:val="20"/>
                <w:highlight w:val="black"/>
              </w:rPr>
              <w:t>''''''''''</w:t>
            </w:r>
            <w:r w:rsidR="00B070C3" w:rsidRPr="00F42031">
              <w:rPr>
                <w:rFonts w:ascii="Arial Narrow" w:hAnsi="Arial Narrow"/>
                <w:sz w:val="20"/>
              </w:rPr>
              <w:t>%</w:t>
            </w:r>
          </w:p>
        </w:tc>
        <w:tc>
          <w:tcPr>
            <w:tcW w:w="1779" w:type="pct"/>
            <w:gridSpan w:val="2"/>
          </w:tcPr>
          <w:p w:rsidR="00B070C3" w:rsidRPr="00F42031" w:rsidRDefault="00B070C3" w:rsidP="00322906">
            <w:pPr>
              <w:pStyle w:val="ListParagraph"/>
              <w:ind w:left="0"/>
              <w:rPr>
                <w:rFonts w:ascii="Arial Narrow" w:hAnsi="Arial Narrow"/>
                <w:sz w:val="20"/>
              </w:rPr>
            </w:pP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 xml:space="preserve">Proposed monthly cost of </w:t>
            </w:r>
            <w:proofErr w:type="spellStart"/>
            <w:r w:rsidRPr="00C052DD">
              <w:rPr>
                <w:rFonts w:ascii="Arial Narrow" w:hAnsi="Arial Narrow"/>
                <w:sz w:val="20"/>
              </w:rPr>
              <w:t>ceritinib</w:t>
            </w:r>
            <w:proofErr w:type="spellEnd"/>
            <w:r w:rsidRPr="00C052DD">
              <w:rPr>
                <w:rFonts w:ascii="Arial Narrow" w:hAnsi="Arial Narrow"/>
                <w:sz w:val="20"/>
              </w:rPr>
              <w:t xml:space="preserve"> (adjusted by dose intensity)</w:t>
            </w:r>
          </w:p>
        </w:tc>
        <w:tc>
          <w:tcPr>
            <w:tcW w:w="1187" w:type="pct"/>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vertAlign w:val="superscript"/>
              </w:rPr>
              <w:t>d</w:t>
            </w:r>
            <w:r w:rsidRPr="00F42031">
              <w:rPr>
                <w:rFonts w:ascii="Arial Narrow" w:hAnsi="Arial Narrow"/>
                <w:sz w:val="20"/>
              </w:rPr>
              <w:t xml:space="preserve"> </w:t>
            </w:r>
            <w:r w:rsidRPr="00F42031">
              <w:rPr>
                <w:rFonts w:ascii="Arial Narrow" w:hAnsi="Arial Narrow"/>
                <w:sz w:val="20"/>
              </w:rPr>
              <w:br/>
              <w:t>($</w:t>
            </w:r>
            <w:r w:rsidR="000A536B">
              <w:rPr>
                <w:rFonts w:ascii="Arial Narrow" w:hAnsi="Arial Narrow"/>
                <w:noProof/>
                <w:color w:val="000000"/>
                <w:sz w:val="20"/>
                <w:highlight w:val="black"/>
              </w:rPr>
              <w:t>'''''''''''''''''''''</w:t>
            </w: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rPr>
              <w:t>)</w:t>
            </w:r>
          </w:p>
        </w:tc>
        <w:tc>
          <w:tcPr>
            <w:tcW w:w="1779" w:type="pct"/>
            <w:gridSpan w:val="2"/>
          </w:tcPr>
          <w:p w:rsidR="00B070C3" w:rsidRPr="00F42031" w:rsidRDefault="00B070C3" w:rsidP="00322906">
            <w:pPr>
              <w:pStyle w:val="ListParagraph"/>
              <w:ind w:left="0"/>
              <w:rPr>
                <w:rFonts w:ascii="Arial Narrow" w:hAnsi="Arial Narrow"/>
                <w:sz w:val="20"/>
              </w:rPr>
            </w:pP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Proposed dispensed price per month</w:t>
            </w:r>
          </w:p>
        </w:tc>
        <w:tc>
          <w:tcPr>
            <w:tcW w:w="1187" w:type="pct"/>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rPr>
              <w:br/>
              <w:t>($</w:t>
            </w:r>
            <w:r w:rsidR="000A536B">
              <w:rPr>
                <w:rFonts w:ascii="Arial Narrow" w:hAnsi="Arial Narrow"/>
                <w:noProof/>
                <w:color w:val="000000"/>
                <w:sz w:val="20"/>
                <w:highlight w:val="black"/>
              </w:rPr>
              <w:t>'''''''''''''''''''</w:t>
            </w:r>
            <w:r w:rsidRPr="00F42031">
              <w:rPr>
                <w:rFonts w:ascii="Arial Narrow" w:hAnsi="Arial Narrow"/>
                <w:sz w:val="20"/>
              </w:rPr>
              <w:t>+average co-payment $</w:t>
            </w:r>
            <w:r w:rsidR="000A536B">
              <w:rPr>
                <w:rFonts w:ascii="Arial Narrow" w:hAnsi="Arial Narrow"/>
                <w:noProof/>
                <w:color w:val="000000"/>
                <w:sz w:val="20"/>
                <w:highlight w:val="black"/>
              </w:rPr>
              <w:t>'''''''''''''''</w:t>
            </w:r>
            <w:r w:rsidRPr="00F42031">
              <w:rPr>
                <w:rFonts w:ascii="Arial Narrow" w:hAnsi="Arial Narrow"/>
                <w:sz w:val="20"/>
              </w:rPr>
              <w:t xml:space="preserve">) </w:t>
            </w:r>
            <w:proofErr w:type="spellStart"/>
            <w:r w:rsidRPr="00F42031">
              <w:rPr>
                <w:rFonts w:ascii="Arial Narrow" w:hAnsi="Arial Narrow"/>
                <w:sz w:val="20"/>
                <w:vertAlign w:val="superscript"/>
              </w:rPr>
              <w:t>d,f</w:t>
            </w:r>
            <w:proofErr w:type="spellEnd"/>
          </w:p>
        </w:tc>
        <w:tc>
          <w:tcPr>
            <w:tcW w:w="1779" w:type="pct"/>
            <w:gridSpan w:val="2"/>
          </w:tcPr>
          <w:p w:rsidR="00B070C3" w:rsidRPr="00F42031" w:rsidRDefault="00B070C3" w:rsidP="00322906">
            <w:pPr>
              <w:pStyle w:val="ListParagraph"/>
              <w:ind w:left="0"/>
              <w:rPr>
                <w:rFonts w:ascii="Arial Narrow" w:hAnsi="Arial Narrow"/>
                <w:sz w:val="20"/>
              </w:rPr>
            </w:pPr>
          </w:p>
        </w:tc>
      </w:tr>
      <w:tr w:rsidR="00B070C3" w:rsidRPr="00C052DD" w:rsidTr="00544916">
        <w:tc>
          <w:tcPr>
            <w:tcW w:w="2034" w:type="pct"/>
          </w:tcPr>
          <w:p w:rsidR="00B070C3" w:rsidRPr="00C052DD" w:rsidRDefault="00B070C3" w:rsidP="00322906">
            <w:pPr>
              <w:pStyle w:val="ListParagraph"/>
              <w:ind w:left="0"/>
              <w:rPr>
                <w:rFonts w:ascii="Arial Narrow" w:hAnsi="Arial Narrow"/>
                <w:sz w:val="20"/>
              </w:rPr>
            </w:pPr>
            <w:r w:rsidRPr="00C052DD">
              <w:rPr>
                <w:rFonts w:ascii="Arial Narrow" w:hAnsi="Arial Narrow"/>
                <w:sz w:val="20"/>
              </w:rPr>
              <w:t>Proposed ex-manufacturer price</w:t>
            </w:r>
          </w:p>
        </w:tc>
        <w:tc>
          <w:tcPr>
            <w:tcW w:w="1187" w:type="pct"/>
          </w:tcPr>
          <w:p w:rsidR="00B070C3" w:rsidRPr="00F42031" w:rsidRDefault="00B070C3" w:rsidP="00322906">
            <w:pPr>
              <w:pStyle w:val="ListParagraph"/>
              <w:ind w:left="0"/>
              <w:jc w:val="center"/>
              <w:rPr>
                <w:rFonts w:ascii="Arial Narrow" w:hAnsi="Arial Narrow"/>
                <w:sz w:val="20"/>
              </w:rPr>
            </w:pPr>
            <w:r w:rsidRPr="00F42031">
              <w:rPr>
                <w:rFonts w:ascii="Arial Narrow" w:hAnsi="Arial Narrow"/>
                <w:sz w:val="20"/>
              </w:rPr>
              <w:t>$</w:t>
            </w:r>
            <w:r w:rsidR="000A536B">
              <w:rPr>
                <w:rFonts w:ascii="Arial Narrow" w:hAnsi="Arial Narrow"/>
                <w:noProof/>
                <w:color w:val="000000"/>
                <w:sz w:val="20"/>
                <w:highlight w:val="black"/>
              </w:rPr>
              <w:t>'''''''''''''''''''''</w:t>
            </w:r>
            <w:r w:rsidRPr="00F42031">
              <w:rPr>
                <w:rFonts w:ascii="Arial Narrow" w:hAnsi="Arial Narrow"/>
                <w:sz w:val="20"/>
              </w:rPr>
              <w:t xml:space="preserve"> </w:t>
            </w:r>
            <w:proofErr w:type="spellStart"/>
            <w:r w:rsidRPr="00F42031">
              <w:rPr>
                <w:rFonts w:ascii="Arial Narrow" w:hAnsi="Arial Narrow"/>
                <w:sz w:val="20"/>
                <w:vertAlign w:val="superscript"/>
              </w:rPr>
              <w:t>d,g</w:t>
            </w:r>
            <w:proofErr w:type="spellEnd"/>
          </w:p>
        </w:tc>
        <w:tc>
          <w:tcPr>
            <w:tcW w:w="1779" w:type="pct"/>
            <w:gridSpan w:val="2"/>
          </w:tcPr>
          <w:p w:rsidR="00B070C3" w:rsidRPr="00F42031" w:rsidRDefault="00B070C3" w:rsidP="00322906">
            <w:pPr>
              <w:pStyle w:val="ListParagraph"/>
              <w:ind w:left="0"/>
              <w:rPr>
                <w:rFonts w:ascii="Arial Narrow" w:hAnsi="Arial Narrow"/>
                <w:sz w:val="20"/>
              </w:rPr>
            </w:pPr>
          </w:p>
        </w:tc>
      </w:tr>
    </w:tbl>
    <w:p w:rsidR="00B070C3" w:rsidRPr="00C052DD" w:rsidRDefault="00B070C3" w:rsidP="00B070C3">
      <w:pPr>
        <w:pStyle w:val="TableFooter"/>
        <w:ind w:firstLine="720"/>
      </w:pPr>
      <w:r w:rsidRPr="00C052DD">
        <w:t xml:space="preserve">Chemo = chemotherapy; Gem = gemcitabine; AUC = area under the curve; </w:t>
      </w:r>
      <w:r w:rsidR="00624E96" w:rsidRPr="00C052DD">
        <w:t>AE = adverse event.</w:t>
      </w:r>
    </w:p>
    <w:p w:rsidR="00B070C3" w:rsidRPr="00C052DD" w:rsidRDefault="00B070C3" w:rsidP="00B070C3">
      <w:pPr>
        <w:pStyle w:val="TableFooter"/>
        <w:ind w:firstLine="720"/>
      </w:pPr>
      <w:proofErr w:type="spellStart"/>
      <w:proofErr w:type="gramStart"/>
      <w:r w:rsidRPr="00C052DD">
        <w:rPr>
          <w:vertAlign w:val="superscript"/>
        </w:rPr>
        <w:t>a</w:t>
      </w:r>
      <w:proofErr w:type="spellEnd"/>
      <w:proofErr w:type="gramEnd"/>
      <w:r w:rsidR="00C318C3" w:rsidRPr="00C052DD">
        <w:t xml:space="preserve"> T</w:t>
      </w:r>
      <w:r w:rsidRPr="00C052DD">
        <w:t>he body surface area was assumed to be 1.79m</w:t>
      </w:r>
      <w:r w:rsidRPr="00C052DD">
        <w:rPr>
          <w:vertAlign w:val="superscript"/>
        </w:rPr>
        <w:t>2</w:t>
      </w:r>
      <w:r w:rsidRPr="00C052DD">
        <w:t>. The analysis is not sensitive to the cost of chemotherapy.</w:t>
      </w:r>
    </w:p>
    <w:p w:rsidR="00B070C3" w:rsidRPr="00C052DD" w:rsidRDefault="00B070C3" w:rsidP="00B070C3">
      <w:pPr>
        <w:pStyle w:val="TableFooter"/>
        <w:ind w:left="720"/>
      </w:pPr>
      <w:proofErr w:type="gramStart"/>
      <w:r w:rsidRPr="00C052DD">
        <w:rPr>
          <w:vertAlign w:val="superscript"/>
        </w:rPr>
        <w:t>b</w:t>
      </w:r>
      <w:proofErr w:type="gramEnd"/>
      <w:r w:rsidR="00C318C3" w:rsidRPr="00C052DD">
        <w:t xml:space="preserve"> T</w:t>
      </w:r>
      <w:r w:rsidRPr="00C052DD">
        <w:t xml:space="preserve">he number of cycles for chemotherapy was estimated by expert opinion. The number of cycles for </w:t>
      </w:r>
      <w:proofErr w:type="spellStart"/>
      <w:r w:rsidRPr="00C052DD">
        <w:t>pemetrexed</w:t>
      </w:r>
      <w:proofErr w:type="spellEnd"/>
      <w:r w:rsidRPr="00C052DD">
        <w:t xml:space="preserve"> was based on </w:t>
      </w:r>
      <w:proofErr w:type="spellStart"/>
      <w:r w:rsidRPr="00C052DD">
        <w:t>Ciuleanu</w:t>
      </w:r>
      <w:proofErr w:type="spellEnd"/>
      <w:r w:rsidRPr="00C052DD">
        <w:t xml:space="preserve"> et al (2009)</w:t>
      </w:r>
    </w:p>
    <w:p w:rsidR="00B070C3" w:rsidRPr="00B16CBA" w:rsidRDefault="00B070C3" w:rsidP="00624E96">
      <w:pPr>
        <w:pStyle w:val="TableFooter"/>
        <w:ind w:left="720"/>
      </w:pPr>
      <w:r w:rsidRPr="00C052DD">
        <w:rPr>
          <w:vertAlign w:val="superscript"/>
        </w:rPr>
        <w:t>c</w:t>
      </w:r>
      <w:r w:rsidR="00C318C3" w:rsidRPr="00C052DD">
        <w:t xml:space="preserve"> W</w:t>
      </w:r>
      <w:r w:rsidRPr="00C052DD">
        <w:t xml:space="preserve">eighted by 80% of patients receiving carboplatin and 20% cisplatin, based on expert opinion; 30% in public setting and 70% </w:t>
      </w:r>
      <w:r w:rsidRPr="00B16CBA">
        <w:t>in private setting</w:t>
      </w:r>
      <w:r w:rsidR="004C70B2" w:rsidRPr="00B16CBA">
        <w:t xml:space="preserve">, based on PBS script data for </w:t>
      </w:r>
      <w:proofErr w:type="spellStart"/>
      <w:r w:rsidR="004C70B2" w:rsidRPr="00B16CBA">
        <w:t>pemetrexed</w:t>
      </w:r>
      <w:proofErr w:type="spellEnd"/>
      <w:r w:rsidR="00624E96" w:rsidRPr="00B16CBA">
        <w:t>.</w:t>
      </w:r>
      <w:r w:rsidRPr="00B16CBA">
        <w:t xml:space="preserve"> </w:t>
      </w:r>
    </w:p>
    <w:p w:rsidR="00B070C3" w:rsidRPr="00B16CBA" w:rsidRDefault="00B070C3" w:rsidP="00B070C3">
      <w:pPr>
        <w:pStyle w:val="TableFooter"/>
        <w:ind w:left="720"/>
      </w:pPr>
      <w:proofErr w:type="gramStart"/>
      <w:r w:rsidRPr="00B16CBA">
        <w:rPr>
          <w:vertAlign w:val="superscript"/>
        </w:rPr>
        <w:t>d</w:t>
      </w:r>
      <w:proofErr w:type="gramEnd"/>
      <w:r w:rsidR="00C318C3" w:rsidRPr="00B16CBA">
        <w:t xml:space="preserve"> T</w:t>
      </w:r>
      <w:r w:rsidRPr="00B16CBA">
        <w:t>he cost of regimen has been updated during the evaluation using the Efficient Funding for Chemotherapy fees as at 01/08/2016 and including $</w:t>
      </w:r>
      <w:r w:rsidRPr="001D54EB">
        <w:t>20</w:t>
      </w:r>
      <w:r w:rsidRPr="00B16CBA">
        <w:t xml:space="preserve"> more preparation fees for TGA licensed compounders.</w:t>
      </w:r>
    </w:p>
    <w:p w:rsidR="00B070C3" w:rsidRPr="00B16CBA" w:rsidRDefault="00B070C3" w:rsidP="00B070C3">
      <w:pPr>
        <w:pStyle w:val="TableFooter"/>
        <w:ind w:left="720"/>
      </w:pPr>
      <w:proofErr w:type="gramStart"/>
      <w:r w:rsidRPr="00B16CBA">
        <w:rPr>
          <w:vertAlign w:val="superscript"/>
        </w:rPr>
        <w:t>e</w:t>
      </w:r>
      <w:proofErr w:type="gramEnd"/>
      <w:r w:rsidRPr="00B16CBA">
        <w:t xml:space="preserve"> The submission’s approach to including dose intensity is inappropriate. The dose intensity of </w:t>
      </w:r>
      <w:r w:rsidR="000A536B">
        <w:rPr>
          <w:noProof/>
          <w:color w:val="000000"/>
          <w:highlight w:val="black"/>
        </w:rPr>
        <w:t>''''''</w:t>
      </w:r>
      <w:r w:rsidRPr="00B16CBA">
        <w:t xml:space="preserve">% observed from ASCEND-5 was only relevant to </w:t>
      </w:r>
      <w:proofErr w:type="spellStart"/>
      <w:r w:rsidRPr="00B16CBA">
        <w:t>pemetrexed</w:t>
      </w:r>
      <w:proofErr w:type="spellEnd"/>
      <w:r w:rsidRPr="00B16CBA">
        <w:t xml:space="preserve"> monotherapy, not chemotherapy regimen. If dose intensity is to be applied, it should be factored prior to the addition of dispensing fees, as these do not necessarily change relative to dose dispensed.</w:t>
      </w:r>
    </w:p>
    <w:p w:rsidR="00B070C3" w:rsidRPr="00B16CBA" w:rsidRDefault="00B070C3" w:rsidP="004C70B2">
      <w:pPr>
        <w:pStyle w:val="TableFooter"/>
        <w:ind w:left="720"/>
        <w:rPr>
          <w:iCs/>
        </w:rPr>
      </w:pPr>
      <w:proofErr w:type="spellStart"/>
      <w:proofErr w:type="gramStart"/>
      <w:r w:rsidRPr="00B16CBA">
        <w:rPr>
          <w:iCs/>
          <w:vertAlign w:val="superscript"/>
        </w:rPr>
        <w:t>f</w:t>
      </w:r>
      <w:proofErr w:type="spellEnd"/>
      <w:proofErr w:type="gramEnd"/>
      <w:r w:rsidRPr="00B16CBA">
        <w:rPr>
          <w:iCs/>
          <w:vertAlign w:val="superscript"/>
        </w:rPr>
        <w:t xml:space="preserve"> </w:t>
      </w:r>
      <w:r w:rsidR="00C318C3" w:rsidRPr="00B16CBA">
        <w:rPr>
          <w:iCs/>
        </w:rPr>
        <w:t>T</w:t>
      </w:r>
      <w:r w:rsidRPr="00B16CBA">
        <w:rPr>
          <w:iCs/>
        </w:rPr>
        <w:t>he average co-payment of $</w:t>
      </w:r>
      <w:r w:rsidRPr="001D54EB">
        <w:rPr>
          <w:iCs/>
        </w:rPr>
        <w:t>23.52</w:t>
      </w:r>
      <w:r w:rsidRPr="00B16CBA">
        <w:rPr>
          <w:iCs/>
        </w:rPr>
        <w:t xml:space="preserve"> was calculated </w:t>
      </w:r>
      <w:r w:rsidR="004C70B2" w:rsidRPr="00B16CBA">
        <w:rPr>
          <w:iCs/>
        </w:rPr>
        <w:t xml:space="preserve">using the distribution of </w:t>
      </w:r>
      <w:proofErr w:type="spellStart"/>
      <w:r w:rsidR="004C70B2" w:rsidRPr="00B16CBA">
        <w:rPr>
          <w:iCs/>
        </w:rPr>
        <w:t>crizotinib</w:t>
      </w:r>
      <w:proofErr w:type="spellEnd"/>
      <w:r w:rsidR="004C70B2" w:rsidRPr="00B16CBA">
        <w:rPr>
          <w:iCs/>
        </w:rPr>
        <w:t xml:space="preserve"> scripts across beneficiary types.</w:t>
      </w:r>
    </w:p>
    <w:p w:rsidR="00B070C3" w:rsidRPr="00B16CBA" w:rsidRDefault="00B070C3" w:rsidP="00B070C3">
      <w:pPr>
        <w:pStyle w:val="TableFooter"/>
        <w:ind w:left="720"/>
      </w:pPr>
      <w:proofErr w:type="gramStart"/>
      <w:r w:rsidRPr="00B16CBA">
        <w:rPr>
          <w:vertAlign w:val="superscript"/>
        </w:rPr>
        <w:t>g</w:t>
      </w:r>
      <w:proofErr w:type="gramEnd"/>
      <w:r w:rsidRPr="00B16CBA">
        <w:t xml:space="preserve"> The ex-manufacturer price removes the wholesale mark-up ($</w:t>
      </w:r>
      <w:r w:rsidRPr="001D54EB">
        <w:t>69.94</w:t>
      </w:r>
      <w:r w:rsidRPr="00B16CBA">
        <w:t xml:space="preserve">), Administrative, Handling and Infrastructure (AHI) fee </w:t>
      </w:r>
      <w:r w:rsidRPr="00B16CBA">
        <w:lastRenderedPageBreak/>
        <w:t>($</w:t>
      </w:r>
      <w:r w:rsidRPr="001D54EB">
        <w:t>70.92</w:t>
      </w:r>
      <w:r w:rsidRPr="00B16CBA">
        <w:t>) and ready-prepared dispensing fee ($</w:t>
      </w:r>
      <w:r w:rsidRPr="001D54EB">
        <w:t>7.02</w:t>
      </w:r>
      <w:r w:rsidRPr="00B16CBA">
        <w:t>) - https://www.humanservices.gov.au/health-professionals/enablers/pricing-pharmaceutical-benefits-scheme-medicine#a6</w:t>
      </w:r>
    </w:p>
    <w:p w:rsidR="00B070C3" w:rsidRPr="00C052DD" w:rsidRDefault="00B070C3" w:rsidP="00B070C3">
      <w:pPr>
        <w:pStyle w:val="TableFooter"/>
        <w:ind w:left="720"/>
      </w:pPr>
      <w:r w:rsidRPr="00B16CBA">
        <w:t>Source: Compiled during the evaluation</w:t>
      </w:r>
    </w:p>
    <w:p w:rsidR="00B070C3" w:rsidRPr="00C052DD" w:rsidRDefault="00B070C3" w:rsidP="00623B80"/>
    <w:p w:rsidR="00B070C3" w:rsidRPr="00C052DD" w:rsidRDefault="00826988" w:rsidP="00F87D21">
      <w:pPr>
        <w:pStyle w:val="ListParagraph"/>
        <w:widowControl/>
        <w:numPr>
          <w:ilvl w:val="1"/>
          <w:numId w:val="1"/>
        </w:numPr>
        <w:rPr>
          <w:szCs w:val="22"/>
        </w:rPr>
      </w:pPr>
      <w:r w:rsidRPr="00C052DD">
        <w:rPr>
          <w:szCs w:val="22"/>
        </w:rPr>
        <w:t>The evaluation noted that t</w:t>
      </w:r>
      <w:r w:rsidR="00B070C3" w:rsidRPr="00C052DD">
        <w:rPr>
          <w:szCs w:val="22"/>
        </w:rPr>
        <w:t xml:space="preserve">here is potential </w:t>
      </w:r>
      <w:r w:rsidRPr="00C052DD">
        <w:rPr>
          <w:szCs w:val="22"/>
        </w:rPr>
        <w:t xml:space="preserve">for </w:t>
      </w:r>
      <w:r w:rsidR="00B070C3" w:rsidRPr="00C052DD">
        <w:rPr>
          <w:szCs w:val="22"/>
        </w:rPr>
        <w:t xml:space="preserve">the cost of a treatment course with </w:t>
      </w:r>
      <w:proofErr w:type="spellStart"/>
      <w:r w:rsidR="00B070C3" w:rsidRPr="00C052DD">
        <w:rPr>
          <w:szCs w:val="22"/>
        </w:rPr>
        <w:t>ceritinib</w:t>
      </w:r>
      <w:proofErr w:type="spellEnd"/>
      <w:r w:rsidR="00B070C3" w:rsidRPr="00C052DD">
        <w:rPr>
          <w:szCs w:val="22"/>
        </w:rPr>
        <w:t xml:space="preserve"> </w:t>
      </w:r>
      <w:r w:rsidRPr="00C052DD">
        <w:rPr>
          <w:szCs w:val="22"/>
        </w:rPr>
        <w:t xml:space="preserve">to be </w:t>
      </w:r>
      <w:r w:rsidR="00B070C3" w:rsidRPr="00C052DD">
        <w:rPr>
          <w:szCs w:val="22"/>
        </w:rPr>
        <w:t>greater than the cost of a course of chemotherapy fol</w:t>
      </w:r>
      <w:r w:rsidR="00624E96" w:rsidRPr="00C052DD">
        <w:rPr>
          <w:szCs w:val="22"/>
        </w:rPr>
        <w:t xml:space="preserve">lowed by </w:t>
      </w:r>
      <w:proofErr w:type="spellStart"/>
      <w:r w:rsidR="00624E96" w:rsidRPr="00C052DD">
        <w:rPr>
          <w:szCs w:val="22"/>
        </w:rPr>
        <w:t>pemetrexed</w:t>
      </w:r>
      <w:proofErr w:type="spellEnd"/>
      <w:r w:rsidR="00624E96" w:rsidRPr="00C052DD">
        <w:rPr>
          <w:szCs w:val="22"/>
        </w:rPr>
        <w:t xml:space="preserve"> maintenance</w:t>
      </w:r>
      <w:r w:rsidR="00B070C3" w:rsidRPr="00C052DD">
        <w:rPr>
          <w:szCs w:val="22"/>
        </w:rPr>
        <w:t xml:space="preserve">. As observed in ASCEND-5, treatment with </w:t>
      </w:r>
      <w:proofErr w:type="spellStart"/>
      <w:r w:rsidR="00B070C3" w:rsidRPr="00C052DD">
        <w:rPr>
          <w:szCs w:val="22"/>
        </w:rPr>
        <w:t>ceritinib</w:t>
      </w:r>
      <w:proofErr w:type="spellEnd"/>
      <w:r w:rsidR="00B070C3" w:rsidRPr="00C052DD">
        <w:rPr>
          <w:szCs w:val="22"/>
        </w:rPr>
        <w:t xml:space="preserve"> was considerably longer than the treatment with </w:t>
      </w:r>
      <w:proofErr w:type="spellStart"/>
      <w:r w:rsidR="00B070C3" w:rsidRPr="00C052DD">
        <w:rPr>
          <w:szCs w:val="22"/>
        </w:rPr>
        <w:t>pemetrexed</w:t>
      </w:r>
      <w:proofErr w:type="spellEnd"/>
      <w:r w:rsidR="00B070C3" w:rsidRPr="00C052DD">
        <w:rPr>
          <w:szCs w:val="22"/>
        </w:rPr>
        <w:t xml:space="preserve"> monotherapy.</w:t>
      </w:r>
      <w:r w:rsidR="00721E3A" w:rsidRPr="00C052DD">
        <w:rPr>
          <w:szCs w:val="22"/>
        </w:rPr>
        <w:t xml:space="preserve"> The treatment with </w:t>
      </w:r>
      <w:proofErr w:type="spellStart"/>
      <w:r w:rsidR="00721E3A" w:rsidRPr="00C052DD">
        <w:rPr>
          <w:szCs w:val="22"/>
        </w:rPr>
        <w:t>ceritinib</w:t>
      </w:r>
      <w:proofErr w:type="spellEnd"/>
      <w:r w:rsidR="00721E3A" w:rsidRPr="00C052DD">
        <w:rPr>
          <w:szCs w:val="22"/>
        </w:rPr>
        <w:t xml:space="preserve"> in ASCEND-5 is also considerably longer than the treatment duration for platinum chemotherapy and </w:t>
      </w:r>
      <w:proofErr w:type="spellStart"/>
      <w:r w:rsidR="00721E3A" w:rsidRPr="00C052DD">
        <w:rPr>
          <w:szCs w:val="22"/>
        </w:rPr>
        <w:t>pemetrexed</w:t>
      </w:r>
      <w:proofErr w:type="spellEnd"/>
      <w:r w:rsidR="00721E3A" w:rsidRPr="00C052DD">
        <w:rPr>
          <w:szCs w:val="22"/>
        </w:rPr>
        <w:t xml:space="preserve"> maintenance assumed in the submission.</w:t>
      </w:r>
      <w:r w:rsidR="00C55042" w:rsidRPr="00C052DD">
        <w:rPr>
          <w:szCs w:val="22"/>
        </w:rPr>
        <w:t xml:space="preserve"> The PSCR (p4-5) contended that </w:t>
      </w:r>
      <w:r w:rsidR="00D1722D" w:rsidRPr="00C052DD">
        <w:rPr>
          <w:szCs w:val="22"/>
        </w:rPr>
        <w:t>a longer PFS</w:t>
      </w:r>
      <w:r w:rsidR="00F80EAF" w:rsidRPr="00C052DD">
        <w:rPr>
          <w:szCs w:val="22"/>
        </w:rPr>
        <w:t xml:space="preserve"> (</w:t>
      </w:r>
      <w:r w:rsidR="000A536B">
        <w:rPr>
          <w:noProof/>
          <w:color w:val="000000"/>
          <w:szCs w:val="22"/>
          <w:highlight w:val="black"/>
        </w:rPr>
        <w:t>''''''''''''</w:t>
      </w:r>
      <w:r w:rsidR="00F80EAF" w:rsidRPr="00C052DD">
        <w:rPr>
          <w:szCs w:val="22"/>
        </w:rPr>
        <w:t xml:space="preserve"> months)</w:t>
      </w:r>
      <w:r w:rsidR="00D1722D" w:rsidRPr="00C052DD">
        <w:rPr>
          <w:szCs w:val="22"/>
        </w:rPr>
        <w:t xml:space="preserve"> was included in the cost analysis compared to ASCEND</w:t>
      </w:r>
      <w:r w:rsidR="0080244C" w:rsidRPr="00C052DD">
        <w:rPr>
          <w:szCs w:val="22"/>
        </w:rPr>
        <w:t>-</w:t>
      </w:r>
      <w:r w:rsidR="00D1722D" w:rsidRPr="00C052DD">
        <w:rPr>
          <w:szCs w:val="22"/>
        </w:rPr>
        <w:t>5 assuming that Australian patients will be less heavily pre-treated. The ESC not</w:t>
      </w:r>
      <w:r w:rsidR="00F80EAF" w:rsidRPr="00C052DD">
        <w:rPr>
          <w:szCs w:val="22"/>
        </w:rPr>
        <w:t>ed</w:t>
      </w:r>
      <w:r w:rsidR="00D1722D" w:rsidRPr="00C052DD">
        <w:rPr>
          <w:szCs w:val="22"/>
        </w:rPr>
        <w:t xml:space="preserve"> that the submission (and PSCR) quoted the median PFS for </w:t>
      </w:r>
      <w:proofErr w:type="spellStart"/>
      <w:r w:rsidR="00D1722D" w:rsidRPr="00C052DD">
        <w:rPr>
          <w:szCs w:val="22"/>
        </w:rPr>
        <w:t>ceritinib</w:t>
      </w:r>
      <w:proofErr w:type="spellEnd"/>
      <w:r w:rsidR="00F80EAF" w:rsidRPr="00C052DD">
        <w:rPr>
          <w:szCs w:val="22"/>
        </w:rPr>
        <w:t xml:space="preserve"> (5.4 months)</w:t>
      </w:r>
      <w:r w:rsidR="00D1722D" w:rsidRPr="00C052DD">
        <w:rPr>
          <w:szCs w:val="22"/>
        </w:rPr>
        <w:t xml:space="preserve"> rather than mean, which was inappropriate for </w:t>
      </w:r>
      <w:r w:rsidR="00F80EAF" w:rsidRPr="00C052DD">
        <w:rPr>
          <w:szCs w:val="22"/>
        </w:rPr>
        <w:t xml:space="preserve">an </w:t>
      </w:r>
      <w:r w:rsidR="00D1722D" w:rsidRPr="00C052DD">
        <w:rPr>
          <w:szCs w:val="22"/>
        </w:rPr>
        <w:t>analys</w:t>
      </w:r>
      <w:r w:rsidR="00F80EAF" w:rsidRPr="00C052DD">
        <w:rPr>
          <w:szCs w:val="22"/>
        </w:rPr>
        <w:t>i</w:t>
      </w:r>
      <w:r w:rsidR="00D1722D" w:rsidRPr="00C052DD">
        <w:rPr>
          <w:szCs w:val="22"/>
        </w:rPr>
        <w:t>s</w:t>
      </w:r>
      <w:r w:rsidR="00F80EAF" w:rsidRPr="00C052DD">
        <w:rPr>
          <w:szCs w:val="22"/>
        </w:rPr>
        <w:t xml:space="preserve"> of costs</w:t>
      </w:r>
      <w:r w:rsidR="00D1722D" w:rsidRPr="00C052DD">
        <w:rPr>
          <w:szCs w:val="22"/>
        </w:rPr>
        <w:t xml:space="preserve">. </w:t>
      </w:r>
      <w:r w:rsidR="00F80EAF" w:rsidRPr="00C052DD">
        <w:rPr>
          <w:szCs w:val="22"/>
        </w:rPr>
        <w:t>T</w:t>
      </w:r>
      <w:r w:rsidR="00D1722D" w:rsidRPr="00C052DD">
        <w:rPr>
          <w:szCs w:val="22"/>
        </w:rPr>
        <w:t xml:space="preserve">he ESC maintained that </w:t>
      </w:r>
      <w:r w:rsidR="00F80EAF" w:rsidRPr="00C052DD">
        <w:rPr>
          <w:szCs w:val="22"/>
        </w:rPr>
        <w:t xml:space="preserve">the submission’s </w:t>
      </w:r>
      <w:r w:rsidR="00D1722D" w:rsidRPr="00C052DD">
        <w:rPr>
          <w:szCs w:val="22"/>
        </w:rPr>
        <w:t>assumption of equivalent treatment duration remained a key issue</w:t>
      </w:r>
      <w:r w:rsidR="003B00D0" w:rsidRPr="00C052DD">
        <w:rPr>
          <w:szCs w:val="22"/>
        </w:rPr>
        <w:t xml:space="preserve"> in the cost-minimisation</w:t>
      </w:r>
      <w:r w:rsidR="0054266A" w:rsidRPr="00C052DD">
        <w:rPr>
          <w:szCs w:val="22"/>
        </w:rPr>
        <w:t>.</w:t>
      </w:r>
    </w:p>
    <w:p w:rsidR="006675DC" w:rsidRPr="00623B80" w:rsidRDefault="006675DC" w:rsidP="006675DC">
      <w:pPr>
        <w:widowControl/>
        <w:rPr>
          <w:szCs w:val="22"/>
        </w:rPr>
      </w:pPr>
    </w:p>
    <w:p w:rsidR="00206C06" w:rsidRPr="00C052DD" w:rsidRDefault="006675DC" w:rsidP="00F87D21">
      <w:pPr>
        <w:pStyle w:val="ListParagraph"/>
        <w:widowControl/>
        <w:numPr>
          <w:ilvl w:val="1"/>
          <w:numId w:val="1"/>
        </w:numPr>
        <w:rPr>
          <w:szCs w:val="22"/>
        </w:rPr>
      </w:pPr>
      <w:r w:rsidRPr="00C052DD">
        <w:rPr>
          <w:szCs w:val="22"/>
        </w:rPr>
        <w:t>During the evaluation, a trial-based cost-minimisation analysis was performed</w:t>
      </w:r>
      <w:r w:rsidR="0017033A" w:rsidRPr="00C052DD">
        <w:rPr>
          <w:szCs w:val="22"/>
        </w:rPr>
        <w:t>, as follows:</w:t>
      </w:r>
    </w:p>
    <w:p w:rsidR="0017033A" w:rsidRPr="00623B80" w:rsidRDefault="0017033A" w:rsidP="0017033A">
      <w:pPr>
        <w:widowControl/>
        <w:rPr>
          <w:szCs w:val="22"/>
        </w:rPr>
      </w:pPr>
    </w:p>
    <w:p w:rsidR="00BF795F" w:rsidRPr="00C052DD" w:rsidRDefault="00BF795F" w:rsidP="007838A9">
      <w:pPr>
        <w:pStyle w:val="Caption"/>
        <w:keepNext/>
        <w:ind w:firstLine="720"/>
      </w:pPr>
      <w:r w:rsidRPr="00C052DD">
        <w:t>Table 7</w:t>
      </w:r>
      <w:r w:rsidR="00EC3706" w:rsidRPr="00C052DD">
        <w:tab/>
      </w:r>
      <w:r w:rsidR="00EC3706">
        <w:t>Trial-</w:t>
      </w:r>
      <w:r w:rsidRPr="00C052DD">
        <w:t>based cost-minimisation analysis</w:t>
      </w:r>
    </w:p>
    <w:tbl>
      <w:tblPr>
        <w:tblStyle w:val="TableGrid"/>
        <w:tblW w:w="0" w:type="auto"/>
        <w:tblInd w:w="817" w:type="dxa"/>
        <w:tblLook w:val="04A0" w:firstRow="1" w:lastRow="0" w:firstColumn="1" w:lastColumn="0" w:noHBand="0" w:noVBand="1"/>
        <w:tblCaption w:val="Table 7 Trial-based cost-minimisation analysis"/>
        <w:tblDescription w:val="Table 7 Trial-based cost-minimisation analysis"/>
      </w:tblPr>
      <w:tblGrid>
        <w:gridCol w:w="645"/>
        <w:gridCol w:w="2722"/>
        <w:gridCol w:w="1169"/>
        <w:gridCol w:w="3884"/>
      </w:tblGrid>
      <w:tr w:rsidR="00BF795F" w:rsidRPr="00C052DD" w:rsidTr="0094152A">
        <w:trPr>
          <w:tblHeader/>
        </w:trPr>
        <w:tc>
          <w:tcPr>
            <w:tcW w:w="645" w:type="dxa"/>
          </w:tcPr>
          <w:p w:rsidR="00BF795F" w:rsidRPr="00C052DD" w:rsidRDefault="00BF795F" w:rsidP="007838A9">
            <w:pPr>
              <w:pStyle w:val="Tabletext"/>
              <w:rPr>
                <w:b/>
                <w:bCs/>
              </w:rPr>
            </w:pPr>
            <w:r w:rsidRPr="00C052DD">
              <w:rPr>
                <w:b/>
                <w:bCs/>
              </w:rPr>
              <w:t>STEP</w:t>
            </w:r>
          </w:p>
        </w:tc>
        <w:tc>
          <w:tcPr>
            <w:tcW w:w="2722" w:type="dxa"/>
          </w:tcPr>
          <w:p w:rsidR="00BF795F" w:rsidRPr="00C052DD" w:rsidRDefault="00BF795F" w:rsidP="007838A9">
            <w:pPr>
              <w:pStyle w:val="Tabletext"/>
              <w:rPr>
                <w:b/>
                <w:bCs/>
              </w:rPr>
            </w:pPr>
            <w:r w:rsidRPr="00C052DD">
              <w:rPr>
                <w:b/>
                <w:bCs/>
              </w:rPr>
              <w:t>Description</w:t>
            </w:r>
          </w:p>
        </w:tc>
        <w:tc>
          <w:tcPr>
            <w:tcW w:w="1169" w:type="dxa"/>
          </w:tcPr>
          <w:p w:rsidR="00BF795F" w:rsidRPr="00C052DD" w:rsidRDefault="00BF795F" w:rsidP="007838A9">
            <w:pPr>
              <w:pStyle w:val="Tabletext"/>
              <w:rPr>
                <w:b/>
                <w:bCs/>
              </w:rPr>
            </w:pPr>
            <w:r w:rsidRPr="00C052DD">
              <w:rPr>
                <w:b/>
                <w:bCs/>
              </w:rPr>
              <w:t>Data</w:t>
            </w:r>
          </w:p>
        </w:tc>
        <w:tc>
          <w:tcPr>
            <w:tcW w:w="3884" w:type="dxa"/>
          </w:tcPr>
          <w:p w:rsidR="00BF795F" w:rsidRPr="00C052DD" w:rsidRDefault="00BF795F" w:rsidP="007838A9">
            <w:pPr>
              <w:pStyle w:val="Tabletext"/>
              <w:rPr>
                <w:b/>
                <w:bCs/>
              </w:rPr>
            </w:pPr>
            <w:r w:rsidRPr="00C052DD">
              <w:rPr>
                <w:b/>
                <w:bCs/>
              </w:rPr>
              <w:t>Note</w:t>
            </w:r>
          </w:p>
        </w:tc>
      </w:tr>
      <w:tr w:rsidR="00BF795F" w:rsidRPr="00C052DD" w:rsidTr="00CA22BD">
        <w:tc>
          <w:tcPr>
            <w:tcW w:w="645" w:type="dxa"/>
          </w:tcPr>
          <w:p w:rsidR="00BF795F" w:rsidRPr="00C052DD" w:rsidRDefault="00BF795F" w:rsidP="007838A9">
            <w:pPr>
              <w:pStyle w:val="Tabletext"/>
            </w:pPr>
            <w:r w:rsidRPr="00C052DD">
              <w:t>1</w:t>
            </w:r>
          </w:p>
        </w:tc>
        <w:tc>
          <w:tcPr>
            <w:tcW w:w="2722" w:type="dxa"/>
          </w:tcPr>
          <w:p w:rsidR="00BF795F" w:rsidRPr="00C052DD" w:rsidRDefault="00BF795F" w:rsidP="007838A9">
            <w:pPr>
              <w:pStyle w:val="Tabletext"/>
            </w:pPr>
            <w:r w:rsidRPr="00C052DD">
              <w:t xml:space="preserve">Mean duration of therapy with </w:t>
            </w:r>
            <w:proofErr w:type="spellStart"/>
            <w:r w:rsidRPr="00C052DD">
              <w:t>pemetrexed</w:t>
            </w:r>
            <w:proofErr w:type="spellEnd"/>
            <w:r w:rsidRPr="00C052DD">
              <w:t xml:space="preserve"> (months)</w:t>
            </w:r>
          </w:p>
        </w:tc>
        <w:tc>
          <w:tcPr>
            <w:tcW w:w="1169" w:type="dxa"/>
          </w:tcPr>
          <w:p w:rsidR="00BF795F" w:rsidRPr="000A536B" w:rsidRDefault="000A536B" w:rsidP="007838A9">
            <w:pPr>
              <w:pStyle w:val="Tabletext"/>
              <w:rPr>
                <w:highlight w:val="black"/>
              </w:rPr>
            </w:pPr>
            <w:r>
              <w:rPr>
                <w:noProof/>
                <w:color w:val="000000"/>
                <w:highlight w:val="black"/>
              </w:rPr>
              <w:t>''''''''''</w:t>
            </w:r>
          </w:p>
        </w:tc>
        <w:tc>
          <w:tcPr>
            <w:tcW w:w="3884" w:type="dxa"/>
          </w:tcPr>
          <w:p w:rsidR="00BF795F" w:rsidRPr="00C052DD" w:rsidRDefault="00BF795F" w:rsidP="007838A9">
            <w:pPr>
              <w:pStyle w:val="Tabletext"/>
            </w:pPr>
            <w:r w:rsidRPr="00C052DD">
              <w:t>First Availab</w:t>
            </w:r>
            <w:r w:rsidR="00623B80">
              <w:t>le Results Table 14.3-1.1, p260</w:t>
            </w:r>
          </w:p>
        </w:tc>
      </w:tr>
      <w:tr w:rsidR="00BF795F" w:rsidRPr="00C052DD" w:rsidTr="00CA22BD">
        <w:tc>
          <w:tcPr>
            <w:tcW w:w="645" w:type="dxa"/>
          </w:tcPr>
          <w:p w:rsidR="00BF795F" w:rsidRPr="00C052DD" w:rsidRDefault="00BF795F" w:rsidP="007838A9">
            <w:pPr>
              <w:pStyle w:val="Tabletext"/>
            </w:pPr>
            <w:r w:rsidRPr="00C052DD">
              <w:t>2</w:t>
            </w:r>
          </w:p>
        </w:tc>
        <w:tc>
          <w:tcPr>
            <w:tcW w:w="2722" w:type="dxa"/>
          </w:tcPr>
          <w:p w:rsidR="00BF795F" w:rsidRPr="00B16CBA" w:rsidRDefault="00BF795F" w:rsidP="007838A9">
            <w:pPr>
              <w:pStyle w:val="Tabletext"/>
            </w:pPr>
            <w:r w:rsidRPr="00B16CBA">
              <w:t xml:space="preserve">Mean duration of therapy with </w:t>
            </w:r>
            <w:proofErr w:type="spellStart"/>
            <w:r w:rsidRPr="00B16CBA">
              <w:t>ceritinib</w:t>
            </w:r>
            <w:proofErr w:type="spellEnd"/>
            <w:r w:rsidRPr="00B16CBA">
              <w:t xml:space="preserve"> (months)</w:t>
            </w:r>
          </w:p>
        </w:tc>
        <w:tc>
          <w:tcPr>
            <w:tcW w:w="1169" w:type="dxa"/>
          </w:tcPr>
          <w:p w:rsidR="00BF795F" w:rsidRPr="000A536B" w:rsidRDefault="000A536B" w:rsidP="007838A9">
            <w:pPr>
              <w:pStyle w:val="Tabletext"/>
              <w:rPr>
                <w:highlight w:val="black"/>
              </w:rPr>
            </w:pPr>
            <w:r>
              <w:rPr>
                <w:noProof/>
                <w:color w:val="000000"/>
                <w:highlight w:val="black"/>
              </w:rPr>
              <w:t>'''''''''''</w:t>
            </w:r>
          </w:p>
        </w:tc>
        <w:tc>
          <w:tcPr>
            <w:tcW w:w="3884" w:type="dxa"/>
          </w:tcPr>
          <w:p w:rsidR="00BF795F" w:rsidRPr="00F42031" w:rsidRDefault="00BF795F" w:rsidP="00623B80">
            <w:pPr>
              <w:pStyle w:val="Tabletext"/>
            </w:pPr>
            <w:r w:rsidRPr="00F42031">
              <w:t>First Available Results Table 14.3-1.1, p260</w:t>
            </w:r>
          </w:p>
        </w:tc>
      </w:tr>
      <w:tr w:rsidR="00BF795F" w:rsidRPr="00C052DD" w:rsidTr="00CA22BD">
        <w:tc>
          <w:tcPr>
            <w:tcW w:w="645" w:type="dxa"/>
          </w:tcPr>
          <w:p w:rsidR="00BF795F" w:rsidRPr="00C052DD" w:rsidRDefault="00BF795F" w:rsidP="007838A9">
            <w:pPr>
              <w:pStyle w:val="Tabletext"/>
            </w:pPr>
            <w:r w:rsidRPr="00C052DD">
              <w:t>3</w:t>
            </w:r>
          </w:p>
        </w:tc>
        <w:tc>
          <w:tcPr>
            <w:tcW w:w="2722" w:type="dxa"/>
          </w:tcPr>
          <w:p w:rsidR="00BF795F" w:rsidRPr="00B16CBA" w:rsidRDefault="00BF795F" w:rsidP="007838A9">
            <w:pPr>
              <w:pStyle w:val="Tabletext"/>
            </w:pPr>
            <w:r w:rsidRPr="00B16CBA">
              <w:t xml:space="preserve">Cost of </w:t>
            </w:r>
            <w:proofErr w:type="spellStart"/>
            <w:r w:rsidRPr="00B16CBA">
              <w:t>pemetrexed</w:t>
            </w:r>
            <w:proofErr w:type="spellEnd"/>
            <w:r w:rsidRPr="00B16CBA">
              <w:t xml:space="preserve"> per cycle</w:t>
            </w:r>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(minus average co-pay of $23.51)</w:t>
            </w:r>
          </w:p>
        </w:tc>
      </w:tr>
      <w:tr w:rsidR="00BF795F" w:rsidRPr="00C052DD" w:rsidTr="00CA22BD">
        <w:tc>
          <w:tcPr>
            <w:tcW w:w="645" w:type="dxa"/>
          </w:tcPr>
          <w:p w:rsidR="00BF795F" w:rsidRPr="00C052DD" w:rsidRDefault="00BF795F" w:rsidP="007838A9">
            <w:pPr>
              <w:pStyle w:val="Tabletext"/>
            </w:pPr>
            <w:r w:rsidRPr="00C052DD">
              <w:t>4</w:t>
            </w:r>
          </w:p>
        </w:tc>
        <w:tc>
          <w:tcPr>
            <w:tcW w:w="2722" w:type="dxa"/>
          </w:tcPr>
          <w:p w:rsidR="00BF795F" w:rsidRPr="00B16CBA" w:rsidRDefault="00BF795F" w:rsidP="007838A9">
            <w:pPr>
              <w:pStyle w:val="Tabletext"/>
            </w:pPr>
            <w:r w:rsidRPr="00B16CBA">
              <w:t xml:space="preserve">Cost of </w:t>
            </w:r>
            <w:proofErr w:type="spellStart"/>
            <w:r w:rsidRPr="00B16CBA">
              <w:t>pemetrexed</w:t>
            </w:r>
            <w:proofErr w:type="spellEnd"/>
            <w:r w:rsidRPr="00B16CBA">
              <w:t xml:space="preserve"> per month</w:t>
            </w:r>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p>
        </w:tc>
      </w:tr>
      <w:tr w:rsidR="00BF795F" w:rsidRPr="00C052DD" w:rsidTr="00CA22BD">
        <w:tc>
          <w:tcPr>
            <w:tcW w:w="645" w:type="dxa"/>
          </w:tcPr>
          <w:p w:rsidR="00BF795F" w:rsidRPr="00C052DD" w:rsidRDefault="00BF795F" w:rsidP="007838A9">
            <w:pPr>
              <w:pStyle w:val="Tabletext"/>
            </w:pPr>
            <w:r w:rsidRPr="00C052DD">
              <w:t>5</w:t>
            </w:r>
          </w:p>
        </w:tc>
        <w:tc>
          <w:tcPr>
            <w:tcW w:w="2722" w:type="dxa"/>
          </w:tcPr>
          <w:p w:rsidR="00BF795F" w:rsidRPr="00B16CBA" w:rsidRDefault="00BF795F" w:rsidP="007838A9">
            <w:pPr>
              <w:pStyle w:val="Tabletext"/>
            </w:pPr>
            <w:r w:rsidRPr="00B16CBA">
              <w:t xml:space="preserve">Cost of </w:t>
            </w:r>
            <w:proofErr w:type="spellStart"/>
            <w:r w:rsidRPr="00B16CBA">
              <w:t>pemetrexed</w:t>
            </w:r>
            <w:proofErr w:type="spellEnd"/>
            <w:r w:rsidRPr="00B16CBA">
              <w:t xml:space="preserve"> at </w:t>
            </w:r>
            <w:r w:rsidR="00A05571">
              <w:rPr>
                <w:noProof/>
                <w:color w:val="000000"/>
                <w:highlight w:val="black"/>
              </w:rPr>
              <w:t>'''''''''''</w:t>
            </w:r>
            <w:r w:rsidRPr="00B16CBA">
              <w:t>% RDI</w:t>
            </w:r>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r w:rsidRPr="00F42031">
              <w:t>%</w:t>
            </w:r>
          </w:p>
        </w:tc>
      </w:tr>
      <w:tr w:rsidR="00BF795F" w:rsidRPr="00C052DD" w:rsidTr="00CA22BD">
        <w:tc>
          <w:tcPr>
            <w:tcW w:w="645" w:type="dxa"/>
          </w:tcPr>
          <w:p w:rsidR="00BF795F" w:rsidRPr="00C052DD" w:rsidRDefault="00BF795F" w:rsidP="007838A9">
            <w:pPr>
              <w:pStyle w:val="Tabletext"/>
            </w:pPr>
            <w:r w:rsidRPr="00C052DD">
              <w:t>6</w:t>
            </w:r>
          </w:p>
        </w:tc>
        <w:tc>
          <w:tcPr>
            <w:tcW w:w="2722" w:type="dxa"/>
          </w:tcPr>
          <w:p w:rsidR="00BF795F" w:rsidRPr="00B16CBA" w:rsidRDefault="00BF795F" w:rsidP="007838A9">
            <w:pPr>
              <w:pStyle w:val="Tabletext"/>
            </w:pPr>
            <w:r w:rsidRPr="00B16CBA">
              <w:t xml:space="preserve">Total cost of </w:t>
            </w:r>
            <w:proofErr w:type="spellStart"/>
            <w:r w:rsidRPr="00B16CBA">
              <w:t>pemetrexed</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p>
        </w:tc>
      </w:tr>
      <w:tr w:rsidR="00BF795F" w:rsidRPr="00C052DD" w:rsidTr="00CA22BD">
        <w:tc>
          <w:tcPr>
            <w:tcW w:w="645" w:type="dxa"/>
          </w:tcPr>
          <w:p w:rsidR="00BF795F" w:rsidRPr="00C052DD" w:rsidRDefault="00BF795F" w:rsidP="007838A9">
            <w:pPr>
              <w:pStyle w:val="Tabletext"/>
            </w:pPr>
            <w:r w:rsidRPr="00C052DD">
              <w:t>7</w:t>
            </w:r>
          </w:p>
        </w:tc>
        <w:tc>
          <w:tcPr>
            <w:tcW w:w="2722" w:type="dxa"/>
          </w:tcPr>
          <w:p w:rsidR="00BF795F" w:rsidRPr="00B16CBA" w:rsidRDefault="00BF795F" w:rsidP="007838A9">
            <w:pPr>
              <w:pStyle w:val="Tabletext"/>
            </w:pPr>
            <w:r w:rsidRPr="00B16CBA">
              <w:t xml:space="preserve">Monthly administration cost for </w:t>
            </w:r>
            <w:proofErr w:type="spellStart"/>
            <w:r w:rsidRPr="00B16CBA">
              <w:t>pemetrexed</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p>
        </w:tc>
        <w:tc>
          <w:tcPr>
            <w:tcW w:w="3884" w:type="dxa"/>
          </w:tcPr>
          <w:p w:rsidR="00BF795F" w:rsidRPr="00F42031" w:rsidRDefault="00BF795F" w:rsidP="00623B80">
            <w:pPr>
              <w:pStyle w:val="Tabletext"/>
            </w:pPr>
            <w:r w:rsidRPr="00F42031">
              <w:t xml:space="preserve">Infusion costs, clinician attendances, baseline and repeat bloods, </w:t>
            </w:r>
            <w:proofErr w:type="spellStart"/>
            <w:r w:rsidRPr="00F42031">
              <w:t>metoclopraminde</w:t>
            </w:r>
            <w:proofErr w:type="spellEnd"/>
            <w:r w:rsidRPr="00F42031">
              <w:t xml:space="preserve">, </w:t>
            </w:r>
            <w:r w:rsidR="00623B80" w:rsidRPr="00F42031">
              <w:t>v</w:t>
            </w:r>
            <w:r w:rsidRPr="00F42031">
              <w:t>itamin B12</w:t>
            </w:r>
          </w:p>
        </w:tc>
      </w:tr>
      <w:tr w:rsidR="00BF795F" w:rsidRPr="00C052DD" w:rsidTr="00CA22BD">
        <w:trPr>
          <w:trHeight w:val="70"/>
        </w:trPr>
        <w:tc>
          <w:tcPr>
            <w:tcW w:w="645" w:type="dxa"/>
          </w:tcPr>
          <w:p w:rsidR="00BF795F" w:rsidRPr="00C052DD" w:rsidRDefault="00BF795F" w:rsidP="007838A9">
            <w:pPr>
              <w:pStyle w:val="Tabletext"/>
            </w:pPr>
            <w:r w:rsidRPr="00C052DD">
              <w:t>8</w:t>
            </w:r>
          </w:p>
        </w:tc>
        <w:tc>
          <w:tcPr>
            <w:tcW w:w="2722" w:type="dxa"/>
          </w:tcPr>
          <w:p w:rsidR="00BF795F" w:rsidRPr="00B16CBA" w:rsidRDefault="00BF795F" w:rsidP="007838A9">
            <w:pPr>
              <w:pStyle w:val="Tabletext"/>
            </w:pPr>
            <w:r w:rsidRPr="00B16CBA">
              <w:t xml:space="preserve">Single per/course items for </w:t>
            </w:r>
            <w:proofErr w:type="spellStart"/>
            <w:r w:rsidRPr="00B16CBA">
              <w:t>pemetrexed</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p>
        </w:tc>
        <w:tc>
          <w:tcPr>
            <w:tcW w:w="3884" w:type="dxa"/>
          </w:tcPr>
          <w:p w:rsidR="00BF795F" w:rsidRPr="00F42031" w:rsidRDefault="00BF795F" w:rsidP="007838A9">
            <w:pPr>
              <w:pStyle w:val="Tabletext"/>
            </w:pPr>
            <w:r w:rsidRPr="00F42031">
              <w:t>2 x Dexamethasone, folic acid</w:t>
            </w:r>
          </w:p>
        </w:tc>
      </w:tr>
      <w:tr w:rsidR="00BF795F" w:rsidRPr="00C052DD" w:rsidTr="00CA22BD">
        <w:tc>
          <w:tcPr>
            <w:tcW w:w="645" w:type="dxa"/>
          </w:tcPr>
          <w:p w:rsidR="00BF795F" w:rsidRPr="00C052DD" w:rsidRDefault="00BF795F" w:rsidP="007838A9">
            <w:pPr>
              <w:pStyle w:val="Tabletext"/>
            </w:pPr>
            <w:r w:rsidRPr="00C052DD">
              <w:t>9</w:t>
            </w:r>
          </w:p>
        </w:tc>
        <w:tc>
          <w:tcPr>
            <w:tcW w:w="2722" w:type="dxa"/>
          </w:tcPr>
          <w:p w:rsidR="00BF795F" w:rsidRPr="00B16CBA" w:rsidRDefault="00BF795F" w:rsidP="007838A9">
            <w:pPr>
              <w:pStyle w:val="Tabletext"/>
            </w:pPr>
            <w:r w:rsidRPr="00B16CBA">
              <w:t xml:space="preserve">Total administration cost for </w:t>
            </w:r>
            <w:proofErr w:type="spellStart"/>
            <w:r w:rsidRPr="00B16CBA">
              <w:t>pemetrexed</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p>
        </w:tc>
        <w:tc>
          <w:tcPr>
            <w:tcW w:w="3884" w:type="dxa"/>
          </w:tcPr>
          <w:p w:rsidR="00BF795F" w:rsidRPr="00F42031" w:rsidRDefault="00BF795F" w:rsidP="007838A9">
            <w:pPr>
              <w:pStyle w:val="Tabletext"/>
            </w:pPr>
            <w:r w:rsidRPr="00F42031">
              <w:t>=</w:t>
            </w:r>
            <w:r w:rsidR="000A536B">
              <w:rPr>
                <w:noProof/>
                <w:color w:val="000000"/>
                <w:highlight w:val="black"/>
              </w:rPr>
              <w:t>''''''''''''''''</w:t>
            </w:r>
          </w:p>
        </w:tc>
      </w:tr>
      <w:tr w:rsidR="00BF795F" w:rsidRPr="00C052DD" w:rsidTr="00CA22BD">
        <w:tc>
          <w:tcPr>
            <w:tcW w:w="645" w:type="dxa"/>
          </w:tcPr>
          <w:p w:rsidR="00BF795F" w:rsidRPr="00C052DD" w:rsidRDefault="00BF795F" w:rsidP="007838A9">
            <w:pPr>
              <w:pStyle w:val="Tabletext"/>
            </w:pPr>
            <w:r w:rsidRPr="00C052DD">
              <w:t>10</w:t>
            </w:r>
          </w:p>
        </w:tc>
        <w:tc>
          <w:tcPr>
            <w:tcW w:w="2722" w:type="dxa"/>
          </w:tcPr>
          <w:p w:rsidR="00BF795F" w:rsidRPr="00C052DD" w:rsidRDefault="00BF795F" w:rsidP="007838A9">
            <w:pPr>
              <w:pStyle w:val="Tabletext"/>
            </w:pPr>
            <w:r w:rsidRPr="00C052DD">
              <w:t xml:space="preserve">Monthly administration cost for </w:t>
            </w:r>
            <w:proofErr w:type="spellStart"/>
            <w:r w:rsidRPr="00C052DD">
              <w:t>ceritinib</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p>
        </w:tc>
        <w:tc>
          <w:tcPr>
            <w:tcW w:w="3884" w:type="dxa"/>
          </w:tcPr>
          <w:p w:rsidR="00BF795F" w:rsidRPr="00F42031" w:rsidRDefault="00BF795F" w:rsidP="007838A9">
            <w:pPr>
              <w:pStyle w:val="Tabletext"/>
            </w:pPr>
            <w:r w:rsidRPr="00F42031">
              <w:t xml:space="preserve">Clinician attendances, baseline and repeat bloods, metoclopramide or </w:t>
            </w:r>
            <w:proofErr w:type="spellStart"/>
            <w:r w:rsidRPr="00F42031">
              <w:t>prochlorperazine</w:t>
            </w:r>
            <w:proofErr w:type="spellEnd"/>
            <w:r w:rsidRPr="00F42031">
              <w:t xml:space="preserve"> and </w:t>
            </w:r>
            <w:proofErr w:type="spellStart"/>
            <w:r w:rsidRPr="00F42031">
              <w:t>loperamide</w:t>
            </w:r>
            <w:proofErr w:type="spellEnd"/>
          </w:p>
        </w:tc>
      </w:tr>
      <w:tr w:rsidR="00BF795F" w:rsidRPr="00C052DD" w:rsidTr="00CA22BD">
        <w:tc>
          <w:tcPr>
            <w:tcW w:w="645" w:type="dxa"/>
          </w:tcPr>
          <w:p w:rsidR="00BF795F" w:rsidRPr="00C052DD" w:rsidRDefault="00BF795F" w:rsidP="007838A9">
            <w:pPr>
              <w:pStyle w:val="Tabletext"/>
            </w:pPr>
            <w:r w:rsidRPr="00C052DD">
              <w:t>11</w:t>
            </w:r>
          </w:p>
        </w:tc>
        <w:tc>
          <w:tcPr>
            <w:tcW w:w="2722" w:type="dxa"/>
          </w:tcPr>
          <w:p w:rsidR="00BF795F" w:rsidRPr="00C052DD" w:rsidRDefault="00BF795F" w:rsidP="007838A9">
            <w:pPr>
              <w:pStyle w:val="Tabletext"/>
            </w:pPr>
            <w:r w:rsidRPr="00C052DD">
              <w:t xml:space="preserve">Single per/course items for </w:t>
            </w:r>
            <w:proofErr w:type="spellStart"/>
            <w:r w:rsidRPr="00C052DD">
              <w:t>ceritinib</w:t>
            </w:r>
            <w:proofErr w:type="spellEnd"/>
          </w:p>
        </w:tc>
        <w:tc>
          <w:tcPr>
            <w:tcW w:w="1169" w:type="dxa"/>
          </w:tcPr>
          <w:p w:rsidR="00BF795F" w:rsidRPr="00F42031" w:rsidRDefault="00BF795F" w:rsidP="00A86479">
            <w:pPr>
              <w:pStyle w:val="Tabletext"/>
              <w:jc w:val="center"/>
            </w:pPr>
            <w:r w:rsidRPr="00F42031">
              <w:t>$</w:t>
            </w:r>
            <w:r w:rsidR="000A536B">
              <w:rPr>
                <w:noProof/>
                <w:color w:val="000000"/>
                <w:highlight w:val="black"/>
              </w:rPr>
              <w:t>'''''''''''''</w:t>
            </w:r>
          </w:p>
        </w:tc>
        <w:tc>
          <w:tcPr>
            <w:tcW w:w="3884" w:type="dxa"/>
          </w:tcPr>
          <w:p w:rsidR="00BF795F" w:rsidRPr="00F42031" w:rsidRDefault="00BF795F" w:rsidP="007838A9">
            <w:pPr>
              <w:pStyle w:val="Tabletext"/>
            </w:pPr>
            <w:r w:rsidRPr="00F42031">
              <w:t>ECG</w:t>
            </w:r>
          </w:p>
        </w:tc>
      </w:tr>
      <w:tr w:rsidR="00BF795F" w:rsidRPr="00C052DD" w:rsidTr="00CA22BD">
        <w:tc>
          <w:tcPr>
            <w:tcW w:w="645" w:type="dxa"/>
          </w:tcPr>
          <w:p w:rsidR="00BF795F" w:rsidRPr="00C052DD" w:rsidRDefault="00BF795F" w:rsidP="007838A9">
            <w:pPr>
              <w:pStyle w:val="Tabletext"/>
            </w:pPr>
            <w:r w:rsidRPr="00C052DD">
              <w:t>12</w:t>
            </w:r>
          </w:p>
        </w:tc>
        <w:tc>
          <w:tcPr>
            <w:tcW w:w="2722" w:type="dxa"/>
          </w:tcPr>
          <w:p w:rsidR="00BF795F" w:rsidRPr="00C052DD" w:rsidRDefault="00BF795F" w:rsidP="007838A9">
            <w:pPr>
              <w:pStyle w:val="Tabletext"/>
            </w:pPr>
            <w:r w:rsidRPr="00C052DD">
              <w:t xml:space="preserve">Total administration cost for </w:t>
            </w:r>
            <w:proofErr w:type="spellStart"/>
            <w:r w:rsidRPr="00C052DD">
              <w:t>ceritinib</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p>
        </w:tc>
        <w:tc>
          <w:tcPr>
            <w:tcW w:w="3884" w:type="dxa"/>
          </w:tcPr>
          <w:p w:rsidR="00BF795F" w:rsidRPr="00F42031" w:rsidRDefault="00BF795F" w:rsidP="007838A9">
            <w:pPr>
              <w:pStyle w:val="Tabletext"/>
            </w:pPr>
            <w:r w:rsidRPr="00F42031">
              <w:t>=</w:t>
            </w:r>
            <w:r w:rsidR="000A536B">
              <w:rPr>
                <w:noProof/>
                <w:color w:val="000000"/>
                <w:highlight w:val="black"/>
              </w:rPr>
              <w:t>'''''''''''''''''''</w:t>
            </w:r>
          </w:p>
        </w:tc>
      </w:tr>
      <w:tr w:rsidR="00BF795F" w:rsidRPr="00C052DD" w:rsidTr="00CA22BD">
        <w:tc>
          <w:tcPr>
            <w:tcW w:w="645" w:type="dxa"/>
          </w:tcPr>
          <w:p w:rsidR="00BF795F" w:rsidRPr="00C052DD" w:rsidRDefault="00BF795F" w:rsidP="007838A9">
            <w:pPr>
              <w:pStyle w:val="Tabletext"/>
            </w:pPr>
            <w:r w:rsidRPr="00C052DD">
              <w:t>13</w:t>
            </w:r>
          </w:p>
        </w:tc>
        <w:tc>
          <w:tcPr>
            <w:tcW w:w="2722" w:type="dxa"/>
          </w:tcPr>
          <w:p w:rsidR="00BF795F" w:rsidRPr="00C052DD" w:rsidRDefault="00BF795F" w:rsidP="007838A9">
            <w:pPr>
              <w:pStyle w:val="Tabletext"/>
            </w:pPr>
            <w:r w:rsidRPr="00C052DD">
              <w:t xml:space="preserve">Total cost of </w:t>
            </w:r>
            <w:proofErr w:type="spellStart"/>
            <w:r w:rsidRPr="00C052DD">
              <w:t>ceritinib</w:t>
            </w:r>
            <w:proofErr w:type="spellEnd"/>
            <w:r w:rsidRPr="00C052DD">
              <w:t xml:space="preserve"> at 80.3% RDI</w:t>
            </w:r>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p>
        </w:tc>
      </w:tr>
      <w:tr w:rsidR="00BF795F" w:rsidRPr="00C052DD" w:rsidTr="00CA22BD">
        <w:tc>
          <w:tcPr>
            <w:tcW w:w="645" w:type="dxa"/>
          </w:tcPr>
          <w:p w:rsidR="00BF795F" w:rsidRPr="00C052DD" w:rsidRDefault="00BF795F" w:rsidP="007838A9">
            <w:pPr>
              <w:pStyle w:val="Tabletext"/>
            </w:pPr>
            <w:r w:rsidRPr="00C052DD">
              <w:t>14</w:t>
            </w:r>
          </w:p>
        </w:tc>
        <w:tc>
          <w:tcPr>
            <w:tcW w:w="2722" w:type="dxa"/>
          </w:tcPr>
          <w:p w:rsidR="00BF795F" w:rsidRPr="00C052DD" w:rsidRDefault="00BF795F" w:rsidP="007838A9">
            <w:pPr>
              <w:pStyle w:val="Tabletext"/>
            </w:pPr>
            <w:r w:rsidRPr="00C052DD">
              <w:t xml:space="preserve">Total cost of </w:t>
            </w:r>
            <w:proofErr w:type="spellStart"/>
            <w:r w:rsidRPr="00C052DD">
              <w:t>ceritinib</w:t>
            </w:r>
            <w:proofErr w:type="spellEnd"/>
            <w:r w:rsidRPr="00C052DD">
              <w:t xml:space="preserve"> at 100%</w:t>
            </w:r>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r w:rsidRPr="00F42031">
              <w:t>/</w:t>
            </w:r>
            <w:r w:rsidR="000A536B">
              <w:rPr>
                <w:noProof/>
                <w:color w:val="000000"/>
                <w:highlight w:val="black"/>
              </w:rPr>
              <w:t>''''''''''</w:t>
            </w:r>
            <w:r w:rsidRPr="00F42031">
              <w:t>%</w:t>
            </w:r>
          </w:p>
        </w:tc>
      </w:tr>
      <w:tr w:rsidR="00BF795F" w:rsidRPr="00C052DD" w:rsidTr="00CA22BD">
        <w:tc>
          <w:tcPr>
            <w:tcW w:w="645" w:type="dxa"/>
          </w:tcPr>
          <w:p w:rsidR="00BF795F" w:rsidRPr="00C052DD" w:rsidRDefault="00BF795F" w:rsidP="007838A9">
            <w:pPr>
              <w:pStyle w:val="Tabletext"/>
            </w:pPr>
            <w:r w:rsidRPr="00C052DD">
              <w:t>15</w:t>
            </w:r>
          </w:p>
        </w:tc>
        <w:tc>
          <w:tcPr>
            <w:tcW w:w="2722" w:type="dxa"/>
          </w:tcPr>
          <w:p w:rsidR="00BF795F" w:rsidRPr="00C052DD" w:rsidRDefault="00BF795F" w:rsidP="007838A9">
            <w:pPr>
              <w:pStyle w:val="Tabletext"/>
            </w:pPr>
            <w:r w:rsidRPr="00C052DD">
              <w:t xml:space="preserve">Total monthly cost of </w:t>
            </w:r>
            <w:proofErr w:type="spellStart"/>
            <w:r w:rsidRPr="00C052DD">
              <w:t>ceritinib</w:t>
            </w:r>
            <w:proofErr w:type="spellEnd"/>
          </w:p>
        </w:tc>
        <w:tc>
          <w:tcPr>
            <w:tcW w:w="1169" w:type="dxa"/>
          </w:tcPr>
          <w:p w:rsidR="00BF795F" w:rsidRPr="00F42031" w:rsidRDefault="00BF795F" w:rsidP="007838A9">
            <w:pPr>
              <w:pStyle w:val="Tabletext"/>
            </w:pPr>
            <w:r w:rsidRPr="00F42031">
              <w:t>$</w:t>
            </w:r>
            <w:r w:rsidR="000A536B">
              <w:rPr>
                <w:noProof/>
                <w:color w:val="000000"/>
                <w:highlight w:val="black"/>
              </w:rPr>
              <w:t>'''''''''''''''''''</w:t>
            </w:r>
            <w:r w:rsidRPr="00F42031">
              <w:t xml:space="preserve"> </w:t>
            </w:r>
          </w:p>
        </w:tc>
        <w:tc>
          <w:tcPr>
            <w:tcW w:w="3884" w:type="dxa"/>
          </w:tcPr>
          <w:p w:rsidR="00BF795F" w:rsidRPr="00F42031" w:rsidRDefault="00BF795F" w:rsidP="007838A9">
            <w:pPr>
              <w:pStyle w:val="Tabletext"/>
            </w:pPr>
            <w:r w:rsidRPr="00F42031">
              <w:t>=</w:t>
            </w:r>
            <w:r w:rsidR="000A536B">
              <w:rPr>
                <w:noProof/>
                <w:color w:val="000000"/>
                <w:highlight w:val="black"/>
              </w:rPr>
              <w:t>'''''''''''</w:t>
            </w:r>
            <w:r w:rsidRPr="00F42031">
              <w:t xml:space="preserve"> (minus average co-pay of $</w:t>
            </w:r>
            <w:r w:rsidR="000A536B">
              <w:rPr>
                <w:noProof/>
                <w:color w:val="000000"/>
                <w:highlight w:val="black"/>
              </w:rPr>
              <w:t>'''''''''''''</w:t>
            </w:r>
            <w:r w:rsidRPr="00F42031">
              <w:t>)</w:t>
            </w:r>
          </w:p>
        </w:tc>
      </w:tr>
    </w:tbl>
    <w:p w:rsidR="00BF795F" w:rsidRPr="00C052DD" w:rsidRDefault="00BF795F" w:rsidP="007838A9">
      <w:pPr>
        <w:pStyle w:val="TableFooter"/>
        <w:ind w:firstLine="720"/>
        <w:rPr>
          <w:iCs/>
        </w:rPr>
      </w:pPr>
      <w:r w:rsidRPr="00C052DD">
        <w:rPr>
          <w:iCs/>
        </w:rPr>
        <w:t>ECG = electrocardiography; RDI = relative dose intensity.</w:t>
      </w:r>
    </w:p>
    <w:p w:rsidR="00BF795F" w:rsidRPr="00C052DD" w:rsidRDefault="00BF795F" w:rsidP="007838A9">
      <w:pPr>
        <w:pStyle w:val="TableFooter"/>
        <w:ind w:firstLine="720"/>
        <w:rPr>
          <w:iCs/>
        </w:rPr>
      </w:pPr>
      <w:r w:rsidRPr="00C052DD">
        <w:rPr>
          <w:iCs/>
        </w:rPr>
        <w:t>Source: generated during the evaluation.</w:t>
      </w:r>
    </w:p>
    <w:p w:rsidR="004F7FD1" w:rsidRPr="00623B80" w:rsidRDefault="004F7FD1" w:rsidP="00623B80">
      <w:pPr>
        <w:rPr>
          <w:szCs w:val="22"/>
        </w:rPr>
      </w:pPr>
    </w:p>
    <w:p w:rsidR="00C25D9C" w:rsidRPr="00C052DD" w:rsidRDefault="005D45E4" w:rsidP="005D45E4">
      <w:pPr>
        <w:pStyle w:val="Heading2"/>
        <w:rPr>
          <w:i/>
          <w:szCs w:val="22"/>
        </w:rPr>
      </w:pPr>
      <w:bookmarkStart w:id="18" w:name="_Toc461200675"/>
      <w:r w:rsidRPr="00C052DD">
        <w:rPr>
          <w:i/>
        </w:rPr>
        <w:t>Drug cost/patient/course</w:t>
      </w:r>
      <w:r w:rsidR="00C25D9C" w:rsidRPr="00C052DD">
        <w:rPr>
          <w:i/>
        </w:rPr>
        <w:t>: $</w:t>
      </w:r>
      <w:bookmarkEnd w:id="18"/>
      <w:r w:rsidR="000A536B">
        <w:rPr>
          <w:i/>
          <w:noProof/>
          <w:color w:val="000000"/>
          <w:highlight w:val="black"/>
        </w:rPr>
        <w:t>''''''''''''''''''''</w:t>
      </w:r>
    </w:p>
    <w:p w:rsidR="00C25D9C" w:rsidRPr="00C052DD" w:rsidRDefault="00C25D9C" w:rsidP="00C25D9C">
      <w:pPr>
        <w:widowControl/>
        <w:rPr>
          <w:szCs w:val="22"/>
        </w:rPr>
      </w:pPr>
    </w:p>
    <w:p w:rsidR="004D33A6" w:rsidRPr="00C052DD" w:rsidRDefault="0017033A" w:rsidP="00F87D21">
      <w:pPr>
        <w:pStyle w:val="ListParagraph"/>
        <w:widowControl/>
        <w:numPr>
          <w:ilvl w:val="1"/>
          <w:numId w:val="1"/>
        </w:numPr>
        <w:rPr>
          <w:iCs/>
          <w:szCs w:val="22"/>
        </w:rPr>
      </w:pPr>
      <w:r w:rsidRPr="00C052DD">
        <w:rPr>
          <w:iCs/>
          <w:szCs w:val="22"/>
        </w:rPr>
        <w:t xml:space="preserve">The average cost of </w:t>
      </w:r>
      <w:proofErr w:type="spellStart"/>
      <w:r w:rsidRPr="00C052DD">
        <w:rPr>
          <w:iCs/>
          <w:szCs w:val="22"/>
        </w:rPr>
        <w:t>ceritinib</w:t>
      </w:r>
      <w:proofErr w:type="spellEnd"/>
      <w:r w:rsidRPr="00C052DD">
        <w:rPr>
          <w:iCs/>
          <w:szCs w:val="22"/>
        </w:rPr>
        <w:t xml:space="preserve"> per patient per course was calculated during the evaluation to be $</w:t>
      </w:r>
      <w:r w:rsidR="000A536B">
        <w:rPr>
          <w:iCs/>
          <w:noProof/>
          <w:color w:val="000000"/>
          <w:szCs w:val="22"/>
          <w:highlight w:val="black"/>
        </w:rPr>
        <w:t>'''''''''''''''''''''''</w:t>
      </w:r>
      <w:r w:rsidRPr="00C052DD">
        <w:rPr>
          <w:iCs/>
          <w:szCs w:val="22"/>
        </w:rPr>
        <w:t>,</w:t>
      </w:r>
      <w:r w:rsidR="00623B80">
        <w:rPr>
          <w:iCs/>
          <w:szCs w:val="22"/>
        </w:rPr>
        <w:t xml:space="preserve"> </w:t>
      </w:r>
      <w:r w:rsidRPr="00C052DD">
        <w:rPr>
          <w:iCs/>
          <w:szCs w:val="22"/>
        </w:rPr>
        <w:t>b</w:t>
      </w:r>
      <w:r w:rsidR="004D33A6" w:rsidRPr="00C052DD">
        <w:rPr>
          <w:iCs/>
          <w:szCs w:val="22"/>
        </w:rPr>
        <w:t xml:space="preserve">ased on the mean duration of therapy of </w:t>
      </w:r>
      <w:proofErr w:type="spellStart"/>
      <w:r w:rsidR="004D33A6" w:rsidRPr="00C052DD">
        <w:rPr>
          <w:iCs/>
          <w:szCs w:val="22"/>
        </w:rPr>
        <w:t>ceritinib</w:t>
      </w:r>
      <w:proofErr w:type="spellEnd"/>
      <w:r w:rsidR="004D33A6" w:rsidRPr="00C052DD">
        <w:rPr>
          <w:iCs/>
          <w:szCs w:val="22"/>
        </w:rPr>
        <w:t xml:space="preserve"> in </w:t>
      </w:r>
      <w:r w:rsidR="004D33A6" w:rsidRPr="00C052DD">
        <w:rPr>
          <w:iCs/>
          <w:szCs w:val="22"/>
        </w:rPr>
        <w:lastRenderedPageBreak/>
        <w:t>ASCEND-5 (</w:t>
      </w:r>
      <w:r w:rsidR="00B730D2">
        <w:rPr>
          <w:iCs/>
          <w:noProof/>
          <w:color w:val="000000"/>
          <w:szCs w:val="22"/>
          <w:highlight w:val="black"/>
        </w:rPr>
        <w:t>'''''''''''</w:t>
      </w:r>
      <w:r w:rsidR="004D33A6" w:rsidRPr="00C052DD">
        <w:rPr>
          <w:iCs/>
          <w:szCs w:val="22"/>
        </w:rPr>
        <w:t xml:space="preserve"> months), and the proposed price minus the average patient co</w:t>
      </w:r>
      <w:r w:rsidR="008D0546" w:rsidRPr="00C052DD">
        <w:rPr>
          <w:iCs/>
          <w:szCs w:val="22"/>
        </w:rPr>
        <w:t>-</w:t>
      </w:r>
      <w:r w:rsidR="004D33A6" w:rsidRPr="00C052DD">
        <w:rPr>
          <w:iCs/>
          <w:szCs w:val="22"/>
        </w:rPr>
        <w:t>payment ($</w:t>
      </w:r>
      <w:r w:rsidR="000A536B">
        <w:rPr>
          <w:noProof/>
          <w:color w:val="000000"/>
          <w:highlight w:val="black"/>
        </w:rPr>
        <w:t>''''''''''''''''''''''</w:t>
      </w:r>
      <w:r w:rsidR="008D0546" w:rsidRPr="00C052DD">
        <w:rPr>
          <w:iCs/>
          <w:szCs w:val="22"/>
        </w:rPr>
        <w:t xml:space="preserve">, </w:t>
      </w:r>
      <w:r w:rsidRPr="00C052DD">
        <w:rPr>
          <w:szCs w:val="22"/>
        </w:rPr>
        <w:t>d</w:t>
      </w:r>
      <w:r w:rsidR="007A3684" w:rsidRPr="00C052DD">
        <w:rPr>
          <w:szCs w:val="22"/>
        </w:rPr>
        <w:t>erived using trial based cost-minimisation proposed during evaluation</w:t>
      </w:r>
      <w:r w:rsidR="004D33A6" w:rsidRPr="00C052DD">
        <w:rPr>
          <w:iCs/>
          <w:szCs w:val="22"/>
        </w:rPr>
        <w:t>)</w:t>
      </w:r>
      <w:r w:rsidRPr="00C052DD">
        <w:rPr>
          <w:iCs/>
          <w:szCs w:val="22"/>
        </w:rPr>
        <w:t>.</w:t>
      </w:r>
    </w:p>
    <w:p w:rsidR="008D0546" w:rsidRPr="00C052DD" w:rsidRDefault="008D0546" w:rsidP="008D0546">
      <w:pPr>
        <w:widowControl/>
        <w:rPr>
          <w:iCs/>
          <w:szCs w:val="22"/>
        </w:rPr>
      </w:pPr>
    </w:p>
    <w:p w:rsidR="008D0546" w:rsidRPr="00B16CBA" w:rsidRDefault="004D33A6" w:rsidP="00F87D21">
      <w:pPr>
        <w:pStyle w:val="ListParagraph"/>
        <w:widowControl/>
        <w:numPr>
          <w:ilvl w:val="1"/>
          <w:numId w:val="1"/>
        </w:numPr>
        <w:rPr>
          <w:iCs/>
          <w:szCs w:val="22"/>
        </w:rPr>
      </w:pPr>
      <w:r w:rsidRPr="00B16CBA">
        <w:rPr>
          <w:iCs/>
          <w:szCs w:val="22"/>
        </w:rPr>
        <w:t xml:space="preserve">The average cost per patient per course cannot be estimated for the comparator as no evidence is provided for the duration of platinum-based chemotherapy followed by </w:t>
      </w:r>
      <w:proofErr w:type="spellStart"/>
      <w:r w:rsidRPr="00B16CBA">
        <w:rPr>
          <w:iCs/>
          <w:szCs w:val="22"/>
        </w:rPr>
        <w:t>pemetrexed</w:t>
      </w:r>
      <w:proofErr w:type="spellEnd"/>
      <w:r w:rsidRPr="00B16CBA">
        <w:rPr>
          <w:iCs/>
          <w:szCs w:val="22"/>
        </w:rPr>
        <w:t xml:space="preserve">. </w:t>
      </w:r>
      <w:r w:rsidR="005D45E4" w:rsidRPr="00B16CBA">
        <w:rPr>
          <w:iCs/>
          <w:szCs w:val="22"/>
        </w:rPr>
        <w:t xml:space="preserve">Based on the current price of </w:t>
      </w:r>
      <w:proofErr w:type="spellStart"/>
      <w:r w:rsidR="005D45E4" w:rsidRPr="00B16CBA">
        <w:rPr>
          <w:iCs/>
          <w:szCs w:val="22"/>
        </w:rPr>
        <w:t>pemetrexed</w:t>
      </w:r>
      <w:proofErr w:type="spellEnd"/>
      <w:r w:rsidR="005D45E4" w:rsidRPr="00B16CBA">
        <w:rPr>
          <w:iCs/>
          <w:szCs w:val="22"/>
        </w:rPr>
        <w:t xml:space="preserve"> per cycle ($</w:t>
      </w:r>
      <w:r w:rsidR="00B730D2">
        <w:rPr>
          <w:iCs/>
          <w:noProof/>
          <w:color w:val="000000"/>
          <w:szCs w:val="22"/>
          <w:highlight w:val="black"/>
        </w:rPr>
        <w:t>'''''''''''''''''''</w:t>
      </w:r>
      <w:r w:rsidR="005D45E4" w:rsidRPr="00B16CBA">
        <w:rPr>
          <w:iCs/>
          <w:szCs w:val="22"/>
        </w:rPr>
        <w:t xml:space="preserve"> for 500mg/m</w:t>
      </w:r>
      <w:r w:rsidR="005D45E4" w:rsidRPr="00B16CBA">
        <w:rPr>
          <w:iCs/>
          <w:szCs w:val="22"/>
          <w:vertAlign w:val="superscript"/>
        </w:rPr>
        <w:t>2</w:t>
      </w:r>
      <w:r w:rsidR="005D45E4" w:rsidRPr="00B16CBA">
        <w:rPr>
          <w:iCs/>
          <w:szCs w:val="22"/>
        </w:rPr>
        <w:t xml:space="preserve"> for a patient with a </w:t>
      </w:r>
      <w:r w:rsidR="00721E3A" w:rsidRPr="00B16CBA">
        <w:rPr>
          <w:iCs/>
          <w:szCs w:val="22"/>
        </w:rPr>
        <w:t xml:space="preserve">body surface area </w:t>
      </w:r>
      <w:r w:rsidR="005D45E4" w:rsidRPr="00B16CBA">
        <w:rPr>
          <w:iCs/>
          <w:szCs w:val="22"/>
        </w:rPr>
        <w:t>of 1.79m</w:t>
      </w:r>
      <w:r w:rsidR="005D45E4" w:rsidRPr="00B16CBA">
        <w:rPr>
          <w:iCs/>
          <w:szCs w:val="22"/>
          <w:vertAlign w:val="superscript"/>
        </w:rPr>
        <w:t>2</w:t>
      </w:r>
      <w:r w:rsidR="005D45E4" w:rsidRPr="00B16CBA">
        <w:rPr>
          <w:iCs/>
          <w:szCs w:val="22"/>
        </w:rPr>
        <w:t>, minus the average patient co</w:t>
      </w:r>
      <w:r w:rsidR="008D0546" w:rsidRPr="00B16CBA">
        <w:rPr>
          <w:iCs/>
          <w:szCs w:val="22"/>
        </w:rPr>
        <w:t>-</w:t>
      </w:r>
      <w:r w:rsidR="005D45E4" w:rsidRPr="00B16CBA">
        <w:rPr>
          <w:iCs/>
          <w:szCs w:val="22"/>
        </w:rPr>
        <w:t>payment</w:t>
      </w:r>
      <w:r w:rsidR="008D0546" w:rsidRPr="00B16CBA">
        <w:rPr>
          <w:iCs/>
          <w:szCs w:val="22"/>
        </w:rPr>
        <w:t xml:space="preserve">, </w:t>
      </w:r>
      <w:r w:rsidR="00F54F13" w:rsidRPr="00B16CBA">
        <w:rPr>
          <w:iCs/>
          <w:szCs w:val="22"/>
        </w:rPr>
        <w:t xml:space="preserve">and dispensed </w:t>
      </w:r>
      <w:r w:rsidR="008D0546" w:rsidRPr="00B16CBA">
        <w:rPr>
          <w:iCs/>
          <w:szCs w:val="22"/>
        </w:rPr>
        <w:t>in the public setting</w:t>
      </w:r>
      <w:r w:rsidR="005D45E4" w:rsidRPr="00B16CBA">
        <w:rPr>
          <w:iCs/>
          <w:szCs w:val="22"/>
        </w:rPr>
        <w:t>), given for the average duration as observed in ASCEND-5 (</w:t>
      </w:r>
      <w:r w:rsidR="000A536B">
        <w:rPr>
          <w:iCs/>
          <w:noProof/>
          <w:color w:val="000000"/>
          <w:szCs w:val="22"/>
          <w:highlight w:val="black"/>
        </w:rPr>
        <w:t>'''''''''''</w:t>
      </w:r>
      <w:r w:rsidR="005D45E4" w:rsidRPr="00B16CBA">
        <w:rPr>
          <w:iCs/>
          <w:szCs w:val="22"/>
        </w:rPr>
        <w:t xml:space="preserve"> months or </w:t>
      </w:r>
      <w:r w:rsidR="000A536B">
        <w:rPr>
          <w:iCs/>
          <w:noProof/>
          <w:color w:val="000000"/>
          <w:szCs w:val="22"/>
          <w:highlight w:val="black"/>
        </w:rPr>
        <w:t>'''''''''''</w:t>
      </w:r>
      <w:r w:rsidR="005D45E4" w:rsidRPr="00B16CBA">
        <w:rPr>
          <w:iCs/>
          <w:szCs w:val="22"/>
        </w:rPr>
        <w:t xml:space="preserve"> cycles), the average drug cost per patient for </w:t>
      </w:r>
      <w:proofErr w:type="spellStart"/>
      <w:r w:rsidR="005D45E4" w:rsidRPr="00B16CBA">
        <w:rPr>
          <w:iCs/>
          <w:szCs w:val="22"/>
        </w:rPr>
        <w:t>pemetrexed</w:t>
      </w:r>
      <w:proofErr w:type="spellEnd"/>
      <w:r w:rsidR="005D45E4" w:rsidRPr="00B16CBA">
        <w:rPr>
          <w:iCs/>
          <w:szCs w:val="22"/>
        </w:rPr>
        <w:t xml:space="preserve"> monotherapy is $</w:t>
      </w:r>
      <w:r w:rsidR="000A536B">
        <w:rPr>
          <w:iCs/>
          <w:noProof/>
          <w:color w:val="000000"/>
          <w:szCs w:val="22"/>
          <w:highlight w:val="black"/>
        </w:rPr>
        <w:t>'''''''''''''''''''''''</w:t>
      </w:r>
      <w:r w:rsidR="005D45E4" w:rsidRPr="00B16CBA">
        <w:rPr>
          <w:iCs/>
          <w:szCs w:val="22"/>
        </w:rPr>
        <w:t xml:space="preserve">. </w:t>
      </w:r>
      <w:r w:rsidR="008D0546" w:rsidRPr="00B16CBA">
        <w:rPr>
          <w:iCs/>
          <w:szCs w:val="22"/>
        </w:rPr>
        <w:t xml:space="preserve">The submission assumed that, on average, patients will take </w:t>
      </w:r>
      <w:r w:rsidR="00A05571">
        <w:rPr>
          <w:iCs/>
          <w:noProof/>
          <w:color w:val="000000"/>
          <w:szCs w:val="22"/>
          <w:highlight w:val="black"/>
        </w:rPr>
        <w:t>''''''</w:t>
      </w:r>
      <w:r w:rsidR="008D0546" w:rsidRPr="00B16CBA">
        <w:rPr>
          <w:iCs/>
          <w:szCs w:val="22"/>
        </w:rPr>
        <w:t>% of the recommended dose (500</w:t>
      </w:r>
      <w:r w:rsidR="00623B80" w:rsidRPr="00B16CBA">
        <w:rPr>
          <w:iCs/>
          <w:szCs w:val="22"/>
        </w:rPr>
        <w:t> </w:t>
      </w:r>
      <w:r w:rsidR="008D0546" w:rsidRPr="00B16CBA">
        <w:rPr>
          <w:iCs/>
          <w:szCs w:val="22"/>
        </w:rPr>
        <w:t>mg/m</w:t>
      </w:r>
      <w:r w:rsidR="008D0546" w:rsidRPr="00B16CBA">
        <w:rPr>
          <w:iCs/>
          <w:szCs w:val="22"/>
          <w:vertAlign w:val="superscript"/>
        </w:rPr>
        <w:t>2</w:t>
      </w:r>
      <w:r w:rsidR="008D0546" w:rsidRPr="00B16CBA">
        <w:rPr>
          <w:iCs/>
          <w:szCs w:val="22"/>
        </w:rPr>
        <w:t>), and therefore the average cost per month will reduce to $</w:t>
      </w:r>
      <w:r w:rsidR="000A536B">
        <w:rPr>
          <w:iCs/>
          <w:noProof/>
          <w:color w:val="000000"/>
          <w:szCs w:val="22"/>
          <w:highlight w:val="black"/>
        </w:rPr>
        <w:t>'''''''''''''''''''''''</w:t>
      </w:r>
      <w:r w:rsidR="008D0546" w:rsidRPr="00B16CBA">
        <w:rPr>
          <w:iCs/>
          <w:szCs w:val="22"/>
        </w:rPr>
        <w:t>, and per course to $</w:t>
      </w:r>
      <w:r w:rsidR="000A536B">
        <w:rPr>
          <w:iCs/>
          <w:noProof/>
          <w:color w:val="000000"/>
          <w:szCs w:val="22"/>
          <w:highlight w:val="black"/>
        </w:rPr>
        <w:t>''''''''''''''''''''''''''</w:t>
      </w:r>
      <w:r w:rsidR="008D0546" w:rsidRPr="00B16CBA">
        <w:rPr>
          <w:iCs/>
          <w:szCs w:val="22"/>
        </w:rPr>
        <w:t>.</w:t>
      </w:r>
    </w:p>
    <w:p w:rsidR="006675DC" w:rsidRPr="00B16CBA" w:rsidRDefault="006675DC" w:rsidP="006675DC">
      <w:pPr>
        <w:widowControl/>
        <w:rPr>
          <w:iCs/>
          <w:szCs w:val="22"/>
        </w:rPr>
      </w:pPr>
    </w:p>
    <w:p w:rsidR="008D0546" w:rsidRPr="00C052DD" w:rsidRDefault="006675DC" w:rsidP="00F87D21">
      <w:pPr>
        <w:pStyle w:val="ListParagraph"/>
        <w:widowControl/>
        <w:numPr>
          <w:ilvl w:val="1"/>
          <w:numId w:val="1"/>
        </w:numPr>
        <w:rPr>
          <w:iCs/>
          <w:szCs w:val="22"/>
        </w:rPr>
      </w:pPr>
      <w:r w:rsidRPr="00B16CBA">
        <w:rPr>
          <w:iCs/>
          <w:szCs w:val="22"/>
        </w:rPr>
        <w:t>The</w:t>
      </w:r>
      <w:r w:rsidR="00224029" w:rsidRPr="00B16CBA">
        <w:rPr>
          <w:iCs/>
          <w:szCs w:val="22"/>
        </w:rPr>
        <w:t xml:space="preserve"> evaluation noted that the</w:t>
      </w:r>
      <w:r w:rsidRPr="00B16CBA">
        <w:rPr>
          <w:iCs/>
          <w:szCs w:val="22"/>
        </w:rPr>
        <w:t>se calculations do not incorporate the costs of infusions, premedications, professional attendances</w:t>
      </w:r>
      <w:r w:rsidRPr="00C052DD">
        <w:rPr>
          <w:iCs/>
          <w:szCs w:val="22"/>
        </w:rPr>
        <w:t xml:space="preserve"> and treatments for adverse events. </w:t>
      </w:r>
      <w:r w:rsidR="00224029" w:rsidRPr="00C052DD">
        <w:rPr>
          <w:iCs/>
          <w:szCs w:val="22"/>
        </w:rPr>
        <w:t>However, t</w:t>
      </w:r>
      <w:r w:rsidRPr="00C052DD">
        <w:rPr>
          <w:iCs/>
          <w:szCs w:val="22"/>
        </w:rPr>
        <w:t xml:space="preserve">hese costs are minor compared to the costs of </w:t>
      </w:r>
      <w:proofErr w:type="spellStart"/>
      <w:r w:rsidRPr="00C052DD">
        <w:rPr>
          <w:iCs/>
          <w:szCs w:val="22"/>
        </w:rPr>
        <w:t>ceritinib</w:t>
      </w:r>
      <w:proofErr w:type="spellEnd"/>
      <w:r w:rsidRPr="00C052DD">
        <w:rPr>
          <w:iCs/>
          <w:szCs w:val="22"/>
        </w:rPr>
        <w:t xml:space="preserve"> and </w:t>
      </w:r>
      <w:proofErr w:type="spellStart"/>
      <w:r w:rsidRPr="00C052DD">
        <w:rPr>
          <w:iCs/>
          <w:szCs w:val="22"/>
        </w:rPr>
        <w:t>pemetrexed</w:t>
      </w:r>
      <w:proofErr w:type="spellEnd"/>
      <w:r w:rsidRPr="00C052DD">
        <w:rPr>
          <w:iCs/>
          <w:szCs w:val="22"/>
        </w:rPr>
        <w:t>.</w:t>
      </w:r>
    </w:p>
    <w:p w:rsidR="007A3684" w:rsidRPr="00C052DD" w:rsidRDefault="007A3684" w:rsidP="007A3684">
      <w:pPr>
        <w:widowControl/>
        <w:rPr>
          <w:iCs/>
          <w:szCs w:val="22"/>
        </w:rPr>
      </w:pPr>
    </w:p>
    <w:p w:rsidR="00B60939" w:rsidRPr="00C052DD" w:rsidRDefault="00B60939" w:rsidP="002C2775">
      <w:pPr>
        <w:pStyle w:val="Heading2"/>
        <w:rPr>
          <w:i/>
        </w:rPr>
      </w:pPr>
      <w:bookmarkStart w:id="19" w:name="_Toc461200676"/>
      <w:r w:rsidRPr="00C052DD">
        <w:rPr>
          <w:i/>
        </w:rPr>
        <w:t>Estimated PBS usage &amp; financial implications</w:t>
      </w:r>
      <w:bookmarkEnd w:id="19"/>
    </w:p>
    <w:p w:rsidR="00B60939" w:rsidRPr="00623B80" w:rsidRDefault="00B60939" w:rsidP="00B60939">
      <w:pPr>
        <w:ind w:left="720" w:hanging="720"/>
        <w:rPr>
          <w:szCs w:val="22"/>
        </w:rPr>
      </w:pPr>
    </w:p>
    <w:p w:rsidR="00A13BB9" w:rsidRPr="00C052DD" w:rsidRDefault="00F54F13" w:rsidP="00F87D21">
      <w:pPr>
        <w:pStyle w:val="ListParagraph"/>
        <w:widowControl/>
        <w:numPr>
          <w:ilvl w:val="1"/>
          <w:numId w:val="1"/>
        </w:numPr>
        <w:rPr>
          <w:szCs w:val="22"/>
        </w:rPr>
      </w:pPr>
      <w:r w:rsidRPr="00C052DD">
        <w:t xml:space="preserve">This submission </w:t>
      </w:r>
      <w:r w:rsidR="00A97B1B" w:rsidRPr="00C052DD">
        <w:t>was not</w:t>
      </w:r>
      <w:r w:rsidR="00C25D9C" w:rsidRPr="00C052DD">
        <w:t xml:space="preserve"> considered by DUSC</w:t>
      </w:r>
      <w:r w:rsidRPr="00C052DD">
        <w:t xml:space="preserve">. The submission </w:t>
      </w:r>
      <w:r w:rsidR="0020614C" w:rsidRPr="00C052DD">
        <w:t>took</w:t>
      </w:r>
      <w:r w:rsidRPr="00C052DD">
        <w:t xml:space="preserve"> an epidemiological approach to estimate the number of patients with </w:t>
      </w:r>
      <w:r w:rsidRPr="002571E8">
        <w:rPr>
          <w:i/>
        </w:rPr>
        <w:t>ALK</w:t>
      </w:r>
      <w:r w:rsidR="002571E8">
        <w:t>-</w:t>
      </w:r>
      <w:r w:rsidRPr="00C052DD">
        <w:t xml:space="preserve">positive, locally advanced or metastatic NSCLC. </w:t>
      </w:r>
      <w:r w:rsidR="00A13BB9" w:rsidRPr="00C052DD">
        <w:t xml:space="preserve">The submission derived the number of patients who would receive </w:t>
      </w:r>
      <w:proofErr w:type="spellStart"/>
      <w:r w:rsidR="00A13BB9" w:rsidRPr="00C052DD">
        <w:t>ceritinib</w:t>
      </w:r>
      <w:proofErr w:type="spellEnd"/>
      <w:r w:rsidR="00A13BB9" w:rsidRPr="00C052DD">
        <w:t xml:space="preserve"> using the following methodology:</w:t>
      </w:r>
    </w:p>
    <w:p w:rsidR="00A13BB9" w:rsidRPr="00C052DD" w:rsidRDefault="00F54F13" w:rsidP="00F87D21">
      <w:pPr>
        <w:pStyle w:val="ListParagraph"/>
        <w:widowControl/>
        <w:numPr>
          <w:ilvl w:val="0"/>
          <w:numId w:val="5"/>
        </w:numPr>
        <w:rPr>
          <w:szCs w:val="22"/>
        </w:rPr>
      </w:pPr>
      <w:r w:rsidRPr="00C052DD">
        <w:rPr>
          <w:iCs/>
        </w:rPr>
        <w:t>the estimated Australian population</w:t>
      </w:r>
      <w:r w:rsidR="00DC1AD3">
        <w:rPr>
          <w:iCs/>
        </w:rPr>
        <w:t>;</w:t>
      </w:r>
    </w:p>
    <w:p w:rsidR="00A13BB9" w:rsidRPr="00C052DD" w:rsidRDefault="00F54F13" w:rsidP="00F87D21">
      <w:pPr>
        <w:pStyle w:val="ListParagraph"/>
        <w:widowControl/>
        <w:numPr>
          <w:ilvl w:val="0"/>
          <w:numId w:val="5"/>
        </w:numPr>
        <w:rPr>
          <w:szCs w:val="22"/>
        </w:rPr>
      </w:pPr>
      <w:proofErr w:type="gramStart"/>
      <w:r w:rsidRPr="00C052DD">
        <w:rPr>
          <w:iCs/>
        </w:rPr>
        <w:t>incidence</w:t>
      </w:r>
      <w:proofErr w:type="gramEnd"/>
      <w:r w:rsidRPr="00C052DD">
        <w:rPr>
          <w:iCs/>
        </w:rPr>
        <w:t xml:space="preserve"> of </w:t>
      </w:r>
      <w:r w:rsidR="00EC3706">
        <w:rPr>
          <w:iCs/>
        </w:rPr>
        <w:t xml:space="preserve">patients with </w:t>
      </w:r>
      <w:r w:rsidRPr="00C052DD">
        <w:rPr>
          <w:iCs/>
        </w:rPr>
        <w:t>non-squamous NSCLC (0.0241%)</w:t>
      </w:r>
      <w:r w:rsidR="00DC1AD3">
        <w:rPr>
          <w:iCs/>
        </w:rPr>
        <w:t>;</w:t>
      </w:r>
    </w:p>
    <w:p w:rsidR="00A13BB9" w:rsidRPr="00C052DD" w:rsidRDefault="00F54F13" w:rsidP="00F87D21">
      <w:pPr>
        <w:pStyle w:val="ListParagraph"/>
        <w:widowControl/>
        <w:numPr>
          <w:ilvl w:val="0"/>
          <w:numId w:val="5"/>
        </w:numPr>
        <w:rPr>
          <w:szCs w:val="22"/>
        </w:rPr>
      </w:pPr>
      <w:proofErr w:type="gramStart"/>
      <w:r w:rsidRPr="00C052DD">
        <w:rPr>
          <w:iCs/>
        </w:rPr>
        <w:t>proportion</w:t>
      </w:r>
      <w:proofErr w:type="gramEnd"/>
      <w:r w:rsidRPr="00C052DD">
        <w:rPr>
          <w:iCs/>
        </w:rPr>
        <w:t xml:space="preserve"> of </w:t>
      </w:r>
      <w:r w:rsidR="00EC3706">
        <w:rPr>
          <w:iCs/>
        </w:rPr>
        <w:t xml:space="preserve">patients with </w:t>
      </w:r>
      <w:r w:rsidRPr="00C052DD">
        <w:rPr>
          <w:iCs/>
        </w:rPr>
        <w:t xml:space="preserve">non-squamous NSCLC </w:t>
      </w:r>
      <w:r w:rsidR="00EC3706">
        <w:rPr>
          <w:iCs/>
        </w:rPr>
        <w:t>who</w:t>
      </w:r>
      <w:r w:rsidRPr="00C052DD">
        <w:rPr>
          <w:iCs/>
        </w:rPr>
        <w:t xml:space="preserve"> are </w:t>
      </w:r>
      <w:r w:rsidRPr="002571E8">
        <w:rPr>
          <w:i/>
          <w:iCs/>
        </w:rPr>
        <w:t>ALK</w:t>
      </w:r>
      <w:r w:rsidRPr="00C052DD">
        <w:rPr>
          <w:iCs/>
        </w:rPr>
        <w:t xml:space="preserve"> positive (4.5%)</w:t>
      </w:r>
      <w:r w:rsidR="00DC1AD3">
        <w:rPr>
          <w:iCs/>
        </w:rPr>
        <w:t>;</w:t>
      </w:r>
    </w:p>
    <w:p w:rsidR="00A13BB9" w:rsidRPr="00C052DD" w:rsidRDefault="00F54F13" w:rsidP="00F87D21">
      <w:pPr>
        <w:pStyle w:val="ListParagraph"/>
        <w:widowControl/>
        <w:numPr>
          <w:ilvl w:val="0"/>
          <w:numId w:val="5"/>
        </w:numPr>
        <w:rPr>
          <w:szCs w:val="22"/>
        </w:rPr>
      </w:pPr>
      <w:proofErr w:type="gramStart"/>
      <w:r w:rsidRPr="00C052DD">
        <w:rPr>
          <w:iCs/>
        </w:rPr>
        <w:t>proportion</w:t>
      </w:r>
      <w:proofErr w:type="gramEnd"/>
      <w:r w:rsidRPr="00C052DD">
        <w:rPr>
          <w:iCs/>
        </w:rPr>
        <w:t xml:space="preserve"> of </w:t>
      </w:r>
      <w:r w:rsidR="00EC3706">
        <w:rPr>
          <w:iCs/>
        </w:rPr>
        <w:t xml:space="preserve">these </w:t>
      </w:r>
      <w:r w:rsidRPr="00C052DD">
        <w:rPr>
          <w:iCs/>
        </w:rPr>
        <w:t>patients who are diagnosed with advanced or metastatic disease (80%)</w:t>
      </w:r>
      <w:r w:rsidR="00DC1AD3">
        <w:rPr>
          <w:iCs/>
        </w:rPr>
        <w:t>;</w:t>
      </w:r>
    </w:p>
    <w:p w:rsidR="00A13BB9" w:rsidRPr="00C052DD" w:rsidRDefault="00F54F13" w:rsidP="00F87D21">
      <w:pPr>
        <w:pStyle w:val="ListParagraph"/>
        <w:widowControl/>
        <w:numPr>
          <w:ilvl w:val="0"/>
          <w:numId w:val="5"/>
        </w:numPr>
        <w:rPr>
          <w:szCs w:val="22"/>
        </w:rPr>
      </w:pPr>
      <w:proofErr w:type="gramStart"/>
      <w:r w:rsidRPr="00C052DD">
        <w:rPr>
          <w:iCs/>
        </w:rPr>
        <w:t>proportion</w:t>
      </w:r>
      <w:proofErr w:type="gramEnd"/>
      <w:r w:rsidRPr="00C052DD">
        <w:rPr>
          <w:iCs/>
        </w:rPr>
        <w:t xml:space="preserve"> of </w:t>
      </w:r>
      <w:r w:rsidR="00EC3706">
        <w:rPr>
          <w:iCs/>
        </w:rPr>
        <w:t xml:space="preserve">these </w:t>
      </w:r>
      <w:r w:rsidRPr="00C052DD">
        <w:rPr>
          <w:iCs/>
        </w:rPr>
        <w:t xml:space="preserve">eligible patients who would receive </w:t>
      </w:r>
      <w:proofErr w:type="spellStart"/>
      <w:r w:rsidRPr="00C052DD">
        <w:rPr>
          <w:iCs/>
        </w:rPr>
        <w:t>crizotinib</w:t>
      </w:r>
      <w:proofErr w:type="spellEnd"/>
      <w:r w:rsidRPr="00C052DD">
        <w:rPr>
          <w:iCs/>
        </w:rPr>
        <w:t xml:space="preserve"> (90%)</w:t>
      </w:r>
      <w:r w:rsidR="00DC1AD3">
        <w:rPr>
          <w:iCs/>
        </w:rPr>
        <w:t>;</w:t>
      </w:r>
    </w:p>
    <w:p w:rsidR="00A13BB9" w:rsidRPr="00EC3706" w:rsidRDefault="00F54F13" w:rsidP="00F87D21">
      <w:pPr>
        <w:pStyle w:val="ListParagraph"/>
        <w:widowControl/>
        <w:numPr>
          <w:ilvl w:val="0"/>
          <w:numId w:val="5"/>
        </w:numPr>
        <w:rPr>
          <w:szCs w:val="22"/>
        </w:rPr>
      </w:pPr>
      <w:proofErr w:type="gramStart"/>
      <w:r w:rsidRPr="00C052DD">
        <w:rPr>
          <w:iCs/>
        </w:rPr>
        <w:t>proportion</w:t>
      </w:r>
      <w:proofErr w:type="gramEnd"/>
      <w:r w:rsidRPr="00C052DD">
        <w:rPr>
          <w:iCs/>
        </w:rPr>
        <w:t xml:space="preserve"> </w:t>
      </w:r>
      <w:r w:rsidR="00EC3706">
        <w:rPr>
          <w:iCs/>
        </w:rPr>
        <w:t xml:space="preserve">of patients </w:t>
      </w:r>
      <w:r w:rsidRPr="00C052DD">
        <w:rPr>
          <w:iCs/>
        </w:rPr>
        <w:t xml:space="preserve">who would receive subsequent therapy following </w:t>
      </w:r>
      <w:proofErr w:type="spellStart"/>
      <w:r w:rsidRPr="00C052DD">
        <w:rPr>
          <w:iCs/>
        </w:rPr>
        <w:t>crizotinib</w:t>
      </w:r>
      <w:proofErr w:type="spellEnd"/>
      <w:r w:rsidRPr="00C052DD">
        <w:rPr>
          <w:iCs/>
        </w:rPr>
        <w:t xml:space="preserve"> (90%)</w:t>
      </w:r>
      <w:r w:rsidR="00A13BB9" w:rsidRPr="00C052DD">
        <w:rPr>
          <w:iCs/>
        </w:rPr>
        <w:t>.</w:t>
      </w:r>
    </w:p>
    <w:p w:rsidR="00EC3706" w:rsidRPr="00EC3706" w:rsidRDefault="00EC3706" w:rsidP="00EC3706">
      <w:pPr>
        <w:widowControl/>
        <w:rPr>
          <w:szCs w:val="22"/>
        </w:rPr>
      </w:pPr>
    </w:p>
    <w:p w:rsidR="00C25D9C" w:rsidRPr="00C052DD" w:rsidRDefault="00A13BB9" w:rsidP="00F87D21">
      <w:pPr>
        <w:pStyle w:val="ListParagraph"/>
        <w:widowControl/>
        <w:numPr>
          <w:ilvl w:val="1"/>
          <w:numId w:val="1"/>
        </w:numPr>
      </w:pPr>
      <w:r w:rsidRPr="00C052DD">
        <w:t xml:space="preserve">Using this method, </w:t>
      </w:r>
      <w:r w:rsidR="00F54F13" w:rsidRPr="00C052DD">
        <w:t xml:space="preserve">the submission estimated that </w:t>
      </w:r>
      <w:r w:rsidR="006B2B81">
        <w:t xml:space="preserve">less than </w:t>
      </w:r>
      <w:proofErr w:type="gramStart"/>
      <w:r w:rsidR="006B2B81">
        <w:t xml:space="preserve">10,000 </w:t>
      </w:r>
      <w:r w:rsidR="00F54F13" w:rsidRPr="00C052DD">
        <w:t xml:space="preserve"> patients</w:t>
      </w:r>
      <w:proofErr w:type="gramEnd"/>
      <w:r w:rsidR="00F54F13" w:rsidRPr="00C052DD">
        <w:t xml:space="preserve"> would receive </w:t>
      </w:r>
      <w:proofErr w:type="spellStart"/>
      <w:r w:rsidR="00F54F13" w:rsidRPr="00C052DD">
        <w:t>ceritinib</w:t>
      </w:r>
      <w:proofErr w:type="spellEnd"/>
      <w:r w:rsidR="00F54F13" w:rsidRPr="00C052DD">
        <w:t xml:space="preserve"> in Year </w:t>
      </w:r>
      <w:r w:rsidR="006B2B81">
        <w:t>5</w:t>
      </w:r>
      <w:r w:rsidR="003A67D6">
        <w:t>,</w:t>
      </w:r>
      <w:r w:rsidR="006B2B81">
        <w:t xml:space="preserve"> with a net cost to the PBS of less than $10 million at Year 5</w:t>
      </w:r>
      <w:r w:rsidR="00F54F13" w:rsidRPr="00C052DD">
        <w:t>.</w:t>
      </w:r>
    </w:p>
    <w:p w:rsidR="00A0068D" w:rsidRPr="00EC3706" w:rsidRDefault="00A0068D" w:rsidP="00A0068D">
      <w:pPr>
        <w:widowControl/>
        <w:rPr>
          <w:szCs w:val="22"/>
        </w:rPr>
      </w:pPr>
    </w:p>
    <w:p w:rsidR="006B2B81" w:rsidRDefault="006B2B81">
      <w:pPr>
        <w:widowControl/>
        <w:jc w:val="left"/>
        <w:rPr>
          <w:rFonts w:ascii="Arial Narrow" w:hAnsi="Arial Narrow"/>
          <w:b/>
          <w:sz w:val="20"/>
        </w:rPr>
      </w:pPr>
      <w:r>
        <w:br w:type="page"/>
      </w:r>
    </w:p>
    <w:p w:rsidR="00C25D9C" w:rsidRPr="00C052DD" w:rsidRDefault="00721E3A" w:rsidP="00721E3A">
      <w:pPr>
        <w:pStyle w:val="TableHeader"/>
        <w:ind w:left="720"/>
      </w:pPr>
      <w:r w:rsidRPr="00C052DD">
        <w:lastRenderedPageBreak/>
        <w:t xml:space="preserve">Table </w:t>
      </w:r>
      <w:r w:rsidR="00BF795F" w:rsidRPr="00C052DD">
        <w:t>8</w:t>
      </w:r>
      <w:r w:rsidRPr="00C052DD">
        <w:tab/>
      </w:r>
      <w:r w:rsidR="00C25D9C" w:rsidRPr="00C052DD">
        <w:t>Estimated use and financial implications</w:t>
      </w:r>
    </w:p>
    <w:tbl>
      <w:tblPr>
        <w:tblW w:w="4625"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80"/>
        <w:gridCol w:w="1141"/>
        <w:gridCol w:w="1141"/>
        <w:gridCol w:w="1284"/>
        <w:gridCol w:w="1284"/>
        <w:gridCol w:w="1272"/>
      </w:tblGrid>
      <w:tr w:rsidR="00C25D9C" w:rsidRPr="00C052DD" w:rsidTr="00804125">
        <w:trPr>
          <w:tblHeader/>
        </w:trPr>
        <w:tc>
          <w:tcPr>
            <w:tcW w:w="1357" w:type="pct"/>
            <w:shd w:val="clear" w:color="auto" w:fill="auto"/>
            <w:vAlign w:val="center"/>
          </w:tcPr>
          <w:p w:rsidR="00C25D9C" w:rsidRPr="00C052DD" w:rsidRDefault="00C25D9C" w:rsidP="00B8649C">
            <w:pPr>
              <w:tabs>
                <w:tab w:val="left" w:pos="142"/>
              </w:tabs>
              <w:jc w:val="left"/>
              <w:rPr>
                <w:rFonts w:ascii="Arial Narrow" w:hAnsi="Arial Narrow"/>
                <w:b/>
                <w:sz w:val="20"/>
              </w:rPr>
            </w:pPr>
          </w:p>
        </w:tc>
        <w:tc>
          <w:tcPr>
            <w:tcW w:w="679" w:type="pct"/>
            <w:shd w:val="clear" w:color="auto" w:fill="auto"/>
            <w:vAlign w:val="center"/>
          </w:tcPr>
          <w:p w:rsidR="00C25D9C" w:rsidRPr="00C052DD" w:rsidRDefault="00C25D9C" w:rsidP="00B8649C">
            <w:pPr>
              <w:jc w:val="center"/>
              <w:rPr>
                <w:rFonts w:ascii="Arial Narrow" w:hAnsi="Arial Narrow"/>
                <w:b/>
                <w:sz w:val="20"/>
              </w:rPr>
            </w:pPr>
            <w:r w:rsidRPr="00C052DD">
              <w:rPr>
                <w:rFonts w:ascii="Arial Narrow" w:hAnsi="Arial Narrow"/>
                <w:b/>
                <w:sz w:val="20"/>
              </w:rPr>
              <w:t>Year 1</w:t>
            </w:r>
          </w:p>
        </w:tc>
        <w:tc>
          <w:tcPr>
            <w:tcW w:w="679" w:type="pct"/>
            <w:shd w:val="clear" w:color="auto" w:fill="auto"/>
            <w:vAlign w:val="center"/>
          </w:tcPr>
          <w:p w:rsidR="00C25D9C" w:rsidRPr="00C052DD" w:rsidRDefault="00C25D9C" w:rsidP="00B8649C">
            <w:pPr>
              <w:jc w:val="center"/>
              <w:rPr>
                <w:rFonts w:ascii="Arial Narrow" w:hAnsi="Arial Narrow"/>
                <w:b/>
                <w:sz w:val="20"/>
              </w:rPr>
            </w:pPr>
            <w:r w:rsidRPr="00C052DD">
              <w:rPr>
                <w:rFonts w:ascii="Arial Narrow" w:hAnsi="Arial Narrow"/>
                <w:b/>
                <w:sz w:val="20"/>
              </w:rPr>
              <w:t>Year 2</w:t>
            </w:r>
          </w:p>
        </w:tc>
        <w:tc>
          <w:tcPr>
            <w:tcW w:w="764" w:type="pct"/>
            <w:shd w:val="clear" w:color="auto" w:fill="auto"/>
            <w:vAlign w:val="center"/>
          </w:tcPr>
          <w:p w:rsidR="00C25D9C" w:rsidRPr="00C052DD" w:rsidRDefault="00C25D9C" w:rsidP="00B8649C">
            <w:pPr>
              <w:jc w:val="center"/>
              <w:rPr>
                <w:rFonts w:ascii="Arial Narrow" w:hAnsi="Arial Narrow"/>
                <w:b/>
                <w:sz w:val="20"/>
              </w:rPr>
            </w:pPr>
            <w:r w:rsidRPr="00C052DD">
              <w:rPr>
                <w:rFonts w:ascii="Arial Narrow" w:hAnsi="Arial Narrow"/>
                <w:b/>
                <w:sz w:val="20"/>
              </w:rPr>
              <w:t>Year 3</w:t>
            </w:r>
          </w:p>
        </w:tc>
        <w:tc>
          <w:tcPr>
            <w:tcW w:w="764" w:type="pct"/>
            <w:shd w:val="clear" w:color="auto" w:fill="auto"/>
            <w:vAlign w:val="center"/>
          </w:tcPr>
          <w:p w:rsidR="00C25D9C" w:rsidRPr="00C052DD" w:rsidRDefault="00C25D9C" w:rsidP="00B8649C">
            <w:pPr>
              <w:jc w:val="center"/>
              <w:rPr>
                <w:rFonts w:ascii="Arial Narrow" w:hAnsi="Arial Narrow"/>
                <w:b/>
                <w:sz w:val="20"/>
              </w:rPr>
            </w:pPr>
            <w:r w:rsidRPr="00C052DD">
              <w:rPr>
                <w:rFonts w:ascii="Arial Narrow" w:hAnsi="Arial Narrow"/>
                <w:b/>
                <w:sz w:val="20"/>
              </w:rPr>
              <w:t>Year 4</w:t>
            </w:r>
          </w:p>
        </w:tc>
        <w:tc>
          <w:tcPr>
            <w:tcW w:w="757" w:type="pct"/>
            <w:shd w:val="clear" w:color="auto" w:fill="auto"/>
            <w:vAlign w:val="center"/>
          </w:tcPr>
          <w:p w:rsidR="00C25D9C" w:rsidRPr="00C052DD" w:rsidRDefault="00C25D9C" w:rsidP="00B8649C">
            <w:pPr>
              <w:jc w:val="center"/>
              <w:rPr>
                <w:rFonts w:ascii="Arial Narrow" w:hAnsi="Arial Narrow"/>
                <w:b/>
                <w:sz w:val="20"/>
              </w:rPr>
            </w:pPr>
            <w:r w:rsidRPr="00C052DD">
              <w:rPr>
                <w:rFonts w:ascii="Arial Narrow" w:hAnsi="Arial Narrow"/>
                <w:b/>
                <w:sz w:val="20"/>
              </w:rPr>
              <w:t>Year 5</w:t>
            </w:r>
          </w:p>
        </w:tc>
      </w:tr>
      <w:tr w:rsidR="00C25D9C" w:rsidRPr="00C052DD" w:rsidTr="00804125">
        <w:tc>
          <w:tcPr>
            <w:tcW w:w="5000" w:type="pct"/>
            <w:gridSpan w:val="6"/>
            <w:shd w:val="clear" w:color="auto" w:fill="auto"/>
            <w:vAlign w:val="center"/>
          </w:tcPr>
          <w:p w:rsidR="00C25D9C" w:rsidRPr="00C052DD" w:rsidRDefault="00C25D9C" w:rsidP="00B8649C">
            <w:pPr>
              <w:jc w:val="left"/>
              <w:rPr>
                <w:rFonts w:ascii="Arial Narrow" w:hAnsi="Arial Narrow"/>
                <w:b/>
                <w:bCs/>
                <w:color w:val="000000"/>
                <w:sz w:val="20"/>
              </w:rPr>
            </w:pPr>
            <w:r w:rsidRPr="00C052DD">
              <w:rPr>
                <w:rFonts w:ascii="Arial Narrow" w:hAnsi="Arial Narrow"/>
                <w:b/>
                <w:bCs/>
                <w:color w:val="000000"/>
                <w:sz w:val="20"/>
              </w:rPr>
              <w:t>Estimated extent of use</w:t>
            </w:r>
          </w:p>
        </w:tc>
      </w:tr>
      <w:tr w:rsidR="00F54F13" w:rsidRPr="00C052DD" w:rsidTr="00804125">
        <w:tc>
          <w:tcPr>
            <w:tcW w:w="1357" w:type="pct"/>
            <w:shd w:val="clear" w:color="auto" w:fill="auto"/>
            <w:vAlign w:val="center"/>
          </w:tcPr>
          <w:p w:rsidR="00F54F13" w:rsidRPr="00C052DD" w:rsidRDefault="00F54F13" w:rsidP="00F54F13">
            <w:pPr>
              <w:tabs>
                <w:tab w:val="left" w:pos="142"/>
              </w:tabs>
              <w:jc w:val="left"/>
              <w:rPr>
                <w:rFonts w:ascii="Arial Narrow" w:hAnsi="Arial Narrow"/>
                <w:sz w:val="20"/>
              </w:rPr>
            </w:pPr>
            <w:r w:rsidRPr="00C052DD">
              <w:rPr>
                <w:rFonts w:ascii="Arial Narrow" w:hAnsi="Arial Narrow"/>
                <w:sz w:val="20"/>
              </w:rPr>
              <w:t>Number treated</w:t>
            </w:r>
          </w:p>
        </w:tc>
        <w:tc>
          <w:tcPr>
            <w:tcW w:w="679" w:type="pct"/>
            <w:shd w:val="clear" w:color="auto" w:fill="auto"/>
            <w:vAlign w:val="center"/>
          </w:tcPr>
          <w:p w:rsidR="00F54F13"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F54F13"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F54F13"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F54F13"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7" w:type="pct"/>
            <w:shd w:val="clear" w:color="auto" w:fill="auto"/>
            <w:vAlign w:val="center"/>
          </w:tcPr>
          <w:p w:rsidR="00F54F13"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5D7034" w:rsidRPr="00C052DD" w:rsidTr="00804125">
        <w:tc>
          <w:tcPr>
            <w:tcW w:w="1357" w:type="pct"/>
            <w:vMerge w:val="restart"/>
            <w:shd w:val="clear" w:color="auto" w:fill="auto"/>
            <w:vAlign w:val="center"/>
          </w:tcPr>
          <w:p w:rsidR="005D7034" w:rsidRPr="00C052DD" w:rsidRDefault="005D7034" w:rsidP="00A0068D">
            <w:pPr>
              <w:tabs>
                <w:tab w:val="left" w:pos="142"/>
              </w:tabs>
              <w:jc w:val="left"/>
              <w:rPr>
                <w:rFonts w:ascii="Arial Narrow" w:hAnsi="Arial Narrow"/>
                <w:sz w:val="20"/>
              </w:rPr>
            </w:pPr>
            <w:proofErr w:type="spellStart"/>
            <w:r w:rsidRPr="00C052DD">
              <w:rPr>
                <w:rFonts w:ascii="Arial Narrow" w:hAnsi="Arial Narrow"/>
                <w:sz w:val="20"/>
              </w:rPr>
              <w:t>Scripts</w:t>
            </w:r>
            <w:r w:rsidRPr="00C052DD">
              <w:rPr>
                <w:rFonts w:ascii="Arial Narrow" w:hAnsi="Arial Narrow"/>
                <w:sz w:val="20"/>
                <w:vertAlign w:val="superscript"/>
              </w:rPr>
              <w:t>a</w:t>
            </w:r>
            <w:proofErr w:type="spellEnd"/>
          </w:p>
        </w:tc>
        <w:tc>
          <w:tcPr>
            <w:tcW w:w="679" w:type="pct"/>
            <w:shd w:val="clear" w:color="auto" w:fill="auto"/>
            <w:vAlign w:val="center"/>
          </w:tcPr>
          <w:p w:rsidR="005D7034"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5D7034"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D7034"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5D7034"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c>
          <w:tcPr>
            <w:tcW w:w="757" w:type="pct"/>
            <w:shd w:val="clear" w:color="auto" w:fill="auto"/>
            <w:vAlign w:val="center"/>
          </w:tcPr>
          <w:p w:rsidR="005D7034" w:rsidRPr="000A536B" w:rsidRDefault="000A536B" w:rsidP="00A0068D">
            <w:pPr>
              <w:tabs>
                <w:tab w:val="left" w:pos="142"/>
              </w:tabs>
              <w:jc w:val="center"/>
              <w:rPr>
                <w:rFonts w:ascii="Arial Narrow" w:hAnsi="Arial Narrow"/>
                <w:sz w:val="20"/>
                <w:highlight w:val="black"/>
              </w:rPr>
            </w:pPr>
            <w:r>
              <w:rPr>
                <w:rFonts w:ascii="Arial Narrow" w:hAnsi="Arial Narrow"/>
                <w:noProof/>
                <w:color w:val="000000"/>
                <w:sz w:val="20"/>
                <w:highlight w:val="black"/>
              </w:rPr>
              <w:t>'''''''''</w:t>
            </w:r>
          </w:p>
        </w:tc>
      </w:tr>
      <w:tr w:rsidR="005D7034" w:rsidRPr="00C052DD" w:rsidTr="00804125">
        <w:tc>
          <w:tcPr>
            <w:tcW w:w="1357" w:type="pct"/>
            <w:vMerge/>
            <w:shd w:val="clear" w:color="auto" w:fill="auto"/>
            <w:vAlign w:val="center"/>
          </w:tcPr>
          <w:p w:rsidR="005D7034" w:rsidRPr="00C052DD" w:rsidRDefault="005D7034" w:rsidP="005D7034">
            <w:pPr>
              <w:tabs>
                <w:tab w:val="left" w:pos="142"/>
              </w:tabs>
              <w:jc w:val="left"/>
              <w:rPr>
                <w:rFonts w:ascii="Arial Narrow" w:hAnsi="Arial Narrow"/>
                <w:i/>
                <w:iCs/>
                <w:sz w:val="20"/>
              </w:rPr>
            </w:pPr>
          </w:p>
        </w:tc>
        <w:tc>
          <w:tcPr>
            <w:tcW w:w="679" w:type="pct"/>
            <w:shd w:val="clear" w:color="auto" w:fill="auto"/>
            <w:vAlign w:val="center"/>
          </w:tcPr>
          <w:p w:rsidR="005D7034" w:rsidRPr="000A536B" w:rsidRDefault="000A536B" w:rsidP="00A0068D">
            <w:pPr>
              <w:tabs>
                <w:tab w:val="left" w:pos="142"/>
              </w:tabs>
              <w:jc w:val="center"/>
              <w:rPr>
                <w:rFonts w:ascii="Arial Narrow" w:hAnsi="Arial Narrow"/>
                <w:i/>
                <w:iCs/>
                <w:sz w:val="20"/>
                <w:highlight w:val="black"/>
              </w:rPr>
            </w:pPr>
            <w:r>
              <w:rPr>
                <w:rFonts w:ascii="Arial Narrow" w:hAnsi="Arial Narrow"/>
                <w:i/>
                <w:iCs/>
                <w:noProof/>
                <w:color w:val="000000"/>
                <w:sz w:val="20"/>
                <w:highlight w:val="black"/>
              </w:rPr>
              <w:t>'''''''''''</w:t>
            </w:r>
          </w:p>
        </w:tc>
        <w:tc>
          <w:tcPr>
            <w:tcW w:w="679" w:type="pct"/>
            <w:shd w:val="clear" w:color="auto" w:fill="auto"/>
            <w:vAlign w:val="center"/>
          </w:tcPr>
          <w:p w:rsidR="005D7034" w:rsidRPr="000A536B" w:rsidRDefault="000A536B" w:rsidP="00A0068D">
            <w:pPr>
              <w:tabs>
                <w:tab w:val="left" w:pos="142"/>
              </w:tabs>
              <w:jc w:val="center"/>
              <w:rPr>
                <w:rFonts w:ascii="Arial Narrow" w:hAnsi="Arial Narrow"/>
                <w:i/>
                <w:iCs/>
                <w:sz w:val="20"/>
                <w:highlight w:val="black"/>
              </w:rPr>
            </w:pPr>
            <w:r>
              <w:rPr>
                <w:rFonts w:ascii="Arial Narrow" w:hAnsi="Arial Narrow"/>
                <w:i/>
                <w:iCs/>
                <w:noProof/>
                <w:color w:val="000000"/>
                <w:sz w:val="20"/>
                <w:highlight w:val="black"/>
              </w:rPr>
              <w:t>'''''''''''''</w:t>
            </w:r>
          </w:p>
        </w:tc>
        <w:tc>
          <w:tcPr>
            <w:tcW w:w="764" w:type="pct"/>
            <w:shd w:val="clear" w:color="auto" w:fill="auto"/>
            <w:vAlign w:val="center"/>
          </w:tcPr>
          <w:p w:rsidR="005D7034" w:rsidRPr="000A536B" w:rsidRDefault="000A536B" w:rsidP="00A0068D">
            <w:pPr>
              <w:tabs>
                <w:tab w:val="left" w:pos="142"/>
              </w:tabs>
              <w:jc w:val="center"/>
              <w:rPr>
                <w:rFonts w:ascii="Arial Narrow" w:hAnsi="Arial Narrow"/>
                <w:i/>
                <w:iCs/>
                <w:sz w:val="20"/>
                <w:highlight w:val="black"/>
              </w:rPr>
            </w:pPr>
            <w:r>
              <w:rPr>
                <w:rFonts w:ascii="Arial Narrow" w:hAnsi="Arial Narrow"/>
                <w:i/>
                <w:iCs/>
                <w:noProof/>
                <w:color w:val="000000"/>
                <w:sz w:val="20"/>
                <w:highlight w:val="black"/>
              </w:rPr>
              <w:t>'''''''''''''</w:t>
            </w:r>
          </w:p>
        </w:tc>
        <w:tc>
          <w:tcPr>
            <w:tcW w:w="764" w:type="pct"/>
            <w:shd w:val="clear" w:color="auto" w:fill="auto"/>
            <w:vAlign w:val="center"/>
          </w:tcPr>
          <w:p w:rsidR="005D7034" w:rsidRPr="000A536B" w:rsidRDefault="000A536B" w:rsidP="00A0068D">
            <w:pPr>
              <w:tabs>
                <w:tab w:val="left" w:pos="142"/>
              </w:tabs>
              <w:jc w:val="center"/>
              <w:rPr>
                <w:rFonts w:ascii="Arial Narrow" w:hAnsi="Arial Narrow"/>
                <w:i/>
                <w:iCs/>
                <w:sz w:val="20"/>
                <w:highlight w:val="black"/>
              </w:rPr>
            </w:pPr>
            <w:r>
              <w:rPr>
                <w:rFonts w:ascii="Arial Narrow" w:hAnsi="Arial Narrow"/>
                <w:i/>
                <w:iCs/>
                <w:noProof/>
                <w:color w:val="000000"/>
                <w:sz w:val="20"/>
                <w:highlight w:val="black"/>
              </w:rPr>
              <w:t>''''''''''''</w:t>
            </w:r>
          </w:p>
        </w:tc>
        <w:tc>
          <w:tcPr>
            <w:tcW w:w="757" w:type="pct"/>
            <w:shd w:val="clear" w:color="auto" w:fill="auto"/>
            <w:vAlign w:val="center"/>
          </w:tcPr>
          <w:p w:rsidR="005D7034" w:rsidRPr="000A536B" w:rsidRDefault="000A536B" w:rsidP="00A0068D">
            <w:pPr>
              <w:tabs>
                <w:tab w:val="left" w:pos="142"/>
              </w:tabs>
              <w:jc w:val="center"/>
              <w:rPr>
                <w:rFonts w:ascii="Arial Narrow" w:hAnsi="Arial Narrow"/>
                <w:i/>
                <w:iCs/>
                <w:sz w:val="20"/>
                <w:highlight w:val="black"/>
              </w:rPr>
            </w:pPr>
            <w:r>
              <w:rPr>
                <w:rFonts w:ascii="Arial Narrow" w:hAnsi="Arial Narrow"/>
                <w:i/>
                <w:iCs/>
                <w:noProof/>
                <w:color w:val="000000"/>
                <w:sz w:val="20"/>
                <w:highlight w:val="black"/>
              </w:rPr>
              <w:t>'''''''''''</w:t>
            </w:r>
          </w:p>
        </w:tc>
      </w:tr>
      <w:tr w:rsidR="00C25D9C" w:rsidRPr="00C052DD" w:rsidTr="00804125">
        <w:tc>
          <w:tcPr>
            <w:tcW w:w="5000" w:type="pct"/>
            <w:gridSpan w:val="6"/>
            <w:shd w:val="clear" w:color="auto" w:fill="auto"/>
            <w:vAlign w:val="center"/>
          </w:tcPr>
          <w:p w:rsidR="00C25D9C" w:rsidRPr="00C052DD" w:rsidRDefault="00C25D9C" w:rsidP="00B8649C">
            <w:pPr>
              <w:jc w:val="left"/>
              <w:rPr>
                <w:rFonts w:ascii="Arial Narrow" w:hAnsi="Arial Narrow"/>
                <w:b/>
                <w:bCs/>
                <w:color w:val="000000"/>
                <w:sz w:val="20"/>
              </w:rPr>
            </w:pPr>
            <w:r w:rsidRPr="00C052DD">
              <w:rPr>
                <w:rFonts w:ascii="Arial Narrow" w:hAnsi="Arial Narrow"/>
                <w:b/>
                <w:bCs/>
                <w:color w:val="000000"/>
                <w:sz w:val="20"/>
              </w:rPr>
              <w:t>Estimated net cost to PBS/RPBS/MBS</w:t>
            </w:r>
          </w:p>
        </w:tc>
      </w:tr>
      <w:tr w:rsidR="005D7034" w:rsidRPr="00C052DD" w:rsidTr="00804125">
        <w:tc>
          <w:tcPr>
            <w:tcW w:w="1357" w:type="pct"/>
            <w:vMerge w:val="restart"/>
            <w:shd w:val="clear" w:color="auto" w:fill="auto"/>
            <w:vAlign w:val="center"/>
          </w:tcPr>
          <w:p w:rsidR="005D7034" w:rsidRPr="00C052DD" w:rsidRDefault="005D7034" w:rsidP="00A0068D">
            <w:pPr>
              <w:tabs>
                <w:tab w:val="left" w:pos="142"/>
              </w:tabs>
              <w:jc w:val="left"/>
              <w:rPr>
                <w:rFonts w:ascii="Arial Narrow" w:hAnsi="Arial Narrow"/>
                <w:sz w:val="20"/>
              </w:rPr>
            </w:pPr>
            <w:r w:rsidRPr="00C052DD">
              <w:rPr>
                <w:rFonts w:ascii="Arial Narrow" w:hAnsi="Arial Narrow"/>
                <w:sz w:val="19"/>
                <w:szCs w:val="19"/>
              </w:rPr>
              <w:t>Net cost to PBS/RPBS</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57"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r>
      <w:tr w:rsidR="005D7034" w:rsidRPr="00C052DD" w:rsidTr="00804125">
        <w:tc>
          <w:tcPr>
            <w:tcW w:w="1357" w:type="pct"/>
            <w:vMerge/>
            <w:shd w:val="clear" w:color="auto" w:fill="auto"/>
            <w:vAlign w:val="center"/>
          </w:tcPr>
          <w:p w:rsidR="005D7034" w:rsidRPr="00C052DD" w:rsidRDefault="005D7034" w:rsidP="005D7034">
            <w:pPr>
              <w:tabs>
                <w:tab w:val="left" w:pos="142"/>
              </w:tabs>
              <w:jc w:val="left"/>
              <w:rPr>
                <w:rFonts w:ascii="Arial Narrow" w:hAnsi="Arial Narrow"/>
                <w:i/>
                <w:iCs/>
                <w:sz w:val="19"/>
                <w:szCs w:val="19"/>
              </w:rPr>
            </w:pP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57"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r>
      <w:tr w:rsidR="005D7034" w:rsidRPr="00C052DD" w:rsidTr="00804125">
        <w:tc>
          <w:tcPr>
            <w:tcW w:w="1357" w:type="pct"/>
            <w:vMerge w:val="restart"/>
            <w:shd w:val="clear" w:color="auto" w:fill="auto"/>
            <w:vAlign w:val="center"/>
          </w:tcPr>
          <w:p w:rsidR="005D7034" w:rsidRPr="00C052DD" w:rsidRDefault="005D7034" w:rsidP="00A0068D">
            <w:pPr>
              <w:tabs>
                <w:tab w:val="left" w:pos="142"/>
              </w:tabs>
              <w:jc w:val="left"/>
              <w:rPr>
                <w:rFonts w:ascii="Arial Narrow" w:hAnsi="Arial Narrow"/>
                <w:sz w:val="20"/>
              </w:rPr>
            </w:pPr>
            <w:r w:rsidRPr="00C052DD">
              <w:rPr>
                <w:rFonts w:ascii="Arial Narrow" w:hAnsi="Arial Narrow"/>
                <w:sz w:val="19"/>
                <w:szCs w:val="19"/>
              </w:rPr>
              <w:t>Net cost to MBS</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57"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r>
      <w:tr w:rsidR="005D7034" w:rsidRPr="00C052DD" w:rsidTr="00804125">
        <w:tc>
          <w:tcPr>
            <w:tcW w:w="1357" w:type="pct"/>
            <w:vMerge/>
            <w:shd w:val="clear" w:color="auto" w:fill="auto"/>
            <w:vAlign w:val="center"/>
          </w:tcPr>
          <w:p w:rsidR="005D7034" w:rsidRPr="00C052DD" w:rsidRDefault="005D7034" w:rsidP="005D7034">
            <w:pPr>
              <w:tabs>
                <w:tab w:val="left" w:pos="142"/>
              </w:tabs>
              <w:jc w:val="left"/>
              <w:rPr>
                <w:rFonts w:ascii="Arial Narrow" w:hAnsi="Arial Narrow"/>
                <w:i/>
                <w:iCs/>
                <w:sz w:val="19"/>
                <w:szCs w:val="19"/>
              </w:rPr>
            </w:pP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57"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r>
      <w:tr w:rsidR="005D7034" w:rsidRPr="00C052DD" w:rsidTr="00804125">
        <w:tc>
          <w:tcPr>
            <w:tcW w:w="1357" w:type="pct"/>
            <w:vMerge w:val="restart"/>
            <w:shd w:val="clear" w:color="auto" w:fill="auto"/>
            <w:vAlign w:val="center"/>
          </w:tcPr>
          <w:p w:rsidR="005D7034" w:rsidRPr="00C052DD" w:rsidRDefault="005D7034" w:rsidP="00A0068D">
            <w:pPr>
              <w:tabs>
                <w:tab w:val="left" w:pos="142"/>
              </w:tabs>
              <w:jc w:val="left"/>
              <w:rPr>
                <w:rFonts w:ascii="Arial Narrow" w:hAnsi="Arial Narrow"/>
                <w:sz w:val="19"/>
                <w:szCs w:val="19"/>
              </w:rPr>
            </w:pPr>
            <w:r w:rsidRPr="00C052DD">
              <w:rPr>
                <w:rFonts w:ascii="Arial Narrow" w:hAnsi="Arial Narrow"/>
                <w:sz w:val="19"/>
                <w:szCs w:val="19"/>
              </w:rPr>
              <w:t>Net cost to State and Territory governments</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c>
          <w:tcPr>
            <w:tcW w:w="757" w:type="pct"/>
            <w:shd w:val="clear" w:color="auto" w:fill="auto"/>
            <w:vAlign w:val="center"/>
          </w:tcPr>
          <w:p w:rsidR="005D7034" w:rsidRPr="00C052DD" w:rsidRDefault="005D7034" w:rsidP="00A0068D">
            <w:pPr>
              <w:tabs>
                <w:tab w:val="left" w:pos="142"/>
              </w:tabs>
              <w:jc w:val="center"/>
              <w:rPr>
                <w:rFonts w:ascii="Arial Narrow" w:hAnsi="Arial Narrow"/>
                <w:sz w:val="20"/>
              </w:rPr>
            </w:pPr>
            <w:r w:rsidRPr="00C052DD">
              <w:rPr>
                <w:rFonts w:ascii="Arial Narrow" w:hAnsi="Arial Narrow"/>
                <w:sz w:val="20"/>
              </w:rPr>
              <w:t>-$</w:t>
            </w:r>
            <w:r w:rsidR="000A536B">
              <w:rPr>
                <w:rFonts w:ascii="Arial Narrow" w:hAnsi="Arial Narrow"/>
                <w:noProof/>
                <w:color w:val="000000"/>
                <w:sz w:val="20"/>
                <w:highlight w:val="black"/>
              </w:rPr>
              <w:t>'''''''''''''''''''</w:t>
            </w:r>
          </w:p>
        </w:tc>
      </w:tr>
      <w:tr w:rsidR="005D7034" w:rsidRPr="00C052DD" w:rsidTr="00804125">
        <w:tc>
          <w:tcPr>
            <w:tcW w:w="1357" w:type="pct"/>
            <w:vMerge/>
            <w:shd w:val="clear" w:color="auto" w:fill="auto"/>
            <w:vAlign w:val="center"/>
          </w:tcPr>
          <w:p w:rsidR="005D7034" w:rsidRPr="00C052DD" w:rsidRDefault="005D7034" w:rsidP="005D7034">
            <w:pPr>
              <w:tabs>
                <w:tab w:val="left" w:pos="142"/>
              </w:tabs>
              <w:jc w:val="left"/>
              <w:rPr>
                <w:rFonts w:ascii="Arial Narrow" w:hAnsi="Arial Narrow"/>
                <w:sz w:val="19"/>
                <w:szCs w:val="19"/>
              </w:rPr>
            </w:pP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679"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c>
          <w:tcPr>
            <w:tcW w:w="757" w:type="pct"/>
            <w:shd w:val="clear" w:color="auto" w:fill="auto"/>
            <w:vAlign w:val="bottom"/>
          </w:tcPr>
          <w:p w:rsidR="005D7034" w:rsidRPr="00C052DD" w:rsidRDefault="005D7034" w:rsidP="005D7034">
            <w:pPr>
              <w:tabs>
                <w:tab w:val="left" w:pos="142"/>
              </w:tabs>
              <w:jc w:val="center"/>
              <w:rPr>
                <w:rFonts w:ascii="Arial Narrow" w:hAnsi="Arial Narrow"/>
                <w:i/>
                <w:iCs/>
                <w:sz w:val="20"/>
              </w:rPr>
            </w:pPr>
            <w:r w:rsidRPr="00C052DD">
              <w:rPr>
                <w:rFonts w:ascii="Arial Narrow" w:hAnsi="Arial Narrow"/>
                <w:i/>
                <w:iCs/>
                <w:sz w:val="20"/>
              </w:rPr>
              <w:t>-$</w:t>
            </w:r>
            <w:r w:rsidR="000A536B">
              <w:rPr>
                <w:rFonts w:ascii="Arial Narrow" w:hAnsi="Arial Narrow"/>
                <w:i/>
                <w:iCs/>
                <w:noProof/>
                <w:color w:val="000000"/>
                <w:sz w:val="20"/>
                <w:highlight w:val="black"/>
              </w:rPr>
              <w:t>'''''''''''''''</w:t>
            </w:r>
          </w:p>
        </w:tc>
      </w:tr>
      <w:tr w:rsidR="00C25D9C" w:rsidRPr="00C052DD" w:rsidTr="00804125">
        <w:tc>
          <w:tcPr>
            <w:tcW w:w="5000" w:type="pct"/>
            <w:gridSpan w:val="6"/>
            <w:shd w:val="clear" w:color="auto" w:fill="auto"/>
            <w:vAlign w:val="center"/>
          </w:tcPr>
          <w:p w:rsidR="00C25D9C" w:rsidRPr="00C052DD" w:rsidRDefault="00C25D9C" w:rsidP="00B8649C">
            <w:pPr>
              <w:jc w:val="left"/>
              <w:rPr>
                <w:rFonts w:ascii="Arial Narrow" w:hAnsi="Arial Narrow"/>
                <w:b/>
                <w:color w:val="000000"/>
                <w:sz w:val="20"/>
              </w:rPr>
            </w:pPr>
            <w:r w:rsidRPr="00C052DD">
              <w:rPr>
                <w:rFonts w:ascii="Arial Narrow" w:hAnsi="Arial Narrow"/>
                <w:b/>
                <w:color w:val="000000"/>
                <w:sz w:val="20"/>
              </w:rPr>
              <w:t>Estimated total net cost</w:t>
            </w:r>
          </w:p>
        </w:tc>
      </w:tr>
      <w:tr w:rsidR="005D7034" w:rsidRPr="00C052DD" w:rsidTr="00804125">
        <w:tc>
          <w:tcPr>
            <w:tcW w:w="1357" w:type="pct"/>
            <w:vMerge w:val="restart"/>
            <w:shd w:val="clear" w:color="auto" w:fill="auto"/>
            <w:vAlign w:val="center"/>
          </w:tcPr>
          <w:p w:rsidR="005D7034" w:rsidRPr="00C052DD" w:rsidRDefault="004F0C49" w:rsidP="004F0C49">
            <w:pPr>
              <w:tabs>
                <w:tab w:val="left" w:pos="142"/>
              </w:tabs>
              <w:jc w:val="left"/>
              <w:rPr>
                <w:rFonts w:ascii="Arial Narrow" w:hAnsi="Arial Narrow"/>
                <w:b/>
                <w:sz w:val="20"/>
              </w:rPr>
            </w:pPr>
            <w:r w:rsidRPr="00C052DD">
              <w:rPr>
                <w:rFonts w:ascii="Arial Narrow" w:hAnsi="Arial Narrow"/>
                <w:b/>
                <w:bCs/>
                <w:color w:val="000000"/>
                <w:sz w:val="20"/>
              </w:rPr>
              <w:t>Overall n</w:t>
            </w:r>
            <w:r w:rsidR="005D7034" w:rsidRPr="00C052DD">
              <w:rPr>
                <w:rFonts w:ascii="Arial Narrow" w:hAnsi="Arial Narrow"/>
                <w:b/>
                <w:bCs/>
                <w:color w:val="000000"/>
                <w:sz w:val="20"/>
              </w:rPr>
              <w:t xml:space="preserve">et cost to </w:t>
            </w:r>
            <w:r w:rsidRPr="00C052DD">
              <w:rPr>
                <w:rFonts w:ascii="Arial Narrow" w:hAnsi="Arial Narrow"/>
                <w:b/>
                <w:bCs/>
                <w:color w:val="000000"/>
                <w:sz w:val="20"/>
              </w:rPr>
              <w:t>Australian governments</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b/>
                <w:bCs/>
                <w:color w:val="000000"/>
                <w:sz w:val="20"/>
              </w:rPr>
            </w:pPr>
            <w:r w:rsidRPr="00C052DD">
              <w:rPr>
                <w:rFonts w:ascii="Arial Narrow" w:hAnsi="Arial Narrow"/>
                <w:b/>
                <w:bCs/>
                <w:color w:val="000000"/>
                <w:sz w:val="20"/>
              </w:rPr>
              <w:t>-$</w:t>
            </w:r>
            <w:r w:rsidR="000A536B">
              <w:rPr>
                <w:rFonts w:ascii="Arial Narrow" w:hAnsi="Arial Narrow"/>
                <w:b/>
                <w:bCs/>
                <w:noProof/>
                <w:color w:val="000000"/>
                <w:sz w:val="20"/>
                <w:highlight w:val="black"/>
              </w:rPr>
              <w:t>'''''''''''''</w:t>
            </w:r>
          </w:p>
        </w:tc>
        <w:tc>
          <w:tcPr>
            <w:tcW w:w="679" w:type="pct"/>
            <w:shd w:val="clear" w:color="auto" w:fill="auto"/>
            <w:vAlign w:val="center"/>
          </w:tcPr>
          <w:p w:rsidR="005D7034" w:rsidRPr="00C052DD" w:rsidRDefault="005D7034" w:rsidP="00A0068D">
            <w:pPr>
              <w:tabs>
                <w:tab w:val="left" w:pos="142"/>
              </w:tabs>
              <w:jc w:val="center"/>
              <w:rPr>
                <w:rFonts w:ascii="Arial Narrow" w:hAnsi="Arial Narrow"/>
                <w:b/>
                <w:bCs/>
                <w:color w:val="000000"/>
                <w:sz w:val="20"/>
              </w:rPr>
            </w:pPr>
            <w:r w:rsidRPr="00C052DD">
              <w:rPr>
                <w:rFonts w:ascii="Arial Narrow" w:hAnsi="Arial Narrow"/>
                <w:b/>
                <w:bCs/>
                <w:color w:val="000000"/>
                <w:sz w:val="20"/>
              </w:rPr>
              <w:t>-$</w:t>
            </w:r>
            <w:r w:rsidR="000A536B">
              <w:rPr>
                <w:rFonts w:ascii="Arial Narrow" w:hAnsi="Arial Narrow"/>
                <w:b/>
                <w:bCs/>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b/>
                <w:bCs/>
                <w:color w:val="000000"/>
                <w:sz w:val="20"/>
              </w:rPr>
            </w:pPr>
            <w:r w:rsidRPr="00C052DD">
              <w:rPr>
                <w:rFonts w:ascii="Arial Narrow" w:hAnsi="Arial Narrow"/>
                <w:b/>
                <w:bCs/>
                <w:color w:val="000000"/>
                <w:sz w:val="20"/>
              </w:rPr>
              <w:t>-$</w:t>
            </w:r>
            <w:r w:rsidR="000A536B">
              <w:rPr>
                <w:rFonts w:ascii="Arial Narrow" w:hAnsi="Arial Narrow"/>
                <w:b/>
                <w:bCs/>
                <w:noProof/>
                <w:color w:val="000000"/>
                <w:sz w:val="20"/>
                <w:highlight w:val="black"/>
              </w:rPr>
              <w:t>''''''''''''</w:t>
            </w:r>
          </w:p>
        </w:tc>
        <w:tc>
          <w:tcPr>
            <w:tcW w:w="764" w:type="pct"/>
            <w:shd w:val="clear" w:color="auto" w:fill="auto"/>
            <w:vAlign w:val="center"/>
          </w:tcPr>
          <w:p w:rsidR="005D7034" w:rsidRPr="00C052DD" w:rsidRDefault="005D7034" w:rsidP="00A0068D">
            <w:pPr>
              <w:tabs>
                <w:tab w:val="left" w:pos="142"/>
              </w:tabs>
              <w:jc w:val="center"/>
              <w:rPr>
                <w:rFonts w:ascii="Arial Narrow" w:hAnsi="Arial Narrow"/>
                <w:b/>
                <w:bCs/>
                <w:color w:val="000000"/>
                <w:sz w:val="20"/>
              </w:rPr>
            </w:pPr>
            <w:r w:rsidRPr="00C052DD">
              <w:rPr>
                <w:rFonts w:ascii="Arial Narrow" w:hAnsi="Arial Narrow"/>
                <w:b/>
                <w:bCs/>
                <w:color w:val="000000"/>
                <w:sz w:val="20"/>
              </w:rPr>
              <w:t>-$</w:t>
            </w:r>
            <w:r w:rsidR="000A536B">
              <w:rPr>
                <w:rFonts w:ascii="Arial Narrow" w:hAnsi="Arial Narrow"/>
                <w:b/>
                <w:bCs/>
                <w:noProof/>
                <w:color w:val="000000"/>
                <w:sz w:val="20"/>
                <w:highlight w:val="black"/>
              </w:rPr>
              <w:t>'''''''''''''</w:t>
            </w:r>
          </w:p>
        </w:tc>
        <w:tc>
          <w:tcPr>
            <w:tcW w:w="757" w:type="pct"/>
            <w:shd w:val="clear" w:color="auto" w:fill="auto"/>
            <w:vAlign w:val="center"/>
          </w:tcPr>
          <w:p w:rsidR="005D7034" w:rsidRPr="00C052DD" w:rsidRDefault="005D7034" w:rsidP="00A0068D">
            <w:pPr>
              <w:tabs>
                <w:tab w:val="left" w:pos="142"/>
              </w:tabs>
              <w:jc w:val="center"/>
              <w:rPr>
                <w:rFonts w:ascii="Arial Narrow" w:hAnsi="Arial Narrow"/>
                <w:b/>
                <w:bCs/>
                <w:color w:val="000000"/>
                <w:sz w:val="20"/>
              </w:rPr>
            </w:pPr>
            <w:r w:rsidRPr="00C052DD">
              <w:rPr>
                <w:rFonts w:ascii="Arial Narrow" w:hAnsi="Arial Narrow"/>
                <w:b/>
                <w:bCs/>
                <w:color w:val="000000"/>
                <w:sz w:val="20"/>
              </w:rPr>
              <w:t>-$</w:t>
            </w:r>
            <w:r w:rsidR="000A536B">
              <w:rPr>
                <w:rFonts w:ascii="Arial Narrow" w:hAnsi="Arial Narrow"/>
                <w:b/>
                <w:bCs/>
                <w:noProof/>
                <w:color w:val="000000"/>
                <w:sz w:val="20"/>
                <w:highlight w:val="black"/>
              </w:rPr>
              <w:t>'''''''''''''</w:t>
            </w:r>
          </w:p>
        </w:tc>
      </w:tr>
      <w:tr w:rsidR="005D7034" w:rsidRPr="00C052DD" w:rsidTr="00804125">
        <w:tc>
          <w:tcPr>
            <w:tcW w:w="1357" w:type="pct"/>
            <w:vMerge/>
            <w:shd w:val="clear" w:color="auto" w:fill="auto"/>
            <w:vAlign w:val="center"/>
          </w:tcPr>
          <w:p w:rsidR="005D7034" w:rsidRPr="00C052DD" w:rsidRDefault="005D7034" w:rsidP="005D7034">
            <w:pPr>
              <w:tabs>
                <w:tab w:val="left" w:pos="142"/>
              </w:tabs>
              <w:jc w:val="left"/>
              <w:rPr>
                <w:rFonts w:ascii="Arial Narrow" w:hAnsi="Arial Narrow"/>
                <w:b/>
                <w:bCs/>
                <w:color w:val="000000"/>
                <w:sz w:val="20"/>
              </w:rPr>
            </w:pPr>
          </w:p>
        </w:tc>
        <w:tc>
          <w:tcPr>
            <w:tcW w:w="679" w:type="pct"/>
            <w:shd w:val="clear" w:color="auto" w:fill="auto"/>
            <w:vAlign w:val="bottom"/>
          </w:tcPr>
          <w:p w:rsidR="005D7034" w:rsidRPr="00C052DD" w:rsidRDefault="005D7034" w:rsidP="005D7034">
            <w:pPr>
              <w:tabs>
                <w:tab w:val="left" w:pos="142"/>
              </w:tabs>
              <w:jc w:val="center"/>
              <w:rPr>
                <w:rFonts w:ascii="Arial Narrow" w:hAnsi="Arial Narrow"/>
                <w:b/>
                <w:bCs/>
                <w:i/>
                <w:iCs/>
                <w:color w:val="000000"/>
                <w:sz w:val="20"/>
              </w:rPr>
            </w:pPr>
            <w:r w:rsidRPr="00C052DD">
              <w:rPr>
                <w:rFonts w:ascii="Arial Narrow" w:hAnsi="Arial Narrow"/>
                <w:b/>
                <w:bCs/>
                <w:i/>
                <w:iCs/>
                <w:color w:val="000000"/>
                <w:sz w:val="20"/>
              </w:rPr>
              <w:t>$</w:t>
            </w:r>
            <w:r w:rsidR="000A536B">
              <w:rPr>
                <w:rFonts w:ascii="Arial Narrow" w:hAnsi="Arial Narrow"/>
                <w:b/>
                <w:bCs/>
                <w:i/>
                <w:iCs/>
                <w:noProof/>
                <w:color w:val="000000"/>
                <w:sz w:val="20"/>
                <w:highlight w:val="black"/>
              </w:rPr>
              <w:t>''''''''''''''''</w:t>
            </w:r>
          </w:p>
        </w:tc>
        <w:tc>
          <w:tcPr>
            <w:tcW w:w="679" w:type="pct"/>
            <w:shd w:val="clear" w:color="auto" w:fill="auto"/>
            <w:vAlign w:val="bottom"/>
          </w:tcPr>
          <w:p w:rsidR="005D7034" w:rsidRPr="00C052DD" w:rsidRDefault="005D7034" w:rsidP="005D7034">
            <w:pPr>
              <w:tabs>
                <w:tab w:val="left" w:pos="142"/>
              </w:tabs>
              <w:jc w:val="center"/>
              <w:rPr>
                <w:rFonts w:ascii="Arial Narrow" w:hAnsi="Arial Narrow"/>
                <w:b/>
                <w:bCs/>
                <w:i/>
                <w:iCs/>
                <w:color w:val="000000"/>
                <w:sz w:val="20"/>
              </w:rPr>
            </w:pPr>
            <w:r w:rsidRPr="00C052DD">
              <w:rPr>
                <w:rFonts w:ascii="Arial Narrow" w:hAnsi="Arial Narrow"/>
                <w:b/>
                <w:bCs/>
                <w:i/>
                <w:iCs/>
                <w:color w:val="000000"/>
                <w:sz w:val="20"/>
              </w:rPr>
              <w:t>$</w:t>
            </w:r>
            <w:r w:rsidR="000A536B">
              <w:rPr>
                <w:rFonts w:ascii="Arial Narrow" w:hAnsi="Arial Narrow"/>
                <w:b/>
                <w:bCs/>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b/>
                <w:bCs/>
                <w:i/>
                <w:iCs/>
                <w:color w:val="000000"/>
                <w:sz w:val="20"/>
              </w:rPr>
            </w:pPr>
            <w:r w:rsidRPr="00C052DD">
              <w:rPr>
                <w:rFonts w:ascii="Arial Narrow" w:hAnsi="Arial Narrow"/>
                <w:b/>
                <w:bCs/>
                <w:i/>
                <w:iCs/>
                <w:color w:val="000000"/>
                <w:sz w:val="20"/>
              </w:rPr>
              <w:t>$</w:t>
            </w:r>
            <w:r w:rsidR="000A536B">
              <w:rPr>
                <w:rFonts w:ascii="Arial Narrow" w:hAnsi="Arial Narrow"/>
                <w:b/>
                <w:bCs/>
                <w:i/>
                <w:iCs/>
                <w:noProof/>
                <w:color w:val="000000"/>
                <w:sz w:val="20"/>
                <w:highlight w:val="black"/>
              </w:rPr>
              <w:t>''''''''''''''''</w:t>
            </w:r>
          </w:p>
        </w:tc>
        <w:tc>
          <w:tcPr>
            <w:tcW w:w="764" w:type="pct"/>
            <w:shd w:val="clear" w:color="auto" w:fill="auto"/>
            <w:vAlign w:val="bottom"/>
          </w:tcPr>
          <w:p w:rsidR="005D7034" w:rsidRPr="00C052DD" w:rsidRDefault="005D7034" w:rsidP="005D7034">
            <w:pPr>
              <w:tabs>
                <w:tab w:val="left" w:pos="142"/>
              </w:tabs>
              <w:jc w:val="center"/>
              <w:rPr>
                <w:rFonts w:ascii="Arial Narrow" w:hAnsi="Arial Narrow"/>
                <w:b/>
                <w:bCs/>
                <w:i/>
                <w:iCs/>
                <w:color w:val="000000"/>
                <w:sz w:val="20"/>
              </w:rPr>
            </w:pPr>
            <w:r w:rsidRPr="00C052DD">
              <w:rPr>
                <w:rFonts w:ascii="Arial Narrow" w:hAnsi="Arial Narrow"/>
                <w:b/>
                <w:bCs/>
                <w:i/>
                <w:iCs/>
                <w:color w:val="000000"/>
                <w:sz w:val="20"/>
              </w:rPr>
              <w:t>$</w:t>
            </w:r>
            <w:r w:rsidR="000A536B">
              <w:rPr>
                <w:rFonts w:ascii="Arial Narrow" w:hAnsi="Arial Narrow"/>
                <w:b/>
                <w:bCs/>
                <w:i/>
                <w:iCs/>
                <w:noProof/>
                <w:color w:val="000000"/>
                <w:sz w:val="20"/>
                <w:highlight w:val="black"/>
              </w:rPr>
              <w:t>'''''''''''''''''''''</w:t>
            </w:r>
          </w:p>
        </w:tc>
        <w:tc>
          <w:tcPr>
            <w:tcW w:w="757" w:type="pct"/>
            <w:shd w:val="clear" w:color="auto" w:fill="auto"/>
            <w:vAlign w:val="bottom"/>
          </w:tcPr>
          <w:p w:rsidR="005D7034" w:rsidRPr="00C052DD" w:rsidRDefault="005D7034" w:rsidP="005D7034">
            <w:pPr>
              <w:tabs>
                <w:tab w:val="left" w:pos="142"/>
              </w:tabs>
              <w:jc w:val="center"/>
              <w:rPr>
                <w:rFonts w:ascii="Arial Narrow" w:hAnsi="Arial Narrow"/>
                <w:b/>
                <w:bCs/>
                <w:i/>
                <w:iCs/>
                <w:color w:val="000000"/>
                <w:sz w:val="20"/>
              </w:rPr>
            </w:pPr>
            <w:r w:rsidRPr="00C052DD">
              <w:rPr>
                <w:rFonts w:ascii="Arial Narrow" w:hAnsi="Arial Narrow"/>
                <w:b/>
                <w:bCs/>
                <w:i/>
                <w:iCs/>
                <w:color w:val="000000"/>
                <w:sz w:val="20"/>
              </w:rPr>
              <w:t>$</w:t>
            </w:r>
            <w:r w:rsidR="000A536B">
              <w:rPr>
                <w:rFonts w:ascii="Arial Narrow" w:hAnsi="Arial Narrow"/>
                <w:b/>
                <w:bCs/>
                <w:i/>
                <w:iCs/>
                <w:noProof/>
                <w:color w:val="000000"/>
                <w:sz w:val="20"/>
                <w:highlight w:val="black"/>
              </w:rPr>
              <w:t>''''''''''''''''''''</w:t>
            </w:r>
          </w:p>
        </w:tc>
      </w:tr>
    </w:tbl>
    <w:p w:rsidR="00C25D9C" w:rsidRPr="00C052DD" w:rsidRDefault="00C25D9C" w:rsidP="005D7034">
      <w:pPr>
        <w:pStyle w:val="TableFooter"/>
        <w:ind w:left="720"/>
      </w:pPr>
      <w:proofErr w:type="spellStart"/>
      <w:proofErr w:type="gramStart"/>
      <w:r w:rsidRPr="00C052DD">
        <w:rPr>
          <w:vertAlign w:val="superscript"/>
        </w:rPr>
        <w:t>a</w:t>
      </w:r>
      <w:proofErr w:type="spellEnd"/>
      <w:proofErr w:type="gramEnd"/>
      <w:r w:rsidRPr="00C052DD">
        <w:t xml:space="preserve"> Assuming </w:t>
      </w:r>
      <w:r w:rsidR="00B730D2">
        <w:rPr>
          <w:noProof/>
          <w:color w:val="000000"/>
          <w:highlight w:val="black"/>
        </w:rPr>
        <w:t>'''''''''''</w:t>
      </w:r>
      <w:r w:rsidR="00A0068D" w:rsidRPr="00C052DD">
        <w:t xml:space="preserve"> scripts per patient (</w:t>
      </w:r>
      <w:r w:rsidR="00B730D2">
        <w:rPr>
          <w:noProof/>
          <w:color w:val="000000"/>
          <w:highlight w:val="black"/>
        </w:rPr>
        <w:t>''''''''''</w:t>
      </w:r>
      <w:r w:rsidR="00A0068D" w:rsidRPr="00C052DD">
        <w:t xml:space="preserve"> months x </w:t>
      </w:r>
      <w:r w:rsidR="00A0068D" w:rsidRPr="000A536B">
        <w:t>80.3</w:t>
      </w:r>
      <w:r w:rsidR="00A0068D" w:rsidRPr="00C052DD">
        <w:t>% relative dose intensity)</w:t>
      </w:r>
      <w:r w:rsidRPr="00C052DD">
        <w:t xml:space="preserve"> as estimated by the submission.</w:t>
      </w:r>
    </w:p>
    <w:p w:rsidR="005D7034" w:rsidRPr="00C052DD" w:rsidRDefault="00686C37" w:rsidP="00686C37">
      <w:pPr>
        <w:pStyle w:val="TableFooter"/>
        <w:ind w:left="720"/>
        <w:rPr>
          <w:i/>
          <w:iCs/>
        </w:rPr>
      </w:pPr>
      <w:r w:rsidRPr="00C052DD">
        <w:rPr>
          <w:i/>
          <w:iCs/>
        </w:rPr>
        <w:t xml:space="preserve">Note: </w:t>
      </w:r>
      <w:r w:rsidR="005D7034" w:rsidRPr="00C052DD">
        <w:rPr>
          <w:i/>
          <w:iCs/>
        </w:rPr>
        <w:t xml:space="preserve">Italicised numbers </w:t>
      </w:r>
      <w:r w:rsidR="00EC3706">
        <w:rPr>
          <w:i/>
          <w:iCs/>
        </w:rPr>
        <w:t>were</w:t>
      </w:r>
      <w:r w:rsidR="005D7034" w:rsidRPr="00C052DD">
        <w:rPr>
          <w:i/>
          <w:iCs/>
        </w:rPr>
        <w:t xml:space="preserve"> respecified during the evaluation by changing the duration of treatment with </w:t>
      </w:r>
      <w:proofErr w:type="spellStart"/>
      <w:r w:rsidR="005D7034" w:rsidRPr="00C052DD">
        <w:rPr>
          <w:i/>
          <w:iCs/>
        </w:rPr>
        <w:t>ceritinib</w:t>
      </w:r>
      <w:proofErr w:type="spellEnd"/>
      <w:r w:rsidR="005D7034" w:rsidRPr="00C052DD">
        <w:rPr>
          <w:i/>
          <w:iCs/>
        </w:rPr>
        <w:t xml:space="preserve"> to </w:t>
      </w:r>
      <w:r w:rsidR="000A536B">
        <w:rPr>
          <w:i/>
          <w:iCs/>
          <w:noProof/>
          <w:color w:val="000000"/>
          <w:highlight w:val="black"/>
        </w:rPr>
        <w:t>'''''''''''</w:t>
      </w:r>
      <w:r w:rsidR="005D7034" w:rsidRPr="00C052DD">
        <w:rPr>
          <w:i/>
          <w:iCs/>
        </w:rPr>
        <w:t xml:space="preserve"> months and of </w:t>
      </w:r>
      <w:proofErr w:type="spellStart"/>
      <w:r w:rsidR="005D7034" w:rsidRPr="00C052DD">
        <w:rPr>
          <w:i/>
          <w:iCs/>
        </w:rPr>
        <w:t>pemetrexed</w:t>
      </w:r>
      <w:proofErr w:type="spellEnd"/>
      <w:r w:rsidR="005D7034" w:rsidRPr="00C052DD">
        <w:rPr>
          <w:i/>
          <w:iCs/>
        </w:rPr>
        <w:t xml:space="preserve"> to </w:t>
      </w:r>
      <w:r w:rsidR="000A536B">
        <w:rPr>
          <w:i/>
          <w:iCs/>
          <w:noProof/>
          <w:color w:val="000000"/>
          <w:highlight w:val="black"/>
        </w:rPr>
        <w:t>''''''''''</w:t>
      </w:r>
      <w:r w:rsidR="005D7034" w:rsidRPr="00C052DD">
        <w:rPr>
          <w:i/>
          <w:iCs/>
        </w:rPr>
        <w:t xml:space="preserve"> months (</w:t>
      </w:r>
      <w:r w:rsidR="000A536B">
        <w:rPr>
          <w:i/>
          <w:iCs/>
          <w:noProof/>
          <w:color w:val="000000"/>
          <w:highlight w:val="black"/>
        </w:rPr>
        <w:t>'''''''''</w:t>
      </w:r>
      <w:r w:rsidR="005D7034" w:rsidRPr="00C052DD">
        <w:rPr>
          <w:i/>
          <w:iCs/>
        </w:rPr>
        <w:t xml:space="preserve"> cycles), and removing the costs associated with platinum-based chemotherapy (for which no evidence has been provided).</w:t>
      </w:r>
      <w:r w:rsidRPr="00C052DD">
        <w:rPr>
          <w:i/>
          <w:iCs/>
        </w:rPr>
        <w:t xml:space="preserve"> All other costs (that are unrelated to platinum-based chemotherapy) used in the submission </w:t>
      </w:r>
      <w:r w:rsidR="00EC3706">
        <w:rPr>
          <w:i/>
          <w:iCs/>
        </w:rPr>
        <w:t>were</w:t>
      </w:r>
      <w:r w:rsidRPr="00C052DD">
        <w:rPr>
          <w:i/>
          <w:iCs/>
        </w:rPr>
        <w:t xml:space="preserve"> retained.</w:t>
      </w:r>
    </w:p>
    <w:p w:rsidR="004F0C49" w:rsidRPr="00C052DD" w:rsidRDefault="004F0C49" w:rsidP="004F0C49">
      <w:pPr>
        <w:pStyle w:val="TableFooter"/>
        <w:ind w:left="720"/>
        <w:rPr>
          <w:i/>
          <w:iCs/>
        </w:rPr>
      </w:pPr>
      <w:r w:rsidRPr="00C052DD">
        <w:t>Source: Table 75, p128; Table 83, p135; Table 86, p137; Table 88, p138; and, Table 89, p138 of the submission.</w:t>
      </w:r>
      <w:r w:rsidR="00686C37" w:rsidRPr="00C052DD">
        <w:t xml:space="preserve"> </w:t>
      </w:r>
      <w:r w:rsidR="00686C37" w:rsidRPr="00C052DD">
        <w:rPr>
          <w:i/>
          <w:iCs/>
        </w:rPr>
        <w:t>Costs for PBS and overall costs differ slightly from the submissions estimates as chemotherapy prices and dispensing fees were updated during the evaluation.</w:t>
      </w:r>
    </w:p>
    <w:p w:rsidR="008C6A99" w:rsidRPr="00C052DD" w:rsidRDefault="008C6A99" w:rsidP="008C6A99">
      <w:pPr>
        <w:widowControl/>
        <w:rPr>
          <w:iCs/>
          <w:szCs w:val="22"/>
        </w:rPr>
      </w:pPr>
    </w:p>
    <w:p w:rsidR="008C6A99" w:rsidRPr="00C052DD" w:rsidRDefault="008C6A99" w:rsidP="008C6A99">
      <w:pPr>
        <w:pStyle w:val="Heading2"/>
        <w:rPr>
          <w:i/>
        </w:rPr>
      </w:pPr>
      <w:r w:rsidRPr="00C052DD">
        <w:rPr>
          <w:i/>
        </w:rPr>
        <w:t>Quality Use of Medicines</w:t>
      </w:r>
    </w:p>
    <w:p w:rsidR="008C6A99" w:rsidRPr="00C052DD" w:rsidRDefault="008C6A99" w:rsidP="008C6A99"/>
    <w:p w:rsidR="00E57026" w:rsidRPr="00EC3706" w:rsidRDefault="008C6A99" w:rsidP="00F87D21">
      <w:pPr>
        <w:pStyle w:val="ListParagraph"/>
        <w:widowControl/>
        <w:numPr>
          <w:ilvl w:val="1"/>
          <w:numId w:val="1"/>
        </w:numPr>
      </w:pPr>
      <w:r w:rsidRPr="00C052DD">
        <w:t xml:space="preserve">The </w:t>
      </w:r>
      <w:r w:rsidR="005063F6" w:rsidRPr="00C052DD">
        <w:t xml:space="preserve">PBAC </w:t>
      </w:r>
      <w:r w:rsidR="0020614C" w:rsidRPr="00C052DD">
        <w:t xml:space="preserve">noted </w:t>
      </w:r>
      <w:r w:rsidRPr="00C052DD">
        <w:t xml:space="preserve">that </w:t>
      </w:r>
      <w:proofErr w:type="spellStart"/>
      <w:r w:rsidRPr="00C052DD">
        <w:t>ceritinib</w:t>
      </w:r>
      <w:proofErr w:type="spellEnd"/>
      <w:r w:rsidRPr="00C052DD">
        <w:t xml:space="preserve"> has drug-drug and drug-food interactions that have significant </w:t>
      </w:r>
      <w:r w:rsidR="00D871FD" w:rsidRPr="00C052DD">
        <w:t>effect</w:t>
      </w:r>
      <w:r w:rsidRPr="00C052DD">
        <w:t xml:space="preserve"> on its exposure, which might be d</w:t>
      </w:r>
      <w:r w:rsidR="00E57026" w:rsidRPr="00C052DD">
        <w:t>ifficult to manage in practice.</w:t>
      </w:r>
    </w:p>
    <w:p w:rsidR="00E57026" w:rsidRPr="00EC3706" w:rsidRDefault="00E57026" w:rsidP="00E57026">
      <w:pPr>
        <w:widowControl/>
      </w:pPr>
    </w:p>
    <w:p w:rsidR="008C6A99" w:rsidRPr="00EC3706" w:rsidRDefault="008C6A99" w:rsidP="00F87D21">
      <w:pPr>
        <w:pStyle w:val="ListParagraph"/>
        <w:widowControl/>
        <w:numPr>
          <w:ilvl w:val="1"/>
          <w:numId w:val="1"/>
        </w:numPr>
      </w:pPr>
      <w:r w:rsidRPr="00C052DD">
        <w:t xml:space="preserve">Further, the </w:t>
      </w:r>
      <w:r w:rsidR="005063F6" w:rsidRPr="00C052DD">
        <w:t xml:space="preserve">PBAC </w:t>
      </w:r>
      <w:r w:rsidRPr="00C052DD">
        <w:t xml:space="preserve">noted that the ASCEND-5 trial excluded patients with concurrent use of medications that are strong inducers of </w:t>
      </w:r>
      <w:proofErr w:type="gramStart"/>
      <w:r w:rsidRPr="00C052DD">
        <w:t>CYP3A4/5,</w:t>
      </w:r>
      <w:proofErr w:type="gramEnd"/>
      <w:r w:rsidRPr="00C052DD">
        <w:t xml:space="preserve"> or with a low therapeutic index and are metabolised by CYP3A4/5 or CYP2C9.</w:t>
      </w:r>
    </w:p>
    <w:p w:rsidR="00576972" w:rsidRPr="00C052DD" w:rsidRDefault="00576972" w:rsidP="00576972">
      <w:pPr>
        <w:widowControl/>
        <w:rPr>
          <w:szCs w:val="22"/>
        </w:rPr>
      </w:pPr>
    </w:p>
    <w:p w:rsidR="00576972" w:rsidRPr="00C052DD" w:rsidRDefault="00576972" w:rsidP="002C2775">
      <w:pPr>
        <w:pStyle w:val="Heading2"/>
        <w:rPr>
          <w:i/>
          <w:szCs w:val="22"/>
        </w:rPr>
      </w:pPr>
      <w:bookmarkStart w:id="20" w:name="_Toc461200678"/>
      <w:r w:rsidRPr="00C052DD">
        <w:rPr>
          <w:i/>
        </w:rPr>
        <w:t>Financial Management – Risk Sharing Arrangements</w:t>
      </w:r>
      <w:bookmarkEnd w:id="20"/>
    </w:p>
    <w:p w:rsidR="00C25D9C" w:rsidRPr="00C052DD" w:rsidRDefault="00C25D9C" w:rsidP="00576972">
      <w:pPr>
        <w:widowControl/>
        <w:rPr>
          <w:szCs w:val="22"/>
        </w:rPr>
      </w:pPr>
    </w:p>
    <w:p w:rsidR="00913FE1" w:rsidRPr="00C052DD" w:rsidRDefault="00686C37" w:rsidP="00F87D21">
      <w:pPr>
        <w:pStyle w:val="ListParagraph"/>
        <w:widowControl/>
        <w:numPr>
          <w:ilvl w:val="1"/>
          <w:numId w:val="1"/>
        </w:numPr>
      </w:pPr>
      <w:r w:rsidRPr="00C052DD">
        <w:t xml:space="preserve">The </w:t>
      </w:r>
      <w:r w:rsidR="00E57026" w:rsidRPr="00C052DD">
        <w:t xml:space="preserve">submission </w:t>
      </w:r>
      <w:r w:rsidR="00913FE1" w:rsidRPr="00C052DD">
        <w:t>sought</w:t>
      </w:r>
      <w:r w:rsidR="00E57026" w:rsidRPr="00C052DD">
        <w:t xml:space="preserve"> a </w:t>
      </w:r>
      <w:r w:rsidR="00A13BB9" w:rsidRPr="00C052DD">
        <w:t xml:space="preserve">Special Pricing Arrangement </w:t>
      </w:r>
      <w:r w:rsidR="00E57026" w:rsidRPr="00C052DD">
        <w:t xml:space="preserve">for </w:t>
      </w:r>
      <w:proofErr w:type="spellStart"/>
      <w:r w:rsidR="00E57026" w:rsidRPr="00C052DD">
        <w:t>ceritinib</w:t>
      </w:r>
      <w:proofErr w:type="spellEnd"/>
      <w:r w:rsidR="00E57026" w:rsidRPr="00C052DD">
        <w:t>.</w:t>
      </w:r>
    </w:p>
    <w:p w:rsidR="00EE5B03" w:rsidRPr="00C052DD" w:rsidRDefault="00EE5B03" w:rsidP="00EE5B03"/>
    <w:p w:rsidR="005B299C" w:rsidRDefault="005B299C" w:rsidP="005B299C">
      <w:pPr>
        <w:widowControl/>
        <w:rPr>
          <w:i/>
        </w:rPr>
      </w:pPr>
      <w:r w:rsidRPr="00C052DD">
        <w:rPr>
          <w:i/>
        </w:rPr>
        <w:t>For more details on PBAC’s view, see section 7 “PBAC Outcome”</w:t>
      </w:r>
      <w:r w:rsidR="00EC3706">
        <w:rPr>
          <w:i/>
        </w:rPr>
        <w:t>.</w:t>
      </w:r>
    </w:p>
    <w:p w:rsidR="00E171DB" w:rsidRPr="00C052DD" w:rsidRDefault="00E171DB" w:rsidP="005B299C">
      <w:pPr>
        <w:widowControl/>
        <w:rPr>
          <w:i/>
        </w:rPr>
      </w:pPr>
    </w:p>
    <w:p w:rsidR="005B299C" w:rsidRPr="00C052DD" w:rsidRDefault="005B299C" w:rsidP="00EE5B03"/>
    <w:p w:rsidR="0039017F" w:rsidRPr="002F20CE" w:rsidRDefault="0039017F" w:rsidP="002F20CE">
      <w:pPr>
        <w:pStyle w:val="PBACHeading1"/>
        <w:keepNext/>
        <w:numPr>
          <w:ilvl w:val="0"/>
          <w:numId w:val="1"/>
        </w:numPr>
        <w:outlineLvl w:val="0"/>
      </w:pPr>
      <w:r w:rsidRPr="002F20CE">
        <w:t>PBAC Outcome</w:t>
      </w:r>
    </w:p>
    <w:p w:rsidR="00A57507" w:rsidRPr="00EC3706" w:rsidRDefault="00A57507" w:rsidP="00EC3706">
      <w:pPr>
        <w:rPr>
          <w:bCs/>
          <w:szCs w:val="22"/>
        </w:rPr>
      </w:pPr>
    </w:p>
    <w:p w:rsidR="00A57507" w:rsidRPr="00C052DD" w:rsidRDefault="00A57507" w:rsidP="00F87D21">
      <w:pPr>
        <w:numPr>
          <w:ilvl w:val="1"/>
          <w:numId w:val="1"/>
        </w:numPr>
      </w:pPr>
      <w:r w:rsidRPr="00C052DD">
        <w:t>The PBAC recommended a</w:t>
      </w:r>
      <w:r w:rsidR="00BF7073" w:rsidRPr="00C052DD">
        <w:t>n</w:t>
      </w:r>
      <w:r w:rsidRPr="00C052DD">
        <w:t xml:space="preserve"> Authority Required </w:t>
      </w:r>
      <w:r w:rsidR="00453C67" w:rsidRPr="00C052DD">
        <w:t xml:space="preserve">General Schedule </w:t>
      </w:r>
      <w:r w:rsidRPr="00C052DD">
        <w:t xml:space="preserve">listing of </w:t>
      </w:r>
      <w:proofErr w:type="spellStart"/>
      <w:r w:rsidR="00453C67" w:rsidRPr="00C052DD">
        <w:t>ceritinib</w:t>
      </w:r>
      <w:proofErr w:type="spellEnd"/>
      <w:r w:rsidRPr="00C052DD">
        <w:t xml:space="preserve"> for the treatment of </w:t>
      </w:r>
      <w:r w:rsidR="00453C67" w:rsidRPr="002571E8">
        <w:rPr>
          <w:i/>
        </w:rPr>
        <w:t>ALK</w:t>
      </w:r>
      <w:r w:rsidR="002571E8">
        <w:t>-</w:t>
      </w:r>
      <w:r w:rsidR="00453C67" w:rsidRPr="00C052DD">
        <w:t>positive NSCLC</w:t>
      </w:r>
      <w:r w:rsidRPr="00C052DD">
        <w:t xml:space="preserve">. </w:t>
      </w:r>
      <w:r w:rsidR="001E202B" w:rsidRPr="00C052DD">
        <w:t xml:space="preserve">The PBAC’s recommendation for listing was based on, among other matters, its assessment that the cost-effectiveness of </w:t>
      </w:r>
      <w:proofErr w:type="spellStart"/>
      <w:r w:rsidR="001E202B" w:rsidRPr="00C052DD">
        <w:t>ceritinib</w:t>
      </w:r>
      <w:proofErr w:type="spellEnd"/>
      <w:r w:rsidR="001E202B" w:rsidRPr="00C052DD">
        <w:t xml:space="preserve"> would be acceptable if it were cost-minimised against </w:t>
      </w:r>
      <w:r w:rsidR="000E220A" w:rsidRPr="00C052DD">
        <w:t xml:space="preserve">platinum chemotherapy followed by </w:t>
      </w:r>
      <w:proofErr w:type="spellStart"/>
      <w:r w:rsidR="001E202B" w:rsidRPr="00C052DD">
        <w:t>pemetrexed</w:t>
      </w:r>
      <w:proofErr w:type="spellEnd"/>
      <w:r w:rsidR="000E220A" w:rsidRPr="00C052DD">
        <w:t xml:space="preserve"> maintenance therapy.</w:t>
      </w:r>
    </w:p>
    <w:p w:rsidR="00A57507" w:rsidRPr="00C052DD" w:rsidRDefault="00A57507" w:rsidP="00A57507">
      <w:pPr>
        <w:ind w:right="135"/>
        <w:rPr>
          <w:szCs w:val="22"/>
        </w:rPr>
      </w:pPr>
    </w:p>
    <w:p w:rsidR="005063F6" w:rsidRPr="00C052DD" w:rsidRDefault="00453C67" w:rsidP="00F87D21">
      <w:pPr>
        <w:pStyle w:val="ListParagraph"/>
        <w:numPr>
          <w:ilvl w:val="1"/>
          <w:numId w:val="1"/>
        </w:numPr>
        <w:rPr>
          <w:bCs/>
        </w:rPr>
      </w:pPr>
      <w:r w:rsidRPr="00C052DD">
        <w:rPr>
          <w:bCs/>
        </w:rPr>
        <w:t xml:space="preserve">In making </w:t>
      </w:r>
      <w:r w:rsidR="000E220A" w:rsidRPr="00C052DD">
        <w:rPr>
          <w:bCs/>
        </w:rPr>
        <w:t xml:space="preserve">this </w:t>
      </w:r>
      <w:r w:rsidRPr="00C052DD">
        <w:rPr>
          <w:bCs/>
        </w:rPr>
        <w:t xml:space="preserve">recommendation, the PBAC </w:t>
      </w:r>
      <w:r w:rsidR="000E220A" w:rsidRPr="00C052DD">
        <w:rPr>
          <w:bCs/>
        </w:rPr>
        <w:t xml:space="preserve">noted the </w:t>
      </w:r>
      <w:r w:rsidRPr="00C052DD">
        <w:rPr>
          <w:bCs/>
        </w:rPr>
        <w:t>relatively small population size</w:t>
      </w:r>
      <w:r w:rsidR="008A1ED1" w:rsidRPr="00C052DD">
        <w:rPr>
          <w:bCs/>
        </w:rPr>
        <w:t xml:space="preserve"> (</w:t>
      </w:r>
      <w:r w:rsidR="00695FFC">
        <w:rPr>
          <w:bCs/>
        </w:rPr>
        <w:t xml:space="preserve">less than </w:t>
      </w:r>
      <w:proofErr w:type="gramStart"/>
      <w:r w:rsidR="00695FFC">
        <w:rPr>
          <w:bCs/>
        </w:rPr>
        <w:t>10,000</w:t>
      </w:r>
      <w:r w:rsidR="003A67D6">
        <w:rPr>
          <w:bCs/>
        </w:rPr>
        <w:t xml:space="preserve"> </w:t>
      </w:r>
      <w:r w:rsidR="00555493" w:rsidRPr="00C052DD">
        <w:rPr>
          <w:bCs/>
        </w:rPr>
        <w:t xml:space="preserve"> patients</w:t>
      </w:r>
      <w:proofErr w:type="gramEnd"/>
      <w:r w:rsidR="00555493" w:rsidRPr="00C052DD">
        <w:rPr>
          <w:bCs/>
        </w:rPr>
        <w:t>/year</w:t>
      </w:r>
      <w:r w:rsidR="008A1ED1" w:rsidRPr="00C052DD">
        <w:rPr>
          <w:bCs/>
        </w:rPr>
        <w:t>)</w:t>
      </w:r>
      <w:r w:rsidR="000E220A" w:rsidRPr="00C052DD">
        <w:rPr>
          <w:bCs/>
        </w:rPr>
        <w:t xml:space="preserve"> with </w:t>
      </w:r>
      <w:r w:rsidR="000E220A" w:rsidRPr="002571E8">
        <w:rPr>
          <w:bCs/>
          <w:i/>
        </w:rPr>
        <w:t>ALK</w:t>
      </w:r>
      <w:r w:rsidR="002571E8">
        <w:rPr>
          <w:bCs/>
        </w:rPr>
        <w:t>-</w:t>
      </w:r>
      <w:r w:rsidR="000E220A" w:rsidRPr="00C052DD">
        <w:rPr>
          <w:bCs/>
        </w:rPr>
        <w:t>positive NSCLC</w:t>
      </w:r>
      <w:r w:rsidR="004D63EC" w:rsidRPr="00C052DD">
        <w:rPr>
          <w:bCs/>
        </w:rPr>
        <w:t>;</w:t>
      </w:r>
      <w:r w:rsidR="000E220A" w:rsidRPr="00C052DD">
        <w:rPr>
          <w:bCs/>
        </w:rPr>
        <w:t xml:space="preserve"> the high clinical need for effective treatments for patients with this condition</w:t>
      </w:r>
      <w:r w:rsidR="004D63EC" w:rsidRPr="00C052DD">
        <w:rPr>
          <w:bCs/>
        </w:rPr>
        <w:t>; and the likelihood</w:t>
      </w:r>
      <w:r w:rsidR="004D63EC" w:rsidRPr="00C052DD">
        <w:t xml:space="preserve"> that access to </w:t>
      </w:r>
      <w:proofErr w:type="spellStart"/>
      <w:r w:rsidR="004D63EC" w:rsidRPr="00C052DD">
        <w:t>cer</w:t>
      </w:r>
      <w:r w:rsidR="00A13BB9" w:rsidRPr="00C052DD">
        <w:t>i</w:t>
      </w:r>
      <w:r w:rsidR="004D63EC" w:rsidRPr="00C052DD">
        <w:t>tinib</w:t>
      </w:r>
      <w:proofErr w:type="spellEnd"/>
      <w:r w:rsidR="004D63EC" w:rsidRPr="00C052DD">
        <w:t xml:space="preserve"> would </w:t>
      </w:r>
      <w:r w:rsidR="004D63EC" w:rsidRPr="00C052DD">
        <w:rPr>
          <w:bCs/>
        </w:rPr>
        <w:t xml:space="preserve">significantly </w:t>
      </w:r>
      <w:r w:rsidR="00A870F7">
        <w:rPr>
          <w:bCs/>
        </w:rPr>
        <w:t>improve quality of life in</w:t>
      </w:r>
      <w:r w:rsidR="004D63EC" w:rsidRPr="00C052DD">
        <w:rPr>
          <w:bCs/>
        </w:rPr>
        <w:t xml:space="preserve"> </w:t>
      </w:r>
      <w:r w:rsidR="004D63EC" w:rsidRPr="002571E8">
        <w:rPr>
          <w:bCs/>
          <w:i/>
        </w:rPr>
        <w:t>ALK</w:t>
      </w:r>
      <w:r w:rsidR="002571E8">
        <w:rPr>
          <w:bCs/>
        </w:rPr>
        <w:t>-</w:t>
      </w:r>
      <w:r w:rsidR="004D63EC" w:rsidRPr="00C052DD">
        <w:rPr>
          <w:bCs/>
        </w:rPr>
        <w:t>positive NSCLC patients</w:t>
      </w:r>
      <w:r w:rsidR="00A870F7">
        <w:rPr>
          <w:bCs/>
        </w:rPr>
        <w:t xml:space="preserve"> </w:t>
      </w:r>
      <w:r w:rsidR="00A870F7">
        <w:rPr>
          <w:bCs/>
        </w:rPr>
        <w:lastRenderedPageBreak/>
        <w:t xml:space="preserve">compared to chemotherapy.  </w:t>
      </w:r>
      <w:r w:rsidR="00A13BB9" w:rsidRPr="00C052DD">
        <w:rPr>
          <w:bCs/>
        </w:rPr>
        <w:t>The</w:t>
      </w:r>
      <w:r w:rsidR="005063F6" w:rsidRPr="00C052DD">
        <w:rPr>
          <w:bCs/>
        </w:rPr>
        <w:t xml:space="preserve"> PBAC considered that the submission’s claim of at least non-inferiority for efficacy and inferiority for safety against platinum chemotherapy followed by </w:t>
      </w:r>
      <w:proofErr w:type="spellStart"/>
      <w:r w:rsidR="005063F6" w:rsidRPr="00C052DD">
        <w:rPr>
          <w:bCs/>
        </w:rPr>
        <w:t>pemetrexed</w:t>
      </w:r>
      <w:proofErr w:type="spellEnd"/>
      <w:r w:rsidR="005063F6" w:rsidRPr="00C052DD">
        <w:rPr>
          <w:bCs/>
        </w:rPr>
        <w:t xml:space="preserve"> maintenance therapy was reasonable, and therefore that a cost-minimis</w:t>
      </w:r>
      <w:r w:rsidR="00EC3706">
        <w:rPr>
          <w:bCs/>
        </w:rPr>
        <w:t>ation approach was appropriate.</w:t>
      </w:r>
    </w:p>
    <w:p w:rsidR="005063F6" w:rsidRPr="00EC3706" w:rsidRDefault="005063F6" w:rsidP="005063F6">
      <w:pPr>
        <w:rPr>
          <w:bCs/>
        </w:rPr>
      </w:pPr>
    </w:p>
    <w:p w:rsidR="005063F6" w:rsidRPr="00C052DD" w:rsidRDefault="005063F6" w:rsidP="00F87D21">
      <w:pPr>
        <w:pStyle w:val="ListParagraph"/>
        <w:numPr>
          <w:ilvl w:val="1"/>
          <w:numId w:val="1"/>
        </w:numPr>
        <w:rPr>
          <w:bCs/>
        </w:rPr>
      </w:pPr>
      <w:r w:rsidRPr="00C052DD">
        <w:rPr>
          <w:bCs/>
        </w:rPr>
        <w:t>The PBAC noted the arguments presented in the sponsor’s Pre</w:t>
      </w:r>
      <w:r w:rsidR="003C6072">
        <w:rPr>
          <w:bCs/>
        </w:rPr>
        <w:t>-PBAC response (p</w:t>
      </w:r>
      <w:r w:rsidRPr="00C052DD">
        <w:rPr>
          <w:bCs/>
        </w:rPr>
        <w:t>3)</w:t>
      </w:r>
      <w:r w:rsidR="004A00F0" w:rsidRPr="00C052DD">
        <w:rPr>
          <w:bCs/>
        </w:rPr>
        <w:t xml:space="preserve"> in support of the submission’s approach to the cost-minimisation calculation</w:t>
      </w:r>
      <w:r w:rsidRPr="00C052DD">
        <w:rPr>
          <w:bCs/>
        </w:rPr>
        <w:t xml:space="preserve">, but considered that the price derived using </w:t>
      </w:r>
      <w:r w:rsidR="004D63EC" w:rsidRPr="00C052DD">
        <w:rPr>
          <w:bCs/>
        </w:rPr>
        <w:t xml:space="preserve">the </w:t>
      </w:r>
      <w:r w:rsidR="00EC3706">
        <w:rPr>
          <w:bCs/>
        </w:rPr>
        <w:t>trial-</w:t>
      </w:r>
      <w:r w:rsidRPr="00C052DD">
        <w:rPr>
          <w:bCs/>
        </w:rPr>
        <w:t xml:space="preserve">based cost-minimisation </w:t>
      </w:r>
      <w:r w:rsidR="004D63EC" w:rsidRPr="00C052DD">
        <w:rPr>
          <w:bCs/>
        </w:rPr>
        <w:t xml:space="preserve">analysis </w:t>
      </w:r>
      <w:r w:rsidR="00EC3706">
        <w:rPr>
          <w:bCs/>
        </w:rPr>
        <w:t>conducted</w:t>
      </w:r>
      <w:r w:rsidRPr="00C052DD">
        <w:rPr>
          <w:bCs/>
        </w:rPr>
        <w:t xml:space="preserve"> during </w:t>
      </w:r>
      <w:r w:rsidR="004D63EC" w:rsidRPr="00C052DD">
        <w:rPr>
          <w:bCs/>
        </w:rPr>
        <w:t xml:space="preserve">the </w:t>
      </w:r>
      <w:r w:rsidRPr="00C052DD">
        <w:rPr>
          <w:bCs/>
        </w:rPr>
        <w:t xml:space="preserve">evaluation provided the most appropriate approach for calculating the price of </w:t>
      </w:r>
      <w:proofErr w:type="spellStart"/>
      <w:r w:rsidRPr="00C052DD">
        <w:rPr>
          <w:bCs/>
        </w:rPr>
        <w:t>ceritinib</w:t>
      </w:r>
      <w:proofErr w:type="spellEnd"/>
      <w:r w:rsidRPr="00C052DD">
        <w:rPr>
          <w:bCs/>
        </w:rPr>
        <w:t>.</w:t>
      </w:r>
    </w:p>
    <w:p w:rsidR="00453C67" w:rsidRPr="00EC3706" w:rsidRDefault="00453C67" w:rsidP="005063F6">
      <w:pPr>
        <w:rPr>
          <w:bCs/>
        </w:rPr>
      </w:pPr>
    </w:p>
    <w:p w:rsidR="00FE1E34" w:rsidRPr="00C052DD" w:rsidRDefault="00FE1E34" w:rsidP="00F87D21">
      <w:pPr>
        <w:pStyle w:val="ListParagraph"/>
        <w:numPr>
          <w:ilvl w:val="1"/>
          <w:numId w:val="1"/>
        </w:numPr>
        <w:rPr>
          <w:bCs/>
          <w:szCs w:val="22"/>
        </w:rPr>
      </w:pPr>
      <w:r w:rsidRPr="00C052DD">
        <w:rPr>
          <w:bCs/>
          <w:szCs w:val="22"/>
        </w:rPr>
        <w:t>The PBAC noted that</w:t>
      </w:r>
      <w:r>
        <w:rPr>
          <w:bCs/>
          <w:szCs w:val="22"/>
        </w:rPr>
        <w:t>,</w:t>
      </w:r>
      <w:r w:rsidRPr="00C052DD">
        <w:rPr>
          <w:bCs/>
          <w:szCs w:val="22"/>
        </w:rPr>
        <w:t xml:space="preserve"> in the post hoc analysis presented in the submission, the median PFS measured by BIRC favoured </w:t>
      </w:r>
      <w:proofErr w:type="spellStart"/>
      <w:r w:rsidRPr="00C052DD">
        <w:rPr>
          <w:bCs/>
          <w:szCs w:val="22"/>
        </w:rPr>
        <w:t>ceritinib</w:t>
      </w:r>
      <w:proofErr w:type="spellEnd"/>
      <w:r w:rsidRPr="00C052DD">
        <w:rPr>
          <w:bCs/>
          <w:szCs w:val="22"/>
        </w:rPr>
        <w:t xml:space="preserve"> by approximately </w:t>
      </w:r>
      <w:r w:rsidR="000A536B">
        <w:rPr>
          <w:bCs/>
          <w:noProof/>
          <w:color w:val="000000"/>
          <w:szCs w:val="22"/>
          <w:highlight w:val="black"/>
        </w:rPr>
        <w:t>'''''''</w:t>
      </w:r>
      <w:r w:rsidRPr="00C052DD">
        <w:rPr>
          <w:bCs/>
          <w:szCs w:val="22"/>
        </w:rPr>
        <w:t xml:space="preserve"> months, although the HR was not statistically significant. The PBAC also noted that the results of this analysis were potentially confounded by the fact that a considerable proportion of patients (</w:t>
      </w:r>
      <w:proofErr w:type="gramStart"/>
      <w:r w:rsidR="000A536B">
        <w:rPr>
          <w:bCs/>
          <w:noProof/>
          <w:color w:val="000000"/>
          <w:szCs w:val="22"/>
          <w:highlight w:val="black"/>
        </w:rPr>
        <w:t>''''''</w:t>
      </w:r>
      <w:r w:rsidRPr="00C052DD">
        <w:rPr>
          <w:bCs/>
          <w:szCs w:val="22"/>
        </w:rPr>
        <w:t>%</w:t>
      </w:r>
      <w:proofErr w:type="gramEnd"/>
      <w:r w:rsidRPr="00C052DD">
        <w:rPr>
          <w:bCs/>
          <w:szCs w:val="22"/>
        </w:rPr>
        <w:t xml:space="preserve">) in the </w:t>
      </w:r>
      <w:proofErr w:type="spellStart"/>
      <w:r w:rsidRPr="00C052DD">
        <w:rPr>
          <w:bCs/>
          <w:szCs w:val="22"/>
        </w:rPr>
        <w:t>pemetrexed</w:t>
      </w:r>
      <w:proofErr w:type="spellEnd"/>
      <w:r w:rsidRPr="00C052DD">
        <w:rPr>
          <w:bCs/>
          <w:szCs w:val="22"/>
        </w:rPr>
        <w:t xml:space="preserve"> subgroup had been previously treated with </w:t>
      </w:r>
      <w:proofErr w:type="spellStart"/>
      <w:r w:rsidRPr="00C052DD">
        <w:rPr>
          <w:bCs/>
          <w:szCs w:val="22"/>
        </w:rPr>
        <w:t>pemetrexed</w:t>
      </w:r>
      <w:proofErr w:type="spellEnd"/>
      <w:r w:rsidRPr="00C052DD">
        <w:rPr>
          <w:bCs/>
          <w:szCs w:val="22"/>
        </w:rPr>
        <w:t xml:space="preserve">. Further, the PBAC considered that no meaningful conclusions could be drawn regarding the effect of </w:t>
      </w:r>
      <w:proofErr w:type="spellStart"/>
      <w:r w:rsidRPr="00C052DD">
        <w:rPr>
          <w:bCs/>
          <w:szCs w:val="22"/>
        </w:rPr>
        <w:t>ceritinib</w:t>
      </w:r>
      <w:proofErr w:type="spellEnd"/>
      <w:r w:rsidRPr="00C052DD">
        <w:rPr>
          <w:bCs/>
          <w:szCs w:val="22"/>
        </w:rPr>
        <w:t xml:space="preserve"> on survival because n</w:t>
      </w:r>
      <w:r w:rsidRPr="00C052DD">
        <w:t xml:space="preserve">early 65% of patients treated with chemotherapy switched to </w:t>
      </w:r>
      <w:proofErr w:type="spellStart"/>
      <w:r w:rsidRPr="00C052DD">
        <w:t>ceritinib</w:t>
      </w:r>
      <w:proofErr w:type="spellEnd"/>
      <w:r w:rsidRPr="00C052DD">
        <w:t xml:space="preserve"> on progression. However, despite these inherent drawbacks in the ASCEND-5 trial, the PBAC considered that </w:t>
      </w:r>
      <w:proofErr w:type="spellStart"/>
      <w:r w:rsidRPr="00C052DD">
        <w:t>ceritinib</w:t>
      </w:r>
      <w:proofErr w:type="spellEnd"/>
      <w:r w:rsidRPr="00C052DD">
        <w:t xml:space="preserve"> treatment resulted in clinically meaningful difference to a patient’s quality of life, as evidenced by the improvement in lung cancer symptoms and health status (EQ-5D) from the trial, and the consumer comments received for this submission.</w:t>
      </w:r>
    </w:p>
    <w:p w:rsidR="00FE1E34" w:rsidRPr="00EC3706" w:rsidRDefault="00FE1E34" w:rsidP="00FE1E34">
      <w:pPr>
        <w:rPr>
          <w:bCs/>
        </w:rPr>
      </w:pPr>
    </w:p>
    <w:p w:rsidR="00BE1ABE" w:rsidRPr="00C052DD" w:rsidRDefault="00D318D6" w:rsidP="00F87D21">
      <w:pPr>
        <w:numPr>
          <w:ilvl w:val="1"/>
          <w:numId w:val="1"/>
        </w:numPr>
        <w:contextualSpacing/>
        <w:rPr>
          <w:bCs/>
        </w:rPr>
      </w:pPr>
      <w:r w:rsidRPr="00C052DD">
        <w:rPr>
          <w:bCs/>
        </w:rPr>
        <w:t>The PBAC noted that</w:t>
      </w:r>
      <w:r w:rsidR="00EC3706">
        <w:rPr>
          <w:bCs/>
        </w:rPr>
        <w:t>,</w:t>
      </w:r>
      <w:r w:rsidRPr="00C052DD">
        <w:rPr>
          <w:bCs/>
        </w:rPr>
        <w:t xml:space="preserve"> while t</w:t>
      </w:r>
      <w:r w:rsidR="00BE1ABE" w:rsidRPr="00C052DD">
        <w:rPr>
          <w:bCs/>
        </w:rPr>
        <w:t xml:space="preserve">he </w:t>
      </w:r>
      <w:r w:rsidR="000E220A" w:rsidRPr="00C052DD">
        <w:rPr>
          <w:bCs/>
        </w:rPr>
        <w:t xml:space="preserve">submission’s </w:t>
      </w:r>
      <w:r w:rsidR="00BE1ABE" w:rsidRPr="00C052DD">
        <w:rPr>
          <w:bCs/>
        </w:rPr>
        <w:t xml:space="preserve">proposed PBS restriction </w:t>
      </w:r>
      <w:r w:rsidR="000E220A" w:rsidRPr="00C052DD">
        <w:rPr>
          <w:bCs/>
        </w:rPr>
        <w:t xml:space="preserve">positioned </w:t>
      </w:r>
      <w:proofErr w:type="spellStart"/>
      <w:r w:rsidR="00BE1ABE" w:rsidRPr="00C052DD">
        <w:rPr>
          <w:bCs/>
        </w:rPr>
        <w:t>ceritinib</w:t>
      </w:r>
      <w:proofErr w:type="spellEnd"/>
      <w:r w:rsidR="00BE1ABE" w:rsidRPr="00C052DD">
        <w:rPr>
          <w:bCs/>
        </w:rPr>
        <w:t xml:space="preserve"> </w:t>
      </w:r>
      <w:r w:rsidR="000E220A" w:rsidRPr="00C052DD">
        <w:rPr>
          <w:bCs/>
        </w:rPr>
        <w:t xml:space="preserve">after </w:t>
      </w:r>
      <w:proofErr w:type="spellStart"/>
      <w:r w:rsidR="000E220A" w:rsidRPr="00C052DD">
        <w:rPr>
          <w:bCs/>
        </w:rPr>
        <w:t>crizotinib</w:t>
      </w:r>
      <w:proofErr w:type="spellEnd"/>
      <w:r w:rsidR="00BE1ABE" w:rsidRPr="00C052DD">
        <w:rPr>
          <w:bCs/>
        </w:rPr>
        <w:t xml:space="preserve">, the evidence </w:t>
      </w:r>
      <w:r w:rsidR="00F740CA" w:rsidRPr="00C052DD">
        <w:rPr>
          <w:bCs/>
        </w:rPr>
        <w:t xml:space="preserve">presented </w:t>
      </w:r>
      <w:r w:rsidR="00FD4A03" w:rsidRPr="00C052DD">
        <w:rPr>
          <w:bCs/>
        </w:rPr>
        <w:t xml:space="preserve">in the submission </w:t>
      </w:r>
      <w:r w:rsidR="00BE1ABE" w:rsidRPr="00C052DD">
        <w:rPr>
          <w:bCs/>
        </w:rPr>
        <w:t xml:space="preserve">was </w:t>
      </w:r>
      <w:r w:rsidR="000E220A" w:rsidRPr="00C052DD">
        <w:rPr>
          <w:bCs/>
        </w:rPr>
        <w:t>in a different setting</w:t>
      </w:r>
      <w:r w:rsidR="00BE1ABE" w:rsidRPr="00C052DD">
        <w:rPr>
          <w:bCs/>
        </w:rPr>
        <w:t xml:space="preserve">. The </w:t>
      </w:r>
      <w:r w:rsidR="005712F1" w:rsidRPr="00C052DD">
        <w:rPr>
          <w:bCs/>
        </w:rPr>
        <w:t xml:space="preserve">PBAC </w:t>
      </w:r>
      <w:r w:rsidR="00EC6077" w:rsidRPr="00C052DD">
        <w:rPr>
          <w:bCs/>
        </w:rPr>
        <w:t>recalled</w:t>
      </w:r>
      <w:r w:rsidR="00BE1ABE" w:rsidRPr="00C052DD">
        <w:rPr>
          <w:bCs/>
        </w:rPr>
        <w:t xml:space="preserve"> </w:t>
      </w:r>
      <w:r w:rsidR="00F740CA" w:rsidRPr="00C052DD">
        <w:rPr>
          <w:bCs/>
        </w:rPr>
        <w:t>it</w:t>
      </w:r>
      <w:r w:rsidR="000E220A" w:rsidRPr="00C052DD">
        <w:rPr>
          <w:bCs/>
        </w:rPr>
        <w:t xml:space="preserve"> had</w:t>
      </w:r>
      <w:r w:rsidR="00BE1ABE" w:rsidRPr="00C052DD">
        <w:rPr>
          <w:bCs/>
        </w:rPr>
        <w:t xml:space="preserve"> previous</w:t>
      </w:r>
      <w:r w:rsidR="000E220A" w:rsidRPr="00C052DD">
        <w:rPr>
          <w:bCs/>
        </w:rPr>
        <w:t>ly</w:t>
      </w:r>
      <w:r w:rsidR="00BE1ABE" w:rsidRPr="00C052DD">
        <w:rPr>
          <w:bCs/>
        </w:rPr>
        <w:t xml:space="preserve"> recommend</w:t>
      </w:r>
      <w:r w:rsidR="000E220A" w:rsidRPr="00C052DD">
        <w:rPr>
          <w:bCs/>
        </w:rPr>
        <w:t>ed</w:t>
      </w:r>
      <w:r w:rsidR="00BE1ABE" w:rsidRPr="00C052DD">
        <w:rPr>
          <w:bCs/>
        </w:rPr>
        <w:t xml:space="preserve"> </w:t>
      </w:r>
      <w:proofErr w:type="spellStart"/>
      <w:r w:rsidR="00BE1ABE" w:rsidRPr="00C052DD">
        <w:rPr>
          <w:bCs/>
        </w:rPr>
        <w:t>crizotinib</w:t>
      </w:r>
      <w:proofErr w:type="spellEnd"/>
      <w:r w:rsidR="00BE1ABE" w:rsidRPr="00C052DD">
        <w:rPr>
          <w:bCs/>
        </w:rPr>
        <w:t xml:space="preserve"> as a first-line therapy </w:t>
      </w:r>
      <w:r w:rsidR="005063F6" w:rsidRPr="00C052DD">
        <w:rPr>
          <w:bCs/>
        </w:rPr>
        <w:t xml:space="preserve">for this condition, also largely on the </w:t>
      </w:r>
      <w:r w:rsidR="00BE1ABE" w:rsidRPr="00C052DD">
        <w:rPr>
          <w:bCs/>
        </w:rPr>
        <w:t>bas</w:t>
      </w:r>
      <w:r w:rsidR="005063F6" w:rsidRPr="00C052DD">
        <w:rPr>
          <w:bCs/>
        </w:rPr>
        <w:t>is</w:t>
      </w:r>
      <w:r w:rsidR="00BE1ABE" w:rsidRPr="00C052DD">
        <w:rPr>
          <w:bCs/>
        </w:rPr>
        <w:t xml:space="preserve"> </w:t>
      </w:r>
      <w:r w:rsidR="005063F6" w:rsidRPr="00C052DD">
        <w:rPr>
          <w:bCs/>
        </w:rPr>
        <w:t xml:space="preserve">of </w:t>
      </w:r>
      <w:r w:rsidR="00BE1ABE" w:rsidRPr="00C052DD">
        <w:rPr>
          <w:bCs/>
        </w:rPr>
        <w:t>dat</w:t>
      </w:r>
      <w:r w:rsidR="00EC6077" w:rsidRPr="00C052DD">
        <w:rPr>
          <w:bCs/>
        </w:rPr>
        <w:t xml:space="preserve">a from its use in a </w:t>
      </w:r>
      <w:r w:rsidR="005063F6" w:rsidRPr="00C052DD">
        <w:rPr>
          <w:bCs/>
        </w:rPr>
        <w:t xml:space="preserve">different </w:t>
      </w:r>
      <w:r w:rsidR="000D35ED" w:rsidRPr="00C052DD">
        <w:rPr>
          <w:bCs/>
        </w:rPr>
        <w:t xml:space="preserve">setting </w:t>
      </w:r>
      <w:r w:rsidR="00EC6077" w:rsidRPr="00C052DD">
        <w:rPr>
          <w:bCs/>
        </w:rPr>
        <w:t>(</w:t>
      </w:r>
      <w:proofErr w:type="spellStart"/>
      <w:r w:rsidR="00EC6077" w:rsidRPr="00C052DD">
        <w:rPr>
          <w:bCs/>
        </w:rPr>
        <w:t>crizotinib</w:t>
      </w:r>
      <w:proofErr w:type="spellEnd"/>
      <w:r w:rsidR="00EC6077" w:rsidRPr="00C052DD">
        <w:rPr>
          <w:bCs/>
        </w:rPr>
        <w:t xml:space="preserve"> Public Summary Document, November 2014 PBAC meeting).</w:t>
      </w:r>
      <w:r w:rsidR="00EC3706">
        <w:rPr>
          <w:bCs/>
        </w:rPr>
        <w:t xml:space="preserve"> </w:t>
      </w:r>
      <w:r w:rsidR="005063F6" w:rsidRPr="00C052DD">
        <w:rPr>
          <w:bCs/>
        </w:rPr>
        <w:t xml:space="preserve">The PBAC </w:t>
      </w:r>
      <w:r w:rsidR="00EC3706">
        <w:rPr>
          <w:bCs/>
        </w:rPr>
        <w:t xml:space="preserve">therefore </w:t>
      </w:r>
      <w:r w:rsidR="005063F6" w:rsidRPr="00C052DD">
        <w:rPr>
          <w:bCs/>
        </w:rPr>
        <w:t xml:space="preserve">considered that allowing </w:t>
      </w:r>
      <w:proofErr w:type="spellStart"/>
      <w:r w:rsidR="005063F6" w:rsidRPr="00C052DD">
        <w:rPr>
          <w:bCs/>
        </w:rPr>
        <w:t>ceritinib</w:t>
      </w:r>
      <w:proofErr w:type="spellEnd"/>
      <w:r w:rsidR="005063F6" w:rsidRPr="00C052DD">
        <w:rPr>
          <w:bCs/>
        </w:rPr>
        <w:t xml:space="preserve"> treatment in any line of therapy was </w:t>
      </w:r>
      <w:r w:rsidR="004A00F0" w:rsidRPr="00C052DD">
        <w:rPr>
          <w:bCs/>
        </w:rPr>
        <w:t>appropriate.</w:t>
      </w:r>
    </w:p>
    <w:p w:rsidR="00A57507" w:rsidRPr="00C052DD" w:rsidRDefault="00A57507" w:rsidP="00A13BB9">
      <w:pPr>
        <w:contextualSpacing/>
        <w:rPr>
          <w:bCs/>
          <w:szCs w:val="22"/>
        </w:rPr>
      </w:pPr>
    </w:p>
    <w:p w:rsidR="00EC6077" w:rsidRPr="00C052DD" w:rsidRDefault="00FD4A03" w:rsidP="00F87D21">
      <w:pPr>
        <w:pStyle w:val="ListParagraph"/>
        <w:numPr>
          <w:ilvl w:val="1"/>
          <w:numId w:val="1"/>
        </w:numPr>
        <w:rPr>
          <w:bCs/>
        </w:rPr>
      </w:pPr>
      <w:r w:rsidRPr="00C052DD">
        <w:rPr>
          <w:bCs/>
        </w:rPr>
        <w:t>The</w:t>
      </w:r>
      <w:r w:rsidR="00EC6077" w:rsidRPr="00C052DD">
        <w:rPr>
          <w:bCs/>
        </w:rPr>
        <w:t xml:space="preserve"> PBAC </w:t>
      </w:r>
      <w:r w:rsidR="00BF7073" w:rsidRPr="00C052DD">
        <w:rPr>
          <w:bCs/>
        </w:rPr>
        <w:t xml:space="preserve">noted </w:t>
      </w:r>
      <w:r w:rsidR="00EC6077" w:rsidRPr="00C052DD">
        <w:rPr>
          <w:bCs/>
        </w:rPr>
        <w:t xml:space="preserve">that the financial estimates </w:t>
      </w:r>
      <w:r w:rsidR="00BF7073" w:rsidRPr="00C052DD">
        <w:rPr>
          <w:bCs/>
        </w:rPr>
        <w:t xml:space="preserve">would need to </w:t>
      </w:r>
      <w:r w:rsidR="00EC6077" w:rsidRPr="00C052DD">
        <w:rPr>
          <w:bCs/>
        </w:rPr>
        <w:t>be revised</w:t>
      </w:r>
      <w:r w:rsidRPr="00C052DD">
        <w:rPr>
          <w:bCs/>
        </w:rPr>
        <w:t xml:space="preserve"> in light of its recommendation for the PBS listing of </w:t>
      </w:r>
      <w:proofErr w:type="spellStart"/>
      <w:r w:rsidRPr="00C052DD">
        <w:rPr>
          <w:bCs/>
        </w:rPr>
        <w:t>ceritinib</w:t>
      </w:r>
      <w:proofErr w:type="spellEnd"/>
      <w:r w:rsidRPr="00C052DD">
        <w:rPr>
          <w:bCs/>
        </w:rPr>
        <w:t xml:space="preserve"> for </w:t>
      </w:r>
      <w:r w:rsidRPr="002571E8">
        <w:rPr>
          <w:bCs/>
          <w:i/>
        </w:rPr>
        <w:t>ALK</w:t>
      </w:r>
      <w:r w:rsidR="002571E8">
        <w:rPr>
          <w:bCs/>
        </w:rPr>
        <w:t>-</w:t>
      </w:r>
      <w:r w:rsidRPr="00C052DD">
        <w:rPr>
          <w:bCs/>
        </w:rPr>
        <w:t>positive NSCLC without restricting the line of therapy</w:t>
      </w:r>
      <w:r w:rsidR="00EC6077" w:rsidRPr="00C052DD">
        <w:rPr>
          <w:bCs/>
        </w:rPr>
        <w:t>. The PBAC considered that the revised estimates should also account for patients in the sponsor’s compassionate use program</w:t>
      </w:r>
      <w:r w:rsidRPr="00C052DD">
        <w:rPr>
          <w:bCs/>
        </w:rPr>
        <w:t>,</w:t>
      </w:r>
      <w:r w:rsidR="00EC6077" w:rsidRPr="00C052DD">
        <w:rPr>
          <w:bCs/>
        </w:rPr>
        <w:t xml:space="preserve"> who </w:t>
      </w:r>
      <w:r w:rsidR="00BF7073" w:rsidRPr="00C052DD">
        <w:rPr>
          <w:bCs/>
        </w:rPr>
        <w:t>may</w:t>
      </w:r>
      <w:r w:rsidR="00EC6077" w:rsidRPr="00C052DD">
        <w:rPr>
          <w:bCs/>
        </w:rPr>
        <w:t xml:space="preserve"> be eligible to receive </w:t>
      </w:r>
      <w:proofErr w:type="spellStart"/>
      <w:r w:rsidR="00EC6077" w:rsidRPr="00C052DD">
        <w:rPr>
          <w:bCs/>
        </w:rPr>
        <w:t>ceritinib</w:t>
      </w:r>
      <w:proofErr w:type="spellEnd"/>
      <w:r w:rsidR="00EC6077" w:rsidRPr="00C052DD">
        <w:rPr>
          <w:bCs/>
        </w:rPr>
        <w:t xml:space="preserve"> vi</w:t>
      </w:r>
      <w:r w:rsidR="00EC3706">
        <w:rPr>
          <w:bCs/>
        </w:rPr>
        <w:t>a a grandfathering arrangement.</w:t>
      </w:r>
    </w:p>
    <w:p w:rsidR="00EF54F6" w:rsidRPr="00C052DD" w:rsidRDefault="00EF54F6" w:rsidP="002E1111">
      <w:pPr>
        <w:rPr>
          <w:bCs/>
        </w:rPr>
      </w:pPr>
    </w:p>
    <w:p w:rsidR="00A57507" w:rsidRPr="00C052DD" w:rsidRDefault="00A57507" w:rsidP="00F87D21">
      <w:pPr>
        <w:numPr>
          <w:ilvl w:val="1"/>
          <w:numId w:val="1"/>
        </w:numPr>
        <w:rPr>
          <w:bCs/>
        </w:rPr>
      </w:pPr>
      <w:r w:rsidRPr="00C052DD">
        <w:rPr>
          <w:szCs w:val="22"/>
        </w:rPr>
        <w:t xml:space="preserve">The PBAC advised that </w:t>
      </w:r>
      <w:proofErr w:type="spellStart"/>
      <w:r w:rsidR="005712F1" w:rsidRPr="00C052DD">
        <w:rPr>
          <w:bCs/>
        </w:rPr>
        <w:t>ceritinib</w:t>
      </w:r>
      <w:proofErr w:type="spellEnd"/>
      <w:r w:rsidR="005712F1" w:rsidRPr="00C052DD">
        <w:rPr>
          <w:szCs w:val="22"/>
        </w:rPr>
        <w:t xml:space="preserve"> </w:t>
      </w:r>
      <w:r w:rsidRPr="00C052DD">
        <w:rPr>
          <w:szCs w:val="22"/>
        </w:rPr>
        <w:t>was not suitable for prescribing by nurse practitioners.</w:t>
      </w:r>
    </w:p>
    <w:p w:rsidR="00A57507" w:rsidRPr="00C052DD" w:rsidRDefault="00A57507" w:rsidP="005712F1">
      <w:pPr>
        <w:rPr>
          <w:bCs/>
        </w:rPr>
      </w:pPr>
    </w:p>
    <w:p w:rsidR="00A57507" w:rsidRPr="00C052DD" w:rsidRDefault="00A57507" w:rsidP="00F87D21">
      <w:pPr>
        <w:numPr>
          <w:ilvl w:val="1"/>
          <w:numId w:val="1"/>
        </w:numPr>
        <w:rPr>
          <w:bCs/>
        </w:rPr>
      </w:pPr>
      <w:r w:rsidRPr="00C052DD">
        <w:rPr>
          <w:bCs/>
        </w:rPr>
        <w:t>The PBAC noted that this submission is not eligible for an Independent Review because the PBAC has made a positive recommendation.</w:t>
      </w:r>
    </w:p>
    <w:p w:rsidR="00A57507" w:rsidRPr="00C052DD" w:rsidRDefault="00A57507" w:rsidP="0039017F">
      <w:pPr>
        <w:rPr>
          <w:b/>
          <w:bCs/>
          <w:szCs w:val="22"/>
        </w:rPr>
      </w:pPr>
    </w:p>
    <w:p w:rsidR="0039017F" w:rsidRPr="00C052DD" w:rsidRDefault="0039017F" w:rsidP="0039017F">
      <w:pPr>
        <w:rPr>
          <w:b/>
          <w:bCs/>
          <w:szCs w:val="22"/>
        </w:rPr>
      </w:pPr>
      <w:r w:rsidRPr="00C052DD">
        <w:rPr>
          <w:b/>
          <w:bCs/>
          <w:szCs w:val="22"/>
        </w:rPr>
        <w:t>Outcome:</w:t>
      </w:r>
    </w:p>
    <w:p w:rsidR="0039017F" w:rsidRPr="00C052DD" w:rsidRDefault="00A57507" w:rsidP="0039017F">
      <w:pPr>
        <w:rPr>
          <w:bCs/>
          <w:szCs w:val="22"/>
        </w:rPr>
      </w:pPr>
      <w:r w:rsidRPr="00C052DD">
        <w:rPr>
          <w:bCs/>
          <w:szCs w:val="22"/>
        </w:rPr>
        <w:t>Recommended</w:t>
      </w:r>
    </w:p>
    <w:p w:rsidR="0039017F" w:rsidRPr="00C052DD" w:rsidRDefault="0039017F" w:rsidP="0039017F">
      <w:pPr>
        <w:rPr>
          <w:bCs/>
          <w:szCs w:val="22"/>
        </w:rPr>
      </w:pPr>
    </w:p>
    <w:p w:rsidR="0039017F" w:rsidRPr="00C052DD" w:rsidRDefault="0039017F" w:rsidP="0039017F">
      <w:pPr>
        <w:rPr>
          <w:bCs/>
          <w:szCs w:val="22"/>
        </w:rPr>
      </w:pPr>
    </w:p>
    <w:p w:rsidR="0039017F" w:rsidRPr="002F20CE" w:rsidRDefault="0039017F" w:rsidP="002F20CE">
      <w:pPr>
        <w:pStyle w:val="PBACHeading1"/>
        <w:keepNext/>
        <w:numPr>
          <w:ilvl w:val="0"/>
          <w:numId w:val="1"/>
        </w:numPr>
        <w:outlineLvl w:val="0"/>
      </w:pPr>
      <w:r w:rsidRPr="002F20CE">
        <w:t>Recommended listing</w:t>
      </w:r>
    </w:p>
    <w:p w:rsidR="0039017F" w:rsidRPr="00EE3DA5" w:rsidRDefault="0039017F" w:rsidP="0039017F">
      <w:pPr>
        <w:rPr>
          <w:bCs/>
          <w:szCs w:val="22"/>
        </w:rPr>
      </w:pPr>
    </w:p>
    <w:p w:rsidR="0039017F" w:rsidRPr="00C052DD" w:rsidRDefault="0039017F" w:rsidP="00F87D21">
      <w:pPr>
        <w:pStyle w:val="ListParagraph"/>
        <w:widowControl/>
        <w:numPr>
          <w:ilvl w:val="1"/>
          <w:numId w:val="1"/>
        </w:numPr>
        <w:rPr>
          <w:bCs/>
          <w:szCs w:val="22"/>
        </w:rPr>
      </w:pPr>
      <w:r w:rsidRPr="00C052DD">
        <w:rPr>
          <w:bCs/>
          <w:szCs w:val="22"/>
        </w:rPr>
        <w:t>Add new item:</w:t>
      </w:r>
    </w:p>
    <w:p w:rsidR="00A57507" w:rsidRPr="00C052DD" w:rsidRDefault="00A57507" w:rsidP="00A57507">
      <w:pPr>
        <w:ind w:firstLine="709"/>
        <w:rPr>
          <w:bCs/>
          <w:szCs w:val="22"/>
          <w:highlight w:val="yellow"/>
        </w:rPr>
      </w:pPr>
    </w:p>
    <w:p w:rsidR="00EE4A57" w:rsidRPr="00C052DD" w:rsidRDefault="00EE4A57" w:rsidP="0039017F">
      <w:pPr>
        <w:rPr>
          <w:rFonts w:ascii="Calibri" w:hAnsi="Calibri" w:cs="Calibri"/>
        </w:rPr>
      </w:pPr>
    </w:p>
    <w:tbl>
      <w:tblPr>
        <w:tblW w:w="8080" w:type="dxa"/>
        <w:tblInd w:w="817" w:type="dxa"/>
        <w:tblLayout w:type="fixed"/>
        <w:tblLook w:val="0000" w:firstRow="0" w:lastRow="0" w:firstColumn="0" w:lastColumn="0" w:noHBand="0" w:noVBand="0"/>
      </w:tblPr>
      <w:tblGrid>
        <w:gridCol w:w="2835"/>
        <w:gridCol w:w="1276"/>
        <w:gridCol w:w="992"/>
        <w:gridCol w:w="1134"/>
        <w:gridCol w:w="1843"/>
      </w:tblGrid>
      <w:tr w:rsidR="003A67D6" w:rsidRPr="00260CE3" w:rsidTr="00E56A7F">
        <w:trPr>
          <w:cantSplit/>
          <w:trHeight w:val="471"/>
        </w:trPr>
        <w:tc>
          <w:tcPr>
            <w:tcW w:w="2835" w:type="dxa"/>
            <w:tcBorders>
              <w:bottom w:val="single" w:sz="4" w:space="0" w:color="auto"/>
            </w:tcBorders>
          </w:tcPr>
          <w:p w:rsidR="003A67D6" w:rsidRPr="00260CE3" w:rsidRDefault="003A67D6" w:rsidP="00E56A7F">
            <w:pPr>
              <w:keepNext/>
              <w:ind w:left="-108"/>
              <w:rPr>
                <w:rFonts w:ascii="Arial Narrow" w:hAnsi="Arial Narrow"/>
                <w:sz w:val="20"/>
              </w:rPr>
            </w:pPr>
            <w:r w:rsidRPr="00260CE3">
              <w:rPr>
                <w:rFonts w:ascii="Arial Narrow" w:hAnsi="Arial Narrow"/>
                <w:sz w:val="20"/>
              </w:rPr>
              <w:t>Name, Restriction,</w:t>
            </w:r>
          </w:p>
          <w:p w:rsidR="003A67D6" w:rsidRPr="00260CE3" w:rsidRDefault="003A67D6" w:rsidP="00E56A7F">
            <w:pPr>
              <w:keepNext/>
              <w:ind w:left="-108"/>
              <w:rPr>
                <w:rFonts w:ascii="Arial Narrow" w:hAnsi="Arial Narrow"/>
                <w:sz w:val="20"/>
              </w:rPr>
            </w:pPr>
            <w:r w:rsidRPr="00260CE3">
              <w:rPr>
                <w:rFonts w:ascii="Arial Narrow" w:hAnsi="Arial Narrow"/>
                <w:sz w:val="20"/>
              </w:rPr>
              <w:t>Manner of administration and form</w:t>
            </w:r>
          </w:p>
        </w:tc>
        <w:tc>
          <w:tcPr>
            <w:tcW w:w="1276" w:type="dxa"/>
            <w:tcBorders>
              <w:bottom w:val="single" w:sz="4" w:space="0" w:color="auto"/>
            </w:tcBorders>
          </w:tcPr>
          <w:p w:rsidR="003A67D6" w:rsidRPr="00260CE3" w:rsidRDefault="003A67D6" w:rsidP="00E56A7F">
            <w:pPr>
              <w:keepNext/>
              <w:ind w:left="-108"/>
              <w:rPr>
                <w:rFonts w:ascii="Arial Narrow" w:hAnsi="Arial Narrow"/>
                <w:sz w:val="20"/>
              </w:rPr>
            </w:pPr>
            <w:r w:rsidRPr="00260CE3">
              <w:rPr>
                <w:rFonts w:ascii="Arial Narrow" w:hAnsi="Arial Narrow"/>
                <w:sz w:val="20"/>
              </w:rPr>
              <w:t>Max.</w:t>
            </w:r>
          </w:p>
          <w:p w:rsidR="003A67D6" w:rsidRPr="00260CE3" w:rsidRDefault="003A67D6" w:rsidP="00E56A7F">
            <w:pPr>
              <w:keepNext/>
              <w:ind w:left="-108"/>
              <w:rPr>
                <w:rFonts w:ascii="Arial Narrow" w:hAnsi="Arial Narrow"/>
                <w:sz w:val="20"/>
              </w:rPr>
            </w:pPr>
            <w:proofErr w:type="spellStart"/>
            <w:r w:rsidRPr="00260CE3">
              <w:rPr>
                <w:rFonts w:ascii="Arial Narrow" w:hAnsi="Arial Narrow"/>
                <w:sz w:val="20"/>
              </w:rPr>
              <w:t>Qty</w:t>
            </w:r>
            <w:proofErr w:type="spellEnd"/>
            <w:r>
              <w:rPr>
                <w:rFonts w:ascii="Arial Narrow" w:hAnsi="Arial Narrow"/>
                <w:sz w:val="20"/>
              </w:rPr>
              <w:t xml:space="preserve"> Units</w:t>
            </w:r>
          </w:p>
        </w:tc>
        <w:tc>
          <w:tcPr>
            <w:tcW w:w="992" w:type="dxa"/>
            <w:tcBorders>
              <w:bottom w:val="single" w:sz="4" w:space="0" w:color="auto"/>
            </w:tcBorders>
          </w:tcPr>
          <w:p w:rsidR="003A67D6" w:rsidRPr="00260CE3" w:rsidRDefault="003A67D6" w:rsidP="00E56A7F">
            <w:pPr>
              <w:keepNext/>
              <w:ind w:left="-108"/>
              <w:rPr>
                <w:rFonts w:ascii="Arial Narrow" w:hAnsi="Arial Narrow"/>
                <w:sz w:val="20"/>
              </w:rPr>
            </w:pPr>
            <w:r w:rsidRPr="00260CE3">
              <w:rPr>
                <w:rFonts w:ascii="Arial Narrow" w:hAnsi="Arial Narrow"/>
                <w:sz w:val="20"/>
              </w:rPr>
              <w:t>№.of</w:t>
            </w:r>
          </w:p>
          <w:p w:rsidR="003A67D6" w:rsidRPr="00260CE3" w:rsidRDefault="003A67D6" w:rsidP="00E56A7F">
            <w:pPr>
              <w:keepNext/>
              <w:ind w:left="-108"/>
              <w:rPr>
                <w:rFonts w:ascii="Arial Narrow" w:hAnsi="Arial Narrow"/>
                <w:sz w:val="20"/>
              </w:rPr>
            </w:pPr>
            <w:proofErr w:type="spellStart"/>
            <w:r w:rsidRPr="00260CE3">
              <w:rPr>
                <w:rFonts w:ascii="Arial Narrow" w:hAnsi="Arial Narrow"/>
                <w:sz w:val="20"/>
              </w:rPr>
              <w:t>Rpts</w:t>
            </w:r>
            <w:proofErr w:type="spellEnd"/>
          </w:p>
        </w:tc>
        <w:tc>
          <w:tcPr>
            <w:tcW w:w="2977" w:type="dxa"/>
            <w:gridSpan w:val="2"/>
            <w:tcBorders>
              <w:bottom w:val="single" w:sz="4" w:space="0" w:color="auto"/>
            </w:tcBorders>
          </w:tcPr>
          <w:p w:rsidR="003A67D6" w:rsidRPr="00260CE3" w:rsidRDefault="003A67D6" w:rsidP="00E56A7F">
            <w:pPr>
              <w:keepNext/>
              <w:rPr>
                <w:rFonts w:ascii="Arial Narrow" w:hAnsi="Arial Narrow"/>
                <w:sz w:val="20"/>
                <w:lang w:val="fr-FR"/>
              </w:rPr>
            </w:pPr>
            <w:r w:rsidRPr="00260CE3">
              <w:rPr>
                <w:rFonts w:ascii="Arial Narrow" w:hAnsi="Arial Narrow"/>
                <w:sz w:val="20"/>
              </w:rPr>
              <w:t>Proprietary Name and Manufacturer</w:t>
            </w:r>
          </w:p>
        </w:tc>
      </w:tr>
      <w:tr w:rsidR="003A67D6" w:rsidRPr="00260CE3" w:rsidTr="00E56A7F">
        <w:trPr>
          <w:cantSplit/>
          <w:trHeight w:val="577"/>
        </w:trPr>
        <w:tc>
          <w:tcPr>
            <w:tcW w:w="2835" w:type="dxa"/>
          </w:tcPr>
          <w:p w:rsidR="003A67D6" w:rsidRPr="00345EDF" w:rsidRDefault="003A67D6" w:rsidP="00E56A7F">
            <w:pPr>
              <w:keepNext/>
              <w:ind w:left="-108"/>
              <w:rPr>
                <w:rFonts w:ascii="Arial Narrow" w:hAnsi="Arial Narrow"/>
                <w:sz w:val="20"/>
              </w:rPr>
            </w:pPr>
            <w:r w:rsidRPr="00345EDF">
              <w:rPr>
                <w:rFonts w:ascii="Arial Narrow" w:hAnsi="Arial Narrow"/>
                <w:smallCaps/>
                <w:sz w:val="20"/>
              </w:rPr>
              <w:t>CERITINIB</w:t>
            </w:r>
          </w:p>
          <w:p w:rsidR="003A67D6" w:rsidRPr="00345EDF" w:rsidRDefault="003A67D6" w:rsidP="00E56A7F">
            <w:pPr>
              <w:keepNext/>
              <w:ind w:left="-108"/>
              <w:rPr>
                <w:rFonts w:ascii="Arial Narrow" w:hAnsi="Arial Narrow"/>
                <w:sz w:val="20"/>
              </w:rPr>
            </w:pPr>
            <w:proofErr w:type="spellStart"/>
            <w:r w:rsidRPr="00345EDF">
              <w:rPr>
                <w:rFonts w:ascii="Arial Narrow" w:hAnsi="Arial Narrow"/>
                <w:sz w:val="20"/>
              </w:rPr>
              <w:t>ceritinib</w:t>
            </w:r>
            <w:proofErr w:type="spellEnd"/>
            <w:r w:rsidRPr="00345EDF">
              <w:rPr>
                <w:rFonts w:ascii="Arial Narrow" w:hAnsi="Arial Narrow"/>
                <w:sz w:val="20"/>
              </w:rPr>
              <w:t xml:space="preserve"> 150 mg capsule, </w:t>
            </w:r>
            <w:r w:rsidRPr="00345EDF">
              <w:rPr>
                <w:rFonts w:ascii="Arial Narrow" w:hAnsi="Arial Narrow"/>
                <w:i/>
                <w:sz w:val="20"/>
              </w:rPr>
              <w:t xml:space="preserve"> 50</w:t>
            </w:r>
          </w:p>
          <w:p w:rsidR="003A67D6" w:rsidRPr="00345EDF" w:rsidRDefault="003A67D6" w:rsidP="00E56A7F">
            <w:pPr>
              <w:keepNext/>
              <w:rPr>
                <w:rFonts w:ascii="Arial Narrow" w:hAnsi="Arial Narrow"/>
                <w:sz w:val="20"/>
              </w:rPr>
            </w:pPr>
          </w:p>
        </w:tc>
        <w:tc>
          <w:tcPr>
            <w:tcW w:w="1276" w:type="dxa"/>
          </w:tcPr>
          <w:p w:rsidR="003A67D6" w:rsidRPr="00345EDF" w:rsidRDefault="003A67D6" w:rsidP="00E56A7F">
            <w:pPr>
              <w:keepNext/>
              <w:ind w:left="-108"/>
              <w:rPr>
                <w:rFonts w:ascii="Arial Narrow" w:hAnsi="Arial Narrow"/>
                <w:sz w:val="20"/>
              </w:rPr>
            </w:pPr>
          </w:p>
          <w:p w:rsidR="003A67D6" w:rsidRPr="00345EDF" w:rsidRDefault="003A67D6" w:rsidP="00E56A7F">
            <w:pPr>
              <w:keepNext/>
              <w:ind w:left="-108"/>
              <w:rPr>
                <w:rFonts w:ascii="Arial Narrow" w:hAnsi="Arial Narrow"/>
                <w:sz w:val="20"/>
              </w:rPr>
            </w:pPr>
            <w:r w:rsidRPr="00345EDF">
              <w:rPr>
                <w:rFonts w:ascii="Arial Narrow" w:hAnsi="Arial Narrow"/>
                <w:sz w:val="20"/>
              </w:rPr>
              <w:t>150</w:t>
            </w:r>
          </w:p>
        </w:tc>
        <w:tc>
          <w:tcPr>
            <w:tcW w:w="992" w:type="dxa"/>
          </w:tcPr>
          <w:p w:rsidR="003A67D6" w:rsidRPr="00345EDF" w:rsidRDefault="003A67D6" w:rsidP="00E56A7F">
            <w:pPr>
              <w:keepNext/>
              <w:ind w:left="-108"/>
              <w:rPr>
                <w:rFonts w:ascii="Arial Narrow" w:hAnsi="Arial Narrow"/>
                <w:sz w:val="20"/>
              </w:rPr>
            </w:pPr>
          </w:p>
          <w:p w:rsidR="003A67D6" w:rsidRPr="00345EDF" w:rsidRDefault="003A67D6" w:rsidP="00E56A7F">
            <w:pPr>
              <w:keepNext/>
              <w:ind w:left="-108"/>
              <w:rPr>
                <w:rFonts w:ascii="Arial Narrow" w:hAnsi="Arial Narrow"/>
                <w:sz w:val="20"/>
              </w:rPr>
            </w:pPr>
            <w:r w:rsidRPr="00345EDF">
              <w:rPr>
                <w:rFonts w:ascii="Arial Narrow" w:hAnsi="Arial Narrow"/>
                <w:sz w:val="20"/>
              </w:rPr>
              <w:t>1</w:t>
            </w:r>
          </w:p>
        </w:tc>
        <w:tc>
          <w:tcPr>
            <w:tcW w:w="1134" w:type="dxa"/>
            <w:vAlign w:val="center"/>
          </w:tcPr>
          <w:p w:rsidR="003A67D6" w:rsidRPr="00345EDF" w:rsidRDefault="003A67D6" w:rsidP="00E56A7F">
            <w:pPr>
              <w:keepNext/>
              <w:jc w:val="center"/>
              <w:rPr>
                <w:rFonts w:ascii="Arial Narrow" w:hAnsi="Arial Narrow"/>
                <w:sz w:val="20"/>
              </w:rPr>
            </w:pPr>
            <w:proofErr w:type="spellStart"/>
            <w:r w:rsidRPr="00345EDF">
              <w:rPr>
                <w:rFonts w:ascii="Arial Narrow" w:hAnsi="Arial Narrow"/>
                <w:sz w:val="20"/>
              </w:rPr>
              <w:t>Zykadia</w:t>
            </w:r>
            <w:proofErr w:type="spellEnd"/>
          </w:p>
        </w:tc>
        <w:tc>
          <w:tcPr>
            <w:tcW w:w="1843" w:type="dxa"/>
          </w:tcPr>
          <w:p w:rsidR="003A67D6" w:rsidRPr="004850A1" w:rsidRDefault="003A67D6" w:rsidP="00E56A7F">
            <w:pPr>
              <w:keepNext/>
              <w:rPr>
                <w:rFonts w:ascii="Arial Narrow" w:hAnsi="Arial Narrow"/>
                <w:sz w:val="20"/>
              </w:rPr>
            </w:pPr>
            <w:r w:rsidRPr="00345EDF">
              <w:rPr>
                <w:rFonts w:ascii="Arial Narrow" w:hAnsi="Arial Narrow"/>
                <w:sz w:val="20"/>
              </w:rPr>
              <w:t>Novartis Pharmaceuticals Australia Pty Ltd</w:t>
            </w:r>
          </w:p>
        </w:tc>
      </w:tr>
      <w:tr w:rsidR="003A67D6" w:rsidRPr="00260CE3" w:rsidTr="00E56A7F">
        <w:trPr>
          <w:cantSplit/>
          <w:trHeight w:val="360"/>
        </w:trPr>
        <w:tc>
          <w:tcPr>
            <w:tcW w:w="8080" w:type="dxa"/>
            <w:gridSpan w:val="5"/>
            <w:tcBorders>
              <w:bottom w:val="single" w:sz="4" w:space="0" w:color="auto"/>
            </w:tcBorders>
          </w:tcPr>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Category / Program</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260CE3">
              <w:rPr>
                <w:rFonts w:ascii="Arial Narrow" w:hAnsi="Arial Narrow"/>
                <w:sz w:val="20"/>
              </w:rPr>
              <w:t>GENERAL – General Schedule (Code GE)</w:t>
            </w:r>
          </w:p>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Prescriber type:</w:t>
            </w:r>
          </w:p>
          <w:p w:rsidR="003A67D6" w:rsidRPr="00260CE3" w:rsidRDefault="003A67D6" w:rsidP="00E56A7F">
            <w:pPr>
              <w:rPr>
                <w:rFonts w:ascii="Arial Narrow" w:hAnsi="Arial Narrow"/>
                <w:b/>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p>
          <w:p w:rsidR="003A67D6" w:rsidRPr="00260CE3" w:rsidRDefault="003A67D6" w:rsidP="00E56A7F">
            <w:pPr>
              <w:rPr>
                <w:rFonts w:ascii="Arial Narrow" w:hAnsi="Arial Narrow"/>
                <w:sz w:val="20"/>
              </w:rPr>
            </w:pP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Severity:</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Condition:</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non-small cell lung cancer</w:t>
            </w:r>
            <w:r>
              <w:rPr>
                <w:rFonts w:ascii="Arial Narrow" w:hAnsi="Arial Narrow"/>
                <w:sz w:val="20"/>
              </w:rPr>
              <w:t xml:space="preserve"> (NSCLC)</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PBS Indication:</w:t>
            </w:r>
          </w:p>
          <w:p w:rsidR="003A67D6" w:rsidRPr="00AE058A"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r>
              <w:rPr>
                <w:rFonts w:ascii="Arial Narrow" w:hAnsi="Arial Narrow"/>
                <w:sz w:val="20"/>
              </w:rPr>
              <w:t xml:space="preserve"> </w:t>
            </w:r>
            <w:r w:rsidRPr="004850A1">
              <w:rPr>
                <w:rFonts w:ascii="Arial Narrow" w:hAnsi="Arial Narrow"/>
                <w:sz w:val="20"/>
              </w:rPr>
              <w:t>non-small cell lung cancer</w:t>
            </w:r>
            <w:r>
              <w:rPr>
                <w:rFonts w:ascii="Arial Narrow" w:hAnsi="Arial Narrow"/>
                <w:sz w:val="20"/>
              </w:rPr>
              <w:t xml:space="preserve"> (NSCLC)</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Treatment phase:</w:t>
            </w:r>
          </w:p>
          <w:p w:rsidR="003A67D6" w:rsidRPr="00260CE3"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Initia</w:t>
            </w:r>
            <w:r>
              <w:rPr>
                <w:rFonts w:ascii="Arial Narrow" w:hAnsi="Arial Narrow"/>
                <w:sz w:val="20"/>
              </w:rPr>
              <w:t>l treatment</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3A67D6" w:rsidRPr="00CD28F3"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106BCF" w:rsidRDefault="003A67D6" w:rsidP="00E56A7F">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A67D6" w:rsidRPr="00106BCF" w:rsidRDefault="00810FD1" w:rsidP="00E56A7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003A67D6" w:rsidRPr="00106BCF">
              <w:rPr>
                <w:rFonts w:ascii="Arial Narrow" w:hAnsi="Arial Narrow"/>
                <w:sz w:val="20"/>
              </w:rPr>
              <w:t>Authority Required - In Writing</w:t>
            </w:r>
          </w:p>
          <w:p w:rsidR="003A67D6" w:rsidRPr="00106BCF" w:rsidRDefault="003A67D6" w:rsidP="00E56A7F">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3A67D6" w:rsidRPr="00106BCF" w:rsidRDefault="003A67D6" w:rsidP="00E56A7F">
            <w:pPr>
              <w:rPr>
                <w:rFonts w:ascii="Arial Narrow" w:hAnsi="Arial Narrow"/>
                <w:sz w:val="20"/>
              </w:rPr>
            </w:pPr>
            <w:r>
              <w:rPr>
                <w:rFonts w:ascii="Arial Narrow" w:hAnsi="Arial Narrow"/>
                <w:sz w:val="20"/>
              </w:rPr>
              <w:fldChar w:fldCharType="begin">
                <w:ffData>
                  <w:name w:val="Check1"/>
                  <w:enabled/>
                  <w:calcOnExit w:val="0"/>
                  <w:checkBox>
                    <w:sizeAuto/>
                    <w:default w:val="1"/>
                  </w:checkBox>
                </w:ffData>
              </w:fldChar>
            </w:r>
            <w:bookmarkStart w:id="21" w:name="Check1"/>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bookmarkEnd w:id="21"/>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3A67D6" w:rsidRPr="00106BCF" w:rsidRDefault="003A67D6" w:rsidP="00E56A7F">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3A67D6" w:rsidRPr="00260CE3" w:rsidRDefault="003A67D6" w:rsidP="00E56A7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p>
          <w:p w:rsidR="003A67D6" w:rsidRPr="00260CE3" w:rsidRDefault="003A67D6" w:rsidP="00E56A7F">
            <w:pPr>
              <w:rPr>
                <w:rFonts w:ascii="Arial Narrow" w:hAnsi="Arial Narrow"/>
                <w:b/>
                <w:sz w:val="20"/>
              </w:rPr>
            </w:pPr>
            <w:r w:rsidRPr="00260CE3">
              <w:rPr>
                <w:rFonts w:ascii="Arial Narrow" w:hAnsi="Arial Narrow"/>
                <w:b/>
                <w:sz w:val="20"/>
              </w:rPr>
              <w:t>Clinical criteria:</w:t>
            </w:r>
          </w:p>
          <w:p w:rsidR="003A67D6" w:rsidRPr="00260CE3" w:rsidRDefault="003A67D6" w:rsidP="00E56A7F">
            <w:pPr>
              <w:rPr>
                <w:rFonts w:ascii="Arial Narrow" w:hAnsi="Arial Narrow"/>
                <w:i/>
                <w:sz w:val="20"/>
              </w:rPr>
            </w:pPr>
          </w:p>
          <w:p w:rsidR="003A67D6" w:rsidRPr="00260CE3" w:rsidRDefault="003A67D6" w:rsidP="00E56A7F">
            <w:pPr>
              <w:rPr>
                <w:rFonts w:ascii="Arial Narrow" w:hAnsi="Arial Narrow"/>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i/>
                <w:sz w:val="20"/>
              </w:rPr>
            </w:pPr>
          </w:p>
          <w:p w:rsidR="003A67D6" w:rsidRPr="00EE4A57" w:rsidRDefault="003A67D6" w:rsidP="00E56A7F">
            <w:pPr>
              <w:rPr>
                <w:rFonts w:ascii="Arial Narrow" w:hAnsi="Arial Narrow"/>
                <w:sz w:val="20"/>
              </w:rPr>
            </w:pPr>
            <w:r w:rsidRPr="00EE4A57">
              <w:rPr>
                <w:rFonts w:ascii="Arial Narrow" w:hAnsi="Arial Narrow"/>
                <w:sz w:val="20"/>
              </w:rPr>
              <w:t>The treatment must be as monotherapy</w:t>
            </w:r>
          </w:p>
          <w:p w:rsidR="003A67D6" w:rsidRPr="00EE4A57" w:rsidRDefault="003A67D6" w:rsidP="00E56A7F">
            <w:pPr>
              <w:rPr>
                <w:rFonts w:ascii="Arial Narrow" w:hAnsi="Arial Narrow"/>
                <w:sz w:val="20"/>
              </w:rPr>
            </w:pPr>
            <w:r w:rsidRPr="00EE4A57">
              <w:rPr>
                <w:rFonts w:ascii="Arial Narrow" w:hAnsi="Arial Narrow"/>
                <w:sz w:val="20"/>
              </w:rPr>
              <w:t>AND</w:t>
            </w:r>
          </w:p>
          <w:p w:rsidR="003A67D6" w:rsidRPr="00EE4A57" w:rsidRDefault="003A67D6" w:rsidP="00E56A7F">
            <w:pPr>
              <w:rPr>
                <w:rFonts w:ascii="Arial Narrow" w:hAnsi="Arial Narrow"/>
                <w:sz w:val="20"/>
              </w:rPr>
            </w:pPr>
            <w:r w:rsidRPr="00EE4A57">
              <w:rPr>
                <w:rFonts w:ascii="Arial Narrow" w:hAnsi="Arial Narrow"/>
                <w:sz w:val="20"/>
              </w:rPr>
              <w:t>The condition must be non-squamous type non-small cell lung cancer (NSCLC) or not otherwise specified type NSCLC</w:t>
            </w:r>
          </w:p>
          <w:p w:rsidR="003A67D6" w:rsidRPr="00EE4A57" w:rsidRDefault="003A67D6" w:rsidP="00E56A7F">
            <w:pPr>
              <w:rPr>
                <w:rFonts w:ascii="Arial Narrow" w:hAnsi="Arial Narrow"/>
                <w:sz w:val="20"/>
              </w:rPr>
            </w:pPr>
            <w:r w:rsidRPr="00EE4A57">
              <w:rPr>
                <w:rFonts w:ascii="Arial Narrow" w:hAnsi="Arial Narrow"/>
                <w:sz w:val="20"/>
              </w:rPr>
              <w:t>AND</w:t>
            </w:r>
          </w:p>
          <w:p w:rsidR="003A67D6" w:rsidRPr="00EE4A57" w:rsidRDefault="003A67D6" w:rsidP="00E56A7F">
            <w:pPr>
              <w:rPr>
                <w:rFonts w:ascii="Arial Narrow" w:hAnsi="Arial Narrow"/>
                <w:sz w:val="20"/>
              </w:rPr>
            </w:pPr>
            <w:r w:rsidRPr="00EE4A57">
              <w:rPr>
                <w:rFonts w:ascii="Arial Narrow" w:hAnsi="Arial Narrow"/>
                <w:sz w:val="20"/>
              </w:rPr>
              <w:t>Patient must have a WHO performance status of 2 or less.</w:t>
            </w:r>
          </w:p>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p>
          <w:p w:rsidR="003A67D6" w:rsidRPr="00260CE3" w:rsidRDefault="003A67D6" w:rsidP="00E56A7F">
            <w:pPr>
              <w:rPr>
                <w:rFonts w:ascii="Arial Narrow" w:hAnsi="Arial Narrow"/>
                <w:b/>
                <w:sz w:val="20"/>
              </w:rPr>
            </w:pPr>
            <w:r>
              <w:rPr>
                <w:rFonts w:ascii="Arial Narrow" w:hAnsi="Arial Narrow"/>
                <w:b/>
                <w:sz w:val="20"/>
              </w:rPr>
              <w:t>Population Criteria</w:t>
            </w: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p>
          <w:p w:rsidR="003A67D6" w:rsidRDefault="003A67D6" w:rsidP="00E56A7F">
            <w:pPr>
              <w:rPr>
                <w:rFonts w:ascii="Arial Narrow" w:hAnsi="Arial Narrow"/>
                <w:sz w:val="20"/>
              </w:rPr>
            </w:pPr>
            <w:r w:rsidRPr="00EE4A57">
              <w:rPr>
                <w:rFonts w:ascii="Arial Narrow" w:hAnsi="Arial Narrow"/>
                <w:sz w:val="20"/>
              </w:rPr>
              <w:t>Patient must have evidence of an anaplastic lymphoma kinase (ALK) gene rearrangement in tumour material, defined as 15% (or greater) positive cells by fluorescence in situ hybridisation (FISH) testing.</w:t>
            </w:r>
          </w:p>
          <w:p w:rsidR="003A67D6" w:rsidRPr="00EE4A57" w:rsidRDefault="003A67D6" w:rsidP="00E56A7F">
            <w:pPr>
              <w:rPr>
                <w:rFonts w:ascii="Arial Narrow" w:hAnsi="Arial Narrow"/>
                <w:sz w:val="20"/>
              </w:rPr>
            </w:pP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p>
          <w:p w:rsidR="003A67D6" w:rsidRPr="00260CE3" w:rsidRDefault="003A67D6" w:rsidP="00E56A7F">
            <w:pPr>
              <w:rPr>
                <w:rFonts w:ascii="Arial Narrow" w:hAnsi="Arial Narrow"/>
                <w:b/>
                <w:sz w:val="20"/>
              </w:rPr>
            </w:pPr>
            <w:r w:rsidRPr="00260CE3">
              <w:rPr>
                <w:rFonts w:ascii="Arial Narrow" w:hAnsi="Arial Narrow"/>
                <w:b/>
                <w:sz w:val="20"/>
              </w:rPr>
              <w:t>Administrative Advice</w:t>
            </w:r>
          </w:p>
          <w:p w:rsidR="003A67D6" w:rsidRPr="00260CE3" w:rsidRDefault="003A67D6" w:rsidP="00E56A7F">
            <w:pPr>
              <w:rPr>
                <w:rFonts w:ascii="Arial Narrow" w:hAnsi="Arial Narrow"/>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p>
          <w:p w:rsidR="003A67D6" w:rsidRDefault="003A67D6" w:rsidP="00E56A7F">
            <w:pPr>
              <w:rPr>
                <w:rFonts w:ascii="Arial Narrow" w:hAnsi="Arial Narrow"/>
                <w:sz w:val="20"/>
              </w:rPr>
            </w:pPr>
            <w:r w:rsidRPr="00EE4A57">
              <w:rPr>
                <w:rFonts w:ascii="Arial Narrow" w:hAnsi="Arial Narrow"/>
                <w:sz w:val="20"/>
              </w:rPr>
              <w:t xml:space="preserve">No increase in the maximum quantity or number of units may be authorised. </w:t>
            </w:r>
          </w:p>
          <w:p w:rsidR="003A67D6" w:rsidRPr="00EE4A57" w:rsidRDefault="003A67D6" w:rsidP="00E56A7F">
            <w:pPr>
              <w:rPr>
                <w:rFonts w:ascii="Arial Narrow" w:hAnsi="Arial Narrow"/>
                <w:sz w:val="20"/>
              </w:rPr>
            </w:pPr>
            <w:r w:rsidRPr="00EE4A57">
              <w:rPr>
                <w:rFonts w:ascii="Arial Narrow" w:hAnsi="Arial Narrow"/>
                <w:sz w:val="20"/>
              </w:rPr>
              <w:t>No increase in the maximum number of repeats may be authorised. Special Pricing Arrangements apply.</w:t>
            </w:r>
          </w:p>
          <w:p w:rsidR="003A67D6" w:rsidRPr="00260CE3" w:rsidRDefault="003A67D6" w:rsidP="00E56A7F">
            <w:pPr>
              <w:rPr>
                <w:rFonts w:ascii="Arial Narrow" w:hAnsi="Arial Narrow"/>
                <w:sz w:val="20"/>
              </w:rPr>
            </w:pPr>
          </w:p>
        </w:tc>
      </w:tr>
    </w:tbl>
    <w:p w:rsidR="003A67D6" w:rsidRPr="00A57507" w:rsidRDefault="003A67D6" w:rsidP="003A67D6">
      <w:pPr>
        <w:ind w:firstLine="709"/>
        <w:rPr>
          <w:bCs/>
          <w:szCs w:val="22"/>
          <w:highlight w:val="yellow"/>
        </w:rPr>
      </w:pPr>
    </w:p>
    <w:tbl>
      <w:tblPr>
        <w:tblW w:w="8080" w:type="dxa"/>
        <w:tblInd w:w="817" w:type="dxa"/>
        <w:tblLayout w:type="fixed"/>
        <w:tblLook w:val="0000" w:firstRow="0" w:lastRow="0" w:firstColumn="0" w:lastColumn="0" w:noHBand="0" w:noVBand="0"/>
      </w:tblPr>
      <w:tblGrid>
        <w:gridCol w:w="2835"/>
        <w:gridCol w:w="5245"/>
      </w:tblGrid>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 xml:space="preserve">Category / </w:t>
            </w:r>
          </w:p>
          <w:p w:rsidR="003A67D6" w:rsidRPr="00260CE3" w:rsidRDefault="003A67D6" w:rsidP="00E56A7F">
            <w:pPr>
              <w:rPr>
                <w:rFonts w:ascii="Arial Narrow" w:hAnsi="Arial Narrow"/>
                <w:b/>
                <w:sz w:val="20"/>
              </w:rPr>
            </w:pPr>
            <w:r w:rsidRPr="00260CE3">
              <w:rPr>
                <w:rFonts w:ascii="Arial Narrow" w:hAnsi="Arial Narrow"/>
                <w:b/>
                <w:sz w:val="20"/>
              </w:rPr>
              <w:t>Program</w:t>
            </w:r>
          </w:p>
        </w:tc>
        <w:tc>
          <w:tcPr>
            <w:tcW w:w="524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260CE3">
              <w:rPr>
                <w:rFonts w:ascii="Arial Narrow" w:hAnsi="Arial Narrow"/>
                <w:sz w:val="20"/>
              </w:rPr>
              <w:t>GENERAL – General Schedule (Code GE)</w:t>
            </w:r>
          </w:p>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Prescriber type:</w:t>
            </w:r>
          </w:p>
          <w:p w:rsidR="003A67D6" w:rsidRPr="00260CE3" w:rsidRDefault="003A67D6" w:rsidP="00E56A7F">
            <w:pPr>
              <w:rPr>
                <w:rFonts w:ascii="Arial Narrow" w:hAnsi="Arial Narrow"/>
                <w:b/>
                <w:sz w:val="20"/>
              </w:rPr>
            </w:pPr>
          </w:p>
        </w:tc>
        <w:tc>
          <w:tcPr>
            <w:tcW w:w="524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p>
          <w:p w:rsidR="003A67D6" w:rsidRPr="00260CE3" w:rsidRDefault="003A67D6" w:rsidP="00E56A7F">
            <w:pPr>
              <w:rPr>
                <w:rFonts w:ascii="Arial Narrow" w:hAnsi="Arial Narrow"/>
                <w:sz w:val="20"/>
              </w:rPr>
            </w:pP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r>
              <w:rPr>
                <w:rFonts w:ascii="Arial Narrow" w:hAnsi="Arial Narrow"/>
                <w:sz w:val="20"/>
              </w:rPr>
              <w:t xml:space="preserve"> </w:t>
            </w: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Severity:</w:t>
            </w:r>
          </w:p>
        </w:tc>
        <w:tc>
          <w:tcPr>
            <w:tcW w:w="524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Condition:</w:t>
            </w:r>
          </w:p>
        </w:tc>
        <w:tc>
          <w:tcPr>
            <w:tcW w:w="524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non-small cell lung cancer</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PBS Indication:</w:t>
            </w:r>
          </w:p>
          <w:p w:rsidR="003A67D6" w:rsidRPr="00AE058A" w:rsidRDefault="003A67D6" w:rsidP="00E56A7F">
            <w:pPr>
              <w:rPr>
                <w:rFonts w:ascii="Arial Narrow" w:hAnsi="Arial Narrow"/>
                <w:i/>
                <w:sz w:val="20"/>
              </w:rPr>
            </w:pPr>
          </w:p>
        </w:tc>
        <w:tc>
          <w:tcPr>
            <w:tcW w:w="524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r>
              <w:rPr>
                <w:rFonts w:ascii="Arial Narrow" w:hAnsi="Arial Narrow"/>
                <w:sz w:val="20"/>
              </w:rPr>
              <w:t xml:space="preserve"> </w:t>
            </w:r>
            <w:r w:rsidRPr="004850A1">
              <w:rPr>
                <w:rFonts w:ascii="Arial Narrow" w:hAnsi="Arial Narrow"/>
                <w:sz w:val="20"/>
              </w:rPr>
              <w:t>non-small cell lung cancer</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lastRenderedPageBreak/>
              <w:t>Treatment phase:</w:t>
            </w:r>
          </w:p>
          <w:p w:rsidR="003A67D6" w:rsidRPr="00260CE3" w:rsidRDefault="003A67D6" w:rsidP="00E56A7F">
            <w:pPr>
              <w:rPr>
                <w:rFonts w:ascii="Arial Narrow" w:hAnsi="Arial Narrow"/>
                <w:i/>
                <w:sz w:val="20"/>
              </w:rPr>
            </w:pPr>
          </w:p>
        </w:tc>
        <w:tc>
          <w:tcPr>
            <w:tcW w:w="524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Pr>
                <w:rFonts w:ascii="Arial Narrow" w:hAnsi="Arial Narrow"/>
                <w:sz w:val="20"/>
              </w:rPr>
              <w:t>Continuing treatment</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3A67D6" w:rsidRPr="00CD28F3" w:rsidRDefault="003A67D6" w:rsidP="00E56A7F">
            <w:pPr>
              <w:rPr>
                <w:rFonts w:ascii="Arial Narrow" w:hAnsi="Arial Narrow"/>
                <w:i/>
                <w:sz w:val="20"/>
              </w:rPr>
            </w:pPr>
          </w:p>
        </w:tc>
        <w:tc>
          <w:tcPr>
            <w:tcW w:w="5245" w:type="dxa"/>
            <w:tcBorders>
              <w:top w:val="single" w:sz="4" w:space="0" w:color="auto"/>
              <w:left w:val="single" w:sz="4" w:space="0" w:color="auto"/>
              <w:bottom w:val="single" w:sz="4" w:space="0" w:color="auto"/>
              <w:right w:val="single" w:sz="4" w:space="0" w:color="auto"/>
            </w:tcBorders>
          </w:tcPr>
          <w:p w:rsidR="003A67D6" w:rsidRPr="00106BCF" w:rsidRDefault="003A67D6" w:rsidP="00E56A7F">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A67D6" w:rsidRPr="00106BCF" w:rsidRDefault="00810FD1" w:rsidP="00E56A7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003A67D6" w:rsidRPr="00106BCF">
              <w:rPr>
                <w:rFonts w:ascii="Arial Narrow" w:hAnsi="Arial Narrow"/>
                <w:sz w:val="20"/>
              </w:rPr>
              <w:t>Authority Required - In Writing</w:t>
            </w:r>
          </w:p>
          <w:p w:rsidR="003A67D6" w:rsidRPr="00106BCF" w:rsidRDefault="003A67D6" w:rsidP="00E56A7F">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3A67D6" w:rsidRPr="00106BCF" w:rsidRDefault="003A67D6" w:rsidP="00E56A7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3A67D6" w:rsidRPr="00106BCF" w:rsidRDefault="003A67D6" w:rsidP="00E56A7F">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3A67D6" w:rsidRPr="00260CE3" w:rsidRDefault="003A67D6" w:rsidP="00E56A7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Clinical criteria:</w:t>
            </w:r>
          </w:p>
          <w:p w:rsidR="003A67D6" w:rsidRPr="00260CE3" w:rsidRDefault="003A67D6" w:rsidP="00E56A7F">
            <w:pPr>
              <w:rPr>
                <w:rFonts w:ascii="Arial Narrow" w:hAnsi="Arial Narrow"/>
                <w:i/>
                <w:sz w:val="20"/>
              </w:rPr>
            </w:pPr>
          </w:p>
          <w:p w:rsidR="003A67D6" w:rsidRPr="00260CE3" w:rsidRDefault="003A67D6" w:rsidP="00E56A7F">
            <w:pPr>
              <w:rPr>
                <w:rFonts w:ascii="Arial Narrow" w:hAnsi="Arial Narrow"/>
                <w:sz w:val="20"/>
              </w:rPr>
            </w:pPr>
          </w:p>
        </w:tc>
        <w:tc>
          <w:tcPr>
            <w:tcW w:w="524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r>
              <w:rPr>
                <w:rFonts w:ascii="Arial Narrow" w:hAnsi="Arial Narrow"/>
                <w:sz w:val="20"/>
              </w:rPr>
              <w:t>The treatment must be as monotherapy</w:t>
            </w:r>
          </w:p>
          <w:p w:rsidR="003A67D6" w:rsidRDefault="003A67D6" w:rsidP="00E56A7F">
            <w:pPr>
              <w:rPr>
                <w:rFonts w:ascii="Arial Narrow" w:hAnsi="Arial Narrow"/>
                <w:sz w:val="20"/>
              </w:rPr>
            </w:pPr>
            <w:r>
              <w:rPr>
                <w:rFonts w:ascii="Arial Narrow" w:hAnsi="Arial Narrow"/>
                <w:sz w:val="20"/>
              </w:rPr>
              <w:t>AND</w:t>
            </w:r>
          </w:p>
          <w:p w:rsidR="003A67D6" w:rsidRDefault="003A67D6" w:rsidP="00E56A7F">
            <w:pPr>
              <w:rPr>
                <w:rFonts w:ascii="Arial Narrow" w:hAnsi="Arial Narrow"/>
                <w:sz w:val="20"/>
              </w:rPr>
            </w:pPr>
            <w:r w:rsidRPr="00D318D6">
              <w:rPr>
                <w:rFonts w:ascii="Arial Narrow" w:hAnsi="Arial Narrow"/>
                <w:sz w:val="20"/>
              </w:rPr>
              <w:t xml:space="preserve">Patient must have </w:t>
            </w:r>
            <w:r>
              <w:rPr>
                <w:rFonts w:ascii="Arial Narrow" w:hAnsi="Arial Narrow"/>
                <w:sz w:val="20"/>
              </w:rPr>
              <w:t xml:space="preserve">previously received PBS-subsidised treatment with this drug for this condition </w:t>
            </w:r>
          </w:p>
          <w:p w:rsidR="003A67D6" w:rsidRDefault="003A67D6" w:rsidP="00E56A7F">
            <w:pPr>
              <w:rPr>
                <w:rFonts w:ascii="Arial Narrow" w:hAnsi="Arial Narrow"/>
                <w:sz w:val="20"/>
              </w:rPr>
            </w:pPr>
            <w:r>
              <w:rPr>
                <w:rFonts w:ascii="Arial Narrow" w:hAnsi="Arial Narrow"/>
                <w:sz w:val="20"/>
              </w:rPr>
              <w:t>AND</w:t>
            </w:r>
          </w:p>
          <w:p w:rsidR="003A67D6" w:rsidRDefault="003A67D6" w:rsidP="00E56A7F">
            <w:pPr>
              <w:rPr>
                <w:rFonts w:ascii="Arial Narrow" w:hAnsi="Arial Narrow"/>
                <w:sz w:val="20"/>
              </w:rPr>
            </w:pPr>
            <w:r w:rsidRPr="00D318D6">
              <w:rPr>
                <w:rFonts w:ascii="Arial Narrow" w:hAnsi="Arial Narrow"/>
                <w:sz w:val="20"/>
              </w:rPr>
              <w:t>Patient must not have progressive disease</w:t>
            </w:r>
          </w:p>
          <w:p w:rsidR="003A67D6" w:rsidRPr="00260CE3" w:rsidRDefault="003A67D6" w:rsidP="00E56A7F">
            <w:pPr>
              <w:rPr>
                <w:rFonts w:ascii="Arial Narrow" w:hAnsi="Arial Narrow"/>
                <w:sz w:val="20"/>
              </w:rPr>
            </w:pPr>
            <w:r w:rsidRPr="00260CE3">
              <w:rPr>
                <w:rFonts w:ascii="Arial Narrow" w:hAnsi="Arial Narrow"/>
                <w:sz w:val="20"/>
              </w:rPr>
              <w:t xml:space="preserve"> </w:t>
            </w:r>
          </w:p>
        </w:tc>
      </w:tr>
      <w:tr w:rsidR="003A67D6" w:rsidRPr="00260CE3" w:rsidTr="00E56A7F">
        <w:trPr>
          <w:cantSplit/>
          <w:trHeight w:val="360"/>
        </w:trPr>
        <w:tc>
          <w:tcPr>
            <w:tcW w:w="283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p>
          <w:p w:rsidR="003A67D6" w:rsidRPr="00260CE3" w:rsidRDefault="003A67D6" w:rsidP="00E56A7F">
            <w:pPr>
              <w:rPr>
                <w:rFonts w:ascii="Arial Narrow" w:hAnsi="Arial Narrow"/>
                <w:b/>
                <w:sz w:val="20"/>
              </w:rPr>
            </w:pPr>
            <w:r w:rsidRPr="00260CE3">
              <w:rPr>
                <w:rFonts w:ascii="Arial Narrow" w:hAnsi="Arial Narrow"/>
                <w:b/>
                <w:sz w:val="20"/>
              </w:rPr>
              <w:t>Administrative Advice</w:t>
            </w:r>
          </w:p>
          <w:p w:rsidR="003A67D6" w:rsidRPr="00260CE3" w:rsidRDefault="003A67D6" w:rsidP="00E56A7F">
            <w:pPr>
              <w:rPr>
                <w:rFonts w:ascii="Arial Narrow" w:hAnsi="Arial Narrow"/>
                <w:sz w:val="20"/>
              </w:rPr>
            </w:pPr>
          </w:p>
        </w:tc>
        <w:tc>
          <w:tcPr>
            <w:tcW w:w="5245" w:type="dxa"/>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p>
          <w:p w:rsidR="003A67D6" w:rsidRPr="00D318D6" w:rsidRDefault="003A67D6" w:rsidP="00E56A7F">
            <w:pPr>
              <w:rPr>
                <w:rFonts w:ascii="Arial Narrow" w:hAnsi="Arial Narrow"/>
                <w:sz w:val="20"/>
              </w:rPr>
            </w:pPr>
            <w:r w:rsidRPr="00D318D6">
              <w:rPr>
                <w:rFonts w:ascii="Arial Narrow" w:hAnsi="Arial Narrow"/>
                <w:sz w:val="20"/>
              </w:rPr>
              <w:t xml:space="preserve">No increase in the maximum quantity or number of units may be authorised. </w:t>
            </w:r>
          </w:p>
          <w:p w:rsidR="003A67D6" w:rsidRPr="00D318D6" w:rsidRDefault="003A67D6" w:rsidP="00E56A7F">
            <w:pPr>
              <w:rPr>
                <w:rFonts w:ascii="Arial Narrow" w:hAnsi="Arial Narrow"/>
                <w:sz w:val="20"/>
              </w:rPr>
            </w:pPr>
            <w:r w:rsidRPr="00D318D6">
              <w:rPr>
                <w:rFonts w:ascii="Arial Narrow" w:hAnsi="Arial Narrow"/>
                <w:sz w:val="20"/>
              </w:rPr>
              <w:t xml:space="preserve">No increase in the maximum number of repeats may be authorised. </w:t>
            </w:r>
          </w:p>
          <w:p w:rsidR="003A67D6" w:rsidRPr="00D318D6" w:rsidRDefault="003A67D6" w:rsidP="00E56A7F">
            <w:pPr>
              <w:rPr>
                <w:rFonts w:ascii="Arial Narrow" w:hAnsi="Arial Narrow"/>
                <w:sz w:val="20"/>
              </w:rPr>
            </w:pPr>
            <w:r w:rsidRPr="00D318D6">
              <w:rPr>
                <w:rFonts w:ascii="Arial Narrow" w:hAnsi="Arial Narrow"/>
                <w:sz w:val="20"/>
              </w:rPr>
              <w:t>Special Pricing Arrangements apply.</w:t>
            </w:r>
          </w:p>
          <w:p w:rsidR="003A67D6" w:rsidRPr="00260CE3" w:rsidRDefault="003A67D6" w:rsidP="00E56A7F">
            <w:pPr>
              <w:rPr>
                <w:rFonts w:ascii="Arial Narrow" w:hAnsi="Arial Narrow"/>
                <w:sz w:val="20"/>
              </w:rPr>
            </w:pPr>
          </w:p>
        </w:tc>
      </w:tr>
    </w:tbl>
    <w:p w:rsidR="003A67D6" w:rsidRDefault="003A67D6" w:rsidP="003A67D6">
      <w:pPr>
        <w:rPr>
          <w:rFonts w:ascii="Calibri" w:hAnsi="Calibri" w:cs="Calibri"/>
        </w:rPr>
      </w:pPr>
    </w:p>
    <w:tbl>
      <w:tblPr>
        <w:tblW w:w="8080" w:type="dxa"/>
        <w:tblInd w:w="817" w:type="dxa"/>
        <w:tblLayout w:type="fixed"/>
        <w:tblLook w:val="0000" w:firstRow="0" w:lastRow="0" w:firstColumn="0" w:lastColumn="0" w:noHBand="0" w:noVBand="0"/>
      </w:tblPr>
      <w:tblGrid>
        <w:gridCol w:w="2268"/>
        <w:gridCol w:w="567"/>
        <w:gridCol w:w="425"/>
        <w:gridCol w:w="993"/>
        <w:gridCol w:w="1559"/>
        <w:gridCol w:w="2268"/>
      </w:tblGrid>
      <w:tr w:rsidR="003A67D6" w:rsidRPr="00260CE3" w:rsidTr="00E56A7F">
        <w:trPr>
          <w:cantSplit/>
          <w:trHeight w:val="471"/>
        </w:trPr>
        <w:tc>
          <w:tcPr>
            <w:tcW w:w="2268" w:type="dxa"/>
            <w:tcBorders>
              <w:bottom w:val="single" w:sz="4" w:space="0" w:color="auto"/>
            </w:tcBorders>
          </w:tcPr>
          <w:p w:rsidR="003A67D6" w:rsidRPr="00260CE3" w:rsidRDefault="003A67D6" w:rsidP="00E56A7F">
            <w:pPr>
              <w:keepNext/>
              <w:ind w:left="-108"/>
              <w:jc w:val="left"/>
              <w:rPr>
                <w:rFonts w:ascii="Arial Narrow" w:hAnsi="Arial Narrow"/>
                <w:sz w:val="20"/>
              </w:rPr>
            </w:pPr>
            <w:r w:rsidRPr="00260CE3">
              <w:rPr>
                <w:rFonts w:ascii="Arial Narrow" w:hAnsi="Arial Narrow"/>
                <w:sz w:val="20"/>
              </w:rPr>
              <w:t>Name, Restriction,</w:t>
            </w:r>
          </w:p>
          <w:p w:rsidR="003A67D6" w:rsidRPr="00260CE3" w:rsidRDefault="003A67D6" w:rsidP="00E56A7F">
            <w:pPr>
              <w:keepNext/>
              <w:ind w:left="-108"/>
              <w:jc w:val="left"/>
              <w:rPr>
                <w:rFonts w:ascii="Arial Narrow" w:hAnsi="Arial Narrow"/>
                <w:sz w:val="20"/>
              </w:rPr>
            </w:pPr>
            <w:r w:rsidRPr="00260CE3">
              <w:rPr>
                <w:rFonts w:ascii="Arial Narrow" w:hAnsi="Arial Narrow"/>
                <w:sz w:val="20"/>
              </w:rPr>
              <w:t>Manner of administration and form</w:t>
            </w:r>
          </w:p>
        </w:tc>
        <w:tc>
          <w:tcPr>
            <w:tcW w:w="992" w:type="dxa"/>
            <w:gridSpan w:val="2"/>
            <w:tcBorders>
              <w:bottom w:val="single" w:sz="4" w:space="0" w:color="auto"/>
            </w:tcBorders>
          </w:tcPr>
          <w:p w:rsidR="003A67D6" w:rsidRPr="00260CE3" w:rsidRDefault="003A67D6" w:rsidP="00E56A7F">
            <w:pPr>
              <w:keepNext/>
              <w:ind w:left="-108"/>
              <w:jc w:val="center"/>
              <w:rPr>
                <w:rFonts w:ascii="Arial Narrow" w:hAnsi="Arial Narrow"/>
                <w:sz w:val="20"/>
              </w:rPr>
            </w:pPr>
            <w:r w:rsidRPr="00260CE3">
              <w:rPr>
                <w:rFonts w:ascii="Arial Narrow" w:hAnsi="Arial Narrow"/>
                <w:sz w:val="20"/>
              </w:rPr>
              <w:t>Max.</w:t>
            </w:r>
          </w:p>
          <w:p w:rsidR="003A67D6" w:rsidRPr="00260CE3" w:rsidRDefault="003A67D6" w:rsidP="00E56A7F">
            <w:pPr>
              <w:keepNext/>
              <w:ind w:left="-108"/>
              <w:jc w:val="center"/>
              <w:rPr>
                <w:rFonts w:ascii="Arial Narrow" w:hAnsi="Arial Narrow"/>
                <w:sz w:val="20"/>
              </w:rPr>
            </w:pPr>
            <w:proofErr w:type="spellStart"/>
            <w:r w:rsidRPr="00260CE3">
              <w:rPr>
                <w:rFonts w:ascii="Arial Narrow" w:hAnsi="Arial Narrow"/>
                <w:sz w:val="20"/>
              </w:rPr>
              <w:t>Qty</w:t>
            </w:r>
            <w:proofErr w:type="spellEnd"/>
            <w:r>
              <w:rPr>
                <w:rFonts w:ascii="Arial Narrow" w:hAnsi="Arial Narrow"/>
                <w:sz w:val="20"/>
              </w:rPr>
              <w:t xml:space="preserve"> Units</w:t>
            </w:r>
          </w:p>
        </w:tc>
        <w:tc>
          <w:tcPr>
            <w:tcW w:w="993" w:type="dxa"/>
            <w:tcBorders>
              <w:bottom w:val="single" w:sz="4" w:space="0" w:color="auto"/>
            </w:tcBorders>
          </w:tcPr>
          <w:p w:rsidR="003A67D6" w:rsidRPr="00260CE3" w:rsidRDefault="003A67D6" w:rsidP="00E56A7F">
            <w:pPr>
              <w:keepNext/>
              <w:ind w:left="-108"/>
              <w:jc w:val="center"/>
              <w:rPr>
                <w:rFonts w:ascii="Arial Narrow" w:hAnsi="Arial Narrow"/>
                <w:sz w:val="20"/>
              </w:rPr>
            </w:pPr>
            <w:r w:rsidRPr="00260CE3">
              <w:rPr>
                <w:rFonts w:ascii="Arial Narrow" w:hAnsi="Arial Narrow"/>
                <w:sz w:val="20"/>
              </w:rPr>
              <w:t>№.of</w:t>
            </w:r>
          </w:p>
          <w:p w:rsidR="003A67D6" w:rsidRPr="00260CE3" w:rsidRDefault="003A67D6" w:rsidP="00E56A7F">
            <w:pPr>
              <w:keepNext/>
              <w:ind w:left="-108"/>
              <w:jc w:val="center"/>
              <w:rPr>
                <w:rFonts w:ascii="Arial Narrow" w:hAnsi="Arial Narrow"/>
                <w:sz w:val="20"/>
              </w:rPr>
            </w:pPr>
            <w:proofErr w:type="spellStart"/>
            <w:r w:rsidRPr="00260CE3">
              <w:rPr>
                <w:rFonts w:ascii="Arial Narrow" w:hAnsi="Arial Narrow"/>
                <w:sz w:val="20"/>
              </w:rPr>
              <w:t>Rpts</w:t>
            </w:r>
            <w:proofErr w:type="spellEnd"/>
          </w:p>
        </w:tc>
        <w:tc>
          <w:tcPr>
            <w:tcW w:w="3827" w:type="dxa"/>
            <w:gridSpan w:val="2"/>
            <w:tcBorders>
              <w:bottom w:val="single" w:sz="4" w:space="0" w:color="auto"/>
            </w:tcBorders>
          </w:tcPr>
          <w:p w:rsidR="003A67D6" w:rsidRPr="00260CE3" w:rsidRDefault="003A67D6" w:rsidP="00E56A7F">
            <w:pPr>
              <w:keepNext/>
              <w:jc w:val="center"/>
              <w:rPr>
                <w:rFonts w:ascii="Arial Narrow" w:hAnsi="Arial Narrow"/>
                <w:sz w:val="20"/>
                <w:lang w:val="fr-FR"/>
              </w:rPr>
            </w:pPr>
            <w:r w:rsidRPr="00260CE3">
              <w:rPr>
                <w:rFonts w:ascii="Arial Narrow" w:hAnsi="Arial Narrow"/>
                <w:sz w:val="20"/>
              </w:rPr>
              <w:t>Proprietary Name and Manufacturer</w:t>
            </w:r>
          </w:p>
        </w:tc>
      </w:tr>
      <w:tr w:rsidR="003A67D6" w:rsidRPr="00345EDF" w:rsidTr="00E56A7F">
        <w:trPr>
          <w:cantSplit/>
          <w:trHeight w:val="577"/>
        </w:trPr>
        <w:tc>
          <w:tcPr>
            <w:tcW w:w="2268" w:type="dxa"/>
          </w:tcPr>
          <w:p w:rsidR="003A67D6" w:rsidRPr="00345EDF" w:rsidRDefault="003A67D6" w:rsidP="00E56A7F">
            <w:pPr>
              <w:keepNext/>
              <w:ind w:left="-108"/>
              <w:jc w:val="left"/>
              <w:rPr>
                <w:rFonts w:ascii="Arial Narrow" w:hAnsi="Arial Narrow"/>
                <w:i/>
                <w:sz w:val="20"/>
              </w:rPr>
            </w:pPr>
            <w:r w:rsidRPr="00345EDF">
              <w:rPr>
                <w:rFonts w:ascii="Arial Narrow" w:hAnsi="Arial Narrow"/>
                <w:i/>
                <w:smallCaps/>
                <w:sz w:val="20"/>
              </w:rPr>
              <w:t>CERITINIB</w:t>
            </w:r>
          </w:p>
          <w:p w:rsidR="003A67D6" w:rsidRPr="00345EDF" w:rsidRDefault="003A67D6" w:rsidP="00E56A7F">
            <w:pPr>
              <w:keepNext/>
              <w:ind w:left="-108"/>
              <w:jc w:val="left"/>
              <w:rPr>
                <w:rFonts w:ascii="Arial Narrow" w:hAnsi="Arial Narrow"/>
                <w:i/>
                <w:sz w:val="20"/>
              </w:rPr>
            </w:pPr>
            <w:proofErr w:type="spellStart"/>
            <w:r w:rsidRPr="00345EDF">
              <w:rPr>
                <w:rFonts w:ascii="Arial Narrow" w:hAnsi="Arial Narrow"/>
                <w:i/>
                <w:sz w:val="20"/>
              </w:rPr>
              <w:t>ceritinib</w:t>
            </w:r>
            <w:proofErr w:type="spellEnd"/>
            <w:r w:rsidRPr="00345EDF">
              <w:rPr>
                <w:rFonts w:ascii="Arial Narrow" w:hAnsi="Arial Narrow"/>
                <w:i/>
                <w:sz w:val="20"/>
              </w:rPr>
              <w:t xml:space="preserve"> 150 mg capsule,  50</w:t>
            </w:r>
          </w:p>
          <w:p w:rsidR="003A67D6" w:rsidRPr="00345EDF" w:rsidRDefault="003A67D6" w:rsidP="00E56A7F">
            <w:pPr>
              <w:keepNext/>
              <w:jc w:val="left"/>
              <w:rPr>
                <w:rFonts w:ascii="Arial Narrow" w:hAnsi="Arial Narrow"/>
                <w:i/>
                <w:sz w:val="20"/>
              </w:rPr>
            </w:pPr>
          </w:p>
        </w:tc>
        <w:tc>
          <w:tcPr>
            <w:tcW w:w="992" w:type="dxa"/>
            <w:gridSpan w:val="2"/>
          </w:tcPr>
          <w:p w:rsidR="003A67D6" w:rsidRPr="00345EDF" w:rsidRDefault="003A67D6" w:rsidP="00E56A7F">
            <w:pPr>
              <w:keepNext/>
              <w:ind w:left="-108"/>
              <w:jc w:val="center"/>
              <w:rPr>
                <w:rFonts w:ascii="Arial Narrow" w:hAnsi="Arial Narrow"/>
                <w:i/>
                <w:sz w:val="20"/>
              </w:rPr>
            </w:pPr>
          </w:p>
          <w:p w:rsidR="003A67D6" w:rsidRPr="00345EDF" w:rsidRDefault="003A67D6" w:rsidP="00E56A7F">
            <w:pPr>
              <w:keepNext/>
              <w:ind w:left="-108"/>
              <w:jc w:val="center"/>
              <w:rPr>
                <w:rFonts w:ascii="Arial Narrow" w:hAnsi="Arial Narrow"/>
                <w:i/>
                <w:sz w:val="20"/>
              </w:rPr>
            </w:pPr>
            <w:r w:rsidRPr="00345EDF">
              <w:rPr>
                <w:rFonts w:ascii="Arial Narrow" w:hAnsi="Arial Narrow"/>
                <w:i/>
                <w:sz w:val="20"/>
              </w:rPr>
              <w:t>150</w:t>
            </w:r>
          </w:p>
        </w:tc>
        <w:tc>
          <w:tcPr>
            <w:tcW w:w="993" w:type="dxa"/>
          </w:tcPr>
          <w:p w:rsidR="003A67D6" w:rsidRPr="00345EDF" w:rsidRDefault="003A67D6" w:rsidP="00E56A7F">
            <w:pPr>
              <w:keepNext/>
              <w:ind w:left="-108"/>
              <w:jc w:val="center"/>
              <w:rPr>
                <w:rFonts w:ascii="Arial Narrow" w:hAnsi="Arial Narrow"/>
                <w:i/>
                <w:sz w:val="20"/>
              </w:rPr>
            </w:pPr>
          </w:p>
          <w:p w:rsidR="003A67D6" w:rsidRPr="00345EDF" w:rsidRDefault="003A67D6" w:rsidP="00E56A7F">
            <w:pPr>
              <w:keepNext/>
              <w:ind w:left="-108"/>
              <w:jc w:val="center"/>
              <w:rPr>
                <w:rFonts w:ascii="Arial Narrow" w:hAnsi="Arial Narrow"/>
                <w:i/>
                <w:sz w:val="20"/>
              </w:rPr>
            </w:pPr>
            <w:r w:rsidRPr="00345EDF">
              <w:rPr>
                <w:rFonts w:ascii="Arial Narrow" w:hAnsi="Arial Narrow"/>
                <w:i/>
                <w:sz w:val="20"/>
              </w:rPr>
              <w:t>1</w:t>
            </w:r>
          </w:p>
        </w:tc>
        <w:tc>
          <w:tcPr>
            <w:tcW w:w="1559" w:type="dxa"/>
            <w:vAlign w:val="center"/>
          </w:tcPr>
          <w:p w:rsidR="003A67D6" w:rsidRPr="00345EDF" w:rsidRDefault="003A67D6" w:rsidP="00E56A7F">
            <w:pPr>
              <w:keepNext/>
              <w:jc w:val="center"/>
              <w:rPr>
                <w:rFonts w:ascii="Arial Narrow" w:hAnsi="Arial Narrow"/>
                <w:i/>
                <w:sz w:val="20"/>
              </w:rPr>
            </w:pPr>
            <w:proofErr w:type="spellStart"/>
            <w:r w:rsidRPr="00345EDF">
              <w:rPr>
                <w:rFonts w:ascii="Arial Narrow" w:hAnsi="Arial Narrow"/>
                <w:i/>
                <w:sz w:val="20"/>
              </w:rPr>
              <w:t>Zykadia</w:t>
            </w:r>
            <w:proofErr w:type="spellEnd"/>
          </w:p>
        </w:tc>
        <w:tc>
          <w:tcPr>
            <w:tcW w:w="2268" w:type="dxa"/>
          </w:tcPr>
          <w:p w:rsidR="003A67D6" w:rsidRPr="00345EDF" w:rsidRDefault="003A67D6" w:rsidP="00E56A7F">
            <w:pPr>
              <w:keepNext/>
              <w:jc w:val="center"/>
              <w:rPr>
                <w:rFonts w:ascii="Arial Narrow" w:hAnsi="Arial Narrow"/>
                <w:i/>
                <w:sz w:val="20"/>
              </w:rPr>
            </w:pPr>
            <w:r w:rsidRPr="00345EDF">
              <w:rPr>
                <w:rFonts w:ascii="Arial Narrow" w:hAnsi="Arial Narrow"/>
                <w:i/>
                <w:sz w:val="20"/>
              </w:rPr>
              <w:t>Novartis Pharmaceuticals Australia Pty Ltd</w:t>
            </w:r>
          </w:p>
        </w:tc>
      </w:tr>
      <w:tr w:rsidR="003A67D6" w:rsidRPr="00260CE3" w:rsidTr="00E56A7F">
        <w:trPr>
          <w:cantSplit/>
          <w:trHeight w:val="360"/>
        </w:trPr>
        <w:tc>
          <w:tcPr>
            <w:tcW w:w="8080" w:type="dxa"/>
            <w:gridSpan w:val="6"/>
            <w:tcBorders>
              <w:bottom w:val="single" w:sz="4" w:space="0" w:color="auto"/>
            </w:tcBorders>
          </w:tcPr>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 xml:space="preserve">Category / </w:t>
            </w:r>
          </w:p>
          <w:p w:rsidR="003A67D6" w:rsidRPr="00260CE3" w:rsidRDefault="003A67D6" w:rsidP="00E56A7F">
            <w:pPr>
              <w:rPr>
                <w:rFonts w:ascii="Arial Narrow" w:hAnsi="Arial Narrow"/>
                <w:b/>
                <w:sz w:val="20"/>
              </w:rPr>
            </w:pPr>
            <w:r w:rsidRPr="00260CE3">
              <w:rPr>
                <w:rFonts w:ascii="Arial Narrow" w:hAnsi="Arial Narrow"/>
                <w:b/>
                <w:sz w:val="20"/>
              </w:rPr>
              <w:t>Program</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260CE3">
              <w:rPr>
                <w:rFonts w:ascii="Arial Narrow" w:hAnsi="Arial Narrow"/>
                <w:sz w:val="20"/>
              </w:rPr>
              <w:t>GENERAL – General Schedule (Code GE)</w:t>
            </w:r>
          </w:p>
          <w:p w:rsidR="003A67D6" w:rsidRPr="00260CE3" w:rsidRDefault="003A67D6" w:rsidP="00E56A7F">
            <w:pPr>
              <w:rPr>
                <w:rFonts w:ascii="Arial Narrow" w:hAnsi="Arial Narrow"/>
                <w:sz w:val="20"/>
              </w:rPr>
            </w:pP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Prescriber type:</w:t>
            </w:r>
          </w:p>
          <w:p w:rsidR="003A67D6" w:rsidRPr="00260CE3" w:rsidRDefault="003A67D6" w:rsidP="00E56A7F">
            <w:pPr>
              <w:rPr>
                <w:rFonts w:ascii="Arial Narrow" w:hAnsi="Arial Narrow"/>
                <w:b/>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3A67D6" w:rsidRPr="00260CE3" w:rsidRDefault="003A67D6" w:rsidP="00E56A7F">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Severity:</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Condition:</w:t>
            </w: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non-small cell lung cancer</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r w:rsidRPr="00260CE3">
              <w:rPr>
                <w:rFonts w:ascii="Arial Narrow" w:hAnsi="Arial Narrow"/>
                <w:b/>
                <w:sz w:val="20"/>
              </w:rPr>
              <w:t>PBS Indication:</w:t>
            </w:r>
          </w:p>
          <w:p w:rsidR="003A67D6" w:rsidRDefault="003A67D6" w:rsidP="00E56A7F">
            <w:pPr>
              <w:rPr>
                <w:rFonts w:ascii="Arial Narrow" w:hAnsi="Arial Narrow"/>
                <w:b/>
                <w:sz w:val="20"/>
              </w:rPr>
            </w:pPr>
          </w:p>
          <w:p w:rsidR="003A67D6" w:rsidRPr="00AE058A"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4850A1">
              <w:rPr>
                <w:rFonts w:ascii="Arial Narrow" w:hAnsi="Arial Narrow"/>
                <w:sz w:val="20"/>
              </w:rPr>
              <w:t>stage IIIB (locally advanced) or stage IV (metastatic)</w:t>
            </w:r>
            <w:r>
              <w:rPr>
                <w:rFonts w:ascii="Arial Narrow" w:hAnsi="Arial Narrow"/>
                <w:sz w:val="20"/>
              </w:rPr>
              <w:t xml:space="preserve"> </w:t>
            </w:r>
            <w:r w:rsidRPr="004850A1">
              <w:rPr>
                <w:rFonts w:ascii="Arial Narrow" w:hAnsi="Arial Narrow"/>
                <w:sz w:val="20"/>
              </w:rPr>
              <w:t>non-small cell lung cancer</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Treatment phase:</w:t>
            </w:r>
          </w:p>
          <w:p w:rsidR="003A67D6" w:rsidRPr="00260CE3"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Pr>
                <w:rFonts w:ascii="Arial Narrow" w:hAnsi="Arial Narrow"/>
                <w:sz w:val="20"/>
              </w:rPr>
              <w:t>Grandfathering treatment</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3A67D6" w:rsidRDefault="003A67D6" w:rsidP="00E56A7F">
            <w:pPr>
              <w:rPr>
                <w:rFonts w:ascii="Arial Narrow" w:hAnsi="Arial Narrow"/>
                <w:i/>
                <w:sz w:val="20"/>
                <w:highlight w:val="yellow"/>
              </w:rPr>
            </w:pPr>
          </w:p>
          <w:p w:rsidR="003A67D6" w:rsidRDefault="003A67D6" w:rsidP="00E56A7F">
            <w:pPr>
              <w:rPr>
                <w:rFonts w:ascii="Arial Narrow" w:hAnsi="Arial Narrow"/>
                <w:i/>
                <w:sz w:val="20"/>
              </w:rPr>
            </w:pPr>
          </w:p>
          <w:p w:rsidR="003A67D6" w:rsidRPr="00CD28F3" w:rsidRDefault="003A67D6" w:rsidP="00E56A7F">
            <w:pPr>
              <w:rPr>
                <w:rFonts w:ascii="Arial Narrow" w:hAnsi="Arial Narrow"/>
                <w:i/>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106BCF" w:rsidRDefault="003A67D6" w:rsidP="00E56A7F">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3A67D6" w:rsidRPr="00106BCF" w:rsidRDefault="00810FD1" w:rsidP="00E56A7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003A67D6" w:rsidRPr="00106BCF">
              <w:rPr>
                <w:rFonts w:ascii="Arial Narrow" w:hAnsi="Arial Narrow"/>
                <w:sz w:val="20"/>
              </w:rPr>
              <w:t>Authority Required - In Writing</w:t>
            </w:r>
          </w:p>
          <w:p w:rsidR="003A67D6" w:rsidRPr="00106BCF" w:rsidRDefault="003A67D6" w:rsidP="00E56A7F">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3A67D6" w:rsidRPr="00106BCF" w:rsidRDefault="003A67D6" w:rsidP="00E56A7F">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3A67D6" w:rsidRPr="00106BCF" w:rsidRDefault="003A67D6" w:rsidP="00E56A7F">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3A67D6" w:rsidRPr="00260CE3" w:rsidRDefault="003A67D6" w:rsidP="00E56A7F">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94152A">
              <w:rPr>
                <w:rFonts w:ascii="Arial Narrow" w:hAnsi="Arial Narrow"/>
                <w:sz w:val="20"/>
              </w:rPr>
            </w:r>
            <w:r w:rsidR="0094152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b/>
                <w:sz w:val="20"/>
              </w:rPr>
            </w:pPr>
          </w:p>
          <w:p w:rsidR="003A67D6" w:rsidRPr="00260CE3" w:rsidRDefault="003A67D6" w:rsidP="00E56A7F">
            <w:pPr>
              <w:rPr>
                <w:rFonts w:ascii="Arial Narrow" w:hAnsi="Arial Narrow"/>
                <w:b/>
                <w:sz w:val="20"/>
              </w:rPr>
            </w:pPr>
            <w:r w:rsidRPr="00260CE3">
              <w:rPr>
                <w:rFonts w:ascii="Arial Narrow" w:hAnsi="Arial Narrow"/>
                <w:b/>
                <w:sz w:val="20"/>
              </w:rPr>
              <w:t>Clinical criteria:</w:t>
            </w:r>
          </w:p>
          <w:p w:rsidR="003A67D6" w:rsidRPr="00260CE3" w:rsidRDefault="003A67D6" w:rsidP="00E56A7F">
            <w:pPr>
              <w:rPr>
                <w:rFonts w:ascii="Arial Narrow" w:hAnsi="Arial Narrow"/>
                <w:i/>
                <w:sz w:val="20"/>
              </w:rPr>
            </w:pPr>
          </w:p>
          <w:p w:rsidR="003A67D6" w:rsidRPr="00260CE3" w:rsidRDefault="003A67D6" w:rsidP="00E56A7F">
            <w:pPr>
              <w:rPr>
                <w:rFonts w:ascii="Arial Narrow" w:hAnsi="Arial Narrow"/>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p>
          <w:p w:rsidR="003A67D6" w:rsidRPr="00FD4A03" w:rsidRDefault="003A67D6" w:rsidP="00E56A7F">
            <w:pPr>
              <w:rPr>
                <w:rFonts w:ascii="Arial Narrow" w:hAnsi="Arial Narrow"/>
                <w:strike/>
                <w:sz w:val="20"/>
              </w:rPr>
            </w:pPr>
            <w:r w:rsidRPr="00FD4A03">
              <w:rPr>
                <w:rFonts w:ascii="Arial Narrow" w:hAnsi="Arial Narrow"/>
                <w:sz w:val="20"/>
              </w:rPr>
              <w:t xml:space="preserve">Patient must have previously received non-PBS subsidised treatment with this drug for this condition prior to </w:t>
            </w:r>
            <w:r>
              <w:rPr>
                <w:rFonts w:ascii="Arial Narrow" w:hAnsi="Arial Narrow"/>
                <w:sz w:val="20"/>
              </w:rPr>
              <w:t>1 February 2017</w:t>
            </w:r>
          </w:p>
          <w:p w:rsidR="003A67D6" w:rsidRPr="00FD4A03" w:rsidRDefault="003A67D6" w:rsidP="00E56A7F">
            <w:pPr>
              <w:rPr>
                <w:rFonts w:ascii="Arial Narrow" w:hAnsi="Arial Narrow"/>
                <w:sz w:val="20"/>
              </w:rPr>
            </w:pPr>
            <w:r w:rsidRPr="00FD4A03">
              <w:rPr>
                <w:rFonts w:ascii="Arial Narrow" w:hAnsi="Arial Narrow"/>
                <w:sz w:val="20"/>
              </w:rPr>
              <w:t>AND</w:t>
            </w:r>
          </w:p>
          <w:p w:rsidR="003A67D6" w:rsidRPr="00FD4A03" w:rsidRDefault="003A67D6" w:rsidP="00E56A7F">
            <w:pPr>
              <w:rPr>
                <w:rFonts w:ascii="Arial Narrow" w:hAnsi="Arial Narrow"/>
                <w:sz w:val="20"/>
              </w:rPr>
            </w:pPr>
            <w:r w:rsidRPr="00FD4A03">
              <w:rPr>
                <w:rFonts w:ascii="Arial Narrow" w:hAnsi="Arial Narrow"/>
                <w:sz w:val="20"/>
              </w:rPr>
              <w:t>The treatment must be as monotherapy</w:t>
            </w:r>
          </w:p>
          <w:p w:rsidR="003A67D6" w:rsidRDefault="003A67D6" w:rsidP="00E56A7F">
            <w:pPr>
              <w:rPr>
                <w:rFonts w:ascii="Arial Narrow" w:hAnsi="Arial Narrow"/>
                <w:sz w:val="20"/>
              </w:rPr>
            </w:pPr>
            <w:r w:rsidRPr="00FD4A03">
              <w:rPr>
                <w:rFonts w:ascii="Arial Narrow" w:hAnsi="Arial Narrow"/>
                <w:sz w:val="20"/>
              </w:rPr>
              <w:t>AND</w:t>
            </w:r>
          </w:p>
          <w:p w:rsidR="003A67D6" w:rsidRDefault="003A67D6" w:rsidP="00E56A7F">
            <w:pPr>
              <w:rPr>
                <w:rFonts w:ascii="Arial Narrow" w:hAnsi="Arial Narrow"/>
                <w:sz w:val="20"/>
              </w:rPr>
            </w:pPr>
            <w:r w:rsidRPr="00EE4A57">
              <w:rPr>
                <w:rFonts w:ascii="Arial Narrow" w:hAnsi="Arial Narrow"/>
                <w:sz w:val="20"/>
              </w:rPr>
              <w:t>The condition must be non-squamous type non-small cell lung cancer (NSCLC) or not otherwise specified type NSCLC</w:t>
            </w:r>
          </w:p>
          <w:p w:rsidR="003A67D6" w:rsidRPr="00FD4A03" w:rsidRDefault="003A67D6" w:rsidP="00E56A7F">
            <w:pPr>
              <w:rPr>
                <w:rFonts w:ascii="Arial Narrow" w:hAnsi="Arial Narrow"/>
                <w:sz w:val="20"/>
              </w:rPr>
            </w:pPr>
            <w:r>
              <w:rPr>
                <w:rFonts w:ascii="Arial Narrow" w:hAnsi="Arial Narrow"/>
                <w:sz w:val="20"/>
              </w:rPr>
              <w:t>AND</w:t>
            </w:r>
          </w:p>
          <w:p w:rsidR="003A67D6" w:rsidRPr="00FD4A03" w:rsidRDefault="003A67D6" w:rsidP="00E56A7F">
            <w:pPr>
              <w:rPr>
                <w:rFonts w:ascii="Arial Narrow" w:hAnsi="Arial Narrow"/>
                <w:sz w:val="20"/>
              </w:rPr>
            </w:pPr>
            <w:r w:rsidRPr="00FD4A03">
              <w:rPr>
                <w:rFonts w:ascii="Arial Narrow" w:hAnsi="Arial Narrow"/>
                <w:sz w:val="20"/>
              </w:rPr>
              <w:t>Patient must have a WHO performance status of 2 or less</w:t>
            </w:r>
          </w:p>
          <w:p w:rsidR="003A67D6" w:rsidRPr="00FD4A03" w:rsidRDefault="003A67D6" w:rsidP="00E56A7F">
            <w:pPr>
              <w:rPr>
                <w:rFonts w:ascii="Arial Narrow" w:hAnsi="Arial Narrow"/>
                <w:sz w:val="20"/>
              </w:rPr>
            </w:pPr>
            <w:r w:rsidRPr="00FD4A03">
              <w:rPr>
                <w:rFonts w:ascii="Arial Narrow" w:hAnsi="Arial Narrow"/>
                <w:sz w:val="20"/>
              </w:rPr>
              <w:t>AND</w:t>
            </w:r>
          </w:p>
          <w:p w:rsidR="003A67D6" w:rsidRPr="00260CE3" w:rsidRDefault="003A67D6" w:rsidP="00E56A7F">
            <w:pPr>
              <w:rPr>
                <w:rFonts w:ascii="Arial Narrow" w:hAnsi="Arial Narrow"/>
                <w:sz w:val="20"/>
              </w:rPr>
            </w:pPr>
            <w:r w:rsidRPr="00FD4A03">
              <w:rPr>
                <w:rFonts w:ascii="Arial Narrow" w:hAnsi="Arial Narrow"/>
                <w:sz w:val="20"/>
              </w:rPr>
              <w:t>Patient must not have progressive disease.</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Pr>
                <w:rFonts w:ascii="Arial Narrow" w:hAnsi="Arial Narrow"/>
                <w:b/>
                <w:sz w:val="20"/>
              </w:rPr>
              <w:t>Population criteria</w:t>
            </w:r>
          </w:p>
        </w:tc>
        <w:tc>
          <w:tcPr>
            <w:tcW w:w="5245" w:type="dxa"/>
            <w:gridSpan w:val="4"/>
            <w:tcBorders>
              <w:top w:val="single" w:sz="4" w:space="0" w:color="auto"/>
              <w:left w:val="single" w:sz="4" w:space="0" w:color="auto"/>
              <w:bottom w:val="single" w:sz="4" w:space="0" w:color="auto"/>
              <w:right w:val="single" w:sz="4" w:space="0" w:color="auto"/>
            </w:tcBorders>
          </w:tcPr>
          <w:p w:rsidR="003A67D6" w:rsidRDefault="003A67D6" w:rsidP="00E56A7F">
            <w:pPr>
              <w:rPr>
                <w:rFonts w:ascii="Arial Narrow" w:hAnsi="Arial Narrow"/>
                <w:sz w:val="20"/>
              </w:rPr>
            </w:pPr>
            <w:r w:rsidRPr="00EE4A57">
              <w:rPr>
                <w:rFonts w:ascii="Arial Narrow" w:hAnsi="Arial Narrow"/>
                <w:sz w:val="20"/>
              </w:rPr>
              <w:t>Patient must have evidence of an anaplastic lymphoma kinase (ALK) gene rearrangement in tumour material, defined as 15% (or greater) positive cells by fluorescence in situ hybridisation (FISH) testing.</w:t>
            </w:r>
          </w:p>
          <w:p w:rsidR="003A67D6" w:rsidRPr="00EE4A57" w:rsidRDefault="003A67D6" w:rsidP="00E56A7F">
            <w:pPr>
              <w:keepNext/>
              <w:keepLines/>
              <w:spacing w:before="40"/>
              <w:rPr>
                <w:rFonts w:ascii="Arial Narrow" w:hAnsi="Arial Narrow"/>
                <w:sz w:val="20"/>
              </w:rPr>
            </w:pP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Prescriber Instructions</w:t>
            </w:r>
          </w:p>
          <w:p w:rsidR="003A67D6" w:rsidRPr="00260CE3" w:rsidRDefault="003A67D6" w:rsidP="00E56A7F">
            <w:pPr>
              <w:rPr>
                <w:rFonts w:ascii="Arial Narrow" w:hAnsi="Arial Narrow"/>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sz w:val="20"/>
              </w:rPr>
            </w:pPr>
            <w:r w:rsidRPr="00B06B4A">
              <w:rPr>
                <w:rFonts w:ascii="Arial Narrow" w:hAnsi="Arial Narrow"/>
                <w:sz w:val="20"/>
              </w:rPr>
              <w:t>A patient may qualify for PBS-subsidised treatment under this restriction once only.</w:t>
            </w:r>
          </w:p>
        </w:tc>
      </w:tr>
      <w:tr w:rsidR="003A67D6" w:rsidRPr="00260CE3" w:rsidTr="00E56A7F">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3A67D6" w:rsidRPr="00260CE3" w:rsidRDefault="003A67D6" w:rsidP="00E56A7F">
            <w:pPr>
              <w:rPr>
                <w:rFonts w:ascii="Arial Narrow" w:hAnsi="Arial Narrow"/>
                <w:b/>
                <w:sz w:val="20"/>
              </w:rPr>
            </w:pPr>
            <w:r w:rsidRPr="00260CE3">
              <w:rPr>
                <w:rFonts w:ascii="Arial Narrow" w:hAnsi="Arial Narrow"/>
                <w:b/>
                <w:sz w:val="20"/>
              </w:rPr>
              <w:t>Administrative Advice</w:t>
            </w:r>
          </w:p>
          <w:p w:rsidR="003A67D6" w:rsidRPr="00260CE3" w:rsidRDefault="003A67D6" w:rsidP="00E56A7F">
            <w:pPr>
              <w:rPr>
                <w:rFonts w:ascii="Arial Narrow" w:hAnsi="Arial Narrow"/>
                <w:sz w:val="20"/>
              </w:rPr>
            </w:pPr>
          </w:p>
        </w:tc>
        <w:tc>
          <w:tcPr>
            <w:tcW w:w="5245" w:type="dxa"/>
            <w:gridSpan w:val="4"/>
            <w:tcBorders>
              <w:top w:val="single" w:sz="4" w:space="0" w:color="auto"/>
              <w:left w:val="single" w:sz="4" w:space="0" w:color="auto"/>
              <w:bottom w:val="single" w:sz="4" w:space="0" w:color="auto"/>
              <w:right w:val="single" w:sz="4" w:space="0" w:color="auto"/>
            </w:tcBorders>
          </w:tcPr>
          <w:p w:rsidR="003A67D6" w:rsidRPr="00D318D6" w:rsidRDefault="003A67D6" w:rsidP="00E56A7F">
            <w:pPr>
              <w:rPr>
                <w:rFonts w:ascii="Arial Narrow" w:hAnsi="Arial Narrow"/>
                <w:sz w:val="20"/>
              </w:rPr>
            </w:pPr>
            <w:r w:rsidRPr="00D318D6">
              <w:rPr>
                <w:rFonts w:ascii="Arial Narrow" w:hAnsi="Arial Narrow"/>
                <w:sz w:val="20"/>
              </w:rPr>
              <w:t xml:space="preserve">No increase in the maximum quantity or number of units may be authorised. </w:t>
            </w:r>
          </w:p>
          <w:p w:rsidR="003A67D6" w:rsidRPr="00D318D6" w:rsidRDefault="003A67D6" w:rsidP="00E56A7F">
            <w:pPr>
              <w:rPr>
                <w:rFonts w:ascii="Arial Narrow" w:hAnsi="Arial Narrow"/>
                <w:sz w:val="20"/>
              </w:rPr>
            </w:pPr>
            <w:r w:rsidRPr="00D318D6">
              <w:rPr>
                <w:rFonts w:ascii="Arial Narrow" w:hAnsi="Arial Narrow"/>
                <w:sz w:val="20"/>
              </w:rPr>
              <w:t xml:space="preserve">No increase in the maximum number of repeats may be authorised. </w:t>
            </w:r>
          </w:p>
          <w:p w:rsidR="003A67D6" w:rsidRPr="00D318D6" w:rsidRDefault="003A67D6" w:rsidP="00E56A7F">
            <w:pPr>
              <w:rPr>
                <w:rFonts w:ascii="Arial Narrow" w:hAnsi="Arial Narrow"/>
                <w:sz w:val="20"/>
              </w:rPr>
            </w:pPr>
            <w:r w:rsidRPr="00D318D6">
              <w:rPr>
                <w:rFonts w:ascii="Arial Narrow" w:hAnsi="Arial Narrow"/>
                <w:sz w:val="20"/>
              </w:rPr>
              <w:t>Special Pricing Arrangements apply.</w:t>
            </w:r>
          </w:p>
          <w:p w:rsidR="003A67D6" w:rsidRPr="00260CE3" w:rsidRDefault="003A67D6" w:rsidP="00E56A7F">
            <w:pPr>
              <w:rPr>
                <w:rFonts w:ascii="Arial Narrow" w:hAnsi="Arial Narrow"/>
                <w:sz w:val="20"/>
              </w:rPr>
            </w:pPr>
          </w:p>
        </w:tc>
      </w:tr>
    </w:tbl>
    <w:p w:rsidR="003A67D6" w:rsidRDefault="003A67D6" w:rsidP="003A67D6">
      <w:pPr>
        <w:rPr>
          <w:rFonts w:ascii="Calibri" w:hAnsi="Calibri" w:cs="Calibri"/>
        </w:rPr>
      </w:pPr>
    </w:p>
    <w:p w:rsidR="00EE4A57" w:rsidRPr="00C052DD" w:rsidRDefault="00EE4A57" w:rsidP="0039017F">
      <w:pPr>
        <w:rPr>
          <w:rFonts w:ascii="Calibri" w:hAnsi="Calibri" w:cs="Calibri"/>
        </w:rPr>
      </w:pPr>
    </w:p>
    <w:p w:rsidR="009D3570" w:rsidRPr="00570D4E" w:rsidRDefault="009D3570" w:rsidP="002F20CE">
      <w:pPr>
        <w:pStyle w:val="PBACHeading1"/>
        <w:keepNext/>
        <w:numPr>
          <w:ilvl w:val="0"/>
          <w:numId w:val="1"/>
        </w:numPr>
        <w:outlineLvl w:val="0"/>
      </w:pPr>
      <w:r w:rsidRPr="00485DD3">
        <w:t>Context for Decision</w:t>
      </w:r>
    </w:p>
    <w:p w:rsidR="009D3570" w:rsidRDefault="009D3570" w:rsidP="009D3570">
      <w:pPr>
        <w:ind w:left="426"/>
      </w:pPr>
    </w:p>
    <w:p w:rsidR="009D3570" w:rsidRDefault="009D3570" w:rsidP="009D3570">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D3570" w:rsidRDefault="009D3570" w:rsidP="002F20CE">
      <w:pPr>
        <w:ind w:left="709"/>
      </w:pPr>
    </w:p>
    <w:p w:rsidR="009D3570" w:rsidRPr="00570D4E" w:rsidRDefault="009D3570" w:rsidP="002F20CE">
      <w:pPr>
        <w:pStyle w:val="PBACHeading1"/>
        <w:keepNext/>
        <w:numPr>
          <w:ilvl w:val="0"/>
          <w:numId w:val="1"/>
        </w:numPr>
        <w:outlineLvl w:val="0"/>
      </w:pPr>
      <w:r w:rsidRPr="00485DD3">
        <w:t>Sponsor’s Comment</w:t>
      </w:r>
    </w:p>
    <w:p w:rsidR="009D3570" w:rsidRDefault="009D3570" w:rsidP="009D3570">
      <w:pPr>
        <w:ind w:left="426"/>
        <w:rPr>
          <w:bCs/>
          <w:highlight w:val="yellow"/>
          <w:lang w:val="en-GB"/>
        </w:rPr>
      </w:pPr>
    </w:p>
    <w:p w:rsidR="009D3570" w:rsidRDefault="009D3570" w:rsidP="009D3570">
      <w:pPr>
        <w:spacing w:after="120"/>
        <w:ind w:left="709"/>
        <w:rPr>
          <w:bCs/>
        </w:rPr>
      </w:pPr>
      <w:r w:rsidRPr="003035CC">
        <w:rPr>
          <w:bCs/>
        </w:rPr>
        <w:t>The sponsor had no comment.</w:t>
      </w:r>
    </w:p>
    <w:p w:rsidR="0039017F" w:rsidRPr="00C052DD" w:rsidRDefault="0039017F" w:rsidP="0039017F"/>
    <w:sectPr w:rsidR="0039017F" w:rsidRPr="00C052DD" w:rsidSect="0039017F">
      <w:headerReference w:type="even" r:id="rId10"/>
      <w:headerReference w:type="default" r:id="rId11"/>
      <w:footerReference w:type="even" r:id="rId12"/>
      <w:footerReference w:type="default" r:id="rId13"/>
      <w:headerReference w:type="first" r:id="rId14"/>
      <w:footerReference w:type="first" r:id="rId15"/>
      <w:footnotePr>
        <w:numFmt w:val="lowerLetter"/>
      </w:footnotePr>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E1533" w15:done="0"/>
  <w15:commentEx w15:paraId="369B5895" w15:paraIdParent="4D7E1533" w15:done="0"/>
  <w15:commentEx w15:paraId="543B7119" w15:done="0"/>
  <w15:commentEx w15:paraId="183A80FE" w15:paraIdParent="543B7119" w15:done="0"/>
  <w15:commentEx w15:paraId="0F13CF2C" w15:done="0"/>
  <w15:commentEx w15:paraId="0C84055C" w15:paraIdParent="0F13CF2C" w15:done="0"/>
  <w15:commentEx w15:paraId="220DA6CE" w15:done="0"/>
  <w15:commentEx w15:paraId="4F4D287C" w15:paraIdParent="220DA6CE" w15:done="0"/>
  <w15:commentEx w15:paraId="3FB7CF48" w15:done="0"/>
  <w15:commentEx w15:paraId="38AB24B7" w15:paraIdParent="3FB7CF48" w15:done="0"/>
  <w15:commentEx w15:paraId="6D1D510E" w15:done="0"/>
  <w15:commentEx w15:paraId="5759EDD6" w15:paraIdParent="6D1D510E" w15:done="0"/>
  <w15:commentEx w15:paraId="4DEF37DA" w15:done="0"/>
  <w15:commentEx w15:paraId="06C999B6" w15:paraIdParent="4DEF37DA" w15:done="0"/>
  <w15:commentEx w15:paraId="01C8AB52" w15:done="0"/>
  <w15:commentEx w15:paraId="00837CB7" w15:paraIdParent="01C8AB52" w15:done="0"/>
  <w15:commentEx w15:paraId="59F0831B" w15:done="0"/>
  <w15:commentEx w15:paraId="247214AC" w15:paraIdParent="59F0831B" w15:done="0"/>
  <w15:commentEx w15:paraId="53B1C378" w15:done="0"/>
  <w15:commentEx w15:paraId="7F16A997" w15:paraIdParent="53B1C378" w15:done="0"/>
  <w15:commentEx w15:paraId="0B995B9F" w15:done="0"/>
  <w15:commentEx w15:paraId="5EDF32E3" w15:paraIdParent="0B995B9F" w15:done="0"/>
  <w15:commentEx w15:paraId="67AD52F7" w15:done="0"/>
  <w15:commentEx w15:paraId="3F72BA08" w15:paraIdParent="67AD52F7" w15:done="0"/>
  <w15:commentEx w15:paraId="640DB78B" w15:done="0"/>
  <w15:commentEx w15:paraId="315FCF51" w15:done="0"/>
  <w15:commentEx w15:paraId="70D7CB22" w15:paraIdParent="315FCF51" w15:done="0"/>
  <w15:commentEx w15:paraId="0EB18E1B" w15:done="0"/>
  <w15:commentEx w15:paraId="0C113CB3" w15:paraIdParent="0EB18E1B" w15:done="0"/>
  <w15:commentEx w15:paraId="03F61047" w15:done="0"/>
  <w15:commentEx w15:paraId="6B81E8F9" w15:paraIdParent="03F61047" w15:done="0"/>
  <w15:commentEx w15:paraId="39E5CA92" w15:done="0"/>
  <w15:commentEx w15:paraId="450F444F" w15:paraIdParent="39E5CA92" w15:done="0"/>
  <w15:commentEx w15:paraId="53E3C3F2" w15:done="0"/>
  <w15:commentEx w15:paraId="56D1E7CE" w15:paraIdParent="53E3C3F2" w15:done="0"/>
  <w15:commentEx w15:paraId="06806207" w15:done="0"/>
  <w15:commentEx w15:paraId="2BFA2532" w15:paraIdParent="06806207" w15:done="0"/>
  <w15:commentEx w15:paraId="10613838" w15:done="0"/>
  <w15:commentEx w15:paraId="5470B72A" w15:paraIdParent="10613838" w15:done="0"/>
  <w15:commentEx w15:paraId="116B4E58" w15:done="0"/>
  <w15:commentEx w15:paraId="6F2259AA" w15:done="0"/>
  <w15:commentEx w15:paraId="30D06179" w15:paraIdParent="6F2259AA" w15:done="0"/>
  <w15:commentEx w15:paraId="7731840A" w15:done="0"/>
  <w15:commentEx w15:paraId="0DD918D8" w15:paraIdParent="7731840A" w15:done="0"/>
  <w15:commentEx w15:paraId="26146187" w15:done="0"/>
  <w15:commentEx w15:paraId="41A4574F" w15:paraIdParent="26146187" w15:done="0"/>
  <w15:commentEx w15:paraId="50C95BC7" w15:done="0"/>
  <w15:commentEx w15:paraId="4455055A" w15:done="0"/>
  <w15:commentEx w15:paraId="2822331F" w15:paraIdParent="4455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1" w:rsidRDefault="00A05571" w:rsidP="00124A51">
      <w:r>
        <w:separator/>
      </w:r>
    </w:p>
  </w:endnote>
  <w:endnote w:type="continuationSeparator" w:id="0">
    <w:p w:rsidR="00A05571" w:rsidRDefault="00A0557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B" w:rsidRDefault="000A5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00264"/>
      <w:docPartObj>
        <w:docPartGallery w:val="Page Numbers (Bottom of Page)"/>
        <w:docPartUnique/>
      </w:docPartObj>
    </w:sdtPr>
    <w:sdtEndPr>
      <w:rPr>
        <w:noProof/>
      </w:rPr>
    </w:sdtEndPr>
    <w:sdtContent>
      <w:p w:rsidR="00F42031" w:rsidRDefault="00F42031">
        <w:pPr>
          <w:pStyle w:val="Footer"/>
          <w:jc w:val="center"/>
        </w:pPr>
        <w:r w:rsidRPr="00484E0B">
          <w:rPr>
            <w:sz w:val="20"/>
          </w:rPr>
          <w:fldChar w:fldCharType="begin"/>
        </w:r>
        <w:r w:rsidRPr="00484E0B">
          <w:rPr>
            <w:sz w:val="20"/>
          </w:rPr>
          <w:instrText xml:space="preserve"> PAGE   \* MERGEFORMAT </w:instrText>
        </w:r>
        <w:r w:rsidRPr="00484E0B">
          <w:rPr>
            <w:sz w:val="20"/>
          </w:rPr>
          <w:fldChar w:fldCharType="separate"/>
        </w:r>
        <w:r w:rsidR="0094152A">
          <w:rPr>
            <w:noProof/>
            <w:sz w:val="20"/>
          </w:rPr>
          <w:t>12</w:t>
        </w:r>
        <w:r w:rsidRPr="00484E0B">
          <w:rPr>
            <w:noProof/>
            <w:sz w:val="20"/>
          </w:rPr>
          <w:fldChar w:fldCharType="end"/>
        </w:r>
      </w:p>
    </w:sdtContent>
  </w:sdt>
  <w:p w:rsidR="00F42031" w:rsidRPr="00095F4D" w:rsidRDefault="00F42031" w:rsidP="00095F4D">
    <w:pPr>
      <w:pStyle w:val="Footer"/>
      <w:jc w:val="cen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B" w:rsidRDefault="000A5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1" w:rsidRDefault="00A05571" w:rsidP="00124A51">
      <w:r>
        <w:separator/>
      </w:r>
    </w:p>
  </w:footnote>
  <w:footnote w:type="continuationSeparator" w:id="0">
    <w:p w:rsidR="00A05571" w:rsidRDefault="00A05571" w:rsidP="00124A51">
      <w:r>
        <w:continuationSeparator/>
      </w:r>
    </w:p>
  </w:footnote>
  <w:footnote w:id="1">
    <w:p w:rsidR="00F42031" w:rsidRPr="00424313" w:rsidRDefault="00F42031" w:rsidP="00E0107F">
      <w:pPr>
        <w:widowControl/>
        <w:autoSpaceDE w:val="0"/>
        <w:autoSpaceDN w:val="0"/>
        <w:adjustRightInd w:val="0"/>
        <w:jc w:val="left"/>
        <w:rPr>
          <w:rFonts w:ascii="Arial Narrow" w:hAnsi="Arial Narrow"/>
          <w:sz w:val="18"/>
          <w:szCs w:val="18"/>
        </w:rPr>
      </w:pPr>
      <w:r w:rsidRPr="00424313">
        <w:rPr>
          <w:rStyle w:val="FootnoteReference"/>
          <w:rFonts w:ascii="Arial Narrow" w:hAnsi="Arial Narrow"/>
          <w:sz w:val="18"/>
          <w:szCs w:val="18"/>
        </w:rPr>
        <w:footnoteRef/>
      </w:r>
      <w:r w:rsidRPr="00424313">
        <w:rPr>
          <w:rFonts w:ascii="Arial Narrow" w:hAnsi="Arial Narrow"/>
          <w:sz w:val="18"/>
          <w:szCs w:val="18"/>
        </w:rPr>
        <w:t xml:space="preserve"> </w:t>
      </w:r>
      <w:proofErr w:type="gramStart"/>
      <w:r w:rsidRPr="00424313">
        <w:rPr>
          <w:rFonts w:ascii="Arial Narrow" w:hAnsi="Arial Narrow"/>
          <w:sz w:val="18"/>
          <w:szCs w:val="18"/>
        </w:rPr>
        <w:t xml:space="preserve">Booth, C. M. and E. A. </w:t>
      </w:r>
      <w:proofErr w:type="spellStart"/>
      <w:r w:rsidRPr="00424313">
        <w:rPr>
          <w:rFonts w:ascii="Arial Narrow" w:hAnsi="Arial Narrow"/>
          <w:sz w:val="18"/>
          <w:szCs w:val="18"/>
        </w:rPr>
        <w:t>Eisenhauer</w:t>
      </w:r>
      <w:proofErr w:type="spellEnd"/>
      <w:r w:rsidRPr="00424313">
        <w:rPr>
          <w:rFonts w:ascii="Arial Narrow" w:hAnsi="Arial Narrow"/>
          <w:sz w:val="18"/>
          <w:szCs w:val="18"/>
        </w:rPr>
        <w:t xml:space="preserve"> (2012).</w:t>
      </w:r>
      <w:proofErr w:type="gramEnd"/>
      <w:r w:rsidRPr="00424313">
        <w:rPr>
          <w:rFonts w:ascii="Arial Narrow" w:hAnsi="Arial Narrow"/>
          <w:sz w:val="18"/>
          <w:szCs w:val="18"/>
        </w:rPr>
        <w:t xml:space="preserve"> </w:t>
      </w:r>
      <w:proofErr w:type="gramStart"/>
      <w:r w:rsidRPr="00424313">
        <w:rPr>
          <w:rFonts w:ascii="Arial Narrow" w:hAnsi="Arial Narrow"/>
          <w:sz w:val="18"/>
          <w:szCs w:val="18"/>
        </w:rPr>
        <w:t>"Progression-free survival: meaningful or simply measurable?"</w:t>
      </w:r>
      <w:proofErr w:type="gramEnd"/>
      <w:r w:rsidRPr="00424313">
        <w:rPr>
          <w:rFonts w:ascii="Arial Narrow" w:hAnsi="Arial Narrow"/>
          <w:sz w:val="18"/>
          <w:szCs w:val="18"/>
        </w:rPr>
        <w:t xml:space="preserve"> J </w:t>
      </w:r>
      <w:proofErr w:type="spellStart"/>
      <w:r w:rsidRPr="00424313">
        <w:rPr>
          <w:rFonts w:ascii="Arial Narrow" w:hAnsi="Arial Narrow"/>
          <w:sz w:val="18"/>
          <w:szCs w:val="18"/>
        </w:rPr>
        <w:t>Clin</w:t>
      </w:r>
      <w:proofErr w:type="spellEnd"/>
      <w:r w:rsidRPr="00424313">
        <w:rPr>
          <w:rFonts w:ascii="Arial Narrow" w:hAnsi="Arial Narrow"/>
          <w:sz w:val="18"/>
          <w:szCs w:val="18"/>
        </w:rPr>
        <w:t xml:space="preserve"> </w:t>
      </w:r>
      <w:proofErr w:type="spellStart"/>
      <w:r w:rsidRPr="00424313">
        <w:rPr>
          <w:rFonts w:ascii="Arial Narrow" w:hAnsi="Arial Narrow"/>
          <w:sz w:val="18"/>
          <w:szCs w:val="18"/>
        </w:rPr>
        <w:t>Oncol</w:t>
      </w:r>
      <w:proofErr w:type="spellEnd"/>
      <w:r w:rsidRPr="00424313">
        <w:rPr>
          <w:rFonts w:ascii="Arial Narrow" w:hAnsi="Arial Narrow"/>
          <w:sz w:val="18"/>
          <w:szCs w:val="18"/>
        </w:rPr>
        <w:t xml:space="preserve"> 30(10): 1030-1033. </w:t>
      </w:r>
      <w:proofErr w:type="gramStart"/>
      <w:r w:rsidRPr="00424313">
        <w:rPr>
          <w:rFonts w:ascii="Arial Narrow" w:hAnsi="Arial Narrow"/>
          <w:sz w:val="18"/>
          <w:szCs w:val="18"/>
        </w:rPr>
        <w:t>Cheema, P. and R. Burkes (2013).</w:t>
      </w:r>
      <w:proofErr w:type="gramEnd"/>
      <w:r w:rsidRPr="00424313">
        <w:rPr>
          <w:rFonts w:ascii="Arial Narrow" w:hAnsi="Arial Narrow"/>
          <w:sz w:val="18"/>
          <w:szCs w:val="18"/>
        </w:rPr>
        <w:t xml:space="preserve"> "Overall survival should be the primary endpoint in clinical trials for advanced non-small cell lung cancer." Current Oncology 20(2): 150-160. </w:t>
      </w:r>
    </w:p>
  </w:footnote>
  <w:footnote w:id="2">
    <w:p w:rsidR="00F42031" w:rsidRPr="00CC5FB1" w:rsidRDefault="00F42031" w:rsidP="00424313">
      <w:pPr>
        <w:pStyle w:val="EndNoteBibliography"/>
        <w:ind w:left="142" w:hanging="142"/>
        <w:rPr>
          <w:sz w:val="14"/>
        </w:rPr>
      </w:pPr>
      <w:r w:rsidRPr="00CC5FB1">
        <w:rPr>
          <w:rStyle w:val="FootnoteReference"/>
          <w:sz w:val="14"/>
        </w:rPr>
        <w:footnoteRef/>
      </w:r>
      <w:r w:rsidRPr="00CC5FB1">
        <w:rPr>
          <w:sz w:val="14"/>
        </w:rPr>
        <w:t xml:space="preserve"> Tan DSW, Araujo A, Zhang J, Signorovitch JE, Zhou ZY, Cai X, et al. Comparative efficacy of ceritinib and crizotinib in previously treated crizotinib-naïve anaplastic lymphoma kinase-positive (ALK+) advanced or metastatic non-small cell lung cancer (NSCLC): An adjusted indirect comparison. Journal of Clinical Oncology 2015;33(15).</w:t>
      </w:r>
    </w:p>
    <w:p w:rsidR="00F42031" w:rsidRDefault="00F42031">
      <w:pPr>
        <w:pStyle w:val="FootnoteText"/>
      </w:pPr>
    </w:p>
  </w:footnote>
  <w:footnote w:id="3">
    <w:p w:rsidR="00F42031" w:rsidRPr="00B04BDC" w:rsidRDefault="00F42031" w:rsidP="00B070C3">
      <w:pPr>
        <w:pStyle w:val="FootnoteText"/>
        <w:rPr>
          <w:rFonts w:ascii="Arial Narrow" w:hAnsi="Arial Narrow"/>
          <w:sz w:val="18"/>
          <w:szCs w:val="18"/>
        </w:rPr>
      </w:pPr>
      <w:r w:rsidRPr="00B04BDC">
        <w:rPr>
          <w:rStyle w:val="FootnoteReference"/>
          <w:rFonts w:ascii="Arial Narrow" w:hAnsi="Arial Narrow"/>
          <w:sz w:val="18"/>
          <w:szCs w:val="18"/>
        </w:rPr>
        <w:footnoteRef/>
      </w:r>
      <w:r w:rsidRPr="00B04BDC">
        <w:rPr>
          <w:rFonts w:ascii="Arial Narrow" w:hAnsi="Arial Narrow"/>
          <w:sz w:val="18"/>
          <w:szCs w:val="18"/>
        </w:rPr>
        <w:t xml:space="preserve"> Cancer institute NSW, https://www.eviq.org.au/.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B" w:rsidRDefault="000A53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031" w:rsidRPr="009D3570" w:rsidRDefault="00F42031" w:rsidP="009D3570">
    <w:pPr>
      <w:tabs>
        <w:tab w:val="left" w:pos="142"/>
        <w:tab w:val="right" w:pos="9027"/>
      </w:tabs>
      <w:jc w:val="center"/>
      <w:rPr>
        <w:i/>
        <w:color w:val="D9D9D9" w:themeColor="background1" w:themeShade="D9"/>
      </w:rPr>
    </w:pPr>
    <w:r>
      <w:rPr>
        <w:i/>
        <w:color w:val="D9D9D9" w:themeColor="background1" w:themeShade="D9"/>
      </w:rPr>
      <w:t>Public Summary Document</w:t>
    </w:r>
    <w:r w:rsidRPr="005B299C">
      <w:rPr>
        <w:i/>
        <w:color w:val="D9D9D9" w:themeColor="background1" w:themeShade="D9"/>
      </w:rPr>
      <w:t xml:space="preserve"> – November 2016 PBAC Meeting</w:t>
    </w:r>
  </w:p>
  <w:p w:rsidR="00F42031" w:rsidRDefault="00F420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36B" w:rsidRDefault="000A53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90C"/>
    <w:multiLevelType w:val="hybridMultilevel"/>
    <w:tmpl w:val="9D6825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6511925"/>
    <w:multiLevelType w:val="hybridMultilevel"/>
    <w:tmpl w:val="751A047C"/>
    <w:lvl w:ilvl="0" w:tplc="820ED34A">
      <w:start w:val="1"/>
      <w:numFmt w:val="bullet"/>
      <w:pStyle w:val="PBAC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A75653"/>
    <w:multiLevelType w:val="hybridMultilevel"/>
    <w:tmpl w:val="E50CA4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5BD67423"/>
    <w:multiLevelType w:val="hybridMultilevel"/>
    <w:tmpl w:val="43BACB3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784D033C"/>
    <w:multiLevelType w:val="multilevel"/>
    <w:tmpl w:val="5AACF19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John Tamblyn">
    <w15:presenceInfo w15:providerId="AD" w15:userId="S-1-5-21-1390582872-192029990-4074164785-90161"/>
  </w15:person>
  <w15:person w15:author="Shuhong Wang">
    <w15:presenceInfo w15:providerId="AD" w15:userId="S-1-5-21-1390582872-192029990-4074164785-9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dav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9xv9v55ext9keex9opvre7w095afxevr2z&quot;&gt;Ceritinib2016&lt;record-ids&gt;&lt;item&gt;1&lt;/item&gt;&lt;item&gt;4&lt;/item&gt;&lt;item&gt;5&lt;/item&gt;&lt;item&gt;6&lt;/item&gt;&lt;item&gt;7&lt;/item&gt;&lt;item&gt;8&lt;/item&gt;&lt;item&gt;12&lt;/item&gt;&lt;item&gt;13&lt;/item&gt;&lt;item&gt;17&lt;/item&gt;&lt;item&gt;19&lt;/item&gt;&lt;item&gt;21&lt;/item&gt;&lt;item&gt;24&lt;/item&gt;&lt;item&gt;25&lt;/item&gt;&lt;item&gt;27&lt;/item&gt;&lt;item&gt;30&lt;/item&gt;&lt;item&gt;31&lt;/item&gt;&lt;item&gt;32&lt;/item&gt;&lt;item&gt;33&lt;/item&gt;&lt;item&gt;37&lt;/item&gt;&lt;item&gt;38&lt;/item&gt;&lt;item&gt;41&lt;/item&gt;&lt;item&gt;110&lt;/item&gt;&lt;item&gt;172&lt;/item&gt;&lt;item&gt;178&lt;/item&gt;&lt;item&gt;181&lt;/item&gt;&lt;item&gt;182&lt;/item&gt;&lt;item&gt;190&lt;/item&gt;&lt;item&gt;191&lt;/item&gt;&lt;item&gt;193&lt;/item&gt;&lt;item&gt;195&lt;/item&gt;&lt;item&gt;196&lt;/item&gt;&lt;item&gt;198&lt;/item&gt;&lt;item&gt;201&lt;/item&gt;&lt;item&gt;202&lt;/item&gt;&lt;item&gt;204&lt;/item&gt;&lt;item&gt;220&lt;/item&gt;&lt;item&gt;221&lt;/item&gt;&lt;item&gt;222&lt;/item&gt;&lt;item&gt;224&lt;/item&gt;&lt;item&gt;225&lt;/item&gt;&lt;item&gt;226&lt;/item&gt;&lt;/record-ids&gt;&lt;/item&gt;&lt;/Libraries&gt;"/>
  </w:docVars>
  <w:rsids>
    <w:rsidRoot w:val="00E65E79"/>
    <w:rsid w:val="000006B5"/>
    <w:rsid w:val="00000744"/>
    <w:rsid w:val="00000790"/>
    <w:rsid w:val="000007F6"/>
    <w:rsid w:val="0000110B"/>
    <w:rsid w:val="000020A8"/>
    <w:rsid w:val="00002C17"/>
    <w:rsid w:val="00003499"/>
    <w:rsid w:val="00007F65"/>
    <w:rsid w:val="00013247"/>
    <w:rsid w:val="00015226"/>
    <w:rsid w:val="00015886"/>
    <w:rsid w:val="000162EF"/>
    <w:rsid w:val="00016C16"/>
    <w:rsid w:val="00020C2F"/>
    <w:rsid w:val="0002225F"/>
    <w:rsid w:val="00023763"/>
    <w:rsid w:val="00023E7F"/>
    <w:rsid w:val="000244B1"/>
    <w:rsid w:val="00024FE1"/>
    <w:rsid w:val="00030958"/>
    <w:rsid w:val="0003138E"/>
    <w:rsid w:val="00031633"/>
    <w:rsid w:val="000333FE"/>
    <w:rsid w:val="000334CE"/>
    <w:rsid w:val="0003639D"/>
    <w:rsid w:val="00040895"/>
    <w:rsid w:val="00040ACA"/>
    <w:rsid w:val="0004272D"/>
    <w:rsid w:val="00043C37"/>
    <w:rsid w:val="00044246"/>
    <w:rsid w:val="00046C5C"/>
    <w:rsid w:val="00053AB3"/>
    <w:rsid w:val="000546D7"/>
    <w:rsid w:val="00057A47"/>
    <w:rsid w:val="000648EC"/>
    <w:rsid w:val="00067E1B"/>
    <w:rsid w:val="000711B1"/>
    <w:rsid w:val="00071248"/>
    <w:rsid w:val="000720B9"/>
    <w:rsid w:val="00073D9E"/>
    <w:rsid w:val="00073F21"/>
    <w:rsid w:val="000812CA"/>
    <w:rsid w:val="00081FCD"/>
    <w:rsid w:val="000822BE"/>
    <w:rsid w:val="000840B7"/>
    <w:rsid w:val="000846E3"/>
    <w:rsid w:val="0008488D"/>
    <w:rsid w:val="000866E2"/>
    <w:rsid w:val="00090C7E"/>
    <w:rsid w:val="00092F2C"/>
    <w:rsid w:val="000938DC"/>
    <w:rsid w:val="00095F4D"/>
    <w:rsid w:val="00096206"/>
    <w:rsid w:val="0009684B"/>
    <w:rsid w:val="00097797"/>
    <w:rsid w:val="000978F0"/>
    <w:rsid w:val="0009795D"/>
    <w:rsid w:val="000A3486"/>
    <w:rsid w:val="000A4E1C"/>
    <w:rsid w:val="000A536B"/>
    <w:rsid w:val="000A63A2"/>
    <w:rsid w:val="000A6935"/>
    <w:rsid w:val="000B27FB"/>
    <w:rsid w:val="000B34F9"/>
    <w:rsid w:val="000B4A74"/>
    <w:rsid w:val="000B4E79"/>
    <w:rsid w:val="000B6378"/>
    <w:rsid w:val="000C1F89"/>
    <w:rsid w:val="000C35BA"/>
    <w:rsid w:val="000C3E6A"/>
    <w:rsid w:val="000D1BFC"/>
    <w:rsid w:val="000D35ED"/>
    <w:rsid w:val="000D3813"/>
    <w:rsid w:val="000D6096"/>
    <w:rsid w:val="000D77CA"/>
    <w:rsid w:val="000E220A"/>
    <w:rsid w:val="000E3A5B"/>
    <w:rsid w:val="000E41AD"/>
    <w:rsid w:val="000E49F4"/>
    <w:rsid w:val="000E79EB"/>
    <w:rsid w:val="000F20E4"/>
    <w:rsid w:val="000F2BAC"/>
    <w:rsid w:val="000F38B4"/>
    <w:rsid w:val="000F4BB8"/>
    <w:rsid w:val="000F4BE8"/>
    <w:rsid w:val="000F7127"/>
    <w:rsid w:val="00100F8A"/>
    <w:rsid w:val="001028DC"/>
    <w:rsid w:val="00104991"/>
    <w:rsid w:val="00105B6F"/>
    <w:rsid w:val="0011032E"/>
    <w:rsid w:val="00110409"/>
    <w:rsid w:val="0011348B"/>
    <w:rsid w:val="00114EC1"/>
    <w:rsid w:val="0012010D"/>
    <w:rsid w:val="00120EBF"/>
    <w:rsid w:val="00121799"/>
    <w:rsid w:val="001222FC"/>
    <w:rsid w:val="00122BE9"/>
    <w:rsid w:val="00124A51"/>
    <w:rsid w:val="00125317"/>
    <w:rsid w:val="00126621"/>
    <w:rsid w:val="00126BC9"/>
    <w:rsid w:val="00127244"/>
    <w:rsid w:val="001301E9"/>
    <w:rsid w:val="001330D1"/>
    <w:rsid w:val="001348A6"/>
    <w:rsid w:val="00137645"/>
    <w:rsid w:val="0014015A"/>
    <w:rsid w:val="00140E99"/>
    <w:rsid w:val="00141A59"/>
    <w:rsid w:val="00144766"/>
    <w:rsid w:val="00145540"/>
    <w:rsid w:val="001456B0"/>
    <w:rsid w:val="00145CC6"/>
    <w:rsid w:val="001474B1"/>
    <w:rsid w:val="001476EF"/>
    <w:rsid w:val="00150D64"/>
    <w:rsid w:val="00154666"/>
    <w:rsid w:val="00157130"/>
    <w:rsid w:val="00157392"/>
    <w:rsid w:val="001623A0"/>
    <w:rsid w:val="00162913"/>
    <w:rsid w:val="00163EFF"/>
    <w:rsid w:val="00164390"/>
    <w:rsid w:val="00165877"/>
    <w:rsid w:val="001661FB"/>
    <w:rsid w:val="0017033A"/>
    <w:rsid w:val="00173184"/>
    <w:rsid w:val="00173873"/>
    <w:rsid w:val="0017402E"/>
    <w:rsid w:val="00174573"/>
    <w:rsid w:val="0017762B"/>
    <w:rsid w:val="00184A27"/>
    <w:rsid w:val="001870FE"/>
    <w:rsid w:val="0018752F"/>
    <w:rsid w:val="001939BD"/>
    <w:rsid w:val="00194053"/>
    <w:rsid w:val="00194391"/>
    <w:rsid w:val="00195222"/>
    <w:rsid w:val="001965B7"/>
    <w:rsid w:val="001975D8"/>
    <w:rsid w:val="001A1CB9"/>
    <w:rsid w:val="001A3765"/>
    <w:rsid w:val="001B27ED"/>
    <w:rsid w:val="001B3443"/>
    <w:rsid w:val="001B6EF4"/>
    <w:rsid w:val="001C6E66"/>
    <w:rsid w:val="001D070A"/>
    <w:rsid w:val="001D40E9"/>
    <w:rsid w:val="001D4936"/>
    <w:rsid w:val="001D54EB"/>
    <w:rsid w:val="001D5767"/>
    <w:rsid w:val="001E02B3"/>
    <w:rsid w:val="001E202B"/>
    <w:rsid w:val="001E238E"/>
    <w:rsid w:val="001E2B1E"/>
    <w:rsid w:val="001E345B"/>
    <w:rsid w:val="001E3E82"/>
    <w:rsid w:val="001E49B1"/>
    <w:rsid w:val="001E52EB"/>
    <w:rsid w:val="001E740C"/>
    <w:rsid w:val="001F0AEA"/>
    <w:rsid w:val="001F0DA1"/>
    <w:rsid w:val="001F1235"/>
    <w:rsid w:val="001F1CB3"/>
    <w:rsid w:val="001F44DC"/>
    <w:rsid w:val="001F6B51"/>
    <w:rsid w:val="001F7361"/>
    <w:rsid w:val="00200579"/>
    <w:rsid w:val="00202253"/>
    <w:rsid w:val="00202E72"/>
    <w:rsid w:val="0020385F"/>
    <w:rsid w:val="0020614C"/>
    <w:rsid w:val="00206C06"/>
    <w:rsid w:val="00207021"/>
    <w:rsid w:val="00207D00"/>
    <w:rsid w:val="002105C1"/>
    <w:rsid w:val="0021598F"/>
    <w:rsid w:val="00216858"/>
    <w:rsid w:val="00217A5A"/>
    <w:rsid w:val="002205C4"/>
    <w:rsid w:val="00220D08"/>
    <w:rsid w:val="00221B43"/>
    <w:rsid w:val="002229B6"/>
    <w:rsid w:val="00222FC9"/>
    <w:rsid w:val="00223B49"/>
    <w:rsid w:val="00224029"/>
    <w:rsid w:val="00224DD4"/>
    <w:rsid w:val="002309CC"/>
    <w:rsid w:val="00233DD7"/>
    <w:rsid w:val="00234657"/>
    <w:rsid w:val="002405A3"/>
    <w:rsid w:val="00240663"/>
    <w:rsid w:val="002428EC"/>
    <w:rsid w:val="00242B77"/>
    <w:rsid w:val="00245D89"/>
    <w:rsid w:val="00245FEE"/>
    <w:rsid w:val="00254DCF"/>
    <w:rsid w:val="0025534B"/>
    <w:rsid w:val="00255BB7"/>
    <w:rsid w:val="00255E9C"/>
    <w:rsid w:val="002571E8"/>
    <w:rsid w:val="0025774C"/>
    <w:rsid w:val="002604A4"/>
    <w:rsid w:val="002627BD"/>
    <w:rsid w:val="00262A87"/>
    <w:rsid w:val="00263979"/>
    <w:rsid w:val="002732F9"/>
    <w:rsid w:val="00273D29"/>
    <w:rsid w:val="002749BE"/>
    <w:rsid w:val="00275C5A"/>
    <w:rsid w:val="00281014"/>
    <w:rsid w:val="00281ACE"/>
    <w:rsid w:val="00283702"/>
    <w:rsid w:val="00283890"/>
    <w:rsid w:val="00285EA5"/>
    <w:rsid w:val="00286554"/>
    <w:rsid w:val="002869E4"/>
    <w:rsid w:val="00287C6D"/>
    <w:rsid w:val="0029167D"/>
    <w:rsid w:val="00291BDD"/>
    <w:rsid w:val="00295637"/>
    <w:rsid w:val="002A14AB"/>
    <w:rsid w:val="002A1F73"/>
    <w:rsid w:val="002A3322"/>
    <w:rsid w:val="002A6F66"/>
    <w:rsid w:val="002B1C1F"/>
    <w:rsid w:val="002B3B68"/>
    <w:rsid w:val="002B432F"/>
    <w:rsid w:val="002B4D78"/>
    <w:rsid w:val="002B5AFA"/>
    <w:rsid w:val="002B6CCE"/>
    <w:rsid w:val="002C0317"/>
    <w:rsid w:val="002C2775"/>
    <w:rsid w:val="002C27C1"/>
    <w:rsid w:val="002C7745"/>
    <w:rsid w:val="002D035B"/>
    <w:rsid w:val="002D18EB"/>
    <w:rsid w:val="002D2C12"/>
    <w:rsid w:val="002D334E"/>
    <w:rsid w:val="002E0643"/>
    <w:rsid w:val="002E1111"/>
    <w:rsid w:val="002E2BE3"/>
    <w:rsid w:val="002E2F95"/>
    <w:rsid w:val="002E3AFA"/>
    <w:rsid w:val="002E65C0"/>
    <w:rsid w:val="002E75AC"/>
    <w:rsid w:val="002F12F9"/>
    <w:rsid w:val="002F20CE"/>
    <w:rsid w:val="002F26EC"/>
    <w:rsid w:val="002F356C"/>
    <w:rsid w:val="002F48D1"/>
    <w:rsid w:val="002F5B95"/>
    <w:rsid w:val="002F6B49"/>
    <w:rsid w:val="00301017"/>
    <w:rsid w:val="00301407"/>
    <w:rsid w:val="00302B18"/>
    <w:rsid w:val="00305C12"/>
    <w:rsid w:val="0030786C"/>
    <w:rsid w:val="0031031A"/>
    <w:rsid w:val="00310981"/>
    <w:rsid w:val="00311C15"/>
    <w:rsid w:val="00311CF7"/>
    <w:rsid w:val="0031337E"/>
    <w:rsid w:val="003143E2"/>
    <w:rsid w:val="00315498"/>
    <w:rsid w:val="00322906"/>
    <w:rsid w:val="003230D8"/>
    <w:rsid w:val="00323129"/>
    <w:rsid w:val="00330D49"/>
    <w:rsid w:val="0033149E"/>
    <w:rsid w:val="00331969"/>
    <w:rsid w:val="00332E91"/>
    <w:rsid w:val="0033331D"/>
    <w:rsid w:val="00333AB7"/>
    <w:rsid w:val="003360D0"/>
    <w:rsid w:val="003366C9"/>
    <w:rsid w:val="003371B0"/>
    <w:rsid w:val="00341FF1"/>
    <w:rsid w:val="00342AF9"/>
    <w:rsid w:val="00343773"/>
    <w:rsid w:val="003438CE"/>
    <w:rsid w:val="003438F3"/>
    <w:rsid w:val="00343F64"/>
    <w:rsid w:val="00345EDF"/>
    <w:rsid w:val="00346A3B"/>
    <w:rsid w:val="0035620E"/>
    <w:rsid w:val="0035628F"/>
    <w:rsid w:val="00360457"/>
    <w:rsid w:val="0036273E"/>
    <w:rsid w:val="00363ED5"/>
    <w:rsid w:val="0036426B"/>
    <w:rsid w:val="00364619"/>
    <w:rsid w:val="003649F8"/>
    <w:rsid w:val="00364F06"/>
    <w:rsid w:val="003706D1"/>
    <w:rsid w:val="00370E00"/>
    <w:rsid w:val="0037644D"/>
    <w:rsid w:val="00376E77"/>
    <w:rsid w:val="00381942"/>
    <w:rsid w:val="00382FF3"/>
    <w:rsid w:val="0038365C"/>
    <w:rsid w:val="0038512A"/>
    <w:rsid w:val="00385744"/>
    <w:rsid w:val="00387A47"/>
    <w:rsid w:val="0039017F"/>
    <w:rsid w:val="00390D43"/>
    <w:rsid w:val="00393530"/>
    <w:rsid w:val="00396FD0"/>
    <w:rsid w:val="00397A58"/>
    <w:rsid w:val="003A0148"/>
    <w:rsid w:val="003A161B"/>
    <w:rsid w:val="003A1A7A"/>
    <w:rsid w:val="003A2142"/>
    <w:rsid w:val="003A67D6"/>
    <w:rsid w:val="003A685F"/>
    <w:rsid w:val="003B00D0"/>
    <w:rsid w:val="003B1296"/>
    <w:rsid w:val="003B649C"/>
    <w:rsid w:val="003C0F1E"/>
    <w:rsid w:val="003C1005"/>
    <w:rsid w:val="003C6072"/>
    <w:rsid w:val="003C7EF2"/>
    <w:rsid w:val="003C7FC6"/>
    <w:rsid w:val="003D0DBA"/>
    <w:rsid w:val="003D1828"/>
    <w:rsid w:val="003D1D9F"/>
    <w:rsid w:val="003D2422"/>
    <w:rsid w:val="003D5CFE"/>
    <w:rsid w:val="003D5D01"/>
    <w:rsid w:val="003D737F"/>
    <w:rsid w:val="003D7ECB"/>
    <w:rsid w:val="003E2AF6"/>
    <w:rsid w:val="003E61E0"/>
    <w:rsid w:val="003E7F6E"/>
    <w:rsid w:val="003F3606"/>
    <w:rsid w:val="003F3885"/>
    <w:rsid w:val="003F40B2"/>
    <w:rsid w:val="003F4156"/>
    <w:rsid w:val="003F4773"/>
    <w:rsid w:val="003F5EF2"/>
    <w:rsid w:val="00404775"/>
    <w:rsid w:val="00410708"/>
    <w:rsid w:val="00410EC7"/>
    <w:rsid w:val="00411607"/>
    <w:rsid w:val="004129C3"/>
    <w:rsid w:val="00414476"/>
    <w:rsid w:val="00420B9F"/>
    <w:rsid w:val="00423A5A"/>
    <w:rsid w:val="00423BD0"/>
    <w:rsid w:val="00424313"/>
    <w:rsid w:val="004279EA"/>
    <w:rsid w:val="00427AD4"/>
    <w:rsid w:val="00431949"/>
    <w:rsid w:val="004319F8"/>
    <w:rsid w:val="00433044"/>
    <w:rsid w:val="00437850"/>
    <w:rsid w:val="004410C7"/>
    <w:rsid w:val="0044131F"/>
    <w:rsid w:val="004443A7"/>
    <w:rsid w:val="00444632"/>
    <w:rsid w:val="00445392"/>
    <w:rsid w:val="00445415"/>
    <w:rsid w:val="004464EB"/>
    <w:rsid w:val="00446F15"/>
    <w:rsid w:val="00447CAC"/>
    <w:rsid w:val="00452E30"/>
    <w:rsid w:val="00453645"/>
    <w:rsid w:val="00453C18"/>
    <w:rsid w:val="00453C67"/>
    <w:rsid w:val="00453F96"/>
    <w:rsid w:val="00455D45"/>
    <w:rsid w:val="0045624B"/>
    <w:rsid w:val="00457143"/>
    <w:rsid w:val="0046156B"/>
    <w:rsid w:val="00464595"/>
    <w:rsid w:val="00464606"/>
    <w:rsid w:val="00466E48"/>
    <w:rsid w:val="0046792B"/>
    <w:rsid w:val="004708B9"/>
    <w:rsid w:val="00470F01"/>
    <w:rsid w:val="00471D90"/>
    <w:rsid w:val="00472C10"/>
    <w:rsid w:val="00476D02"/>
    <w:rsid w:val="004772A5"/>
    <w:rsid w:val="00480CD6"/>
    <w:rsid w:val="00483C6F"/>
    <w:rsid w:val="00484E0B"/>
    <w:rsid w:val="004867E2"/>
    <w:rsid w:val="00491B3A"/>
    <w:rsid w:val="00492CFD"/>
    <w:rsid w:val="00493F39"/>
    <w:rsid w:val="00494300"/>
    <w:rsid w:val="004962D2"/>
    <w:rsid w:val="00496682"/>
    <w:rsid w:val="004966E4"/>
    <w:rsid w:val="004A00F0"/>
    <w:rsid w:val="004A0DA1"/>
    <w:rsid w:val="004A19F2"/>
    <w:rsid w:val="004A25F3"/>
    <w:rsid w:val="004A37EC"/>
    <w:rsid w:val="004A5E49"/>
    <w:rsid w:val="004A6079"/>
    <w:rsid w:val="004A6597"/>
    <w:rsid w:val="004A6FBE"/>
    <w:rsid w:val="004B0808"/>
    <w:rsid w:val="004B1CB4"/>
    <w:rsid w:val="004B1D94"/>
    <w:rsid w:val="004B2F18"/>
    <w:rsid w:val="004B3D46"/>
    <w:rsid w:val="004B3DDB"/>
    <w:rsid w:val="004B4451"/>
    <w:rsid w:val="004B44FD"/>
    <w:rsid w:val="004B458C"/>
    <w:rsid w:val="004B5CFC"/>
    <w:rsid w:val="004B6643"/>
    <w:rsid w:val="004B6651"/>
    <w:rsid w:val="004C0F7B"/>
    <w:rsid w:val="004C189B"/>
    <w:rsid w:val="004C4AED"/>
    <w:rsid w:val="004C70B2"/>
    <w:rsid w:val="004C7618"/>
    <w:rsid w:val="004D0DCC"/>
    <w:rsid w:val="004D33A6"/>
    <w:rsid w:val="004D63EC"/>
    <w:rsid w:val="004D7E05"/>
    <w:rsid w:val="004E0EB8"/>
    <w:rsid w:val="004E2ADC"/>
    <w:rsid w:val="004E32A2"/>
    <w:rsid w:val="004E43B2"/>
    <w:rsid w:val="004E5ADA"/>
    <w:rsid w:val="004E686C"/>
    <w:rsid w:val="004E7322"/>
    <w:rsid w:val="004F0C49"/>
    <w:rsid w:val="004F0EA8"/>
    <w:rsid w:val="004F1D02"/>
    <w:rsid w:val="004F2679"/>
    <w:rsid w:val="004F2CC7"/>
    <w:rsid w:val="004F5C5F"/>
    <w:rsid w:val="004F64F6"/>
    <w:rsid w:val="004F7865"/>
    <w:rsid w:val="004F7FD1"/>
    <w:rsid w:val="005023A7"/>
    <w:rsid w:val="005063F6"/>
    <w:rsid w:val="00506928"/>
    <w:rsid w:val="00507284"/>
    <w:rsid w:val="00507EBF"/>
    <w:rsid w:val="005113AA"/>
    <w:rsid w:val="00512F38"/>
    <w:rsid w:val="00513CCE"/>
    <w:rsid w:val="005152B5"/>
    <w:rsid w:val="00521319"/>
    <w:rsid w:val="005238E6"/>
    <w:rsid w:val="00523C28"/>
    <w:rsid w:val="00527652"/>
    <w:rsid w:val="00530BAE"/>
    <w:rsid w:val="00531691"/>
    <w:rsid w:val="00532066"/>
    <w:rsid w:val="0053458A"/>
    <w:rsid w:val="00534845"/>
    <w:rsid w:val="00535B6F"/>
    <w:rsid w:val="00535FB9"/>
    <w:rsid w:val="0054266A"/>
    <w:rsid w:val="00544916"/>
    <w:rsid w:val="00544FD8"/>
    <w:rsid w:val="00546094"/>
    <w:rsid w:val="00550C77"/>
    <w:rsid w:val="00551D3C"/>
    <w:rsid w:val="00552BD3"/>
    <w:rsid w:val="00555109"/>
    <w:rsid w:val="00555493"/>
    <w:rsid w:val="005566DA"/>
    <w:rsid w:val="00556FC2"/>
    <w:rsid w:val="00561D24"/>
    <w:rsid w:val="00561D61"/>
    <w:rsid w:val="00561E71"/>
    <w:rsid w:val="00562DAE"/>
    <w:rsid w:val="0056696F"/>
    <w:rsid w:val="005712F1"/>
    <w:rsid w:val="00572C69"/>
    <w:rsid w:val="00575D8D"/>
    <w:rsid w:val="005762DD"/>
    <w:rsid w:val="00576972"/>
    <w:rsid w:val="00580D81"/>
    <w:rsid w:val="0058285B"/>
    <w:rsid w:val="00583699"/>
    <w:rsid w:val="00585327"/>
    <w:rsid w:val="00585651"/>
    <w:rsid w:val="00585D92"/>
    <w:rsid w:val="00587072"/>
    <w:rsid w:val="0059148B"/>
    <w:rsid w:val="0059295E"/>
    <w:rsid w:val="005944D7"/>
    <w:rsid w:val="00595803"/>
    <w:rsid w:val="00595D55"/>
    <w:rsid w:val="005A3474"/>
    <w:rsid w:val="005A3CA9"/>
    <w:rsid w:val="005B0651"/>
    <w:rsid w:val="005B1D23"/>
    <w:rsid w:val="005B299C"/>
    <w:rsid w:val="005B481F"/>
    <w:rsid w:val="005B5857"/>
    <w:rsid w:val="005B66D4"/>
    <w:rsid w:val="005B6CB0"/>
    <w:rsid w:val="005B7D1D"/>
    <w:rsid w:val="005B7E02"/>
    <w:rsid w:val="005C0986"/>
    <w:rsid w:val="005C192A"/>
    <w:rsid w:val="005C1B83"/>
    <w:rsid w:val="005C346B"/>
    <w:rsid w:val="005C6D55"/>
    <w:rsid w:val="005C7F65"/>
    <w:rsid w:val="005D00A0"/>
    <w:rsid w:val="005D044D"/>
    <w:rsid w:val="005D18AD"/>
    <w:rsid w:val="005D2009"/>
    <w:rsid w:val="005D26EC"/>
    <w:rsid w:val="005D3987"/>
    <w:rsid w:val="005D45E4"/>
    <w:rsid w:val="005D7034"/>
    <w:rsid w:val="005D7176"/>
    <w:rsid w:val="005E5DD6"/>
    <w:rsid w:val="005E70BD"/>
    <w:rsid w:val="005E73C0"/>
    <w:rsid w:val="005F04DA"/>
    <w:rsid w:val="005F1074"/>
    <w:rsid w:val="005F2706"/>
    <w:rsid w:val="005F5242"/>
    <w:rsid w:val="005F624E"/>
    <w:rsid w:val="005F6A8F"/>
    <w:rsid w:val="00602D0F"/>
    <w:rsid w:val="00602E36"/>
    <w:rsid w:val="00605FC1"/>
    <w:rsid w:val="00607669"/>
    <w:rsid w:val="00607DFB"/>
    <w:rsid w:val="0061098B"/>
    <w:rsid w:val="00612F97"/>
    <w:rsid w:val="00616802"/>
    <w:rsid w:val="00616FC6"/>
    <w:rsid w:val="00617E12"/>
    <w:rsid w:val="00621477"/>
    <w:rsid w:val="006233B3"/>
    <w:rsid w:val="006234F9"/>
    <w:rsid w:val="006239B6"/>
    <w:rsid w:val="00623B80"/>
    <w:rsid w:val="00624E96"/>
    <w:rsid w:val="00626337"/>
    <w:rsid w:val="006308FD"/>
    <w:rsid w:val="00631D6B"/>
    <w:rsid w:val="00631E3A"/>
    <w:rsid w:val="0063479F"/>
    <w:rsid w:val="006364A1"/>
    <w:rsid w:val="006376D2"/>
    <w:rsid w:val="00637BFD"/>
    <w:rsid w:val="00637D25"/>
    <w:rsid w:val="0064461E"/>
    <w:rsid w:val="00645A36"/>
    <w:rsid w:val="00645ED2"/>
    <w:rsid w:val="00646489"/>
    <w:rsid w:val="006471CC"/>
    <w:rsid w:val="006478F5"/>
    <w:rsid w:val="00647F0E"/>
    <w:rsid w:val="0065079F"/>
    <w:rsid w:val="00651896"/>
    <w:rsid w:val="0065189F"/>
    <w:rsid w:val="00653DC0"/>
    <w:rsid w:val="00653EA6"/>
    <w:rsid w:val="00657D33"/>
    <w:rsid w:val="00664AFA"/>
    <w:rsid w:val="006675DC"/>
    <w:rsid w:val="006726D4"/>
    <w:rsid w:val="00674E42"/>
    <w:rsid w:val="006773E0"/>
    <w:rsid w:val="00677E5B"/>
    <w:rsid w:val="00682112"/>
    <w:rsid w:val="00682880"/>
    <w:rsid w:val="00686C37"/>
    <w:rsid w:val="006872BA"/>
    <w:rsid w:val="00687D2A"/>
    <w:rsid w:val="00690393"/>
    <w:rsid w:val="00690960"/>
    <w:rsid w:val="006917D7"/>
    <w:rsid w:val="00694F44"/>
    <w:rsid w:val="00695FFC"/>
    <w:rsid w:val="006B15AA"/>
    <w:rsid w:val="006B2B81"/>
    <w:rsid w:val="006B5C36"/>
    <w:rsid w:val="006B6AF3"/>
    <w:rsid w:val="006B71B6"/>
    <w:rsid w:val="006B7555"/>
    <w:rsid w:val="006C21FB"/>
    <w:rsid w:val="006C2A8E"/>
    <w:rsid w:val="006C36ED"/>
    <w:rsid w:val="006C5CF8"/>
    <w:rsid w:val="006D1828"/>
    <w:rsid w:val="006D1F5C"/>
    <w:rsid w:val="006D3906"/>
    <w:rsid w:val="006D3C7D"/>
    <w:rsid w:val="006D53FA"/>
    <w:rsid w:val="006D5D5F"/>
    <w:rsid w:val="006E019D"/>
    <w:rsid w:val="006E3B04"/>
    <w:rsid w:val="006E4DC7"/>
    <w:rsid w:val="006E503B"/>
    <w:rsid w:val="006E5DC6"/>
    <w:rsid w:val="006E6565"/>
    <w:rsid w:val="006F1B4A"/>
    <w:rsid w:val="006F2666"/>
    <w:rsid w:val="006F307F"/>
    <w:rsid w:val="006F48AD"/>
    <w:rsid w:val="006F4DCA"/>
    <w:rsid w:val="006F5D7C"/>
    <w:rsid w:val="006F60B6"/>
    <w:rsid w:val="006F63A5"/>
    <w:rsid w:val="006F7FC9"/>
    <w:rsid w:val="00701FEC"/>
    <w:rsid w:val="0070276E"/>
    <w:rsid w:val="00702F8F"/>
    <w:rsid w:val="0070534D"/>
    <w:rsid w:val="00705B5A"/>
    <w:rsid w:val="00706289"/>
    <w:rsid w:val="00706CAA"/>
    <w:rsid w:val="007114CA"/>
    <w:rsid w:val="00711A36"/>
    <w:rsid w:val="007133E9"/>
    <w:rsid w:val="0071352F"/>
    <w:rsid w:val="00715822"/>
    <w:rsid w:val="00715960"/>
    <w:rsid w:val="007172AD"/>
    <w:rsid w:val="00717FBC"/>
    <w:rsid w:val="00720A94"/>
    <w:rsid w:val="00721486"/>
    <w:rsid w:val="00721E3A"/>
    <w:rsid w:val="0072416F"/>
    <w:rsid w:val="007247EE"/>
    <w:rsid w:val="00726673"/>
    <w:rsid w:val="00732EFF"/>
    <w:rsid w:val="007330D7"/>
    <w:rsid w:val="00734690"/>
    <w:rsid w:val="00735312"/>
    <w:rsid w:val="00735328"/>
    <w:rsid w:val="0073544C"/>
    <w:rsid w:val="00735577"/>
    <w:rsid w:val="00736585"/>
    <w:rsid w:val="0073685B"/>
    <w:rsid w:val="007368EF"/>
    <w:rsid w:val="0073741F"/>
    <w:rsid w:val="0074432B"/>
    <w:rsid w:val="00750715"/>
    <w:rsid w:val="0075528B"/>
    <w:rsid w:val="00757C65"/>
    <w:rsid w:val="00760064"/>
    <w:rsid w:val="007606D0"/>
    <w:rsid w:val="007636FB"/>
    <w:rsid w:val="00766031"/>
    <w:rsid w:val="007668EC"/>
    <w:rsid w:val="007676CA"/>
    <w:rsid w:val="007738B2"/>
    <w:rsid w:val="00775659"/>
    <w:rsid w:val="00781454"/>
    <w:rsid w:val="007814C1"/>
    <w:rsid w:val="0078186C"/>
    <w:rsid w:val="007832DD"/>
    <w:rsid w:val="007838A9"/>
    <w:rsid w:val="00783BBA"/>
    <w:rsid w:val="007841C9"/>
    <w:rsid w:val="0079036C"/>
    <w:rsid w:val="00790AF9"/>
    <w:rsid w:val="007921C4"/>
    <w:rsid w:val="00796964"/>
    <w:rsid w:val="007A0A12"/>
    <w:rsid w:val="007A3684"/>
    <w:rsid w:val="007A4CAA"/>
    <w:rsid w:val="007B09B7"/>
    <w:rsid w:val="007B251D"/>
    <w:rsid w:val="007B39CA"/>
    <w:rsid w:val="007B777A"/>
    <w:rsid w:val="007B77D1"/>
    <w:rsid w:val="007B798F"/>
    <w:rsid w:val="007C3253"/>
    <w:rsid w:val="007C361D"/>
    <w:rsid w:val="007D0893"/>
    <w:rsid w:val="007D0B38"/>
    <w:rsid w:val="007D129C"/>
    <w:rsid w:val="007D273D"/>
    <w:rsid w:val="007D4530"/>
    <w:rsid w:val="007D738E"/>
    <w:rsid w:val="007E6999"/>
    <w:rsid w:val="007F1017"/>
    <w:rsid w:val="007F10E5"/>
    <w:rsid w:val="007F4A3F"/>
    <w:rsid w:val="007F572A"/>
    <w:rsid w:val="007F5C0F"/>
    <w:rsid w:val="00801E90"/>
    <w:rsid w:val="0080244C"/>
    <w:rsid w:val="00804125"/>
    <w:rsid w:val="00805001"/>
    <w:rsid w:val="00805142"/>
    <w:rsid w:val="00806484"/>
    <w:rsid w:val="00807A8B"/>
    <w:rsid w:val="00810FD1"/>
    <w:rsid w:val="00812149"/>
    <w:rsid w:val="008165F0"/>
    <w:rsid w:val="008166EF"/>
    <w:rsid w:val="008176D5"/>
    <w:rsid w:val="00821712"/>
    <w:rsid w:val="00821793"/>
    <w:rsid w:val="00823F62"/>
    <w:rsid w:val="00825D99"/>
    <w:rsid w:val="0082608F"/>
    <w:rsid w:val="008264EB"/>
    <w:rsid w:val="00826988"/>
    <w:rsid w:val="0083043B"/>
    <w:rsid w:val="00830D1A"/>
    <w:rsid w:val="00833B05"/>
    <w:rsid w:val="00834508"/>
    <w:rsid w:val="0083603E"/>
    <w:rsid w:val="00836070"/>
    <w:rsid w:val="00840718"/>
    <w:rsid w:val="00840CA2"/>
    <w:rsid w:val="008410CC"/>
    <w:rsid w:val="00842122"/>
    <w:rsid w:val="00842343"/>
    <w:rsid w:val="00842461"/>
    <w:rsid w:val="00844BA7"/>
    <w:rsid w:val="00847CDA"/>
    <w:rsid w:val="00850AA8"/>
    <w:rsid w:val="00850F6A"/>
    <w:rsid w:val="00856590"/>
    <w:rsid w:val="00856E9A"/>
    <w:rsid w:val="00857649"/>
    <w:rsid w:val="00860583"/>
    <w:rsid w:val="00861BC9"/>
    <w:rsid w:val="00861C2A"/>
    <w:rsid w:val="00862502"/>
    <w:rsid w:val="0086323A"/>
    <w:rsid w:val="008635BA"/>
    <w:rsid w:val="00870868"/>
    <w:rsid w:val="00876564"/>
    <w:rsid w:val="00877347"/>
    <w:rsid w:val="00877C78"/>
    <w:rsid w:val="0088032D"/>
    <w:rsid w:val="00881E98"/>
    <w:rsid w:val="00882874"/>
    <w:rsid w:val="00883787"/>
    <w:rsid w:val="00887F6D"/>
    <w:rsid w:val="00890FD5"/>
    <w:rsid w:val="008938E9"/>
    <w:rsid w:val="00893B24"/>
    <w:rsid w:val="00894489"/>
    <w:rsid w:val="008963A5"/>
    <w:rsid w:val="00897DE9"/>
    <w:rsid w:val="008A1ED1"/>
    <w:rsid w:val="008A3717"/>
    <w:rsid w:val="008A3C3E"/>
    <w:rsid w:val="008A40E4"/>
    <w:rsid w:val="008A5FD2"/>
    <w:rsid w:val="008A79DE"/>
    <w:rsid w:val="008B1FF2"/>
    <w:rsid w:val="008B3169"/>
    <w:rsid w:val="008B4061"/>
    <w:rsid w:val="008B4FCB"/>
    <w:rsid w:val="008B5206"/>
    <w:rsid w:val="008B7D7E"/>
    <w:rsid w:val="008C2276"/>
    <w:rsid w:val="008C576E"/>
    <w:rsid w:val="008C665E"/>
    <w:rsid w:val="008C6A99"/>
    <w:rsid w:val="008C7ECB"/>
    <w:rsid w:val="008D0546"/>
    <w:rsid w:val="008D10DF"/>
    <w:rsid w:val="008D2278"/>
    <w:rsid w:val="008D574B"/>
    <w:rsid w:val="008D663B"/>
    <w:rsid w:val="008E1167"/>
    <w:rsid w:val="008E1175"/>
    <w:rsid w:val="008E1B9E"/>
    <w:rsid w:val="008F120A"/>
    <w:rsid w:val="008F1FBE"/>
    <w:rsid w:val="008F3596"/>
    <w:rsid w:val="008F48EB"/>
    <w:rsid w:val="008F4E98"/>
    <w:rsid w:val="008F4F0B"/>
    <w:rsid w:val="008F738E"/>
    <w:rsid w:val="009013D9"/>
    <w:rsid w:val="009020BC"/>
    <w:rsid w:val="0090379C"/>
    <w:rsid w:val="00904935"/>
    <w:rsid w:val="009062A5"/>
    <w:rsid w:val="00907AC8"/>
    <w:rsid w:val="00911272"/>
    <w:rsid w:val="009117A3"/>
    <w:rsid w:val="00912A67"/>
    <w:rsid w:val="00913FE1"/>
    <w:rsid w:val="00917996"/>
    <w:rsid w:val="00917CFA"/>
    <w:rsid w:val="00917EFE"/>
    <w:rsid w:val="00921DE4"/>
    <w:rsid w:val="009239ED"/>
    <w:rsid w:val="00924776"/>
    <w:rsid w:val="00925336"/>
    <w:rsid w:val="00925CF3"/>
    <w:rsid w:val="009305DB"/>
    <w:rsid w:val="009316B5"/>
    <w:rsid w:val="009318EC"/>
    <w:rsid w:val="00935707"/>
    <w:rsid w:val="00937521"/>
    <w:rsid w:val="009414CD"/>
    <w:rsid w:val="0094152A"/>
    <w:rsid w:val="00941704"/>
    <w:rsid w:val="00941B68"/>
    <w:rsid w:val="00943886"/>
    <w:rsid w:val="00944557"/>
    <w:rsid w:val="00945A39"/>
    <w:rsid w:val="00945E8B"/>
    <w:rsid w:val="009463C5"/>
    <w:rsid w:val="009530EE"/>
    <w:rsid w:val="00956D7C"/>
    <w:rsid w:val="00957CB4"/>
    <w:rsid w:val="00962CB9"/>
    <w:rsid w:val="00962E92"/>
    <w:rsid w:val="009636B2"/>
    <w:rsid w:val="00964312"/>
    <w:rsid w:val="009661DF"/>
    <w:rsid w:val="00967FB7"/>
    <w:rsid w:val="009717B2"/>
    <w:rsid w:val="00972D6F"/>
    <w:rsid w:val="009739E4"/>
    <w:rsid w:val="009740DA"/>
    <w:rsid w:val="00981AEC"/>
    <w:rsid w:val="009834E2"/>
    <w:rsid w:val="00983E57"/>
    <w:rsid w:val="00984079"/>
    <w:rsid w:val="009849D9"/>
    <w:rsid w:val="0098562E"/>
    <w:rsid w:val="009877B1"/>
    <w:rsid w:val="00991385"/>
    <w:rsid w:val="00993184"/>
    <w:rsid w:val="009933B5"/>
    <w:rsid w:val="00994763"/>
    <w:rsid w:val="00996B1A"/>
    <w:rsid w:val="009A1131"/>
    <w:rsid w:val="009A2088"/>
    <w:rsid w:val="009A254C"/>
    <w:rsid w:val="009A458E"/>
    <w:rsid w:val="009A5210"/>
    <w:rsid w:val="009B0630"/>
    <w:rsid w:val="009B3283"/>
    <w:rsid w:val="009B3E26"/>
    <w:rsid w:val="009B5CAA"/>
    <w:rsid w:val="009C18DD"/>
    <w:rsid w:val="009C1A36"/>
    <w:rsid w:val="009C3F8E"/>
    <w:rsid w:val="009C5FBE"/>
    <w:rsid w:val="009C6314"/>
    <w:rsid w:val="009D10AC"/>
    <w:rsid w:val="009D3570"/>
    <w:rsid w:val="009D5B91"/>
    <w:rsid w:val="009E0546"/>
    <w:rsid w:val="009E4C07"/>
    <w:rsid w:val="009F0DEC"/>
    <w:rsid w:val="009F16FA"/>
    <w:rsid w:val="009F6D48"/>
    <w:rsid w:val="009F7CF4"/>
    <w:rsid w:val="00A0068D"/>
    <w:rsid w:val="00A03D43"/>
    <w:rsid w:val="00A04380"/>
    <w:rsid w:val="00A05571"/>
    <w:rsid w:val="00A072B5"/>
    <w:rsid w:val="00A073E1"/>
    <w:rsid w:val="00A07C64"/>
    <w:rsid w:val="00A10D69"/>
    <w:rsid w:val="00A1362B"/>
    <w:rsid w:val="00A13948"/>
    <w:rsid w:val="00A13BB9"/>
    <w:rsid w:val="00A149ED"/>
    <w:rsid w:val="00A21451"/>
    <w:rsid w:val="00A2310A"/>
    <w:rsid w:val="00A2553C"/>
    <w:rsid w:val="00A27AEC"/>
    <w:rsid w:val="00A32FF3"/>
    <w:rsid w:val="00A34335"/>
    <w:rsid w:val="00A34F91"/>
    <w:rsid w:val="00A35D16"/>
    <w:rsid w:val="00A37D1E"/>
    <w:rsid w:val="00A42D78"/>
    <w:rsid w:val="00A43C59"/>
    <w:rsid w:val="00A440FD"/>
    <w:rsid w:val="00A4412D"/>
    <w:rsid w:val="00A44CD7"/>
    <w:rsid w:val="00A45527"/>
    <w:rsid w:val="00A50079"/>
    <w:rsid w:val="00A50ECD"/>
    <w:rsid w:val="00A51D6F"/>
    <w:rsid w:val="00A52729"/>
    <w:rsid w:val="00A53675"/>
    <w:rsid w:val="00A56ACA"/>
    <w:rsid w:val="00A56B6A"/>
    <w:rsid w:val="00A56F5F"/>
    <w:rsid w:val="00A57507"/>
    <w:rsid w:val="00A578DC"/>
    <w:rsid w:val="00A60C45"/>
    <w:rsid w:val="00A61B58"/>
    <w:rsid w:val="00A64DF4"/>
    <w:rsid w:val="00A6725B"/>
    <w:rsid w:val="00A748F3"/>
    <w:rsid w:val="00A753A0"/>
    <w:rsid w:val="00A775EB"/>
    <w:rsid w:val="00A80405"/>
    <w:rsid w:val="00A82BC8"/>
    <w:rsid w:val="00A8340A"/>
    <w:rsid w:val="00A84B0E"/>
    <w:rsid w:val="00A84F22"/>
    <w:rsid w:val="00A86479"/>
    <w:rsid w:val="00A86622"/>
    <w:rsid w:val="00A86E8B"/>
    <w:rsid w:val="00A870F7"/>
    <w:rsid w:val="00A876BF"/>
    <w:rsid w:val="00A92A0A"/>
    <w:rsid w:val="00A93072"/>
    <w:rsid w:val="00A93F0A"/>
    <w:rsid w:val="00A94E93"/>
    <w:rsid w:val="00A959D8"/>
    <w:rsid w:val="00A96230"/>
    <w:rsid w:val="00A97B1B"/>
    <w:rsid w:val="00AA0854"/>
    <w:rsid w:val="00AA113A"/>
    <w:rsid w:val="00AA2B28"/>
    <w:rsid w:val="00AA3075"/>
    <w:rsid w:val="00AA3312"/>
    <w:rsid w:val="00AA3819"/>
    <w:rsid w:val="00AA5DF8"/>
    <w:rsid w:val="00AA7456"/>
    <w:rsid w:val="00AB0103"/>
    <w:rsid w:val="00AB042A"/>
    <w:rsid w:val="00AB0A29"/>
    <w:rsid w:val="00AB0F51"/>
    <w:rsid w:val="00AB2D34"/>
    <w:rsid w:val="00AB338D"/>
    <w:rsid w:val="00AB3430"/>
    <w:rsid w:val="00AB5DCD"/>
    <w:rsid w:val="00AB7794"/>
    <w:rsid w:val="00AB7CFA"/>
    <w:rsid w:val="00AC0579"/>
    <w:rsid w:val="00AC1301"/>
    <w:rsid w:val="00AC1B92"/>
    <w:rsid w:val="00AC2591"/>
    <w:rsid w:val="00AC3972"/>
    <w:rsid w:val="00AC4605"/>
    <w:rsid w:val="00AC516C"/>
    <w:rsid w:val="00AC53E8"/>
    <w:rsid w:val="00AC60D5"/>
    <w:rsid w:val="00AC6995"/>
    <w:rsid w:val="00AD0F7E"/>
    <w:rsid w:val="00AD36CD"/>
    <w:rsid w:val="00AD51E6"/>
    <w:rsid w:val="00AD6EBA"/>
    <w:rsid w:val="00AE19E2"/>
    <w:rsid w:val="00AE4460"/>
    <w:rsid w:val="00AE4E16"/>
    <w:rsid w:val="00AE586A"/>
    <w:rsid w:val="00AE5D99"/>
    <w:rsid w:val="00AF609F"/>
    <w:rsid w:val="00B04BDC"/>
    <w:rsid w:val="00B05394"/>
    <w:rsid w:val="00B06B4A"/>
    <w:rsid w:val="00B06B7F"/>
    <w:rsid w:val="00B070C3"/>
    <w:rsid w:val="00B10293"/>
    <w:rsid w:val="00B16CBA"/>
    <w:rsid w:val="00B176D6"/>
    <w:rsid w:val="00B17F6C"/>
    <w:rsid w:val="00B21917"/>
    <w:rsid w:val="00B23457"/>
    <w:rsid w:val="00B265F5"/>
    <w:rsid w:val="00B27701"/>
    <w:rsid w:val="00B27A0A"/>
    <w:rsid w:val="00B3432C"/>
    <w:rsid w:val="00B35C73"/>
    <w:rsid w:val="00B36E4D"/>
    <w:rsid w:val="00B41E9D"/>
    <w:rsid w:val="00B4228B"/>
    <w:rsid w:val="00B42851"/>
    <w:rsid w:val="00B44BDC"/>
    <w:rsid w:val="00B50DB8"/>
    <w:rsid w:val="00B52B95"/>
    <w:rsid w:val="00B53905"/>
    <w:rsid w:val="00B54B5B"/>
    <w:rsid w:val="00B5562E"/>
    <w:rsid w:val="00B5587D"/>
    <w:rsid w:val="00B56384"/>
    <w:rsid w:val="00B5652C"/>
    <w:rsid w:val="00B57000"/>
    <w:rsid w:val="00B57AE7"/>
    <w:rsid w:val="00B60939"/>
    <w:rsid w:val="00B60AFD"/>
    <w:rsid w:val="00B62715"/>
    <w:rsid w:val="00B6364F"/>
    <w:rsid w:val="00B65987"/>
    <w:rsid w:val="00B66A18"/>
    <w:rsid w:val="00B675D2"/>
    <w:rsid w:val="00B70D66"/>
    <w:rsid w:val="00B722D9"/>
    <w:rsid w:val="00B730D2"/>
    <w:rsid w:val="00B765BB"/>
    <w:rsid w:val="00B818A4"/>
    <w:rsid w:val="00B83D49"/>
    <w:rsid w:val="00B86419"/>
    <w:rsid w:val="00B8649C"/>
    <w:rsid w:val="00B8763A"/>
    <w:rsid w:val="00B9157D"/>
    <w:rsid w:val="00B91E75"/>
    <w:rsid w:val="00B92D0B"/>
    <w:rsid w:val="00B94945"/>
    <w:rsid w:val="00B9765A"/>
    <w:rsid w:val="00BA04D1"/>
    <w:rsid w:val="00BA6B99"/>
    <w:rsid w:val="00BB2958"/>
    <w:rsid w:val="00BB58FC"/>
    <w:rsid w:val="00BB6114"/>
    <w:rsid w:val="00BB7184"/>
    <w:rsid w:val="00BB7405"/>
    <w:rsid w:val="00BB79D7"/>
    <w:rsid w:val="00BC71AE"/>
    <w:rsid w:val="00BD1340"/>
    <w:rsid w:val="00BD3C96"/>
    <w:rsid w:val="00BD5ADB"/>
    <w:rsid w:val="00BD6CF3"/>
    <w:rsid w:val="00BE1161"/>
    <w:rsid w:val="00BE1ABE"/>
    <w:rsid w:val="00BE2180"/>
    <w:rsid w:val="00BE4275"/>
    <w:rsid w:val="00BF20E9"/>
    <w:rsid w:val="00BF2433"/>
    <w:rsid w:val="00BF58C0"/>
    <w:rsid w:val="00BF61C9"/>
    <w:rsid w:val="00BF7073"/>
    <w:rsid w:val="00BF795F"/>
    <w:rsid w:val="00C01B3F"/>
    <w:rsid w:val="00C0235E"/>
    <w:rsid w:val="00C052DD"/>
    <w:rsid w:val="00C07DCF"/>
    <w:rsid w:val="00C10912"/>
    <w:rsid w:val="00C13489"/>
    <w:rsid w:val="00C20E91"/>
    <w:rsid w:val="00C23F5E"/>
    <w:rsid w:val="00C25418"/>
    <w:rsid w:val="00C25D9C"/>
    <w:rsid w:val="00C26643"/>
    <w:rsid w:val="00C31649"/>
    <w:rsid w:val="00C318C3"/>
    <w:rsid w:val="00C31B17"/>
    <w:rsid w:val="00C32254"/>
    <w:rsid w:val="00C351FB"/>
    <w:rsid w:val="00C354B2"/>
    <w:rsid w:val="00C379D6"/>
    <w:rsid w:val="00C40385"/>
    <w:rsid w:val="00C40934"/>
    <w:rsid w:val="00C43AEC"/>
    <w:rsid w:val="00C46E8A"/>
    <w:rsid w:val="00C47211"/>
    <w:rsid w:val="00C476F6"/>
    <w:rsid w:val="00C502E2"/>
    <w:rsid w:val="00C52A01"/>
    <w:rsid w:val="00C52EAF"/>
    <w:rsid w:val="00C53033"/>
    <w:rsid w:val="00C55042"/>
    <w:rsid w:val="00C55F01"/>
    <w:rsid w:val="00C56A8F"/>
    <w:rsid w:val="00C6535E"/>
    <w:rsid w:val="00C65442"/>
    <w:rsid w:val="00C65576"/>
    <w:rsid w:val="00C66165"/>
    <w:rsid w:val="00C717F5"/>
    <w:rsid w:val="00C72032"/>
    <w:rsid w:val="00C742EC"/>
    <w:rsid w:val="00C744D2"/>
    <w:rsid w:val="00C750C8"/>
    <w:rsid w:val="00C803CD"/>
    <w:rsid w:val="00C8213F"/>
    <w:rsid w:val="00C851BA"/>
    <w:rsid w:val="00C8797A"/>
    <w:rsid w:val="00C920FC"/>
    <w:rsid w:val="00C938CF"/>
    <w:rsid w:val="00C95411"/>
    <w:rsid w:val="00C96B39"/>
    <w:rsid w:val="00C97474"/>
    <w:rsid w:val="00CA08C6"/>
    <w:rsid w:val="00CA1C3E"/>
    <w:rsid w:val="00CA22BD"/>
    <w:rsid w:val="00CA4152"/>
    <w:rsid w:val="00CA503C"/>
    <w:rsid w:val="00CA504A"/>
    <w:rsid w:val="00CA5245"/>
    <w:rsid w:val="00CA7B09"/>
    <w:rsid w:val="00CB0C0E"/>
    <w:rsid w:val="00CB3819"/>
    <w:rsid w:val="00CB5B1A"/>
    <w:rsid w:val="00CB60FC"/>
    <w:rsid w:val="00CB73EA"/>
    <w:rsid w:val="00CC0471"/>
    <w:rsid w:val="00CC0515"/>
    <w:rsid w:val="00CC14A0"/>
    <w:rsid w:val="00CC159C"/>
    <w:rsid w:val="00CC2FC0"/>
    <w:rsid w:val="00CC536E"/>
    <w:rsid w:val="00CC5D1E"/>
    <w:rsid w:val="00CC5FB1"/>
    <w:rsid w:val="00CD015E"/>
    <w:rsid w:val="00CD158D"/>
    <w:rsid w:val="00CD1E8C"/>
    <w:rsid w:val="00CD6ADC"/>
    <w:rsid w:val="00CD6D14"/>
    <w:rsid w:val="00CE210B"/>
    <w:rsid w:val="00CE6274"/>
    <w:rsid w:val="00CE65B9"/>
    <w:rsid w:val="00CE7DE9"/>
    <w:rsid w:val="00CF1573"/>
    <w:rsid w:val="00CF23D5"/>
    <w:rsid w:val="00CF456B"/>
    <w:rsid w:val="00CF5A22"/>
    <w:rsid w:val="00CF60B0"/>
    <w:rsid w:val="00CF6C51"/>
    <w:rsid w:val="00D0262E"/>
    <w:rsid w:val="00D046BC"/>
    <w:rsid w:val="00D05FD7"/>
    <w:rsid w:val="00D110BD"/>
    <w:rsid w:val="00D164D2"/>
    <w:rsid w:val="00D1722D"/>
    <w:rsid w:val="00D174E4"/>
    <w:rsid w:val="00D17D6C"/>
    <w:rsid w:val="00D2145B"/>
    <w:rsid w:val="00D3161F"/>
    <w:rsid w:val="00D318D6"/>
    <w:rsid w:val="00D3223A"/>
    <w:rsid w:val="00D357FF"/>
    <w:rsid w:val="00D40DDA"/>
    <w:rsid w:val="00D46AB0"/>
    <w:rsid w:val="00D51FA0"/>
    <w:rsid w:val="00D528E1"/>
    <w:rsid w:val="00D53A0F"/>
    <w:rsid w:val="00D62034"/>
    <w:rsid w:val="00D629F1"/>
    <w:rsid w:val="00D6603F"/>
    <w:rsid w:val="00D66F52"/>
    <w:rsid w:val="00D67BBC"/>
    <w:rsid w:val="00D72F5A"/>
    <w:rsid w:val="00D73450"/>
    <w:rsid w:val="00D7376F"/>
    <w:rsid w:val="00D758A4"/>
    <w:rsid w:val="00D76A44"/>
    <w:rsid w:val="00D80981"/>
    <w:rsid w:val="00D80C1E"/>
    <w:rsid w:val="00D81595"/>
    <w:rsid w:val="00D8203D"/>
    <w:rsid w:val="00D849B6"/>
    <w:rsid w:val="00D8589C"/>
    <w:rsid w:val="00D871FD"/>
    <w:rsid w:val="00D9053F"/>
    <w:rsid w:val="00D91CC4"/>
    <w:rsid w:val="00D93753"/>
    <w:rsid w:val="00D93B16"/>
    <w:rsid w:val="00D946D2"/>
    <w:rsid w:val="00D94EE3"/>
    <w:rsid w:val="00D97E30"/>
    <w:rsid w:val="00DA52C0"/>
    <w:rsid w:val="00DA77A5"/>
    <w:rsid w:val="00DB41A7"/>
    <w:rsid w:val="00DB4D1F"/>
    <w:rsid w:val="00DB7492"/>
    <w:rsid w:val="00DB7B15"/>
    <w:rsid w:val="00DC10E6"/>
    <w:rsid w:val="00DC19CD"/>
    <w:rsid w:val="00DC1AD3"/>
    <w:rsid w:val="00DC3AE0"/>
    <w:rsid w:val="00DC494B"/>
    <w:rsid w:val="00DC4DDC"/>
    <w:rsid w:val="00DC5501"/>
    <w:rsid w:val="00DC6C24"/>
    <w:rsid w:val="00DD157C"/>
    <w:rsid w:val="00DD1EF9"/>
    <w:rsid w:val="00DD3B9B"/>
    <w:rsid w:val="00DD3F28"/>
    <w:rsid w:val="00DD440C"/>
    <w:rsid w:val="00DD4537"/>
    <w:rsid w:val="00DD4E15"/>
    <w:rsid w:val="00DE3B1E"/>
    <w:rsid w:val="00DE3BF0"/>
    <w:rsid w:val="00DE4FCB"/>
    <w:rsid w:val="00DE559E"/>
    <w:rsid w:val="00DE678F"/>
    <w:rsid w:val="00DF144A"/>
    <w:rsid w:val="00DF1F2A"/>
    <w:rsid w:val="00DF3C66"/>
    <w:rsid w:val="00DF5132"/>
    <w:rsid w:val="00DF5D2B"/>
    <w:rsid w:val="00DF5F37"/>
    <w:rsid w:val="00DF732B"/>
    <w:rsid w:val="00E01025"/>
    <w:rsid w:val="00E0107F"/>
    <w:rsid w:val="00E01440"/>
    <w:rsid w:val="00E030D6"/>
    <w:rsid w:val="00E10149"/>
    <w:rsid w:val="00E1326C"/>
    <w:rsid w:val="00E14B5C"/>
    <w:rsid w:val="00E16372"/>
    <w:rsid w:val="00E171DB"/>
    <w:rsid w:val="00E20ED6"/>
    <w:rsid w:val="00E21358"/>
    <w:rsid w:val="00E2249B"/>
    <w:rsid w:val="00E22A0D"/>
    <w:rsid w:val="00E23B4D"/>
    <w:rsid w:val="00E26EF3"/>
    <w:rsid w:val="00E2771E"/>
    <w:rsid w:val="00E323CC"/>
    <w:rsid w:val="00E3394D"/>
    <w:rsid w:val="00E34553"/>
    <w:rsid w:val="00E37398"/>
    <w:rsid w:val="00E37569"/>
    <w:rsid w:val="00E418F6"/>
    <w:rsid w:val="00E41E30"/>
    <w:rsid w:val="00E43751"/>
    <w:rsid w:val="00E43D70"/>
    <w:rsid w:val="00E47936"/>
    <w:rsid w:val="00E47B2C"/>
    <w:rsid w:val="00E50C73"/>
    <w:rsid w:val="00E51560"/>
    <w:rsid w:val="00E52DF0"/>
    <w:rsid w:val="00E5435F"/>
    <w:rsid w:val="00E55424"/>
    <w:rsid w:val="00E55BB5"/>
    <w:rsid w:val="00E56A7F"/>
    <w:rsid w:val="00E57026"/>
    <w:rsid w:val="00E62F7D"/>
    <w:rsid w:val="00E6339C"/>
    <w:rsid w:val="00E63D3C"/>
    <w:rsid w:val="00E63F16"/>
    <w:rsid w:val="00E65E01"/>
    <w:rsid w:val="00E65E79"/>
    <w:rsid w:val="00E661A0"/>
    <w:rsid w:val="00E67416"/>
    <w:rsid w:val="00E679DE"/>
    <w:rsid w:val="00E707F6"/>
    <w:rsid w:val="00E71464"/>
    <w:rsid w:val="00E718B6"/>
    <w:rsid w:val="00E73581"/>
    <w:rsid w:val="00E7561D"/>
    <w:rsid w:val="00E81671"/>
    <w:rsid w:val="00E82CC7"/>
    <w:rsid w:val="00E83BDF"/>
    <w:rsid w:val="00E86B00"/>
    <w:rsid w:val="00E90DA1"/>
    <w:rsid w:val="00E91F5A"/>
    <w:rsid w:val="00E93807"/>
    <w:rsid w:val="00E9515B"/>
    <w:rsid w:val="00E952CD"/>
    <w:rsid w:val="00EA1054"/>
    <w:rsid w:val="00EA3864"/>
    <w:rsid w:val="00EA59D3"/>
    <w:rsid w:val="00EB0EFA"/>
    <w:rsid w:val="00EB15B6"/>
    <w:rsid w:val="00EB2B9E"/>
    <w:rsid w:val="00EB30E1"/>
    <w:rsid w:val="00EB3229"/>
    <w:rsid w:val="00EB3895"/>
    <w:rsid w:val="00EB4916"/>
    <w:rsid w:val="00EB7545"/>
    <w:rsid w:val="00EB7BCA"/>
    <w:rsid w:val="00EC0065"/>
    <w:rsid w:val="00EC00C9"/>
    <w:rsid w:val="00EC3706"/>
    <w:rsid w:val="00EC3E2B"/>
    <w:rsid w:val="00EC6077"/>
    <w:rsid w:val="00EC7699"/>
    <w:rsid w:val="00ED5DA7"/>
    <w:rsid w:val="00ED6BE9"/>
    <w:rsid w:val="00EE07D3"/>
    <w:rsid w:val="00EE0832"/>
    <w:rsid w:val="00EE29BD"/>
    <w:rsid w:val="00EE3DA5"/>
    <w:rsid w:val="00EE4A57"/>
    <w:rsid w:val="00EE5B03"/>
    <w:rsid w:val="00EE6411"/>
    <w:rsid w:val="00EE668E"/>
    <w:rsid w:val="00EE6705"/>
    <w:rsid w:val="00EE6FFE"/>
    <w:rsid w:val="00EF54F6"/>
    <w:rsid w:val="00EF6519"/>
    <w:rsid w:val="00EF7EF4"/>
    <w:rsid w:val="00F014D9"/>
    <w:rsid w:val="00F067A2"/>
    <w:rsid w:val="00F10CCB"/>
    <w:rsid w:val="00F16A78"/>
    <w:rsid w:val="00F16EE3"/>
    <w:rsid w:val="00F22BED"/>
    <w:rsid w:val="00F24837"/>
    <w:rsid w:val="00F250BA"/>
    <w:rsid w:val="00F2515B"/>
    <w:rsid w:val="00F2575F"/>
    <w:rsid w:val="00F261F7"/>
    <w:rsid w:val="00F31162"/>
    <w:rsid w:val="00F32116"/>
    <w:rsid w:val="00F33DE9"/>
    <w:rsid w:val="00F3619A"/>
    <w:rsid w:val="00F37101"/>
    <w:rsid w:val="00F3767F"/>
    <w:rsid w:val="00F402EF"/>
    <w:rsid w:val="00F417A7"/>
    <w:rsid w:val="00F42031"/>
    <w:rsid w:val="00F42D2F"/>
    <w:rsid w:val="00F46B7E"/>
    <w:rsid w:val="00F46CB6"/>
    <w:rsid w:val="00F475D1"/>
    <w:rsid w:val="00F50696"/>
    <w:rsid w:val="00F52D8A"/>
    <w:rsid w:val="00F54F13"/>
    <w:rsid w:val="00F55E73"/>
    <w:rsid w:val="00F57973"/>
    <w:rsid w:val="00F60092"/>
    <w:rsid w:val="00F61F9C"/>
    <w:rsid w:val="00F62A44"/>
    <w:rsid w:val="00F63935"/>
    <w:rsid w:val="00F6512F"/>
    <w:rsid w:val="00F66FDD"/>
    <w:rsid w:val="00F70035"/>
    <w:rsid w:val="00F7078C"/>
    <w:rsid w:val="00F72389"/>
    <w:rsid w:val="00F723C4"/>
    <w:rsid w:val="00F725FA"/>
    <w:rsid w:val="00F740CA"/>
    <w:rsid w:val="00F75266"/>
    <w:rsid w:val="00F76145"/>
    <w:rsid w:val="00F77669"/>
    <w:rsid w:val="00F779A5"/>
    <w:rsid w:val="00F80E5D"/>
    <w:rsid w:val="00F80EAF"/>
    <w:rsid w:val="00F82DAA"/>
    <w:rsid w:val="00F84E72"/>
    <w:rsid w:val="00F851CE"/>
    <w:rsid w:val="00F87D21"/>
    <w:rsid w:val="00F92E70"/>
    <w:rsid w:val="00F97A78"/>
    <w:rsid w:val="00FA24E7"/>
    <w:rsid w:val="00FA2BFB"/>
    <w:rsid w:val="00FA33B9"/>
    <w:rsid w:val="00FA5BB8"/>
    <w:rsid w:val="00FB2B26"/>
    <w:rsid w:val="00FB2FCB"/>
    <w:rsid w:val="00FB4146"/>
    <w:rsid w:val="00FB43F3"/>
    <w:rsid w:val="00FB52F3"/>
    <w:rsid w:val="00FC0916"/>
    <w:rsid w:val="00FC1074"/>
    <w:rsid w:val="00FC1884"/>
    <w:rsid w:val="00FC1E21"/>
    <w:rsid w:val="00FC3AE5"/>
    <w:rsid w:val="00FC513A"/>
    <w:rsid w:val="00FC5C37"/>
    <w:rsid w:val="00FC5FEA"/>
    <w:rsid w:val="00FD2100"/>
    <w:rsid w:val="00FD2103"/>
    <w:rsid w:val="00FD446D"/>
    <w:rsid w:val="00FD4A03"/>
    <w:rsid w:val="00FD5AA2"/>
    <w:rsid w:val="00FD62AC"/>
    <w:rsid w:val="00FE1E34"/>
    <w:rsid w:val="00FE510A"/>
    <w:rsid w:val="00FE70E8"/>
    <w:rsid w:val="00FF3DCF"/>
    <w:rsid w:val="00FF4B10"/>
    <w:rsid w:val="00FF4D96"/>
    <w:rsid w:val="00FF5AA3"/>
    <w:rsid w:val="00FF7F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7"/>
    <w:lsdException w:name="footnote reference"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1"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316B5"/>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PBACHeading1"/>
    <w:next w:val="Normal"/>
    <w:uiPriority w:val="1"/>
    <w:qFormat/>
    <w:rsid w:val="00D946D2"/>
    <w:pPr>
      <w:outlineLvl w:val="3"/>
    </w:p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9"/>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7"/>
    <w:unhideWhenUsed/>
    <w:rsid w:val="005C7F65"/>
    <w:rPr>
      <w:rFonts w:ascii="Arial Narrow" w:hAnsi="Arial Narrow"/>
      <w:b/>
      <w:bCs/>
      <w:sz w:val="20"/>
      <w:szCs w:val="18"/>
    </w:rPr>
  </w:style>
  <w:style w:type="character" w:customStyle="1" w:styleId="CaptionChar">
    <w:name w:val="Caption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1"/>
    <w:qFormat/>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B4D1F"/>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cca-citation">
    <w:name w:val="cca-citation"/>
    <w:basedOn w:val="DefaultParagraphFont"/>
    <w:rsid w:val="00EE6705"/>
  </w:style>
  <w:style w:type="character" w:customStyle="1" w:styleId="mw-headline">
    <w:name w:val="mw-headline"/>
    <w:basedOn w:val="DefaultParagraphFont"/>
    <w:rsid w:val="00EE6705"/>
  </w:style>
  <w:style w:type="paragraph" w:customStyle="1" w:styleId="headinganchor">
    <w:name w:val="headinganchor"/>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h3">
    <w:name w:val="h3"/>
    <w:basedOn w:val="DefaultParagraphFont"/>
    <w:rsid w:val="00FC3AE5"/>
  </w:style>
  <w:style w:type="character" w:customStyle="1" w:styleId="headingendmark">
    <w:name w:val="headingendmark"/>
    <w:basedOn w:val="DefaultParagraphFont"/>
    <w:rsid w:val="00FC3AE5"/>
  </w:style>
  <w:style w:type="paragraph" w:customStyle="1" w:styleId="bulletindent1">
    <w:name w:val="bulletindent1"/>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glyph">
    <w:name w:val="glyph"/>
    <w:basedOn w:val="DefaultParagraphFont"/>
    <w:rsid w:val="00FC3AE5"/>
  </w:style>
  <w:style w:type="character" w:customStyle="1" w:styleId="h2">
    <w:name w:val="h2"/>
    <w:basedOn w:val="DefaultParagraphFont"/>
    <w:rsid w:val="00FC3AE5"/>
  </w:style>
  <w:style w:type="character" w:customStyle="1" w:styleId="h1">
    <w:name w:val="h1"/>
    <w:basedOn w:val="DefaultParagraphFont"/>
    <w:rsid w:val="00FC3AE5"/>
  </w:style>
  <w:style w:type="paragraph" w:customStyle="1" w:styleId="bulletindent2">
    <w:name w:val="bulletindent2"/>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Paragraph">
    <w:name w:val="Table Paragraph"/>
    <w:basedOn w:val="Normal"/>
    <w:uiPriority w:val="1"/>
    <w:qFormat/>
    <w:rsid w:val="007D4530"/>
    <w:pPr>
      <w:jc w:val="left"/>
    </w:pPr>
    <w:rPr>
      <w:rFonts w:asciiTheme="minorHAnsi" w:eastAsiaTheme="minorHAnsi" w:hAnsiTheme="minorHAnsi" w:cstheme="minorBidi"/>
      <w:snapToGrid/>
      <w:szCs w:val="22"/>
      <w:lang w:val="en-US"/>
    </w:rPr>
  </w:style>
  <w:style w:type="paragraph" w:styleId="FootnoteText">
    <w:name w:val="footnote text"/>
    <w:basedOn w:val="Normal"/>
    <w:link w:val="FootnoteTextChar"/>
    <w:uiPriority w:val="99"/>
    <w:unhideWhenUsed/>
    <w:rsid w:val="008A3717"/>
    <w:rPr>
      <w:sz w:val="20"/>
    </w:rPr>
  </w:style>
  <w:style w:type="character" w:customStyle="1" w:styleId="FootnoteTextChar">
    <w:name w:val="Footnote Text Char"/>
    <w:basedOn w:val="DefaultParagraphFont"/>
    <w:link w:val="FootnoteText"/>
    <w:uiPriority w:val="99"/>
    <w:rsid w:val="008A3717"/>
    <w:rPr>
      <w:rFonts w:ascii="Arial" w:hAnsi="Arial" w:cs="Arial"/>
      <w:snapToGrid w:val="0"/>
      <w:lang w:eastAsia="en-US"/>
    </w:rPr>
  </w:style>
  <w:style w:type="character" w:styleId="FootnoteReference">
    <w:name w:val="footnote reference"/>
    <w:basedOn w:val="DefaultParagraphFont"/>
    <w:uiPriority w:val="99"/>
    <w:unhideWhenUsed/>
    <w:rsid w:val="008A3717"/>
    <w:rPr>
      <w:vertAlign w:val="superscript"/>
    </w:rPr>
  </w:style>
  <w:style w:type="character" w:customStyle="1" w:styleId="st">
    <w:name w:val="st"/>
    <w:basedOn w:val="DefaultParagraphFont"/>
    <w:rsid w:val="00AC516C"/>
  </w:style>
  <w:style w:type="character" w:styleId="Strong">
    <w:name w:val="Strong"/>
    <w:basedOn w:val="DefaultParagraphFont"/>
    <w:uiPriority w:val="22"/>
    <w:qFormat/>
    <w:rsid w:val="00602E36"/>
    <w:rPr>
      <w:b/>
      <w:bCs/>
    </w:rPr>
  </w:style>
  <w:style w:type="character" w:styleId="FollowedHyperlink">
    <w:name w:val="FollowedHyperlink"/>
    <w:basedOn w:val="DefaultParagraphFont"/>
    <w:semiHidden/>
    <w:unhideWhenUsed/>
    <w:rsid w:val="00546094"/>
    <w:rPr>
      <w:color w:val="800080" w:themeColor="followedHyperlink"/>
      <w:u w:val="single"/>
    </w:rPr>
  </w:style>
  <w:style w:type="paragraph" w:customStyle="1" w:styleId="PBACTableText">
    <w:name w:val="PBAC Table Text"/>
    <w:basedOn w:val="Normal"/>
    <w:link w:val="PBACTableTextChar"/>
    <w:qFormat/>
    <w:rsid w:val="00546094"/>
    <w:pPr>
      <w:widowControl/>
      <w:spacing w:before="40" w:after="40"/>
      <w:jc w:val="left"/>
    </w:pPr>
    <w:rPr>
      <w:rFonts w:ascii="Arial Narrow" w:hAnsi="Arial Narrow" w:cs="Times New Roman"/>
      <w:snapToGrid/>
      <w:sz w:val="20"/>
      <w:lang w:val="en-US"/>
    </w:rPr>
  </w:style>
  <w:style w:type="character" w:customStyle="1" w:styleId="PBACTableTextChar">
    <w:name w:val="PBAC Table Text Char"/>
    <w:basedOn w:val="DefaultParagraphFont"/>
    <w:link w:val="PBACTableText"/>
    <w:rsid w:val="00546094"/>
    <w:rPr>
      <w:rFonts w:ascii="Arial Narrow" w:hAnsi="Arial Narrow"/>
      <w:lang w:val="en-US" w:eastAsia="en-US"/>
    </w:rPr>
  </w:style>
  <w:style w:type="paragraph" w:customStyle="1" w:styleId="PBACTableTextBoldLeft">
    <w:name w:val="PBAC Table Text + Bold + Left"/>
    <w:basedOn w:val="PBACTableText"/>
    <w:qFormat/>
    <w:rsid w:val="00546094"/>
    <w:pPr>
      <w:keepNext/>
    </w:pPr>
    <w:rPr>
      <w:b/>
      <w:bCs/>
    </w:rPr>
  </w:style>
  <w:style w:type="paragraph" w:customStyle="1" w:styleId="PBACTableTextBoldCentered">
    <w:name w:val="PBAC Table Text + Bold + Centered"/>
    <w:basedOn w:val="PBACTableTextBoldLeft"/>
    <w:rsid w:val="00D9053F"/>
    <w:pPr>
      <w:jc w:val="center"/>
    </w:pPr>
  </w:style>
  <w:style w:type="paragraph" w:customStyle="1" w:styleId="PBACTableTextBullet">
    <w:name w:val="PBAC Table Text + Bullet"/>
    <w:basedOn w:val="PBACTableText"/>
    <w:rsid w:val="00D9053F"/>
    <w:pPr>
      <w:numPr>
        <w:numId w:val="2"/>
      </w:numPr>
      <w:ind w:left="284" w:hanging="284"/>
    </w:pPr>
  </w:style>
  <w:style w:type="paragraph" w:customStyle="1" w:styleId="TableText1">
    <w:name w:val="Table Text"/>
    <w:basedOn w:val="Normal"/>
    <w:qFormat/>
    <w:rsid w:val="005566DA"/>
    <w:pPr>
      <w:widowControl/>
      <w:spacing w:before="40" w:after="40"/>
      <w:jc w:val="left"/>
    </w:pPr>
    <w:rPr>
      <w:rFonts w:ascii="Arial Narrow" w:eastAsiaTheme="minorHAnsi" w:hAnsi="Arial Narrow" w:cstheme="minorBidi"/>
      <w:snapToGrid/>
      <w:sz w:val="20"/>
      <w:szCs w:val="22"/>
    </w:rPr>
  </w:style>
  <w:style w:type="character" w:styleId="Emphasis">
    <w:name w:val="Emphasis"/>
    <w:basedOn w:val="DefaultParagraphFont"/>
    <w:uiPriority w:val="20"/>
    <w:qFormat/>
    <w:rsid w:val="005566DA"/>
    <w:rPr>
      <w:b w:val="0"/>
      <w:i/>
      <w:iCs/>
    </w:rPr>
  </w:style>
  <w:style w:type="paragraph" w:customStyle="1" w:styleId="TableFigNoteLast">
    <w:name w:val="TableFigNote Last"/>
    <w:basedOn w:val="Normal"/>
    <w:qFormat/>
    <w:rsid w:val="005566DA"/>
    <w:pPr>
      <w:widowControl/>
      <w:spacing w:after="360"/>
      <w:jc w:val="left"/>
    </w:pPr>
    <w:rPr>
      <w:rFonts w:asciiTheme="minorHAnsi" w:eastAsiaTheme="minorHAnsi" w:hAnsiTheme="minorHAnsi" w:cstheme="minorBidi"/>
      <w:snapToGrid/>
      <w:sz w:val="18"/>
      <w:szCs w:val="22"/>
    </w:rPr>
  </w:style>
  <w:style w:type="character" w:customStyle="1" w:styleId="ListParagraphChar">
    <w:name w:val="List Paragraph Char"/>
    <w:aliases w:val="BulletPoints Char"/>
    <w:basedOn w:val="DefaultParagraphFont"/>
    <w:link w:val="ListParagraph"/>
    <w:uiPriority w:val="72"/>
    <w:locked/>
    <w:rsid w:val="00DB4D1F"/>
    <w:rPr>
      <w:rFonts w:ascii="Arial" w:hAnsi="Arial" w:cs="Arial"/>
      <w:snapToGrid w:val="0"/>
      <w:sz w:val="22"/>
      <w:lang w:eastAsia="en-US"/>
    </w:rPr>
  </w:style>
  <w:style w:type="character" w:styleId="PlaceholderText">
    <w:name w:val="Placeholder Text"/>
    <w:basedOn w:val="DefaultParagraphFont"/>
    <w:uiPriority w:val="99"/>
    <w:semiHidden/>
    <w:rsid w:val="00FC513A"/>
    <w:rPr>
      <w:color w:val="808080"/>
    </w:rPr>
  </w:style>
  <w:style w:type="paragraph" w:customStyle="1" w:styleId="EndNoteBibliographyTitle">
    <w:name w:val="EndNote Bibliography Title"/>
    <w:basedOn w:val="Normal"/>
    <w:link w:val="EndNoteBibliographyTitleChar"/>
    <w:rsid w:val="00E0107F"/>
    <w:pPr>
      <w:jc w:val="center"/>
    </w:pPr>
    <w:rPr>
      <w:noProof/>
      <w:lang w:val="en-US"/>
    </w:rPr>
  </w:style>
  <w:style w:type="character" w:customStyle="1" w:styleId="TableFooterChar">
    <w:name w:val="Table Footer Char"/>
    <w:basedOn w:val="DefaultParagraphFont"/>
    <w:link w:val="TableFooter"/>
    <w:uiPriority w:val="4"/>
    <w:rsid w:val="00E0107F"/>
    <w:rPr>
      <w:rFonts w:ascii="Arial Narrow" w:hAnsi="Arial Narrow" w:cs="Arial"/>
      <w:snapToGrid w:val="0"/>
      <w:sz w:val="18"/>
      <w:lang w:eastAsia="en-US"/>
    </w:rPr>
  </w:style>
  <w:style w:type="character" w:customStyle="1" w:styleId="EndNoteBibliographyTitleChar">
    <w:name w:val="EndNote Bibliography Title Char"/>
    <w:basedOn w:val="TableFooterChar"/>
    <w:link w:val="EndNoteBibliographyTitle"/>
    <w:rsid w:val="00E0107F"/>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E0107F"/>
    <w:rPr>
      <w:noProof/>
      <w:lang w:val="en-US"/>
    </w:rPr>
  </w:style>
  <w:style w:type="character" w:customStyle="1" w:styleId="EndNoteBibliographyChar">
    <w:name w:val="EndNote Bibliography Char"/>
    <w:basedOn w:val="TableFooterChar"/>
    <w:link w:val="EndNoteBibliography"/>
    <w:rsid w:val="00E0107F"/>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8763A"/>
    <w:pPr>
      <w:widowControl/>
      <w:spacing w:after="160" w:line="240" w:lineRule="exact"/>
      <w:jc w:val="left"/>
    </w:pPr>
    <w:rPr>
      <w:rFonts w:ascii="Verdana" w:eastAsia="MS Mincho" w:hAnsi="Verdana" w:cs="Verdana"/>
      <w:snapToGrid/>
      <w:sz w:val="20"/>
      <w:lang w:val="en-US"/>
    </w:rPr>
  </w:style>
  <w:style w:type="character" w:customStyle="1" w:styleId="highwire-cite-metadata-journal">
    <w:name w:val="highwire-cite-metadata-journal"/>
    <w:basedOn w:val="DefaultParagraphFont"/>
    <w:rsid w:val="00A57507"/>
  </w:style>
  <w:style w:type="character" w:customStyle="1" w:styleId="apple-converted-space">
    <w:name w:val="apple-converted-space"/>
    <w:basedOn w:val="DefaultParagraphFont"/>
    <w:rsid w:val="00A57507"/>
  </w:style>
  <w:style w:type="character" w:customStyle="1" w:styleId="highwire-cite-metadata-date">
    <w:name w:val="highwire-cite-metadata-date"/>
    <w:basedOn w:val="DefaultParagraphFont"/>
    <w:rsid w:val="00A57507"/>
  </w:style>
  <w:style w:type="character" w:customStyle="1" w:styleId="highwire-cite-metadata-volume-pages">
    <w:name w:val="highwire-cite-metadata-volume-pages"/>
    <w:basedOn w:val="DefaultParagraphFont"/>
    <w:rsid w:val="00A57507"/>
  </w:style>
  <w:style w:type="character" w:customStyle="1" w:styleId="highwire-cite-metadata-doi">
    <w:name w:val="highwire-cite-metadata-doi"/>
    <w:basedOn w:val="DefaultParagraphFont"/>
    <w:rsid w:val="00A57507"/>
  </w:style>
  <w:style w:type="paragraph" w:customStyle="1" w:styleId="PBACheading10">
    <w:name w:val="PBAC heading 1"/>
    <w:basedOn w:val="PBACHeading1"/>
    <w:qFormat/>
    <w:rsid w:val="002F2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nhideWhenUsed="0" w:qFormat="1"/>
    <w:lsdException w:name="heading 3" w:semiHidden="0" w:uiPriority="1" w:unhideWhenUsed="0" w:qFormat="1"/>
    <w:lsdException w:name="heading 4" w:semiHidden="0" w:uiPriority="1" w:unhideWhenUsed="0" w:qFormat="1"/>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99"/>
    <w:lsdException w:name="annotation text" w:uiPriority="99"/>
    <w:lsdException w:name="header" w:uiPriority="99"/>
    <w:lsdException w:name="footer" w:uiPriority="99"/>
    <w:lsdException w:name="caption" w:uiPriority="7"/>
    <w:lsdException w:name="footnote reference" w:uiPriority="99"/>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Body Text" w:uiPriority="1" w:qFormat="1"/>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9316B5"/>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PBACHeading1"/>
    <w:next w:val="Normal"/>
    <w:uiPriority w:val="1"/>
    <w:qFormat/>
    <w:rsid w:val="00D946D2"/>
    <w:pPr>
      <w:outlineLvl w:val="3"/>
    </w:p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9"/>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basedOn w:val="Normal"/>
    <w:next w:val="TableHeader"/>
    <w:link w:val="CaptionChar"/>
    <w:uiPriority w:val="7"/>
    <w:unhideWhenUsed/>
    <w:rsid w:val="005C7F65"/>
    <w:rPr>
      <w:rFonts w:ascii="Arial Narrow" w:hAnsi="Arial Narrow"/>
      <w:b/>
      <w:bCs/>
      <w:sz w:val="20"/>
      <w:szCs w:val="18"/>
    </w:rPr>
  </w:style>
  <w:style w:type="character" w:customStyle="1" w:styleId="CaptionChar">
    <w:name w:val="Caption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1"/>
    <w:qFormat/>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DB4D1F"/>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uiPriority w:val="9"/>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cca-citation">
    <w:name w:val="cca-citation"/>
    <w:basedOn w:val="DefaultParagraphFont"/>
    <w:rsid w:val="00EE6705"/>
  </w:style>
  <w:style w:type="character" w:customStyle="1" w:styleId="mw-headline">
    <w:name w:val="mw-headline"/>
    <w:basedOn w:val="DefaultParagraphFont"/>
    <w:rsid w:val="00EE6705"/>
  </w:style>
  <w:style w:type="paragraph" w:customStyle="1" w:styleId="headinganchor">
    <w:name w:val="headinganchor"/>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h3">
    <w:name w:val="h3"/>
    <w:basedOn w:val="DefaultParagraphFont"/>
    <w:rsid w:val="00FC3AE5"/>
  </w:style>
  <w:style w:type="character" w:customStyle="1" w:styleId="headingendmark">
    <w:name w:val="headingendmark"/>
    <w:basedOn w:val="DefaultParagraphFont"/>
    <w:rsid w:val="00FC3AE5"/>
  </w:style>
  <w:style w:type="paragraph" w:customStyle="1" w:styleId="bulletindent1">
    <w:name w:val="bulletindent1"/>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character" w:customStyle="1" w:styleId="glyph">
    <w:name w:val="glyph"/>
    <w:basedOn w:val="DefaultParagraphFont"/>
    <w:rsid w:val="00FC3AE5"/>
  </w:style>
  <w:style w:type="character" w:customStyle="1" w:styleId="h2">
    <w:name w:val="h2"/>
    <w:basedOn w:val="DefaultParagraphFont"/>
    <w:rsid w:val="00FC3AE5"/>
  </w:style>
  <w:style w:type="character" w:customStyle="1" w:styleId="h1">
    <w:name w:val="h1"/>
    <w:basedOn w:val="DefaultParagraphFont"/>
    <w:rsid w:val="00FC3AE5"/>
  </w:style>
  <w:style w:type="paragraph" w:customStyle="1" w:styleId="bulletindent2">
    <w:name w:val="bulletindent2"/>
    <w:basedOn w:val="Normal"/>
    <w:rsid w:val="00FC3AE5"/>
    <w:pPr>
      <w:widowControl/>
      <w:spacing w:before="100" w:beforeAutospacing="1" w:after="100" w:afterAutospacing="1"/>
      <w:jc w:val="left"/>
    </w:pPr>
    <w:rPr>
      <w:rFonts w:ascii="Times New Roman" w:hAnsi="Times New Roman" w:cs="Times New Roman"/>
      <w:snapToGrid/>
      <w:sz w:val="24"/>
      <w:szCs w:val="24"/>
      <w:lang w:eastAsia="en-AU"/>
    </w:rPr>
  </w:style>
  <w:style w:type="paragraph" w:customStyle="1" w:styleId="TableParagraph">
    <w:name w:val="Table Paragraph"/>
    <w:basedOn w:val="Normal"/>
    <w:uiPriority w:val="1"/>
    <w:qFormat/>
    <w:rsid w:val="007D4530"/>
    <w:pPr>
      <w:jc w:val="left"/>
    </w:pPr>
    <w:rPr>
      <w:rFonts w:asciiTheme="minorHAnsi" w:eastAsiaTheme="minorHAnsi" w:hAnsiTheme="minorHAnsi" w:cstheme="minorBidi"/>
      <w:snapToGrid/>
      <w:szCs w:val="22"/>
      <w:lang w:val="en-US"/>
    </w:rPr>
  </w:style>
  <w:style w:type="paragraph" w:styleId="FootnoteText">
    <w:name w:val="footnote text"/>
    <w:basedOn w:val="Normal"/>
    <w:link w:val="FootnoteTextChar"/>
    <w:uiPriority w:val="99"/>
    <w:unhideWhenUsed/>
    <w:rsid w:val="008A3717"/>
    <w:rPr>
      <w:sz w:val="20"/>
    </w:rPr>
  </w:style>
  <w:style w:type="character" w:customStyle="1" w:styleId="FootnoteTextChar">
    <w:name w:val="Footnote Text Char"/>
    <w:basedOn w:val="DefaultParagraphFont"/>
    <w:link w:val="FootnoteText"/>
    <w:uiPriority w:val="99"/>
    <w:rsid w:val="008A3717"/>
    <w:rPr>
      <w:rFonts w:ascii="Arial" w:hAnsi="Arial" w:cs="Arial"/>
      <w:snapToGrid w:val="0"/>
      <w:lang w:eastAsia="en-US"/>
    </w:rPr>
  </w:style>
  <w:style w:type="character" w:styleId="FootnoteReference">
    <w:name w:val="footnote reference"/>
    <w:basedOn w:val="DefaultParagraphFont"/>
    <w:uiPriority w:val="99"/>
    <w:unhideWhenUsed/>
    <w:rsid w:val="008A3717"/>
    <w:rPr>
      <w:vertAlign w:val="superscript"/>
    </w:rPr>
  </w:style>
  <w:style w:type="character" w:customStyle="1" w:styleId="st">
    <w:name w:val="st"/>
    <w:basedOn w:val="DefaultParagraphFont"/>
    <w:rsid w:val="00AC516C"/>
  </w:style>
  <w:style w:type="character" w:styleId="Strong">
    <w:name w:val="Strong"/>
    <w:basedOn w:val="DefaultParagraphFont"/>
    <w:uiPriority w:val="22"/>
    <w:qFormat/>
    <w:rsid w:val="00602E36"/>
    <w:rPr>
      <w:b/>
      <w:bCs/>
    </w:rPr>
  </w:style>
  <w:style w:type="character" w:styleId="FollowedHyperlink">
    <w:name w:val="FollowedHyperlink"/>
    <w:basedOn w:val="DefaultParagraphFont"/>
    <w:semiHidden/>
    <w:unhideWhenUsed/>
    <w:rsid w:val="00546094"/>
    <w:rPr>
      <w:color w:val="800080" w:themeColor="followedHyperlink"/>
      <w:u w:val="single"/>
    </w:rPr>
  </w:style>
  <w:style w:type="paragraph" w:customStyle="1" w:styleId="PBACTableText">
    <w:name w:val="PBAC Table Text"/>
    <w:basedOn w:val="Normal"/>
    <w:link w:val="PBACTableTextChar"/>
    <w:qFormat/>
    <w:rsid w:val="00546094"/>
    <w:pPr>
      <w:widowControl/>
      <w:spacing w:before="40" w:after="40"/>
      <w:jc w:val="left"/>
    </w:pPr>
    <w:rPr>
      <w:rFonts w:ascii="Arial Narrow" w:hAnsi="Arial Narrow" w:cs="Times New Roman"/>
      <w:snapToGrid/>
      <w:sz w:val="20"/>
      <w:lang w:val="en-US"/>
    </w:rPr>
  </w:style>
  <w:style w:type="character" w:customStyle="1" w:styleId="PBACTableTextChar">
    <w:name w:val="PBAC Table Text Char"/>
    <w:basedOn w:val="DefaultParagraphFont"/>
    <w:link w:val="PBACTableText"/>
    <w:rsid w:val="00546094"/>
    <w:rPr>
      <w:rFonts w:ascii="Arial Narrow" w:hAnsi="Arial Narrow"/>
      <w:lang w:val="en-US" w:eastAsia="en-US"/>
    </w:rPr>
  </w:style>
  <w:style w:type="paragraph" w:customStyle="1" w:styleId="PBACTableTextBoldLeft">
    <w:name w:val="PBAC Table Text + Bold + Left"/>
    <w:basedOn w:val="PBACTableText"/>
    <w:qFormat/>
    <w:rsid w:val="00546094"/>
    <w:pPr>
      <w:keepNext/>
    </w:pPr>
    <w:rPr>
      <w:b/>
      <w:bCs/>
    </w:rPr>
  </w:style>
  <w:style w:type="paragraph" w:customStyle="1" w:styleId="PBACTableTextBoldCentered">
    <w:name w:val="PBAC Table Text + Bold + Centered"/>
    <w:basedOn w:val="PBACTableTextBoldLeft"/>
    <w:rsid w:val="00D9053F"/>
    <w:pPr>
      <w:jc w:val="center"/>
    </w:pPr>
  </w:style>
  <w:style w:type="paragraph" w:customStyle="1" w:styleId="PBACTableTextBullet">
    <w:name w:val="PBAC Table Text + Bullet"/>
    <w:basedOn w:val="PBACTableText"/>
    <w:rsid w:val="00D9053F"/>
    <w:pPr>
      <w:numPr>
        <w:numId w:val="2"/>
      </w:numPr>
      <w:ind w:left="284" w:hanging="284"/>
    </w:pPr>
  </w:style>
  <w:style w:type="paragraph" w:customStyle="1" w:styleId="TableText1">
    <w:name w:val="Table Text"/>
    <w:basedOn w:val="Normal"/>
    <w:qFormat/>
    <w:rsid w:val="005566DA"/>
    <w:pPr>
      <w:widowControl/>
      <w:spacing w:before="40" w:after="40"/>
      <w:jc w:val="left"/>
    </w:pPr>
    <w:rPr>
      <w:rFonts w:ascii="Arial Narrow" w:eastAsiaTheme="minorHAnsi" w:hAnsi="Arial Narrow" w:cstheme="minorBidi"/>
      <w:snapToGrid/>
      <w:sz w:val="20"/>
      <w:szCs w:val="22"/>
    </w:rPr>
  </w:style>
  <w:style w:type="character" w:styleId="Emphasis">
    <w:name w:val="Emphasis"/>
    <w:basedOn w:val="DefaultParagraphFont"/>
    <w:uiPriority w:val="20"/>
    <w:qFormat/>
    <w:rsid w:val="005566DA"/>
    <w:rPr>
      <w:b w:val="0"/>
      <w:i/>
      <w:iCs/>
    </w:rPr>
  </w:style>
  <w:style w:type="paragraph" w:customStyle="1" w:styleId="TableFigNoteLast">
    <w:name w:val="TableFigNote Last"/>
    <w:basedOn w:val="Normal"/>
    <w:qFormat/>
    <w:rsid w:val="005566DA"/>
    <w:pPr>
      <w:widowControl/>
      <w:spacing w:after="360"/>
      <w:jc w:val="left"/>
    </w:pPr>
    <w:rPr>
      <w:rFonts w:asciiTheme="minorHAnsi" w:eastAsiaTheme="minorHAnsi" w:hAnsiTheme="minorHAnsi" w:cstheme="minorBidi"/>
      <w:snapToGrid/>
      <w:sz w:val="18"/>
      <w:szCs w:val="22"/>
    </w:rPr>
  </w:style>
  <w:style w:type="character" w:customStyle="1" w:styleId="ListParagraphChar">
    <w:name w:val="List Paragraph Char"/>
    <w:aliases w:val="BulletPoints Char"/>
    <w:basedOn w:val="DefaultParagraphFont"/>
    <w:link w:val="ListParagraph"/>
    <w:uiPriority w:val="72"/>
    <w:locked/>
    <w:rsid w:val="00DB4D1F"/>
    <w:rPr>
      <w:rFonts w:ascii="Arial" w:hAnsi="Arial" w:cs="Arial"/>
      <w:snapToGrid w:val="0"/>
      <w:sz w:val="22"/>
      <w:lang w:eastAsia="en-US"/>
    </w:rPr>
  </w:style>
  <w:style w:type="character" w:styleId="PlaceholderText">
    <w:name w:val="Placeholder Text"/>
    <w:basedOn w:val="DefaultParagraphFont"/>
    <w:uiPriority w:val="99"/>
    <w:semiHidden/>
    <w:rsid w:val="00FC513A"/>
    <w:rPr>
      <w:color w:val="808080"/>
    </w:rPr>
  </w:style>
  <w:style w:type="paragraph" w:customStyle="1" w:styleId="EndNoteBibliographyTitle">
    <w:name w:val="EndNote Bibliography Title"/>
    <w:basedOn w:val="Normal"/>
    <w:link w:val="EndNoteBibliographyTitleChar"/>
    <w:rsid w:val="00E0107F"/>
    <w:pPr>
      <w:jc w:val="center"/>
    </w:pPr>
    <w:rPr>
      <w:noProof/>
      <w:lang w:val="en-US"/>
    </w:rPr>
  </w:style>
  <w:style w:type="character" w:customStyle="1" w:styleId="TableFooterChar">
    <w:name w:val="Table Footer Char"/>
    <w:basedOn w:val="DefaultParagraphFont"/>
    <w:link w:val="TableFooter"/>
    <w:uiPriority w:val="4"/>
    <w:rsid w:val="00E0107F"/>
    <w:rPr>
      <w:rFonts w:ascii="Arial Narrow" w:hAnsi="Arial Narrow" w:cs="Arial"/>
      <w:snapToGrid w:val="0"/>
      <w:sz w:val="18"/>
      <w:lang w:eastAsia="en-US"/>
    </w:rPr>
  </w:style>
  <w:style w:type="character" w:customStyle="1" w:styleId="EndNoteBibliographyTitleChar">
    <w:name w:val="EndNote Bibliography Title Char"/>
    <w:basedOn w:val="TableFooterChar"/>
    <w:link w:val="EndNoteBibliographyTitle"/>
    <w:rsid w:val="00E0107F"/>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E0107F"/>
    <w:rPr>
      <w:noProof/>
      <w:lang w:val="en-US"/>
    </w:rPr>
  </w:style>
  <w:style w:type="character" w:customStyle="1" w:styleId="EndNoteBibliographyChar">
    <w:name w:val="EndNote Bibliography Char"/>
    <w:basedOn w:val="TableFooterChar"/>
    <w:link w:val="EndNoteBibliography"/>
    <w:rsid w:val="00E0107F"/>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8763A"/>
    <w:pPr>
      <w:widowControl/>
      <w:spacing w:after="160" w:line="240" w:lineRule="exact"/>
      <w:jc w:val="left"/>
    </w:pPr>
    <w:rPr>
      <w:rFonts w:ascii="Verdana" w:eastAsia="MS Mincho" w:hAnsi="Verdana" w:cs="Verdana"/>
      <w:snapToGrid/>
      <w:sz w:val="20"/>
      <w:lang w:val="en-US"/>
    </w:rPr>
  </w:style>
  <w:style w:type="character" w:customStyle="1" w:styleId="highwire-cite-metadata-journal">
    <w:name w:val="highwire-cite-metadata-journal"/>
    <w:basedOn w:val="DefaultParagraphFont"/>
    <w:rsid w:val="00A57507"/>
  </w:style>
  <w:style w:type="character" w:customStyle="1" w:styleId="apple-converted-space">
    <w:name w:val="apple-converted-space"/>
    <w:basedOn w:val="DefaultParagraphFont"/>
    <w:rsid w:val="00A57507"/>
  </w:style>
  <w:style w:type="character" w:customStyle="1" w:styleId="highwire-cite-metadata-date">
    <w:name w:val="highwire-cite-metadata-date"/>
    <w:basedOn w:val="DefaultParagraphFont"/>
    <w:rsid w:val="00A57507"/>
  </w:style>
  <w:style w:type="character" w:customStyle="1" w:styleId="highwire-cite-metadata-volume-pages">
    <w:name w:val="highwire-cite-metadata-volume-pages"/>
    <w:basedOn w:val="DefaultParagraphFont"/>
    <w:rsid w:val="00A57507"/>
  </w:style>
  <w:style w:type="character" w:customStyle="1" w:styleId="highwire-cite-metadata-doi">
    <w:name w:val="highwire-cite-metadata-doi"/>
    <w:basedOn w:val="DefaultParagraphFont"/>
    <w:rsid w:val="00A57507"/>
  </w:style>
  <w:style w:type="paragraph" w:customStyle="1" w:styleId="PBACheading10">
    <w:name w:val="PBAC heading 1"/>
    <w:basedOn w:val="PBACHeading1"/>
    <w:qFormat/>
    <w:rsid w:val="002F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542">
      <w:bodyDiv w:val="1"/>
      <w:marLeft w:val="0"/>
      <w:marRight w:val="0"/>
      <w:marTop w:val="0"/>
      <w:marBottom w:val="0"/>
      <w:divBdr>
        <w:top w:val="none" w:sz="0" w:space="0" w:color="auto"/>
        <w:left w:val="none" w:sz="0" w:space="0" w:color="auto"/>
        <w:bottom w:val="none" w:sz="0" w:space="0" w:color="auto"/>
        <w:right w:val="none" w:sz="0" w:space="0" w:color="auto"/>
      </w:divBdr>
    </w:div>
    <w:div w:id="70322872">
      <w:bodyDiv w:val="1"/>
      <w:marLeft w:val="0"/>
      <w:marRight w:val="0"/>
      <w:marTop w:val="0"/>
      <w:marBottom w:val="0"/>
      <w:divBdr>
        <w:top w:val="none" w:sz="0" w:space="0" w:color="auto"/>
        <w:left w:val="none" w:sz="0" w:space="0" w:color="auto"/>
        <w:bottom w:val="none" w:sz="0" w:space="0" w:color="auto"/>
        <w:right w:val="none" w:sz="0" w:space="0" w:color="auto"/>
      </w:divBdr>
    </w:div>
    <w:div w:id="210771086">
      <w:bodyDiv w:val="1"/>
      <w:marLeft w:val="0"/>
      <w:marRight w:val="0"/>
      <w:marTop w:val="0"/>
      <w:marBottom w:val="0"/>
      <w:divBdr>
        <w:top w:val="none" w:sz="0" w:space="0" w:color="auto"/>
        <w:left w:val="none" w:sz="0" w:space="0" w:color="auto"/>
        <w:bottom w:val="none" w:sz="0" w:space="0" w:color="auto"/>
        <w:right w:val="none" w:sz="0" w:space="0" w:color="auto"/>
      </w:divBdr>
    </w:div>
    <w:div w:id="269632247">
      <w:bodyDiv w:val="1"/>
      <w:marLeft w:val="0"/>
      <w:marRight w:val="0"/>
      <w:marTop w:val="0"/>
      <w:marBottom w:val="0"/>
      <w:divBdr>
        <w:top w:val="none" w:sz="0" w:space="0" w:color="auto"/>
        <w:left w:val="none" w:sz="0" w:space="0" w:color="auto"/>
        <w:bottom w:val="none" w:sz="0" w:space="0" w:color="auto"/>
        <w:right w:val="none" w:sz="0" w:space="0" w:color="auto"/>
      </w:divBdr>
    </w:div>
    <w:div w:id="287053125">
      <w:bodyDiv w:val="1"/>
      <w:marLeft w:val="0"/>
      <w:marRight w:val="0"/>
      <w:marTop w:val="0"/>
      <w:marBottom w:val="0"/>
      <w:divBdr>
        <w:top w:val="none" w:sz="0" w:space="0" w:color="auto"/>
        <w:left w:val="none" w:sz="0" w:space="0" w:color="auto"/>
        <w:bottom w:val="none" w:sz="0" w:space="0" w:color="auto"/>
        <w:right w:val="none" w:sz="0" w:space="0" w:color="auto"/>
      </w:divBdr>
    </w:div>
    <w:div w:id="680010335">
      <w:bodyDiv w:val="1"/>
      <w:marLeft w:val="0"/>
      <w:marRight w:val="0"/>
      <w:marTop w:val="0"/>
      <w:marBottom w:val="0"/>
      <w:divBdr>
        <w:top w:val="none" w:sz="0" w:space="0" w:color="auto"/>
        <w:left w:val="none" w:sz="0" w:space="0" w:color="auto"/>
        <w:bottom w:val="none" w:sz="0" w:space="0" w:color="auto"/>
        <w:right w:val="none" w:sz="0" w:space="0" w:color="auto"/>
      </w:divBdr>
      <w:divsChild>
        <w:div w:id="2078895102">
          <w:marLeft w:val="0"/>
          <w:marRight w:val="0"/>
          <w:marTop w:val="0"/>
          <w:marBottom w:val="0"/>
          <w:divBdr>
            <w:top w:val="none" w:sz="0" w:space="0" w:color="auto"/>
            <w:left w:val="none" w:sz="0" w:space="0" w:color="auto"/>
            <w:bottom w:val="none" w:sz="0" w:space="0" w:color="auto"/>
            <w:right w:val="none" w:sz="0" w:space="0" w:color="auto"/>
          </w:divBdr>
        </w:div>
      </w:divsChild>
    </w:div>
    <w:div w:id="688918360">
      <w:bodyDiv w:val="1"/>
      <w:marLeft w:val="0"/>
      <w:marRight w:val="0"/>
      <w:marTop w:val="0"/>
      <w:marBottom w:val="0"/>
      <w:divBdr>
        <w:top w:val="none" w:sz="0" w:space="0" w:color="auto"/>
        <w:left w:val="none" w:sz="0" w:space="0" w:color="auto"/>
        <w:bottom w:val="none" w:sz="0" w:space="0" w:color="auto"/>
        <w:right w:val="none" w:sz="0" w:space="0" w:color="auto"/>
      </w:divBdr>
      <w:divsChild>
        <w:div w:id="148635709">
          <w:marLeft w:val="0"/>
          <w:marRight w:val="0"/>
          <w:marTop w:val="0"/>
          <w:marBottom w:val="0"/>
          <w:divBdr>
            <w:top w:val="none" w:sz="0" w:space="0" w:color="auto"/>
            <w:left w:val="none" w:sz="0" w:space="0" w:color="auto"/>
            <w:bottom w:val="none" w:sz="0" w:space="0" w:color="auto"/>
            <w:right w:val="none" w:sz="0" w:space="0" w:color="auto"/>
          </w:divBdr>
        </w:div>
        <w:div w:id="1818255431">
          <w:marLeft w:val="0"/>
          <w:marRight w:val="0"/>
          <w:marTop w:val="0"/>
          <w:marBottom w:val="0"/>
          <w:divBdr>
            <w:top w:val="none" w:sz="0" w:space="0" w:color="auto"/>
            <w:left w:val="none" w:sz="0" w:space="0" w:color="auto"/>
            <w:bottom w:val="none" w:sz="0" w:space="0" w:color="auto"/>
            <w:right w:val="none" w:sz="0" w:space="0" w:color="auto"/>
          </w:divBdr>
          <w:divsChild>
            <w:div w:id="1044408250">
              <w:marLeft w:val="0"/>
              <w:marRight w:val="0"/>
              <w:marTop w:val="0"/>
              <w:marBottom w:val="0"/>
              <w:divBdr>
                <w:top w:val="none" w:sz="0" w:space="0" w:color="auto"/>
                <w:left w:val="none" w:sz="0" w:space="0" w:color="auto"/>
                <w:bottom w:val="none" w:sz="0" w:space="0" w:color="auto"/>
                <w:right w:val="none" w:sz="0" w:space="0" w:color="auto"/>
              </w:divBdr>
              <w:divsChild>
                <w:div w:id="1674792710">
                  <w:marLeft w:val="0"/>
                  <w:marRight w:val="0"/>
                  <w:marTop w:val="0"/>
                  <w:marBottom w:val="0"/>
                  <w:divBdr>
                    <w:top w:val="none" w:sz="0" w:space="0" w:color="auto"/>
                    <w:left w:val="none" w:sz="0" w:space="0" w:color="auto"/>
                    <w:bottom w:val="none" w:sz="0" w:space="0" w:color="auto"/>
                    <w:right w:val="none" w:sz="0" w:space="0" w:color="auto"/>
                  </w:divBdr>
                  <w:divsChild>
                    <w:div w:id="925843725">
                      <w:marLeft w:val="0"/>
                      <w:marRight w:val="0"/>
                      <w:marTop w:val="0"/>
                      <w:marBottom w:val="0"/>
                      <w:divBdr>
                        <w:top w:val="none" w:sz="0" w:space="0" w:color="auto"/>
                        <w:left w:val="none" w:sz="0" w:space="0" w:color="auto"/>
                        <w:bottom w:val="none" w:sz="0" w:space="0" w:color="auto"/>
                        <w:right w:val="none" w:sz="0" w:space="0" w:color="auto"/>
                      </w:divBdr>
                    </w:div>
                    <w:div w:id="8127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4038">
      <w:bodyDiv w:val="1"/>
      <w:marLeft w:val="0"/>
      <w:marRight w:val="0"/>
      <w:marTop w:val="0"/>
      <w:marBottom w:val="0"/>
      <w:divBdr>
        <w:top w:val="none" w:sz="0" w:space="0" w:color="auto"/>
        <w:left w:val="none" w:sz="0" w:space="0" w:color="auto"/>
        <w:bottom w:val="none" w:sz="0" w:space="0" w:color="auto"/>
        <w:right w:val="none" w:sz="0" w:space="0" w:color="auto"/>
      </w:divBdr>
    </w:div>
    <w:div w:id="717441157">
      <w:bodyDiv w:val="1"/>
      <w:marLeft w:val="0"/>
      <w:marRight w:val="0"/>
      <w:marTop w:val="0"/>
      <w:marBottom w:val="0"/>
      <w:divBdr>
        <w:top w:val="none" w:sz="0" w:space="0" w:color="auto"/>
        <w:left w:val="none" w:sz="0" w:space="0" w:color="auto"/>
        <w:bottom w:val="none" w:sz="0" w:space="0" w:color="auto"/>
        <w:right w:val="none" w:sz="0" w:space="0" w:color="auto"/>
      </w:divBdr>
    </w:div>
    <w:div w:id="724110311">
      <w:bodyDiv w:val="1"/>
      <w:marLeft w:val="0"/>
      <w:marRight w:val="0"/>
      <w:marTop w:val="0"/>
      <w:marBottom w:val="0"/>
      <w:divBdr>
        <w:top w:val="none" w:sz="0" w:space="0" w:color="auto"/>
        <w:left w:val="none" w:sz="0" w:space="0" w:color="auto"/>
        <w:bottom w:val="none" w:sz="0" w:space="0" w:color="auto"/>
        <w:right w:val="none" w:sz="0" w:space="0" w:color="auto"/>
      </w:divBdr>
    </w:div>
    <w:div w:id="852844760">
      <w:bodyDiv w:val="1"/>
      <w:marLeft w:val="0"/>
      <w:marRight w:val="0"/>
      <w:marTop w:val="0"/>
      <w:marBottom w:val="0"/>
      <w:divBdr>
        <w:top w:val="none" w:sz="0" w:space="0" w:color="auto"/>
        <w:left w:val="none" w:sz="0" w:space="0" w:color="auto"/>
        <w:bottom w:val="none" w:sz="0" w:space="0" w:color="auto"/>
        <w:right w:val="none" w:sz="0" w:space="0" w:color="auto"/>
      </w:divBdr>
      <w:divsChild>
        <w:div w:id="905645428">
          <w:marLeft w:val="1166"/>
          <w:marRight w:val="0"/>
          <w:marTop w:val="86"/>
          <w:marBottom w:val="0"/>
          <w:divBdr>
            <w:top w:val="none" w:sz="0" w:space="0" w:color="auto"/>
            <w:left w:val="none" w:sz="0" w:space="0" w:color="auto"/>
            <w:bottom w:val="none" w:sz="0" w:space="0" w:color="auto"/>
            <w:right w:val="none" w:sz="0" w:space="0" w:color="auto"/>
          </w:divBdr>
        </w:div>
      </w:divsChild>
    </w:div>
    <w:div w:id="948663646">
      <w:bodyDiv w:val="1"/>
      <w:marLeft w:val="0"/>
      <w:marRight w:val="0"/>
      <w:marTop w:val="0"/>
      <w:marBottom w:val="0"/>
      <w:divBdr>
        <w:top w:val="none" w:sz="0" w:space="0" w:color="auto"/>
        <w:left w:val="none" w:sz="0" w:space="0" w:color="auto"/>
        <w:bottom w:val="none" w:sz="0" w:space="0" w:color="auto"/>
        <w:right w:val="none" w:sz="0" w:space="0" w:color="auto"/>
      </w:divBdr>
    </w:div>
    <w:div w:id="987443570">
      <w:bodyDiv w:val="1"/>
      <w:marLeft w:val="0"/>
      <w:marRight w:val="0"/>
      <w:marTop w:val="0"/>
      <w:marBottom w:val="0"/>
      <w:divBdr>
        <w:top w:val="none" w:sz="0" w:space="0" w:color="auto"/>
        <w:left w:val="none" w:sz="0" w:space="0" w:color="auto"/>
        <w:bottom w:val="none" w:sz="0" w:space="0" w:color="auto"/>
        <w:right w:val="none" w:sz="0" w:space="0" w:color="auto"/>
      </w:divBdr>
    </w:div>
    <w:div w:id="1024134871">
      <w:bodyDiv w:val="1"/>
      <w:marLeft w:val="0"/>
      <w:marRight w:val="0"/>
      <w:marTop w:val="0"/>
      <w:marBottom w:val="0"/>
      <w:divBdr>
        <w:top w:val="none" w:sz="0" w:space="0" w:color="auto"/>
        <w:left w:val="none" w:sz="0" w:space="0" w:color="auto"/>
        <w:bottom w:val="none" w:sz="0" w:space="0" w:color="auto"/>
        <w:right w:val="none" w:sz="0" w:space="0" w:color="auto"/>
      </w:divBdr>
    </w:div>
    <w:div w:id="1038432906">
      <w:bodyDiv w:val="1"/>
      <w:marLeft w:val="0"/>
      <w:marRight w:val="0"/>
      <w:marTop w:val="0"/>
      <w:marBottom w:val="0"/>
      <w:divBdr>
        <w:top w:val="none" w:sz="0" w:space="0" w:color="auto"/>
        <w:left w:val="none" w:sz="0" w:space="0" w:color="auto"/>
        <w:bottom w:val="none" w:sz="0" w:space="0" w:color="auto"/>
        <w:right w:val="none" w:sz="0" w:space="0" w:color="auto"/>
      </w:divBdr>
    </w:div>
    <w:div w:id="1121076280">
      <w:bodyDiv w:val="1"/>
      <w:marLeft w:val="0"/>
      <w:marRight w:val="0"/>
      <w:marTop w:val="0"/>
      <w:marBottom w:val="0"/>
      <w:divBdr>
        <w:top w:val="none" w:sz="0" w:space="0" w:color="auto"/>
        <w:left w:val="none" w:sz="0" w:space="0" w:color="auto"/>
        <w:bottom w:val="none" w:sz="0" w:space="0" w:color="auto"/>
        <w:right w:val="none" w:sz="0" w:space="0" w:color="auto"/>
      </w:divBdr>
    </w:div>
    <w:div w:id="1167018712">
      <w:bodyDiv w:val="1"/>
      <w:marLeft w:val="0"/>
      <w:marRight w:val="0"/>
      <w:marTop w:val="0"/>
      <w:marBottom w:val="0"/>
      <w:divBdr>
        <w:top w:val="none" w:sz="0" w:space="0" w:color="auto"/>
        <w:left w:val="none" w:sz="0" w:space="0" w:color="auto"/>
        <w:bottom w:val="none" w:sz="0" w:space="0" w:color="auto"/>
        <w:right w:val="none" w:sz="0" w:space="0" w:color="auto"/>
      </w:divBdr>
    </w:div>
    <w:div w:id="1172262616">
      <w:bodyDiv w:val="1"/>
      <w:marLeft w:val="0"/>
      <w:marRight w:val="0"/>
      <w:marTop w:val="0"/>
      <w:marBottom w:val="0"/>
      <w:divBdr>
        <w:top w:val="none" w:sz="0" w:space="0" w:color="auto"/>
        <w:left w:val="none" w:sz="0" w:space="0" w:color="auto"/>
        <w:bottom w:val="none" w:sz="0" w:space="0" w:color="auto"/>
        <w:right w:val="none" w:sz="0" w:space="0" w:color="auto"/>
      </w:divBdr>
    </w:div>
    <w:div w:id="1244952732">
      <w:bodyDiv w:val="1"/>
      <w:marLeft w:val="0"/>
      <w:marRight w:val="0"/>
      <w:marTop w:val="0"/>
      <w:marBottom w:val="0"/>
      <w:divBdr>
        <w:top w:val="none" w:sz="0" w:space="0" w:color="auto"/>
        <w:left w:val="none" w:sz="0" w:space="0" w:color="auto"/>
        <w:bottom w:val="none" w:sz="0" w:space="0" w:color="auto"/>
        <w:right w:val="none" w:sz="0" w:space="0" w:color="auto"/>
      </w:divBdr>
    </w:div>
    <w:div w:id="1266811802">
      <w:bodyDiv w:val="1"/>
      <w:marLeft w:val="0"/>
      <w:marRight w:val="0"/>
      <w:marTop w:val="0"/>
      <w:marBottom w:val="0"/>
      <w:divBdr>
        <w:top w:val="none" w:sz="0" w:space="0" w:color="auto"/>
        <w:left w:val="none" w:sz="0" w:space="0" w:color="auto"/>
        <w:bottom w:val="none" w:sz="0" w:space="0" w:color="auto"/>
        <w:right w:val="none" w:sz="0" w:space="0" w:color="auto"/>
      </w:divBdr>
    </w:div>
    <w:div w:id="1312060487">
      <w:bodyDiv w:val="1"/>
      <w:marLeft w:val="0"/>
      <w:marRight w:val="0"/>
      <w:marTop w:val="0"/>
      <w:marBottom w:val="0"/>
      <w:divBdr>
        <w:top w:val="none" w:sz="0" w:space="0" w:color="auto"/>
        <w:left w:val="none" w:sz="0" w:space="0" w:color="auto"/>
        <w:bottom w:val="none" w:sz="0" w:space="0" w:color="auto"/>
        <w:right w:val="none" w:sz="0" w:space="0" w:color="auto"/>
      </w:divBdr>
    </w:div>
    <w:div w:id="1422414506">
      <w:bodyDiv w:val="1"/>
      <w:marLeft w:val="0"/>
      <w:marRight w:val="0"/>
      <w:marTop w:val="0"/>
      <w:marBottom w:val="0"/>
      <w:divBdr>
        <w:top w:val="none" w:sz="0" w:space="0" w:color="auto"/>
        <w:left w:val="none" w:sz="0" w:space="0" w:color="auto"/>
        <w:bottom w:val="none" w:sz="0" w:space="0" w:color="auto"/>
        <w:right w:val="none" w:sz="0" w:space="0" w:color="auto"/>
      </w:divBdr>
    </w:div>
    <w:div w:id="1539859421">
      <w:bodyDiv w:val="1"/>
      <w:marLeft w:val="0"/>
      <w:marRight w:val="0"/>
      <w:marTop w:val="0"/>
      <w:marBottom w:val="0"/>
      <w:divBdr>
        <w:top w:val="none" w:sz="0" w:space="0" w:color="auto"/>
        <w:left w:val="none" w:sz="0" w:space="0" w:color="auto"/>
        <w:bottom w:val="none" w:sz="0" w:space="0" w:color="auto"/>
        <w:right w:val="none" w:sz="0" w:space="0" w:color="auto"/>
      </w:divBdr>
    </w:div>
    <w:div w:id="1548713320">
      <w:bodyDiv w:val="1"/>
      <w:marLeft w:val="0"/>
      <w:marRight w:val="0"/>
      <w:marTop w:val="0"/>
      <w:marBottom w:val="0"/>
      <w:divBdr>
        <w:top w:val="none" w:sz="0" w:space="0" w:color="auto"/>
        <w:left w:val="none" w:sz="0" w:space="0" w:color="auto"/>
        <w:bottom w:val="none" w:sz="0" w:space="0" w:color="auto"/>
        <w:right w:val="none" w:sz="0" w:space="0" w:color="auto"/>
      </w:divBdr>
    </w:div>
    <w:div w:id="1671835241">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780487988">
      <w:bodyDiv w:val="1"/>
      <w:marLeft w:val="0"/>
      <w:marRight w:val="0"/>
      <w:marTop w:val="0"/>
      <w:marBottom w:val="0"/>
      <w:divBdr>
        <w:top w:val="none" w:sz="0" w:space="0" w:color="auto"/>
        <w:left w:val="none" w:sz="0" w:space="0" w:color="auto"/>
        <w:bottom w:val="none" w:sz="0" w:space="0" w:color="auto"/>
        <w:right w:val="none" w:sz="0" w:space="0" w:color="auto"/>
      </w:divBdr>
    </w:div>
    <w:div w:id="1783845596">
      <w:bodyDiv w:val="1"/>
      <w:marLeft w:val="0"/>
      <w:marRight w:val="0"/>
      <w:marTop w:val="0"/>
      <w:marBottom w:val="0"/>
      <w:divBdr>
        <w:top w:val="none" w:sz="0" w:space="0" w:color="auto"/>
        <w:left w:val="none" w:sz="0" w:space="0" w:color="auto"/>
        <w:bottom w:val="none" w:sz="0" w:space="0" w:color="auto"/>
        <w:right w:val="none" w:sz="0" w:space="0" w:color="auto"/>
      </w:divBdr>
    </w:div>
    <w:div w:id="1842158825">
      <w:bodyDiv w:val="1"/>
      <w:marLeft w:val="0"/>
      <w:marRight w:val="0"/>
      <w:marTop w:val="0"/>
      <w:marBottom w:val="0"/>
      <w:divBdr>
        <w:top w:val="none" w:sz="0" w:space="0" w:color="auto"/>
        <w:left w:val="none" w:sz="0" w:space="0" w:color="auto"/>
        <w:bottom w:val="none" w:sz="0" w:space="0" w:color="auto"/>
        <w:right w:val="none" w:sz="0" w:space="0" w:color="auto"/>
      </w:divBdr>
    </w:div>
    <w:div w:id="1942839491">
      <w:bodyDiv w:val="1"/>
      <w:marLeft w:val="0"/>
      <w:marRight w:val="0"/>
      <w:marTop w:val="0"/>
      <w:marBottom w:val="0"/>
      <w:divBdr>
        <w:top w:val="none" w:sz="0" w:space="0" w:color="auto"/>
        <w:left w:val="none" w:sz="0" w:space="0" w:color="auto"/>
        <w:bottom w:val="none" w:sz="0" w:space="0" w:color="auto"/>
        <w:right w:val="none" w:sz="0" w:space="0" w:color="auto"/>
      </w:divBdr>
    </w:div>
    <w:div w:id="1968463892">
      <w:bodyDiv w:val="1"/>
      <w:marLeft w:val="0"/>
      <w:marRight w:val="0"/>
      <w:marTop w:val="0"/>
      <w:marBottom w:val="0"/>
      <w:divBdr>
        <w:top w:val="none" w:sz="0" w:space="0" w:color="auto"/>
        <w:left w:val="none" w:sz="0" w:space="0" w:color="auto"/>
        <w:bottom w:val="none" w:sz="0" w:space="0" w:color="auto"/>
        <w:right w:val="none" w:sz="0" w:space="0" w:color="auto"/>
      </w:divBdr>
    </w:div>
    <w:div w:id="1973124063">
      <w:bodyDiv w:val="1"/>
      <w:marLeft w:val="0"/>
      <w:marRight w:val="0"/>
      <w:marTop w:val="0"/>
      <w:marBottom w:val="0"/>
      <w:divBdr>
        <w:top w:val="none" w:sz="0" w:space="0" w:color="auto"/>
        <w:left w:val="none" w:sz="0" w:space="0" w:color="auto"/>
        <w:bottom w:val="none" w:sz="0" w:space="0" w:color="auto"/>
        <w:right w:val="none" w:sz="0" w:space="0" w:color="auto"/>
      </w:divBdr>
    </w:div>
    <w:div w:id="1999964744">
      <w:bodyDiv w:val="1"/>
      <w:marLeft w:val="0"/>
      <w:marRight w:val="0"/>
      <w:marTop w:val="0"/>
      <w:marBottom w:val="0"/>
      <w:divBdr>
        <w:top w:val="none" w:sz="0" w:space="0" w:color="auto"/>
        <w:left w:val="none" w:sz="0" w:space="0" w:color="auto"/>
        <w:bottom w:val="none" w:sz="0" w:space="0" w:color="auto"/>
        <w:right w:val="none" w:sz="0" w:space="0" w:color="auto"/>
      </w:divBdr>
    </w:div>
    <w:div w:id="2010329973">
      <w:bodyDiv w:val="1"/>
      <w:marLeft w:val="0"/>
      <w:marRight w:val="0"/>
      <w:marTop w:val="0"/>
      <w:marBottom w:val="0"/>
      <w:divBdr>
        <w:top w:val="none" w:sz="0" w:space="0" w:color="auto"/>
        <w:left w:val="none" w:sz="0" w:space="0" w:color="auto"/>
        <w:bottom w:val="none" w:sz="0" w:space="0" w:color="auto"/>
        <w:right w:val="none" w:sz="0" w:space="0" w:color="auto"/>
      </w:divBdr>
    </w:div>
    <w:div w:id="2030136419">
      <w:bodyDiv w:val="1"/>
      <w:marLeft w:val="0"/>
      <w:marRight w:val="0"/>
      <w:marTop w:val="0"/>
      <w:marBottom w:val="0"/>
      <w:divBdr>
        <w:top w:val="none" w:sz="0" w:space="0" w:color="auto"/>
        <w:left w:val="none" w:sz="0" w:space="0" w:color="auto"/>
        <w:bottom w:val="none" w:sz="0" w:space="0" w:color="auto"/>
        <w:right w:val="none" w:sz="0" w:space="0" w:color="auto"/>
      </w:divBdr>
    </w:div>
    <w:div w:id="21260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D2F4-802F-49DB-8EC4-52083801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6204</Words>
  <Characters>38487</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2017-02-13T23:10:00Z</dcterms:created>
  <dcterms:modified xsi:type="dcterms:W3CDTF">2017-02-16T03:38:00Z</dcterms:modified>
</cp:coreProperties>
</file>