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4C" w:rsidRPr="00C04677" w:rsidRDefault="0089104C" w:rsidP="00DF5662">
      <w:bookmarkStart w:id="0" w:name="_GoBack"/>
      <w:bookmarkEnd w:id="0"/>
    </w:p>
    <w:p w:rsidR="00462335" w:rsidRPr="00C04677" w:rsidRDefault="008D16B9" w:rsidP="00462335">
      <w:pPr>
        <w:pStyle w:val="Title"/>
        <w:ind w:left="720" w:hanging="720"/>
        <w:rPr>
          <w:szCs w:val="28"/>
        </w:rPr>
      </w:pPr>
      <w:r w:rsidRPr="00C04677">
        <w:rPr>
          <w:szCs w:val="28"/>
        </w:rPr>
        <w:t>4.03</w:t>
      </w:r>
      <w:r w:rsidR="007C0F57" w:rsidRPr="00C04677">
        <w:rPr>
          <w:szCs w:val="28"/>
        </w:rPr>
        <w:tab/>
      </w:r>
      <w:r w:rsidRPr="00C04677">
        <w:rPr>
          <w:szCs w:val="28"/>
        </w:rPr>
        <w:t>DACLIZUMAB</w:t>
      </w:r>
      <w:r w:rsidR="008A50F1" w:rsidRPr="00C04677">
        <w:rPr>
          <w:szCs w:val="28"/>
        </w:rPr>
        <w:t xml:space="preserve"> </w:t>
      </w:r>
      <w:r w:rsidR="008A50F1" w:rsidRPr="00C04677">
        <w:rPr>
          <w:szCs w:val="28"/>
        </w:rPr>
        <w:br/>
      </w:r>
      <w:r w:rsidR="00462335" w:rsidRPr="00C04677">
        <w:rPr>
          <w:szCs w:val="28"/>
        </w:rPr>
        <w:t>Injection 150 mg per 1.0 mL injection in pre-filled pen or syringe,</w:t>
      </w:r>
      <w:r w:rsidR="008A50F1" w:rsidRPr="00C04677">
        <w:rPr>
          <w:szCs w:val="28"/>
        </w:rPr>
        <w:br/>
      </w:r>
      <w:r w:rsidR="00462335" w:rsidRPr="00C04677">
        <w:rPr>
          <w:szCs w:val="28"/>
        </w:rPr>
        <w:t>Zinbryta</w:t>
      </w:r>
      <w:r w:rsidR="0004240E" w:rsidRPr="00C04677">
        <w:rPr>
          <w:szCs w:val="28"/>
          <w:vertAlign w:val="superscript"/>
        </w:rPr>
        <w:t>®</w:t>
      </w:r>
      <w:r w:rsidR="00EF44A0" w:rsidRPr="00C04677">
        <w:rPr>
          <w:szCs w:val="28"/>
        </w:rPr>
        <w:t>,</w:t>
      </w:r>
      <w:r w:rsidR="00462335" w:rsidRPr="00C04677">
        <w:rPr>
          <w:szCs w:val="28"/>
        </w:rPr>
        <w:t xml:space="preserve"> </w:t>
      </w:r>
    </w:p>
    <w:p w:rsidR="00462335" w:rsidRPr="00C04677" w:rsidRDefault="00462335" w:rsidP="00462335">
      <w:pPr>
        <w:pStyle w:val="Title"/>
        <w:ind w:left="720"/>
        <w:rPr>
          <w:szCs w:val="28"/>
        </w:rPr>
      </w:pPr>
      <w:r w:rsidRPr="00C04677">
        <w:rPr>
          <w:szCs w:val="28"/>
        </w:rPr>
        <w:t>Biogen Australia Pty Ltd</w:t>
      </w:r>
      <w:r w:rsidR="00911B0C">
        <w:rPr>
          <w:szCs w:val="28"/>
        </w:rPr>
        <w:t>.</w:t>
      </w:r>
    </w:p>
    <w:p w:rsidR="00C27B58" w:rsidRPr="00C04677" w:rsidRDefault="00C27B58" w:rsidP="00C27B58">
      <w:pPr>
        <w:pStyle w:val="NoSpacing"/>
      </w:pPr>
    </w:p>
    <w:p w:rsidR="00E15627" w:rsidRPr="00C04677" w:rsidRDefault="00CE10C4" w:rsidP="00E15627">
      <w:pPr>
        <w:pStyle w:val="PBACHeading1"/>
      </w:pPr>
      <w:r w:rsidRPr="00C04677">
        <w:t xml:space="preserve">Purpose of </w:t>
      </w:r>
      <w:r w:rsidR="0004240E" w:rsidRPr="00C04677">
        <w:t>Application</w:t>
      </w:r>
    </w:p>
    <w:p w:rsidR="008A50F1" w:rsidRPr="00C04677" w:rsidRDefault="008A50F1" w:rsidP="00E15627"/>
    <w:p w:rsidR="00F9629A" w:rsidRPr="00C04677" w:rsidRDefault="00854BFB" w:rsidP="00C27B58">
      <w:pPr>
        <w:pStyle w:val="ListParagraph"/>
        <w:numPr>
          <w:ilvl w:val="1"/>
          <w:numId w:val="5"/>
        </w:numPr>
      </w:pPr>
      <w:r w:rsidRPr="00C04677">
        <w:rPr>
          <w:szCs w:val="22"/>
        </w:rPr>
        <w:t xml:space="preserve">The submission requested a </w:t>
      </w:r>
      <w:r w:rsidR="00DF5662" w:rsidRPr="00C04677">
        <w:rPr>
          <w:szCs w:val="22"/>
        </w:rPr>
        <w:t>General Schedule</w:t>
      </w:r>
      <w:r w:rsidRPr="00C04677">
        <w:rPr>
          <w:szCs w:val="22"/>
        </w:rPr>
        <w:t xml:space="preserve"> Authority Required listing for daclizumab for the treatment of relapsing-remitting multiple sclerosis (RRMS). The </w:t>
      </w:r>
      <w:r w:rsidR="00DF5662" w:rsidRPr="00C04677">
        <w:rPr>
          <w:szCs w:val="22"/>
        </w:rPr>
        <w:t>PBAC</w:t>
      </w:r>
      <w:r w:rsidRPr="00C04677">
        <w:rPr>
          <w:szCs w:val="22"/>
        </w:rPr>
        <w:t xml:space="preserve"> deferred consideration of daclizumab to the November 2016 meeting, pending the final</w:t>
      </w:r>
      <w:r w:rsidR="00DF5662" w:rsidRPr="00C04677">
        <w:rPr>
          <w:szCs w:val="22"/>
        </w:rPr>
        <w:t>isation</w:t>
      </w:r>
      <w:r w:rsidRPr="00C04677">
        <w:rPr>
          <w:szCs w:val="22"/>
        </w:rPr>
        <w:t xml:space="preserve"> of TGA registration.</w:t>
      </w:r>
    </w:p>
    <w:p w:rsidR="00EF44A0" w:rsidRPr="00C04677" w:rsidRDefault="00EF44A0" w:rsidP="00C27B58">
      <w:pPr>
        <w:pStyle w:val="NoSpacing"/>
      </w:pPr>
    </w:p>
    <w:p w:rsidR="00962223" w:rsidRPr="00C04677" w:rsidRDefault="006A12A5" w:rsidP="008A50F1">
      <w:pPr>
        <w:pStyle w:val="PBACHeading1"/>
      </w:pPr>
      <w:r w:rsidRPr="00C04677">
        <w:t>Requested listing</w:t>
      </w:r>
    </w:p>
    <w:p w:rsidR="006A12A5" w:rsidRPr="00C04677" w:rsidRDefault="006A12A5" w:rsidP="00882085">
      <w:pPr>
        <w:jc w:val="both"/>
        <w:rPr>
          <w:b/>
          <w:szCs w:val="22"/>
        </w:rPr>
      </w:pPr>
    </w:p>
    <w:p w:rsidR="00826F6D" w:rsidRPr="00C04677" w:rsidRDefault="00EF44A0" w:rsidP="008D16B9">
      <w:pPr>
        <w:pStyle w:val="ListParagraph"/>
        <w:numPr>
          <w:ilvl w:val="1"/>
          <w:numId w:val="5"/>
        </w:numPr>
        <w:rPr>
          <w:szCs w:val="22"/>
        </w:rPr>
      </w:pPr>
      <w:r w:rsidRPr="00C04677">
        <w:rPr>
          <w:szCs w:val="22"/>
        </w:rPr>
        <w:t xml:space="preserve">The submission </w:t>
      </w:r>
      <w:r w:rsidR="008D16B9" w:rsidRPr="00C04677">
        <w:rPr>
          <w:szCs w:val="22"/>
        </w:rPr>
        <w:t>did not request changes to the requested</w:t>
      </w:r>
      <w:r w:rsidR="002E0872" w:rsidRPr="00C04677">
        <w:rPr>
          <w:szCs w:val="22"/>
        </w:rPr>
        <w:t xml:space="preserve"> restriction</w:t>
      </w:r>
      <w:r w:rsidR="008D16B9" w:rsidRPr="00C04677">
        <w:rPr>
          <w:szCs w:val="22"/>
        </w:rPr>
        <w:t xml:space="preserve"> considered by the PBAC in July 2016. The requested listings are reproduced below.</w:t>
      </w:r>
      <w:r w:rsidR="008D16B9" w:rsidRPr="00C04677">
        <w:t xml:space="preserve"> </w:t>
      </w:r>
      <w:r w:rsidR="008D16B9" w:rsidRPr="00C04677">
        <w:rPr>
          <w:szCs w:val="22"/>
        </w:rPr>
        <w:t>Suggestions and additions proposed by the Secretariat to the requested listing are added in italics and suggested deletions are crossed out with strikethrough.</w:t>
      </w:r>
      <w:r w:rsidR="00DF5662" w:rsidRPr="00C04677">
        <w:rPr>
          <w:szCs w:val="22"/>
        </w:rPr>
        <w:t xml:space="preserve"> These include the addition </w:t>
      </w:r>
      <w:r w:rsidR="008433D0" w:rsidRPr="00C04677">
        <w:rPr>
          <w:szCs w:val="22"/>
        </w:rPr>
        <w:t>of a treatment criterion</w:t>
      </w:r>
      <w:r w:rsidR="00DF5662" w:rsidRPr="00C04677">
        <w:rPr>
          <w:szCs w:val="22"/>
        </w:rPr>
        <w:t>, to reflect the final conditions of TGA registration, that treatment must be initiated by a neurologist.</w:t>
      </w:r>
    </w:p>
    <w:p w:rsidR="00826F6D" w:rsidRPr="00C04677" w:rsidRDefault="00826F6D" w:rsidP="008D16B9">
      <w:pPr>
        <w:rPr>
          <w:szCs w:val="22"/>
        </w:rPr>
      </w:pPr>
    </w:p>
    <w:tbl>
      <w:tblPr>
        <w:tblW w:w="4594" w:type="pct"/>
        <w:tblInd w:w="737" w:type="dxa"/>
        <w:tblCellMar>
          <w:left w:w="28" w:type="dxa"/>
          <w:right w:w="28" w:type="dxa"/>
        </w:tblCellMar>
        <w:tblLook w:val="0000" w:firstRow="0" w:lastRow="0" w:firstColumn="0" w:lastColumn="0" w:noHBand="0" w:noVBand="0"/>
      </w:tblPr>
      <w:tblGrid>
        <w:gridCol w:w="2410"/>
        <w:gridCol w:w="372"/>
        <w:gridCol w:w="598"/>
        <w:gridCol w:w="896"/>
        <w:gridCol w:w="1394"/>
        <w:gridCol w:w="2675"/>
      </w:tblGrid>
      <w:tr w:rsidR="0030503A" w:rsidRPr="00C04677" w:rsidTr="0030503A">
        <w:trPr>
          <w:cantSplit/>
          <w:trHeight w:val="471"/>
        </w:trPr>
        <w:tc>
          <w:tcPr>
            <w:tcW w:w="1667" w:type="pct"/>
            <w:gridSpan w:val="2"/>
            <w:tcBorders>
              <w:bottom w:val="single" w:sz="4" w:space="0" w:color="auto"/>
            </w:tcBorders>
          </w:tcPr>
          <w:p w:rsidR="0030503A" w:rsidRPr="00C04677" w:rsidRDefault="0030503A" w:rsidP="008D16B9">
            <w:pPr>
              <w:keepNext/>
              <w:rPr>
                <w:rFonts w:ascii="Arial Narrow" w:hAnsi="Arial Narrow"/>
                <w:sz w:val="20"/>
              </w:rPr>
            </w:pPr>
            <w:r w:rsidRPr="00C04677">
              <w:rPr>
                <w:rFonts w:ascii="Arial Narrow" w:hAnsi="Arial Narrow"/>
                <w:sz w:val="20"/>
              </w:rPr>
              <w:t>Name, Restriction,</w:t>
            </w:r>
          </w:p>
          <w:p w:rsidR="0030503A" w:rsidRPr="00C04677" w:rsidRDefault="0030503A" w:rsidP="008D16B9">
            <w:pPr>
              <w:keepNext/>
              <w:rPr>
                <w:rFonts w:ascii="Arial Narrow" w:hAnsi="Arial Narrow"/>
                <w:sz w:val="20"/>
              </w:rPr>
            </w:pPr>
            <w:r w:rsidRPr="00C04677">
              <w:rPr>
                <w:rFonts w:ascii="Arial Narrow" w:hAnsi="Arial Narrow"/>
                <w:sz w:val="20"/>
              </w:rPr>
              <w:t>Manner of administration and form</w:t>
            </w:r>
          </w:p>
        </w:tc>
        <w:tc>
          <w:tcPr>
            <w:tcW w:w="358" w:type="pct"/>
            <w:tcBorders>
              <w:bottom w:val="single" w:sz="4" w:space="0" w:color="auto"/>
            </w:tcBorders>
          </w:tcPr>
          <w:p w:rsidR="0030503A" w:rsidRPr="00C04677" w:rsidRDefault="0030503A" w:rsidP="008D16B9">
            <w:pPr>
              <w:keepNext/>
              <w:jc w:val="center"/>
              <w:rPr>
                <w:rFonts w:ascii="Arial Narrow" w:hAnsi="Arial Narrow"/>
                <w:sz w:val="20"/>
              </w:rPr>
            </w:pPr>
            <w:r w:rsidRPr="00C04677">
              <w:rPr>
                <w:rFonts w:ascii="Arial Narrow" w:hAnsi="Arial Narrow"/>
                <w:sz w:val="20"/>
              </w:rPr>
              <w:t>Max.</w:t>
            </w:r>
          </w:p>
          <w:p w:rsidR="0030503A" w:rsidRPr="00C04677" w:rsidRDefault="0030503A" w:rsidP="008D16B9">
            <w:pPr>
              <w:keepNext/>
              <w:jc w:val="center"/>
              <w:rPr>
                <w:rFonts w:ascii="Arial Narrow" w:hAnsi="Arial Narrow"/>
                <w:sz w:val="20"/>
              </w:rPr>
            </w:pPr>
            <w:r w:rsidRPr="00C04677">
              <w:rPr>
                <w:rFonts w:ascii="Arial Narrow" w:hAnsi="Arial Narrow"/>
                <w:sz w:val="20"/>
              </w:rPr>
              <w:t>Qty</w:t>
            </w:r>
          </w:p>
        </w:tc>
        <w:tc>
          <w:tcPr>
            <w:tcW w:w="537" w:type="pct"/>
            <w:tcBorders>
              <w:bottom w:val="single" w:sz="4" w:space="0" w:color="auto"/>
            </w:tcBorders>
          </w:tcPr>
          <w:p w:rsidR="0030503A" w:rsidRPr="00C04677" w:rsidRDefault="0030503A" w:rsidP="008D16B9">
            <w:pPr>
              <w:keepNext/>
              <w:jc w:val="center"/>
              <w:rPr>
                <w:rFonts w:ascii="Arial Narrow" w:hAnsi="Arial Narrow"/>
                <w:sz w:val="20"/>
              </w:rPr>
            </w:pPr>
            <w:r w:rsidRPr="00C04677">
              <w:rPr>
                <w:rFonts w:ascii="Arial Narrow" w:hAnsi="Arial Narrow"/>
                <w:sz w:val="20"/>
              </w:rPr>
              <w:t>№.of</w:t>
            </w:r>
          </w:p>
          <w:p w:rsidR="0030503A" w:rsidRPr="00C04677" w:rsidRDefault="0030503A" w:rsidP="008D16B9">
            <w:pPr>
              <w:keepNext/>
              <w:jc w:val="center"/>
              <w:rPr>
                <w:rFonts w:ascii="Arial Narrow" w:hAnsi="Arial Narrow"/>
                <w:sz w:val="20"/>
              </w:rPr>
            </w:pPr>
            <w:r w:rsidRPr="00C04677">
              <w:rPr>
                <w:rFonts w:ascii="Arial Narrow" w:hAnsi="Arial Narrow"/>
                <w:sz w:val="20"/>
              </w:rPr>
              <w:t>Rpts</w:t>
            </w:r>
          </w:p>
        </w:tc>
        <w:tc>
          <w:tcPr>
            <w:tcW w:w="2438" w:type="pct"/>
            <w:gridSpan w:val="2"/>
            <w:tcBorders>
              <w:bottom w:val="single" w:sz="4" w:space="0" w:color="auto"/>
            </w:tcBorders>
          </w:tcPr>
          <w:p w:rsidR="0030503A" w:rsidRPr="00C04677" w:rsidRDefault="0030503A" w:rsidP="008D16B9">
            <w:pPr>
              <w:keepNext/>
              <w:jc w:val="center"/>
              <w:rPr>
                <w:rFonts w:ascii="Arial Narrow" w:hAnsi="Arial Narrow"/>
                <w:sz w:val="20"/>
              </w:rPr>
            </w:pPr>
            <w:r w:rsidRPr="00C04677">
              <w:rPr>
                <w:rFonts w:ascii="Arial Narrow" w:hAnsi="Arial Narrow"/>
                <w:sz w:val="20"/>
              </w:rPr>
              <w:t>Proprietary Name and Manufacturer</w:t>
            </w:r>
          </w:p>
        </w:tc>
      </w:tr>
      <w:tr w:rsidR="0030503A" w:rsidRPr="00C04677" w:rsidTr="0030503A">
        <w:trPr>
          <w:cantSplit/>
          <w:trHeight w:val="577"/>
        </w:trPr>
        <w:tc>
          <w:tcPr>
            <w:tcW w:w="1667" w:type="pct"/>
            <w:gridSpan w:val="2"/>
            <w:tcBorders>
              <w:bottom w:val="single" w:sz="4" w:space="0" w:color="auto"/>
            </w:tcBorders>
          </w:tcPr>
          <w:p w:rsidR="0030503A" w:rsidRPr="00C04677" w:rsidRDefault="0030503A" w:rsidP="008D16B9">
            <w:pPr>
              <w:keepNext/>
              <w:rPr>
                <w:rFonts w:ascii="Arial Narrow" w:hAnsi="Arial Narrow"/>
                <w:sz w:val="20"/>
              </w:rPr>
            </w:pPr>
            <w:r w:rsidRPr="00C04677">
              <w:rPr>
                <w:rFonts w:ascii="Arial Narrow" w:hAnsi="Arial Narrow"/>
                <w:smallCaps/>
                <w:sz w:val="20"/>
              </w:rPr>
              <w:t>Daclizumab</w:t>
            </w:r>
          </w:p>
          <w:p w:rsidR="0030503A" w:rsidRPr="00C04677" w:rsidRDefault="0030503A" w:rsidP="008D16B9">
            <w:pPr>
              <w:keepNext/>
              <w:rPr>
                <w:rFonts w:ascii="Arial Narrow" w:hAnsi="Arial Narrow"/>
                <w:sz w:val="20"/>
              </w:rPr>
            </w:pPr>
            <w:r w:rsidRPr="00C04677">
              <w:rPr>
                <w:rFonts w:ascii="Arial Narrow" w:hAnsi="Arial Narrow"/>
                <w:sz w:val="20"/>
              </w:rPr>
              <w:t>Injection 150 mg per 1.0 mL injection in pre-filled pen or syringe</w:t>
            </w:r>
          </w:p>
        </w:tc>
        <w:tc>
          <w:tcPr>
            <w:tcW w:w="358" w:type="pct"/>
            <w:tcBorders>
              <w:bottom w:val="single" w:sz="4" w:space="0" w:color="auto"/>
            </w:tcBorders>
          </w:tcPr>
          <w:p w:rsidR="0030503A" w:rsidRPr="00C04677" w:rsidRDefault="0030503A" w:rsidP="008D16B9">
            <w:pPr>
              <w:keepNext/>
              <w:jc w:val="center"/>
              <w:rPr>
                <w:rFonts w:ascii="Arial Narrow" w:hAnsi="Arial Narrow"/>
                <w:sz w:val="20"/>
              </w:rPr>
            </w:pPr>
          </w:p>
          <w:p w:rsidR="0030503A" w:rsidRPr="00C04677" w:rsidRDefault="0030503A" w:rsidP="008D16B9">
            <w:pPr>
              <w:keepNext/>
              <w:jc w:val="center"/>
              <w:rPr>
                <w:rFonts w:ascii="Arial Narrow" w:hAnsi="Arial Narrow"/>
                <w:sz w:val="20"/>
              </w:rPr>
            </w:pPr>
            <w:r w:rsidRPr="00C04677">
              <w:rPr>
                <w:rFonts w:ascii="Arial Narrow" w:hAnsi="Arial Narrow"/>
                <w:sz w:val="20"/>
              </w:rPr>
              <w:t>1</w:t>
            </w:r>
          </w:p>
        </w:tc>
        <w:tc>
          <w:tcPr>
            <w:tcW w:w="537" w:type="pct"/>
            <w:tcBorders>
              <w:bottom w:val="single" w:sz="4" w:space="0" w:color="auto"/>
            </w:tcBorders>
          </w:tcPr>
          <w:p w:rsidR="0030503A" w:rsidRPr="00C04677" w:rsidRDefault="0030503A" w:rsidP="008D16B9">
            <w:pPr>
              <w:keepNext/>
              <w:jc w:val="center"/>
              <w:rPr>
                <w:rFonts w:ascii="Arial Narrow" w:hAnsi="Arial Narrow"/>
                <w:sz w:val="20"/>
              </w:rPr>
            </w:pPr>
          </w:p>
          <w:p w:rsidR="0030503A" w:rsidRPr="00C04677" w:rsidRDefault="0030503A" w:rsidP="008D16B9">
            <w:pPr>
              <w:keepNext/>
              <w:jc w:val="center"/>
              <w:rPr>
                <w:rFonts w:ascii="Arial Narrow" w:hAnsi="Arial Narrow"/>
                <w:sz w:val="20"/>
              </w:rPr>
            </w:pPr>
            <w:r w:rsidRPr="00C04677">
              <w:rPr>
                <w:rFonts w:ascii="Arial Narrow" w:hAnsi="Arial Narrow"/>
                <w:sz w:val="20"/>
              </w:rPr>
              <w:t>5</w:t>
            </w:r>
          </w:p>
        </w:tc>
        <w:tc>
          <w:tcPr>
            <w:tcW w:w="835" w:type="pct"/>
            <w:tcBorders>
              <w:bottom w:val="single" w:sz="4" w:space="0" w:color="auto"/>
            </w:tcBorders>
          </w:tcPr>
          <w:p w:rsidR="0030503A" w:rsidRPr="00C04677" w:rsidRDefault="0030503A" w:rsidP="008D16B9">
            <w:pPr>
              <w:keepNext/>
              <w:jc w:val="center"/>
              <w:rPr>
                <w:rFonts w:ascii="Arial Narrow" w:hAnsi="Arial Narrow"/>
                <w:sz w:val="20"/>
                <w:vertAlign w:val="superscript"/>
              </w:rPr>
            </w:pPr>
            <w:r w:rsidRPr="00C04677">
              <w:rPr>
                <w:rFonts w:ascii="Arial Narrow" w:hAnsi="Arial Narrow"/>
                <w:sz w:val="20"/>
              </w:rPr>
              <w:t>Zinbryta</w:t>
            </w:r>
            <w:r w:rsidRPr="00C04677">
              <w:rPr>
                <w:rFonts w:ascii="Arial Narrow" w:hAnsi="Arial Narrow"/>
                <w:sz w:val="20"/>
                <w:vertAlign w:val="superscript"/>
              </w:rPr>
              <w:t>®</w:t>
            </w:r>
          </w:p>
        </w:tc>
        <w:tc>
          <w:tcPr>
            <w:tcW w:w="1603" w:type="pct"/>
            <w:tcBorders>
              <w:bottom w:val="single" w:sz="4" w:space="0" w:color="auto"/>
            </w:tcBorders>
          </w:tcPr>
          <w:p w:rsidR="0030503A" w:rsidRPr="00C04677" w:rsidRDefault="0030503A" w:rsidP="008D16B9">
            <w:pPr>
              <w:keepNext/>
              <w:jc w:val="center"/>
              <w:rPr>
                <w:rFonts w:ascii="Arial Narrow" w:hAnsi="Arial Narrow"/>
                <w:sz w:val="20"/>
              </w:rPr>
            </w:pPr>
            <w:r w:rsidRPr="00C04677">
              <w:rPr>
                <w:rFonts w:ascii="Arial Narrow" w:hAnsi="Arial Narrow"/>
                <w:sz w:val="20"/>
              </w:rPr>
              <w:t>Biogen Australia Pty Ltd</w:t>
            </w:r>
          </w:p>
        </w:tc>
      </w:tr>
      <w:tr w:rsidR="008D16B9" w:rsidRPr="00C04677" w:rsidTr="008D16B9">
        <w:trPr>
          <w:cantSplit/>
          <w:trHeight w:val="360"/>
        </w:trPr>
        <w:tc>
          <w:tcPr>
            <w:tcW w:w="1444"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 xml:space="preserve">Category / </w:t>
            </w:r>
          </w:p>
          <w:p w:rsidR="008D16B9" w:rsidRPr="00C04677" w:rsidRDefault="008D16B9" w:rsidP="008D16B9">
            <w:pPr>
              <w:rPr>
                <w:rFonts w:ascii="Arial Narrow" w:hAnsi="Arial Narrow"/>
                <w:sz w:val="20"/>
              </w:rPr>
            </w:pPr>
            <w:r w:rsidRPr="00C04677">
              <w:rPr>
                <w:rFonts w:ascii="Arial Narrow" w:hAnsi="Arial Narrow"/>
                <w:b/>
                <w:sz w:val="20"/>
              </w:rPr>
              <w:t>Program</w:t>
            </w:r>
          </w:p>
        </w:tc>
        <w:tc>
          <w:tcPr>
            <w:tcW w:w="3556" w:type="pct"/>
            <w:gridSpan w:val="5"/>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t xml:space="preserve">GENERAL – General Schedule (Code GE)  </w:t>
            </w:r>
          </w:p>
        </w:tc>
      </w:tr>
      <w:tr w:rsidR="008D16B9" w:rsidRPr="00C04677" w:rsidTr="008D16B9">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Prescriber type:</w:t>
            </w:r>
          </w:p>
        </w:tc>
        <w:tc>
          <w:tcPr>
            <w:tcW w:w="3556" w:type="pct"/>
            <w:gridSpan w:val="5"/>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Check1"/>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Dental  </w:t>
            </w: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Medical Practitioners  </w:t>
            </w:r>
            <w:r w:rsidRPr="00C04677">
              <w:rPr>
                <w:rFonts w:ascii="Arial Narrow" w:hAnsi="Arial Narrow"/>
                <w:sz w:val="20"/>
              </w:rPr>
              <w:fldChar w:fldCharType="begin">
                <w:ffData>
                  <w:name w:val="Check3"/>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Nurse practitioners  </w:t>
            </w:r>
            <w:r w:rsidRPr="00C04677">
              <w:rPr>
                <w:rFonts w:ascii="Arial Narrow" w:hAnsi="Arial Narrow"/>
                <w:sz w:val="20"/>
              </w:rPr>
              <w:fldChar w:fldCharType="begin">
                <w:ffData>
                  <w:name w:val=""/>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Optometrists</w:t>
            </w:r>
          </w:p>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Check5"/>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Midwives</w:t>
            </w:r>
          </w:p>
        </w:tc>
      </w:tr>
      <w:tr w:rsidR="008D16B9" w:rsidRPr="00C04677" w:rsidTr="008D16B9">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Condition:</w:t>
            </w:r>
          </w:p>
        </w:tc>
        <w:tc>
          <w:tcPr>
            <w:tcW w:w="3556" w:type="pct"/>
            <w:gridSpan w:val="5"/>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t>Multiple sclerosis</w:t>
            </w:r>
          </w:p>
        </w:tc>
      </w:tr>
      <w:tr w:rsidR="008D16B9" w:rsidRPr="00C04677" w:rsidTr="008D16B9">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PBS Indication:</w:t>
            </w:r>
          </w:p>
        </w:tc>
        <w:tc>
          <w:tcPr>
            <w:tcW w:w="3556" w:type="pct"/>
            <w:gridSpan w:val="5"/>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t>Multiple sclerosis</w:t>
            </w:r>
          </w:p>
        </w:tc>
      </w:tr>
      <w:tr w:rsidR="008D16B9" w:rsidRPr="00C04677" w:rsidTr="008D16B9">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Treatment phase:</w:t>
            </w:r>
          </w:p>
        </w:tc>
        <w:tc>
          <w:tcPr>
            <w:tcW w:w="3556" w:type="pct"/>
            <w:gridSpan w:val="5"/>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t>Initial</w:t>
            </w:r>
          </w:p>
        </w:tc>
      </w:tr>
      <w:tr w:rsidR="008D16B9" w:rsidRPr="00C04677" w:rsidTr="008D16B9">
        <w:tblPrEx>
          <w:tblCellMar>
            <w:left w:w="108" w:type="dxa"/>
            <w:right w:w="108" w:type="dxa"/>
          </w:tblCellMar>
        </w:tblPrEx>
        <w:trPr>
          <w:cantSplit/>
          <w:trHeight w:val="360"/>
        </w:trPr>
        <w:tc>
          <w:tcPr>
            <w:tcW w:w="1444"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Restriction Level / Method:</w:t>
            </w:r>
          </w:p>
          <w:p w:rsidR="008D16B9" w:rsidRPr="00C04677" w:rsidRDefault="008D16B9" w:rsidP="008D16B9">
            <w:pPr>
              <w:rPr>
                <w:rFonts w:ascii="Arial Narrow" w:hAnsi="Arial Narrow"/>
                <w:i/>
                <w:sz w:val="20"/>
              </w:rPr>
            </w:pPr>
          </w:p>
          <w:p w:rsidR="008D16B9" w:rsidRPr="00C04677" w:rsidRDefault="008D16B9" w:rsidP="008D16B9">
            <w:pPr>
              <w:rPr>
                <w:rFonts w:ascii="Arial Narrow" w:hAnsi="Arial Narrow"/>
                <w:i/>
                <w:sz w:val="20"/>
              </w:rPr>
            </w:pPr>
          </w:p>
        </w:tc>
        <w:tc>
          <w:tcPr>
            <w:tcW w:w="3556" w:type="pct"/>
            <w:gridSpan w:val="5"/>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Check1"/>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Restricted benefit</w:t>
            </w:r>
          </w:p>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In Writing</w:t>
            </w:r>
          </w:p>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Check3"/>
                  <w:enabled/>
                  <w:calcOnExit w:val="0"/>
                  <w:checkBox>
                    <w:sizeAuto/>
                    <w:default w:val="1"/>
                  </w:checkBox>
                </w:ffData>
              </w:fldChar>
            </w:r>
            <w:bookmarkStart w:id="1" w:name="Check3"/>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bookmarkEnd w:id="1"/>
            <w:r w:rsidRPr="00C04677">
              <w:rPr>
                <w:rFonts w:ascii="Arial Narrow" w:hAnsi="Arial Narrow"/>
                <w:sz w:val="20"/>
              </w:rPr>
              <w:t>Authority Required - Telephone</w:t>
            </w:r>
          </w:p>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Emergency</w:t>
            </w:r>
          </w:p>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Check5"/>
                  <w:enabled/>
                  <w:calcOnExit w:val="0"/>
                  <w:checkBox>
                    <w:sizeAuto/>
                    <w:default w:val="1"/>
                  </w:checkBox>
                </w:ffData>
              </w:fldChar>
            </w:r>
            <w:bookmarkStart w:id="2" w:name="Check5"/>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bookmarkEnd w:id="2"/>
            <w:r w:rsidRPr="00C04677">
              <w:rPr>
                <w:rFonts w:ascii="Arial Narrow" w:hAnsi="Arial Narrow"/>
                <w:sz w:val="20"/>
              </w:rPr>
              <w:t>Authority Required - Electronic</w:t>
            </w:r>
          </w:p>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Check5"/>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Streamlined</w:t>
            </w:r>
          </w:p>
        </w:tc>
      </w:tr>
      <w:tr w:rsidR="00116240" w:rsidRPr="00C04677" w:rsidTr="00116240">
        <w:tblPrEx>
          <w:tblCellMar>
            <w:left w:w="108" w:type="dxa"/>
            <w:right w:w="108" w:type="dxa"/>
          </w:tblCellMar>
        </w:tblPrEx>
        <w:trPr>
          <w:cantSplit/>
          <w:trHeight w:val="360"/>
        </w:trPr>
        <w:tc>
          <w:tcPr>
            <w:tcW w:w="1444" w:type="pct"/>
            <w:tcBorders>
              <w:top w:val="single" w:sz="4" w:space="0" w:color="auto"/>
              <w:left w:val="single" w:sz="4" w:space="0" w:color="auto"/>
              <w:bottom w:val="single" w:sz="4" w:space="0" w:color="auto"/>
              <w:right w:val="single" w:sz="4" w:space="0" w:color="auto"/>
            </w:tcBorders>
          </w:tcPr>
          <w:p w:rsidR="00116240" w:rsidRPr="00C04677" w:rsidRDefault="00116240" w:rsidP="002E4DD8">
            <w:pPr>
              <w:rPr>
                <w:rFonts w:ascii="Arial Narrow" w:hAnsi="Arial Narrow"/>
                <w:b/>
                <w:sz w:val="20"/>
              </w:rPr>
            </w:pPr>
            <w:r w:rsidRPr="00C04677">
              <w:rPr>
                <w:rFonts w:ascii="Arial Narrow" w:hAnsi="Arial Narrow"/>
                <w:b/>
                <w:sz w:val="20"/>
              </w:rPr>
              <w:t>Treatment criteria:</w:t>
            </w:r>
          </w:p>
          <w:p w:rsidR="00116240" w:rsidRPr="00C04677" w:rsidRDefault="00116240" w:rsidP="00116240">
            <w:pPr>
              <w:rPr>
                <w:rFonts w:ascii="Arial Narrow" w:hAnsi="Arial Narrow"/>
                <w:b/>
                <w:i/>
                <w:sz w:val="20"/>
              </w:rPr>
            </w:pPr>
          </w:p>
        </w:tc>
        <w:tc>
          <w:tcPr>
            <w:tcW w:w="3556" w:type="pct"/>
            <w:gridSpan w:val="5"/>
            <w:tcBorders>
              <w:top w:val="single" w:sz="4" w:space="0" w:color="auto"/>
              <w:left w:val="single" w:sz="4" w:space="0" w:color="auto"/>
              <w:bottom w:val="single" w:sz="4" w:space="0" w:color="auto"/>
              <w:right w:val="single" w:sz="4" w:space="0" w:color="auto"/>
            </w:tcBorders>
          </w:tcPr>
          <w:p w:rsidR="00116240" w:rsidRPr="00C04677" w:rsidRDefault="00116240" w:rsidP="002E4DD8">
            <w:pPr>
              <w:rPr>
                <w:rFonts w:ascii="Arial Narrow" w:hAnsi="Arial Narrow"/>
                <w:i/>
                <w:sz w:val="20"/>
              </w:rPr>
            </w:pPr>
            <w:r w:rsidRPr="00C04677">
              <w:rPr>
                <w:rFonts w:ascii="Arial Narrow" w:hAnsi="Arial Narrow"/>
                <w:i/>
                <w:sz w:val="20"/>
              </w:rPr>
              <w:t>Must be treated by a neurologist</w:t>
            </w:r>
          </w:p>
          <w:p w:rsidR="00116240" w:rsidRPr="00C04677" w:rsidRDefault="00116240" w:rsidP="002E4DD8">
            <w:pPr>
              <w:rPr>
                <w:rFonts w:ascii="Arial Narrow" w:hAnsi="Arial Narrow"/>
                <w:i/>
                <w:sz w:val="20"/>
              </w:rPr>
            </w:pPr>
          </w:p>
        </w:tc>
      </w:tr>
      <w:tr w:rsidR="008D16B9" w:rsidRPr="00C04677" w:rsidTr="008D16B9">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lastRenderedPageBreak/>
              <w:t>Clinical criteria:</w:t>
            </w:r>
          </w:p>
          <w:p w:rsidR="008D16B9" w:rsidRPr="00C04677" w:rsidRDefault="008D16B9" w:rsidP="008D16B9">
            <w:pPr>
              <w:rPr>
                <w:rFonts w:ascii="Arial Narrow" w:hAnsi="Arial Narrow"/>
                <w:i/>
                <w:sz w:val="20"/>
              </w:rPr>
            </w:pPr>
          </w:p>
          <w:p w:rsidR="008D16B9" w:rsidRPr="00C04677" w:rsidRDefault="008D16B9" w:rsidP="008D16B9">
            <w:pPr>
              <w:rPr>
                <w:rFonts w:ascii="Arial Narrow" w:hAnsi="Arial Narrow"/>
                <w:sz w:val="20"/>
              </w:rPr>
            </w:pPr>
          </w:p>
        </w:tc>
        <w:tc>
          <w:tcPr>
            <w:tcW w:w="3556" w:type="pct"/>
            <w:gridSpan w:val="5"/>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t>The condition must be diagnosed as clinically definite relapsing-remitting multiple sclerosis by magnetic resonance imaging of the brain and/or spinal cord; OR</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AND</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Patient must have experienced at least 2 documented attacks of neurological dysfunction, believed to be due to the multiple sclerosis, in the preceding 2 years</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AND</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The treatment must be as monotherapy</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AND</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Patient must be ambulatory (without assistance or support)</w:t>
            </w:r>
          </w:p>
        </w:tc>
      </w:tr>
      <w:tr w:rsidR="008D16B9" w:rsidRPr="00C04677" w:rsidTr="008D16B9">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Prescriber Instructions</w:t>
            </w:r>
          </w:p>
        </w:tc>
        <w:tc>
          <w:tcPr>
            <w:tcW w:w="3556" w:type="pct"/>
            <w:gridSpan w:val="5"/>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t xml:space="preserve">Where applicable, the date of the </w:t>
            </w:r>
            <w:r w:rsidRPr="00C04677">
              <w:rPr>
                <w:rFonts w:ascii="Arial Narrow" w:hAnsi="Arial Narrow"/>
                <w:strike/>
                <w:sz w:val="20"/>
              </w:rPr>
              <w:t>MRI</w:t>
            </w:r>
            <w:r w:rsidRPr="00C04677">
              <w:rPr>
                <w:rFonts w:ascii="Arial Narrow" w:hAnsi="Arial Narrow"/>
                <w:sz w:val="20"/>
              </w:rPr>
              <w:t xml:space="preserve"> </w:t>
            </w:r>
            <w:r w:rsidRPr="00C04677">
              <w:rPr>
                <w:rFonts w:ascii="Arial Narrow" w:hAnsi="Arial Narrow"/>
                <w:i/>
                <w:sz w:val="20"/>
              </w:rPr>
              <w:t xml:space="preserve">magnetic resonance imaging </w:t>
            </w:r>
            <w:r w:rsidRPr="00C04677">
              <w:rPr>
                <w:rFonts w:ascii="Arial Narrow" w:hAnsi="Arial Narrow"/>
                <w:sz w:val="20"/>
              </w:rPr>
              <w:t>scan must be provided with the authority application.</w:t>
            </w:r>
          </w:p>
        </w:tc>
      </w:tr>
      <w:tr w:rsidR="008D16B9" w:rsidRPr="00C04677" w:rsidTr="008D16B9">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i/>
                <w:sz w:val="20"/>
              </w:rPr>
            </w:pPr>
            <w:r w:rsidRPr="00C04677">
              <w:rPr>
                <w:rFonts w:ascii="Arial Narrow" w:hAnsi="Arial Narrow"/>
                <w:b/>
                <w:i/>
                <w:sz w:val="20"/>
              </w:rPr>
              <w:t>Prescriber Instructions</w:t>
            </w:r>
          </w:p>
        </w:tc>
        <w:tc>
          <w:tcPr>
            <w:tcW w:w="3556" w:type="pct"/>
            <w:gridSpan w:val="5"/>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i/>
                <w:sz w:val="20"/>
              </w:rPr>
            </w:pPr>
            <w:r w:rsidRPr="00C04677">
              <w:rPr>
                <w:rFonts w:ascii="Arial Narrow" w:hAnsi="Arial Narrow"/>
                <w:i/>
                <w:sz w:val="20"/>
              </w:rPr>
              <w:t>Patient must undergo monthly liver function testing as described in item 66512 of the Medicare Benefits Schedule while being treated with this drug.</w:t>
            </w:r>
          </w:p>
        </w:tc>
      </w:tr>
      <w:tr w:rsidR="008D16B9" w:rsidRPr="00C04677" w:rsidTr="008D16B9">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Administrative Advice</w:t>
            </w:r>
          </w:p>
        </w:tc>
        <w:tc>
          <w:tcPr>
            <w:tcW w:w="3556" w:type="pct"/>
            <w:gridSpan w:val="5"/>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t>No increase in the maximum quantity or number of units may be authorised.</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No increase in the maximum number of repeats may be authorised.</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i/>
                <w:sz w:val="20"/>
              </w:rPr>
            </w:pPr>
            <w:r w:rsidRPr="00C04677">
              <w:rPr>
                <w:rFonts w:ascii="Arial Narrow" w:hAnsi="Arial Narrow"/>
                <w:i/>
                <w:sz w:val="20"/>
              </w:rPr>
              <w:t>Special Pricing Arrangements apply.</w:t>
            </w:r>
          </w:p>
        </w:tc>
      </w:tr>
    </w:tbl>
    <w:p w:rsidR="008D16B9" w:rsidRPr="00C04677" w:rsidRDefault="008D16B9" w:rsidP="00826F6D">
      <w:pPr>
        <w:pStyle w:val="ListParagraph"/>
        <w:rPr>
          <w:szCs w:val="22"/>
        </w:rPr>
      </w:pPr>
    </w:p>
    <w:p w:rsidR="00826F6D" w:rsidRPr="00C04677" w:rsidRDefault="008D16B9" w:rsidP="008D16B9">
      <w:pPr>
        <w:rPr>
          <w:rFonts w:cs="Arial"/>
          <w:snapToGrid w:val="0"/>
          <w:lang w:eastAsia="en-US"/>
        </w:rPr>
      </w:pPr>
      <w:r w:rsidRPr="00C04677">
        <w:br w:type="page"/>
      </w:r>
    </w:p>
    <w:tbl>
      <w:tblPr>
        <w:tblW w:w="4558" w:type="pct"/>
        <w:tblInd w:w="817" w:type="dxa"/>
        <w:tblLook w:val="0000" w:firstRow="0" w:lastRow="0" w:firstColumn="0" w:lastColumn="0" w:noHBand="0" w:noVBand="0"/>
      </w:tblPr>
      <w:tblGrid>
        <w:gridCol w:w="2410"/>
        <w:gridCol w:w="6015"/>
      </w:tblGrid>
      <w:tr w:rsidR="008D16B9" w:rsidRPr="00C04677" w:rsidTr="008D16B9">
        <w:trPr>
          <w:cantSplit/>
        </w:trPr>
        <w:tc>
          <w:tcPr>
            <w:tcW w:w="143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keepNext/>
              <w:keepLines/>
              <w:rPr>
                <w:rFonts w:ascii="Arial Narrow" w:hAnsi="Arial Narrow"/>
                <w:b/>
                <w:sz w:val="20"/>
              </w:rPr>
            </w:pPr>
            <w:r w:rsidRPr="00C04677">
              <w:rPr>
                <w:rFonts w:ascii="Arial Narrow" w:hAnsi="Arial Narrow"/>
                <w:b/>
                <w:sz w:val="20"/>
              </w:rPr>
              <w:lastRenderedPageBreak/>
              <w:t>Category / Program</w:t>
            </w:r>
          </w:p>
        </w:tc>
        <w:tc>
          <w:tcPr>
            <w:tcW w:w="357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keepNext/>
              <w:keepLines/>
              <w:rPr>
                <w:rFonts w:ascii="Arial Narrow" w:hAnsi="Arial Narrow"/>
                <w:sz w:val="20"/>
              </w:rPr>
            </w:pPr>
            <w:r w:rsidRPr="00C04677">
              <w:rPr>
                <w:rFonts w:ascii="Arial Narrow" w:hAnsi="Arial Narrow"/>
                <w:sz w:val="20"/>
              </w:rPr>
              <w:t>GENERAL – General Schedule (Code GE)</w:t>
            </w:r>
          </w:p>
        </w:tc>
      </w:tr>
      <w:tr w:rsidR="008D16B9" w:rsidRPr="00C04677" w:rsidTr="008D16B9">
        <w:trPr>
          <w:cantSplit/>
        </w:trPr>
        <w:tc>
          <w:tcPr>
            <w:tcW w:w="143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keepNext/>
              <w:keepLines/>
              <w:rPr>
                <w:rFonts w:ascii="Arial Narrow" w:hAnsi="Arial Narrow"/>
                <w:b/>
                <w:sz w:val="20"/>
              </w:rPr>
            </w:pPr>
            <w:r w:rsidRPr="00C04677">
              <w:rPr>
                <w:rFonts w:ascii="Arial Narrow" w:hAnsi="Arial Narrow"/>
                <w:b/>
                <w:sz w:val="20"/>
              </w:rPr>
              <w:t>Prescriber type:</w:t>
            </w:r>
          </w:p>
        </w:tc>
        <w:tc>
          <w:tcPr>
            <w:tcW w:w="357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keepNext/>
              <w:keepLines/>
              <w:rPr>
                <w:rFonts w:ascii="Arial Narrow" w:hAnsi="Arial Narrow"/>
                <w:sz w:val="20"/>
              </w:rPr>
            </w:pPr>
            <w:r w:rsidRPr="00C04677">
              <w:rPr>
                <w:rFonts w:ascii="Arial Narrow" w:hAnsi="Arial Narrow"/>
                <w:sz w:val="20"/>
              </w:rPr>
              <w:fldChar w:fldCharType="begin">
                <w:ffData>
                  <w:name w:val="Check1"/>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Dental  </w:t>
            </w: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Medical Practitioners  </w:t>
            </w:r>
            <w:r w:rsidRPr="00C04677">
              <w:rPr>
                <w:rFonts w:ascii="Arial Narrow" w:hAnsi="Arial Narrow"/>
                <w:sz w:val="20"/>
              </w:rPr>
              <w:fldChar w:fldCharType="begin">
                <w:ffData>
                  <w:name w:val="Check3"/>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Nurse practitioners  </w:t>
            </w:r>
            <w:r w:rsidRPr="00C04677">
              <w:rPr>
                <w:rFonts w:ascii="Arial Narrow" w:hAnsi="Arial Narrow"/>
                <w:sz w:val="20"/>
              </w:rPr>
              <w:fldChar w:fldCharType="begin">
                <w:ffData>
                  <w:name w:val=""/>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Optometrists</w:t>
            </w:r>
          </w:p>
          <w:p w:rsidR="008D16B9" w:rsidRPr="00C04677" w:rsidRDefault="008D16B9" w:rsidP="008D16B9">
            <w:pPr>
              <w:keepNext/>
              <w:keepLines/>
              <w:rPr>
                <w:rFonts w:ascii="Arial Narrow" w:hAnsi="Arial Narrow"/>
                <w:sz w:val="20"/>
              </w:rPr>
            </w:pPr>
            <w:r w:rsidRPr="00C04677">
              <w:rPr>
                <w:rFonts w:ascii="Arial Narrow" w:hAnsi="Arial Narrow"/>
                <w:sz w:val="20"/>
              </w:rPr>
              <w:fldChar w:fldCharType="begin">
                <w:ffData>
                  <w:name w:val="Check5"/>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Midwives</w:t>
            </w:r>
          </w:p>
        </w:tc>
      </w:tr>
      <w:tr w:rsidR="008D16B9" w:rsidRPr="00C04677" w:rsidTr="008D16B9">
        <w:trPr>
          <w:cantSplit/>
        </w:trPr>
        <w:tc>
          <w:tcPr>
            <w:tcW w:w="143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Condition:</w:t>
            </w:r>
          </w:p>
        </w:tc>
        <w:tc>
          <w:tcPr>
            <w:tcW w:w="357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t>Multiple sclerosis</w:t>
            </w:r>
          </w:p>
        </w:tc>
      </w:tr>
      <w:tr w:rsidR="008D16B9" w:rsidRPr="00C04677" w:rsidTr="008D16B9">
        <w:trPr>
          <w:cantSplit/>
        </w:trPr>
        <w:tc>
          <w:tcPr>
            <w:tcW w:w="143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PBS Indication:</w:t>
            </w:r>
          </w:p>
        </w:tc>
        <w:tc>
          <w:tcPr>
            <w:tcW w:w="357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t>Multiple sclerosis</w:t>
            </w:r>
          </w:p>
        </w:tc>
      </w:tr>
      <w:tr w:rsidR="008D16B9" w:rsidRPr="00C04677" w:rsidTr="008D16B9">
        <w:trPr>
          <w:cantSplit/>
        </w:trPr>
        <w:tc>
          <w:tcPr>
            <w:tcW w:w="143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Treatment phase:</w:t>
            </w:r>
          </w:p>
        </w:tc>
        <w:tc>
          <w:tcPr>
            <w:tcW w:w="357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t>Continuing</w:t>
            </w:r>
          </w:p>
        </w:tc>
      </w:tr>
      <w:tr w:rsidR="008D16B9" w:rsidRPr="00C04677" w:rsidTr="008D16B9">
        <w:trPr>
          <w:cantSplit/>
          <w:trHeight w:val="360"/>
        </w:trPr>
        <w:tc>
          <w:tcPr>
            <w:tcW w:w="143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Restriction Level / Method:</w:t>
            </w:r>
          </w:p>
          <w:p w:rsidR="008D16B9" w:rsidRPr="00C04677" w:rsidRDefault="008D16B9" w:rsidP="008D16B9">
            <w:pPr>
              <w:rPr>
                <w:rFonts w:ascii="Arial Narrow" w:hAnsi="Arial Narrow"/>
                <w:i/>
                <w:sz w:val="20"/>
              </w:rPr>
            </w:pPr>
          </w:p>
          <w:p w:rsidR="008D16B9" w:rsidRPr="00C04677" w:rsidRDefault="008D16B9" w:rsidP="008D16B9">
            <w:pPr>
              <w:rPr>
                <w:rFonts w:ascii="Arial Narrow" w:hAnsi="Arial Narrow"/>
                <w:i/>
                <w:sz w:val="20"/>
              </w:rPr>
            </w:pPr>
          </w:p>
        </w:tc>
        <w:tc>
          <w:tcPr>
            <w:tcW w:w="357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Check1"/>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Restricted benefit</w:t>
            </w:r>
          </w:p>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In Writing</w:t>
            </w:r>
          </w:p>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Telephone</w:t>
            </w:r>
          </w:p>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Emergency</w:t>
            </w:r>
          </w:p>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Electronic</w:t>
            </w:r>
          </w:p>
          <w:p w:rsidR="008D16B9" w:rsidRPr="00C04677" w:rsidRDefault="008D16B9" w:rsidP="008D16B9">
            <w:pPr>
              <w:rPr>
                <w:rFonts w:ascii="Arial Narrow" w:hAnsi="Arial Narrow"/>
                <w:sz w:val="20"/>
              </w:rPr>
            </w:pPr>
            <w:r w:rsidRPr="00C04677">
              <w:rPr>
                <w:rFonts w:ascii="Arial Narrow" w:hAnsi="Arial Narrow"/>
                <w:sz w:val="20"/>
              </w:rPr>
              <w:fldChar w:fldCharType="begin">
                <w:ffData>
                  <w:name w:val="Check5"/>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Streamlined</w:t>
            </w:r>
          </w:p>
        </w:tc>
      </w:tr>
      <w:tr w:rsidR="008D16B9" w:rsidRPr="00C04677" w:rsidTr="008D16B9">
        <w:trPr>
          <w:cantSplit/>
        </w:trPr>
        <w:tc>
          <w:tcPr>
            <w:tcW w:w="143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Clinical criteria:</w:t>
            </w:r>
          </w:p>
        </w:tc>
        <w:tc>
          <w:tcPr>
            <w:tcW w:w="357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i/>
                <w:strike/>
                <w:sz w:val="20"/>
              </w:rPr>
            </w:pPr>
            <w:r w:rsidRPr="00C04677">
              <w:rPr>
                <w:rFonts w:ascii="Arial Narrow" w:hAnsi="Arial Narrow"/>
                <w:i/>
                <w:strike/>
                <w:sz w:val="20"/>
              </w:rPr>
              <w:t>The condition must be diagnosed as clinically definite relapsing-remitting multiple sclerosis by magnetic resonance imaging of the brain and/or spinal cord; OR</w:t>
            </w:r>
          </w:p>
          <w:p w:rsidR="008D16B9" w:rsidRPr="00C04677" w:rsidRDefault="008D16B9" w:rsidP="008D16B9">
            <w:pPr>
              <w:rPr>
                <w:rFonts w:ascii="Arial Narrow" w:hAnsi="Arial Narrow"/>
                <w:i/>
                <w:strike/>
                <w:sz w:val="20"/>
              </w:rPr>
            </w:pPr>
            <w:r w:rsidRPr="00C04677">
              <w:rPr>
                <w:rFonts w:ascii="Arial Narrow" w:hAnsi="Arial Narrow"/>
                <w:i/>
                <w:strike/>
                <w:sz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injury to the patient,</w:t>
            </w:r>
          </w:p>
          <w:p w:rsidR="008D16B9" w:rsidRPr="00C04677" w:rsidRDefault="008D16B9" w:rsidP="008D16B9">
            <w:pPr>
              <w:rPr>
                <w:rFonts w:ascii="Arial Narrow" w:hAnsi="Arial Narrow"/>
                <w:i/>
                <w:strike/>
                <w:sz w:val="20"/>
              </w:rPr>
            </w:pPr>
          </w:p>
          <w:p w:rsidR="008D16B9" w:rsidRPr="00C04677" w:rsidRDefault="008D16B9" w:rsidP="008D16B9">
            <w:pPr>
              <w:rPr>
                <w:rFonts w:ascii="Arial Narrow" w:hAnsi="Arial Narrow"/>
                <w:i/>
                <w:strike/>
                <w:sz w:val="20"/>
              </w:rPr>
            </w:pPr>
            <w:r w:rsidRPr="00C04677">
              <w:rPr>
                <w:rFonts w:ascii="Arial Narrow" w:hAnsi="Arial Narrow"/>
                <w:i/>
                <w:strike/>
                <w:sz w:val="20"/>
              </w:rPr>
              <w:t>AND</w:t>
            </w:r>
          </w:p>
          <w:p w:rsidR="008D16B9" w:rsidRPr="00C04677" w:rsidRDefault="008D16B9" w:rsidP="008D16B9">
            <w:pPr>
              <w:rPr>
                <w:rFonts w:ascii="Arial Narrow" w:hAnsi="Arial Narrow"/>
                <w:i/>
                <w:sz w:val="20"/>
              </w:rPr>
            </w:pPr>
          </w:p>
          <w:p w:rsidR="008D16B9" w:rsidRPr="00C04677" w:rsidRDefault="008D16B9" w:rsidP="008D16B9">
            <w:pPr>
              <w:rPr>
                <w:rFonts w:ascii="Arial Narrow" w:hAnsi="Arial Narrow"/>
                <w:i/>
                <w:sz w:val="20"/>
              </w:rPr>
            </w:pPr>
            <w:r w:rsidRPr="00C04677">
              <w:rPr>
                <w:rFonts w:ascii="Arial Narrow" w:hAnsi="Arial Narrow"/>
                <w:sz w:val="20"/>
              </w:rPr>
              <w:t xml:space="preserve">Patient must have previously been issued with an authority prescription for this drug </w:t>
            </w:r>
            <w:r w:rsidRPr="00C04677">
              <w:rPr>
                <w:rFonts w:ascii="Arial Narrow" w:hAnsi="Arial Narrow"/>
                <w:i/>
                <w:sz w:val="20"/>
              </w:rPr>
              <w:t>for this condition</w:t>
            </w:r>
          </w:p>
          <w:p w:rsidR="008D16B9" w:rsidRPr="00C04677" w:rsidRDefault="008D16B9" w:rsidP="008D16B9">
            <w:pPr>
              <w:rPr>
                <w:rFonts w:ascii="Arial Narrow" w:hAnsi="Arial Narrow"/>
                <w:i/>
                <w:sz w:val="20"/>
              </w:rPr>
            </w:pPr>
          </w:p>
          <w:p w:rsidR="008D16B9" w:rsidRPr="00C04677" w:rsidRDefault="008D16B9" w:rsidP="008D16B9">
            <w:pPr>
              <w:rPr>
                <w:rFonts w:ascii="Arial Narrow" w:hAnsi="Arial Narrow"/>
                <w:sz w:val="20"/>
              </w:rPr>
            </w:pPr>
            <w:r w:rsidRPr="00C04677">
              <w:rPr>
                <w:rFonts w:ascii="Arial Narrow" w:hAnsi="Arial Narrow"/>
                <w:sz w:val="20"/>
              </w:rPr>
              <w:t>AND</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Patient must not show continuing progression of disability while on treatment with this drug</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AND</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The treatment must be as monotherapy</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AND</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Patient must have demonstrated compliance with, and an ability to tolerate, this therapy</w:t>
            </w:r>
          </w:p>
        </w:tc>
      </w:tr>
      <w:tr w:rsidR="008D16B9" w:rsidRPr="00C04677" w:rsidTr="008D16B9">
        <w:trPr>
          <w:cantSplit/>
        </w:trPr>
        <w:tc>
          <w:tcPr>
            <w:tcW w:w="143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i/>
                <w:sz w:val="20"/>
              </w:rPr>
            </w:pPr>
            <w:r w:rsidRPr="00C04677">
              <w:rPr>
                <w:rFonts w:ascii="Arial Narrow" w:hAnsi="Arial Narrow"/>
                <w:b/>
                <w:i/>
                <w:sz w:val="20"/>
              </w:rPr>
              <w:t>Prescriber Instructions</w:t>
            </w:r>
          </w:p>
        </w:tc>
        <w:tc>
          <w:tcPr>
            <w:tcW w:w="357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i/>
                <w:sz w:val="20"/>
              </w:rPr>
            </w:pPr>
            <w:r w:rsidRPr="00C04677">
              <w:rPr>
                <w:rFonts w:ascii="Arial Narrow" w:hAnsi="Arial Narrow"/>
                <w:i/>
                <w:sz w:val="20"/>
              </w:rPr>
              <w:t>Patient must undergo monthly liver function testing as described in item 66512 of the Medicare Benefits Schedule while being treated with this drug.</w:t>
            </w:r>
          </w:p>
        </w:tc>
      </w:tr>
      <w:tr w:rsidR="008D16B9" w:rsidRPr="00C04677" w:rsidTr="008D16B9">
        <w:trPr>
          <w:cantSplit/>
        </w:trPr>
        <w:tc>
          <w:tcPr>
            <w:tcW w:w="143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b/>
                <w:sz w:val="20"/>
              </w:rPr>
            </w:pPr>
            <w:r w:rsidRPr="00C04677">
              <w:rPr>
                <w:rFonts w:ascii="Arial Narrow" w:hAnsi="Arial Narrow"/>
                <w:b/>
                <w:sz w:val="20"/>
              </w:rPr>
              <w:t>Administrative Advice</w:t>
            </w:r>
          </w:p>
        </w:tc>
        <w:tc>
          <w:tcPr>
            <w:tcW w:w="3570" w:type="pct"/>
            <w:tcBorders>
              <w:top w:val="single" w:sz="4" w:space="0" w:color="auto"/>
              <w:left w:val="single" w:sz="4" w:space="0" w:color="auto"/>
              <w:bottom w:val="single" w:sz="4" w:space="0" w:color="auto"/>
              <w:right w:val="single" w:sz="4" w:space="0" w:color="auto"/>
            </w:tcBorders>
          </w:tcPr>
          <w:p w:rsidR="008D16B9" w:rsidRPr="00C04677" w:rsidRDefault="008D16B9" w:rsidP="008D16B9">
            <w:pPr>
              <w:rPr>
                <w:rFonts w:ascii="Arial Narrow" w:hAnsi="Arial Narrow"/>
                <w:sz w:val="20"/>
              </w:rPr>
            </w:pPr>
            <w:r w:rsidRPr="00C04677">
              <w:rPr>
                <w:rFonts w:ascii="Arial Narrow" w:hAnsi="Arial Narrow"/>
                <w:sz w:val="20"/>
              </w:rPr>
              <w:t>No increase in the maximum quantity or number of units may be authorised.</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sz w:val="20"/>
              </w:rPr>
            </w:pPr>
            <w:r w:rsidRPr="00C04677">
              <w:rPr>
                <w:rFonts w:ascii="Arial Narrow" w:hAnsi="Arial Narrow"/>
                <w:sz w:val="20"/>
              </w:rPr>
              <w:t>No increase in the maximum number of repeats may be authorised.</w:t>
            </w:r>
          </w:p>
          <w:p w:rsidR="008D16B9" w:rsidRPr="00C04677" w:rsidRDefault="008D16B9" w:rsidP="008D16B9">
            <w:pPr>
              <w:rPr>
                <w:rFonts w:ascii="Arial Narrow" w:hAnsi="Arial Narrow"/>
                <w:sz w:val="20"/>
              </w:rPr>
            </w:pPr>
          </w:p>
          <w:p w:rsidR="008D16B9" w:rsidRPr="00C04677" w:rsidRDefault="008D16B9" w:rsidP="008D16B9">
            <w:pPr>
              <w:rPr>
                <w:rFonts w:ascii="Arial Narrow" w:hAnsi="Arial Narrow"/>
                <w:i/>
                <w:sz w:val="20"/>
              </w:rPr>
            </w:pPr>
            <w:r w:rsidRPr="00C04677">
              <w:rPr>
                <w:rFonts w:ascii="Arial Narrow" w:hAnsi="Arial Narrow"/>
                <w:i/>
                <w:sz w:val="20"/>
              </w:rPr>
              <w:t>Special Pricing Arrangements apply.</w:t>
            </w:r>
          </w:p>
        </w:tc>
      </w:tr>
    </w:tbl>
    <w:p w:rsidR="00F9629A" w:rsidRPr="00C04677" w:rsidRDefault="00F9629A" w:rsidP="00AB3A8C">
      <w:pPr>
        <w:rPr>
          <w:i/>
          <w:szCs w:val="22"/>
        </w:rPr>
      </w:pPr>
    </w:p>
    <w:p w:rsidR="0089104C" w:rsidRPr="00C04677" w:rsidRDefault="0089104C" w:rsidP="0089104C">
      <w:pPr>
        <w:ind w:firstLine="720"/>
        <w:rPr>
          <w:rFonts w:cs="Arial"/>
          <w:bCs/>
          <w:snapToGrid w:val="0"/>
          <w:szCs w:val="22"/>
        </w:rPr>
      </w:pPr>
      <w:r w:rsidRPr="00C04677">
        <w:rPr>
          <w:rFonts w:cs="Arial"/>
          <w:bCs/>
          <w:i/>
          <w:snapToGrid w:val="0"/>
          <w:szCs w:val="22"/>
        </w:rPr>
        <w:t>For more detail on PBAC’s view, see section 7 “PBAC outcome”</w:t>
      </w:r>
    </w:p>
    <w:p w:rsidR="0089104C" w:rsidRPr="00C04677" w:rsidRDefault="0089104C" w:rsidP="00E42CD8">
      <w:pPr>
        <w:pStyle w:val="ListParagraph"/>
        <w:rPr>
          <w:i/>
          <w:szCs w:val="22"/>
        </w:rPr>
      </w:pPr>
    </w:p>
    <w:p w:rsidR="00BB7EC3" w:rsidRPr="00C04677" w:rsidRDefault="00BB7EC3" w:rsidP="00882085">
      <w:pPr>
        <w:jc w:val="both"/>
        <w:rPr>
          <w:b/>
          <w:szCs w:val="22"/>
        </w:rPr>
      </w:pPr>
    </w:p>
    <w:p w:rsidR="00CE10C4" w:rsidRPr="00C04677" w:rsidRDefault="00CE10C4" w:rsidP="008A50F1">
      <w:pPr>
        <w:pStyle w:val="PBACHeading1"/>
      </w:pPr>
      <w:r w:rsidRPr="00C04677">
        <w:t>Background</w:t>
      </w:r>
    </w:p>
    <w:p w:rsidR="00C603D4" w:rsidRPr="00C04677" w:rsidRDefault="00C603D4" w:rsidP="00C603D4">
      <w:pPr>
        <w:pStyle w:val="ListParagraph"/>
        <w:rPr>
          <w:i/>
          <w:szCs w:val="22"/>
        </w:rPr>
      </w:pPr>
    </w:p>
    <w:p w:rsidR="00BB5FBF" w:rsidRPr="00C04677" w:rsidRDefault="0016401E" w:rsidP="00282478">
      <w:pPr>
        <w:pStyle w:val="ListParagraph"/>
        <w:numPr>
          <w:ilvl w:val="1"/>
          <w:numId w:val="5"/>
        </w:numPr>
        <w:rPr>
          <w:szCs w:val="22"/>
        </w:rPr>
      </w:pPr>
      <w:r w:rsidRPr="00C04677">
        <w:rPr>
          <w:szCs w:val="22"/>
        </w:rPr>
        <w:t xml:space="preserve">The PBAC deferred </w:t>
      </w:r>
      <w:r w:rsidR="003733CF" w:rsidRPr="00C04677">
        <w:rPr>
          <w:szCs w:val="22"/>
        </w:rPr>
        <w:t xml:space="preserve">its decision on whether to recommend </w:t>
      </w:r>
      <w:r w:rsidRPr="00C04677">
        <w:rPr>
          <w:szCs w:val="22"/>
        </w:rPr>
        <w:t xml:space="preserve">a submission for daclizumab in July 2016 on the basis of </w:t>
      </w:r>
      <w:r w:rsidR="003733CF" w:rsidRPr="00C04677">
        <w:rPr>
          <w:szCs w:val="22"/>
        </w:rPr>
        <w:t xml:space="preserve">an </w:t>
      </w:r>
      <w:r w:rsidRPr="00C04677">
        <w:rPr>
          <w:szCs w:val="22"/>
        </w:rPr>
        <w:t xml:space="preserve">unclear clinical place based on concerns raised by the TGA Delegate in the Request for ACPM Advice. </w:t>
      </w:r>
    </w:p>
    <w:p w:rsidR="00282478" w:rsidRPr="00C04677" w:rsidRDefault="00282478" w:rsidP="00EB53A3"/>
    <w:p w:rsidR="00BB5FBF" w:rsidRPr="00C04677" w:rsidRDefault="00BB5FBF" w:rsidP="00BB5FBF">
      <w:pPr>
        <w:pStyle w:val="ListParagraph"/>
        <w:numPr>
          <w:ilvl w:val="1"/>
          <w:numId w:val="5"/>
        </w:numPr>
        <w:rPr>
          <w:szCs w:val="22"/>
        </w:rPr>
      </w:pPr>
      <w:r w:rsidRPr="00C04677">
        <w:rPr>
          <w:szCs w:val="22"/>
        </w:rPr>
        <w:t>Daclizumab was considered at the ACPM meeting held 4-5 August 2016.</w:t>
      </w:r>
    </w:p>
    <w:p w:rsidR="00BB5FBF" w:rsidRPr="00C04677" w:rsidRDefault="00BB5FBF" w:rsidP="00282478">
      <w:pPr>
        <w:pStyle w:val="ListParagraph"/>
        <w:rPr>
          <w:szCs w:val="22"/>
        </w:rPr>
      </w:pPr>
    </w:p>
    <w:p w:rsidR="00BB5FBF" w:rsidRPr="00C04677" w:rsidRDefault="00BB5FBF" w:rsidP="00BB5FBF">
      <w:pPr>
        <w:pStyle w:val="ListParagraph"/>
        <w:numPr>
          <w:ilvl w:val="1"/>
          <w:numId w:val="5"/>
        </w:numPr>
        <w:rPr>
          <w:szCs w:val="22"/>
        </w:rPr>
      </w:pPr>
      <w:r w:rsidRPr="00C04677">
        <w:rPr>
          <w:szCs w:val="22"/>
        </w:rPr>
        <w:t>The ACPM recommended the registration of daclizumab for the treatment of relapsing forms of multiple sclerosis under condition of restriction initiation of treatment to neurologists and enhanced risk management procedures (RMPs). The recommended enhanced RMPs included boxed warnings regarding the risk of hepatic disease/impairment, inclusion of advice on the risk of opportunistic infections and a requirement for monthly liver function testing.</w:t>
      </w:r>
    </w:p>
    <w:p w:rsidR="00BB5FBF" w:rsidRPr="00C04677" w:rsidRDefault="00BB5FBF" w:rsidP="00282478">
      <w:pPr>
        <w:pStyle w:val="ListParagraph"/>
        <w:rPr>
          <w:szCs w:val="22"/>
        </w:rPr>
      </w:pPr>
    </w:p>
    <w:p w:rsidR="00BB5FBF" w:rsidRPr="00C04677" w:rsidRDefault="00BB5FBF" w:rsidP="00BB5FBF">
      <w:pPr>
        <w:pStyle w:val="ListParagraph"/>
        <w:numPr>
          <w:ilvl w:val="1"/>
          <w:numId w:val="5"/>
        </w:numPr>
        <w:rPr>
          <w:szCs w:val="22"/>
        </w:rPr>
      </w:pPr>
      <w:r w:rsidRPr="00C04677">
        <w:rPr>
          <w:szCs w:val="22"/>
        </w:rPr>
        <w:t xml:space="preserve">The ACPM did not recommend that daclizumab be restricted to third line treatment for RRMS. </w:t>
      </w:r>
    </w:p>
    <w:p w:rsidR="00EC2126" w:rsidRPr="00C04677" w:rsidRDefault="00EC2126" w:rsidP="003221CF"/>
    <w:p w:rsidR="00EC2126" w:rsidRPr="00C04677" w:rsidRDefault="00EC2126" w:rsidP="00882085">
      <w:pPr>
        <w:pStyle w:val="ListParagraph"/>
        <w:numPr>
          <w:ilvl w:val="1"/>
          <w:numId w:val="5"/>
        </w:numPr>
        <w:rPr>
          <w:szCs w:val="22"/>
        </w:rPr>
      </w:pPr>
      <w:r w:rsidRPr="00C04677">
        <w:rPr>
          <w:szCs w:val="22"/>
        </w:rPr>
        <w:t>Daclizumab was TGA registered for RRMS on 22 September 2016.</w:t>
      </w:r>
    </w:p>
    <w:p w:rsidR="00553B70" w:rsidRPr="00C04677" w:rsidRDefault="00553B70" w:rsidP="009D0E51">
      <w:pPr>
        <w:pStyle w:val="ListParagraph"/>
        <w:rPr>
          <w:szCs w:val="22"/>
        </w:rPr>
      </w:pPr>
    </w:p>
    <w:p w:rsidR="00553B70" w:rsidRPr="00C04677" w:rsidRDefault="00553B70" w:rsidP="00553B70">
      <w:pPr>
        <w:pStyle w:val="ListParagraph"/>
        <w:numPr>
          <w:ilvl w:val="1"/>
          <w:numId w:val="5"/>
        </w:numPr>
        <w:rPr>
          <w:szCs w:val="22"/>
        </w:rPr>
      </w:pPr>
      <w:r w:rsidRPr="00C04677">
        <w:rPr>
          <w:szCs w:val="22"/>
        </w:rPr>
        <w:t>Other PBS listed</w:t>
      </w:r>
      <w:r w:rsidR="00A96300" w:rsidRPr="00C04677">
        <w:rPr>
          <w:szCs w:val="22"/>
        </w:rPr>
        <w:t xml:space="preserve"> drugs</w:t>
      </w:r>
      <w:r w:rsidRPr="00C04677">
        <w:rPr>
          <w:szCs w:val="22"/>
        </w:rPr>
        <w:t xml:space="preserve"> for the treatment of RRMS include subcutaneous and intramuscular forms of </w:t>
      </w:r>
      <w:r w:rsidR="003733CF" w:rsidRPr="00C04677">
        <w:rPr>
          <w:szCs w:val="22"/>
        </w:rPr>
        <w:t>interferon (</w:t>
      </w:r>
      <w:r w:rsidRPr="00C04677">
        <w:rPr>
          <w:szCs w:val="22"/>
        </w:rPr>
        <w:t>IFN</w:t>
      </w:r>
      <w:r w:rsidR="003733CF" w:rsidRPr="00C04677">
        <w:rPr>
          <w:szCs w:val="22"/>
        </w:rPr>
        <w:t>)</w:t>
      </w:r>
      <w:r w:rsidRPr="00C04677">
        <w:rPr>
          <w:szCs w:val="22"/>
        </w:rPr>
        <w:t xml:space="preserve"> β-1a, IFN β-1b, glatiramer acetate, pegylated IFN β</w:t>
      </w:r>
      <w:r w:rsidRPr="00C04677">
        <w:rPr>
          <w:szCs w:val="22"/>
        </w:rPr>
        <w:noBreakHyphen/>
        <w:t>1a (Peg-IFN β-1a), dimethyl fumarate (DMF),</w:t>
      </w:r>
      <w:r w:rsidR="00E36E9B" w:rsidRPr="00C04677">
        <w:rPr>
          <w:szCs w:val="22"/>
        </w:rPr>
        <w:t xml:space="preserve"> teriflunomide,</w:t>
      </w:r>
      <w:r w:rsidRPr="00C04677">
        <w:rPr>
          <w:szCs w:val="22"/>
        </w:rPr>
        <w:t xml:space="preserve"> fingolimod, natalizumab and alemtuzumab. Older treatments for RRMS, including both forms of IFN β</w:t>
      </w:r>
      <w:r w:rsidRPr="00C04677">
        <w:rPr>
          <w:szCs w:val="22"/>
        </w:rPr>
        <w:noBreakHyphen/>
        <w:t>1a, IFN β</w:t>
      </w:r>
      <w:r w:rsidRPr="00C04677">
        <w:rPr>
          <w:szCs w:val="22"/>
        </w:rPr>
        <w:noBreakHyphen/>
        <w:t>1b and glatiramer acetate are often termed ‘ABCR therapies’, a reference to the trade names of these products (Avonex, Betaferon, Copaxone and Rebif).</w:t>
      </w:r>
    </w:p>
    <w:p w:rsidR="008A1956" w:rsidRPr="00C04677" w:rsidRDefault="008A1956" w:rsidP="00882085">
      <w:pPr>
        <w:jc w:val="both"/>
        <w:rPr>
          <w:szCs w:val="22"/>
        </w:rPr>
      </w:pPr>
    </w:p>
    <w:p w:rsidR="0089104C" w:rsidRPr="00C04677" w:rsidRDefault="0089104C" w:rsidP="0089104C">
      <w:pPr>
        <w:ind w:firstLine="720"/>
        <w:rPr>
          <w:rFonts w:cs="Arial"/>
          <w:bCs/>
          <w:snapToGrid w:val="0"/>
          <w:szCs w:val="22"/>
        </w:rPr>
      </w:pPr>
      <w:r w:rsidRPr="00C04677">
        <w:rPr>
          <w:rFonts w:cs="Arial"/>
          <w:bCs/>
          <w:i/>
          <w:snapToGrid w:val="0"/>
          <w:szCs w:val="22"/>
        </w:rPr>
        <w:t>For more detail on PBAC’s view, see section 7 “PBAC outcome”</w:t>
      </w:r>
    </w:p>
    <w:p w:rsidR="0089104C" w:rsidRPr="00C04677" w:rsidRDefault="0089104C" w:rsidP="00882085">
      <w:pPr>
        <w:jc w:val="both"/>
        <w:rPr>
          <w:szCs w:val="22"/>
        </w:rPr>
      </w:pPr>
    </w:p>
    <w:p w:rsidR="009D0E51" w:rsidRPr="00C04677" w:rsidRDefault="009D0E51" w:rsidP="00882085">
      <w:pPr>
        <w:jc w:val="both"/>
        <w:rPr>
          <w:szCs w:val="22"/>
        </w:rPr>
      </w:pPr>
    </w:p>
    <w:p w:rsidR="00CE10C4" w:rsidRPr="00C04677" w:rsidRDefault="00CE10C4" w:rsidP="008A50F1">
      <w:pPr>
        <w:pStyle w:val="PBACHeading1"/>
      </w:pPr>
      <w:r w:rsidRPr="00C04677">
        <w:t>Clinical place for the proposed ther</w:t>
      </w:r>
      <w:r w:rsidR="006A12A5" w:rsidRPr="00C04677">
        <w:t>apy</w:t>
      </w:r>
    </w:p>
    <w:p w:rsidR="006A12A5" w:rsidRPr="00C04677" w:rsidRDefault="006A12A5" w:rsidP="000B5A53">
      <w:pPr>
        <w:rPr>
          <w:szCs w:val="22"/>
        </w:rPr>
      </w:pPr>
    </w:p>
    <w:p w:rsidR="00A6327D" w:rsidRPr="00C04677" w:rsidRDefault="00A6327D" w:rsidP="008A50F1">
      <w:pPr>
        <w:pStyle w:val="ListParagraph"/>
        <w:numPr>
          <w:ilvl w:val="1"/>
          <w:numId w:val="5"/>
        </w:numPr>
        <w:rPr>
          <w:szCs w:val="22"/>
        </w:rPr>
      </w:pPr>
      <w:r w:rsidRPr="00C04677">
        <w:rPr>
          <w:szCs w:val="22"/>
        </w:rPr>
        <w:t xml:space="preserve">Daclizumab would represent an additional treatment option for RRMS amongst a diverse range of RRMS treatments that are currently PBS listed. In practice, treatments for RRMS are broadly categorised into groups based on their efficacy and safety profiles. Daclizumab would broadly align to </w:t>
      </w:r>
      <w:r w:rsidR="0077258A">
        <w:rPr>
          <w:szCs w:val="22"/>
        </w:rPr>
        <w:t>the</w:t>
      </w:r>
      <w:r w:rsidRPr="00C04677">
        <w:rPr>
          <w:szCs w:val="22"/>
        </w:rPr>
        <w:t xml:space="preserve"> clinical </w:t>
      </w:r>
      <w:r w:rsidR="0077258A">
        <w:rPr>
          <w:szCs w:val="22"/>
        </w:rPr>
        <w:t>settings in which</w:t>
      </w:r>
      <w:r w:rsidRPr="00C04677">
        <w:rPr>
          <w:szCs w:val="22"/>
        </w:rPr>
        <w:t xml:space="preserve"> the oral and injectable therapies</w:t>
      </w:r>
      <w:r w:rsidR="0077258A">
        <w:rPr>
          <w:szCs w:val="22"/>
        </w:rPr>
        <w:t xml:space="preserve"> are used</w:t>
      </w:r>
      <w:r w:rsidRPr="00C04677">
        <w:rPr>
          <w:szCs w:val="22"/>
        </w:rPr>
        <w:t>, but is unlikely to be used in a clinical setting similar to that of the infusible therapies (natalizumab and alemtuzumab) as these t</w:t>
      </w:r>
      <w:r w:rsidR="00EB53A3" w:rsidRPr="00C04677">
        <w:rPr>
          <w:szCs w:val="22"/>
        </w:rPr>
        <w:t>reatments have poor safety profiles.</w:t>
      </w:r>
    </w:p>
    <w:p w:rsidR="00BB7EC3" w:rsidRPr="00C04677" w:rsidRDefault="00BB7EC3" w:rsidP="00882085">
      <w:pPr>
        <w:pStyle w:val="Header"/>
        <w:tabs>
          <w:tab w:val="clear" w:pos="4153"/>
          <w:tab w:val="clear" w:pos="8306"/>
        </w:tabs>
        <w:jc w:val="both"/>
        <w:rPr>
          <w:szCs w:val="22"/>
        </w:rPr>
      </w:pPr>
    </w:p>
    <w:p w:rsidR="0089104C" w:rsidRPr="00C04677" w:rsidRDefault="0089104C" w:rsidP="0089104C">
      <w:pPr>
        <w:ind w:firstLine="720"/>
        <w:rPr>
          <w:rFonts w:cs="Arial"/>
          <w:bCs/>
          <w:snapToGrid w:val="0"/>
          <w:szCs w:val="22"/>
        </w:rPr>
      </w:pPr>
      <w:r w:rsidRPr="00C04677">
        <w:rPr>
          <w:rFonts w:cs="Arial"/>
          <w:bCs/>
          <w:i/>
          <w:snapToGrid w:val="0"/>
          <w:szCs w:val="22"/>
        </w:rPr>
        <w:t>For more detail on PBAC’s view, see section 7 “PBAC outcome”</w:t>
      </w:r>
    </w:p>
    <w:p w:rsidR="0089104C" w:rsidRPr="00C04677" w:rsidRDefault="0089104C" w:rsidP="00882085">
      <w:pPr>
        <w:pStyle w:val="Header"/>
        <w:tabs>
          <w:tab w:val="clear" w:pos="4153"/>
          <w:tab w:val="clear" w:pos="8306"/>
        </w:tabs>
        <w:jc w:val="both"/>
        <w:rPr>
          <w:szCs w:val="22"/>
        </w:rPr>
      </w:pPr>
    </w:p>
    <w:p w:rsidR="008A1956" w:rsidRPr="00C04677" w:rsidRDefault="008A1956" w:rsidP="00882085">
      <w:pPr>
        <w:pStyle w:val="Header"/>
        <w:tabs>
          <w:tab w:val="clear" w:pos="4153"/>
          <w:tab w:val="clear" w:pos="8306"/>
        </w:tabs>
        <w:jc w:val="both"/>
        <w:rPr>
          <w:szCs w:val="22"/>
        </w:rPr>
      </w:pPr>
    </w:p>
    <w:p w:rsidR="005A3173" w:rsidRPr="00C04677" w:rsidRDefault="005A3173" w:rsidP="008A50F1">
      <w:pPr>
        <w:pStyle w:val="PBACHeading1"/>
      </w:pPr>
      <w:r w:rsidRPr="00C04677">
        <w:t>Comparator</w:t>
      </w:r>
    </w:p>
    <w:p w:rsidR="005A3173" w:rsidRPr="00C04677" w:rsidRDefault="005A3173" w:rsidP="00882085">
      <w:pPr>
        <w:pStyle w:val="Header"/>
        <w:tabs>
          <w:tab w:val="clear" w:pos="4153"/>
          <w:tab w:val="clear" w:pos="8306"/>
        </w:tabs>
        <w:jc w:val="both"/>
        <w:rPr>
          <w:b/>
          <w:szCs w:val="22"/>
        </w:rPr>
      </w:pPr>
    </w:p>
    <w:p w:rsidR="00476245" w:rsidRPr="00C04677" w:rsidRDefault="00FF2801" w:rsidP="00476245">
      <w:pPr>
        <w:pStyle w:val="ListParagraph"/>
        <w:numPr>
          <w:ilvl w:val="1"/>
          <w:numId w:val="5"/>
        </w:numPr>
        <w:rPr>
          <w:szCs w:val="22"/>
        </w:rPr>
      </w:pPr>
      <w:r w:rsidRPr="00C04677">
        <w:rPr>
          <w:szCs w:val="22"/>
        </w:rPr>
        <w:t xml:space="preserve">The </w:t>
      </w:r>
      <w:r w:rsidR="00E42CD8" w:rsidRPr="00C04677">
        <w:rPr>
          <w:szCs w:val="22"/>
        </w:rPr>
        <w:t xml:space="preserve">Sponsor </w:t>
      </w:r>
      <w:r w:rsidR="00D614E5" w:rsidRPr="00C04677">
        <w:rPr>
          <w:szCs w:val="22"/>
        </w:rPr>
        <w:t>reiterated its position that fingolimod was the appropriate comparator.</w:t>
      </w:r>
    </w:p>
    <w:p w:rsidR="00D614E5" w:rsidRPr="00C04677" w:rsidRDefault="00D614E5" w:rsidP="00C469E8"/>
    <w:p w:rsidR="009D0E51" w:rsidRPr="00C04677" w:rsidRDefault="00D614E5" w:rsidP="00FA63BA">
      <w:pPr>
        <w:pStyle w:val="ListParagraph"/>
        <w:numPr>
          <w:ilvl w:val="1"/>
          <w:numId w:val="5"/>
        </w:numPr>
        <w:rPr>
          <w:szCs w:val="22"/>
        </w:rPr>
      </w:pPr>
      <w:r w:rsidRPr="00C04677">
        <w:rPr>
          <w:szCs w:val="22"/>
        </w:rPr>
        <w:t xml:space="preserve">The PBAC previously considered that other PBS listed treatments for RRMS, including </w:t>
      </w:r>
      <w:r w:rsidR="00DF19F0" w:rsidRPr="00C04677">
        <w:rPr>
          <w:szCs w:val="22"/>
        </w:rPr>
        <w:t>DMF</w:t>
      </w:r>
      <w:r w:rsidRPr="00C04677">
        <w:rPr>
          <w:szCs w:val="22"/>
        </w:rPr>
        <w:t xml:space="preserve"> and other injectable therapies (including ABCR therapies) were </w:t>
      </w:r>
      <w:r w:rsidR="00BB5FBF" w:rsidRPr="00C04677">
        <w:rPr>
          <w:szCs w:val="22"/>
        </w:rPr>
        <w:t xml:space="preserve">also </w:t>
      </w:r>
      <w:r w:rsidRPr="00C04677">
        <w:rPr>
          <w:szCs w:val="22"/>
        </w:rPr>
        <w:t>appropriate comparators as they would likely be replaced by daclizumab</w:t>
      </w:r>
      <w:r w:rsidR="00C04677">
        <w:rPr>
          <w:szCs w:val="22"/>
        </w:rPr>
        <w:t xml:space="preserve">. </w:t>
      </w:r>
      <w:r w:rsidR="00FA63BA" w:rsidRPr="00C04677">
        <w:rPr>
          <w:szCs w:val="22"/>
        </w:rPr>
        <w:t xml:space="preserve">The PBAC noted that of the ABCR therapies, </w:t>
      </w:r>
      <w:r w:rsidR="0030503A" w:rsidRPr="00C04677">
        <w:rPr>
          <w:szCs w:val="22"/>
        </w:rPr>
        <w:t>IFN β</w:t>
      </w:r>
      <w:r w:rsidR="0030503A" w:rsidRPr="00C04677">
        <w:rPr>
          <w:szCs w:val="22"/>
        </w:rPr>
        <w:noBreakHyphen/>
        <w:t xml:space="preserve">1b </w:t>
      </w:r>
      <w:r w:rsidR="00FA63BA" w:rsidRPr="00C04677">
        <w:rPr>
          <w:szCs w:val="22"/>
        </w:rPr>
        <w:t>has the lowest cost (as the result of a statutory price reduction), whilst the remain</w:t>
      </w:r>
      <w:r w:rsidR="00F574D6">
        <w:rPr>
          <w:szCs w:val="22"/>
        </w:rPr>
        <w:t>ing ABCR therapies, DMF and teri</w:t>
      </w:r>
      <w:r w:rsidR="00F574D6" w:rsidRPr="00C04677">
        <w:rPr>
          <w:szCs w:val="22"/>
        </w:rPr>
        <w:t>flunomide</w:t>
      </w:r>
      <w:r w:rsidR="00FA63BA" w:rsidRPr="00C04677">
        <w:rPr>
          <w:szCs w:val="22"/>
        </w:rPr>
        <w:t xml:space="preserve"> were all listed on a cost-minimisation basis with</w:t>
      </w:r>
      <w:r w:rsidR="00FA63BA" w:rsidRPr="00C04677">
        <w:t xml:space="preserve"> </w:t>
      </w:r>
      <w:r w:rsidR="00FA63BA" w:rsidRPr="00C04677">
        <w:rPr>
          <w:szCs w:val="22"/>
        </w:rPr>
        <w:t xml:space="preserve">IFN β 1a. </w:t>
      </w:r>
    </w:p>
    <w:p w:rsidR="009D0E51" w:rsidRPr="00C04677" w:rsidRDefault="009D0E51" w:rsidP="009D0E51">
      <w:pPr>
        <w:pStyle w:val="ListParagraph"/>
        <w:rPr>
          <w:szCs w:val="22"/>
        </w:rPr>
      </w:pPr>
    </w:p>
    <w:p w:rsidR="00F62315" w:rsidRPr="00C04677" w:rsidRDefault="00D614E5" w:rsidP="009D0E51">
      <w:pPr>
        <w:pStyle w:val="ListParagraph"/>
        <w:numPr>
          <w:ilvl w:val="1"/>
          <w:numId w:val="5"/>
        </w:numPr>
        <w:rPr>
          <w:szCs w:val="22"/>
        </w:rPr>
      </w:pPr>
      <w:r w:rsidRPr="00C04677">
        <w:rPr>
          <w:szCs w:val="22"/>
        </w:rPr>
        <w:lastRenderedPageBreak/>
        <w:t>The Sponsor argued</w:t>
      </w:r>
      <w:r w:rsidR="00854BFB" w:rsidRPr="00C04677">
        <w:rPr>
          <w:szCs w:val="22"/>
        </w:rPr>
        <w:t xml:space="preserve"> in the Pre-PBAC response</w:t>
      </w:r>
      <w:r w:rsidRPr="00C04677">
        <w:rPr>
          <w:szCs w:val="22"/>
        </w:rPr>
        <w:t xml:space="preserve"> that daclizumab </w:t>
      </w:r>
      <w:r w:rsidR="00EC17A2" w:rsidRPr="00C04677">
        <w:rPr>
          <w:szCs w:val="22"/>
        </w:rPr>
        <w:t xml:space="preserve">was </w:t>
      </w:r>
      <w:r w:rsidRPr="00C04677">
        <w:rPr>
          <w:szCs w:val="22"/>
        </w:rPr>
        <w:t>most likely to replace treatments of moderate efficacy such as fingolimod, rather than ABCR therapies. Further, the Sponsor argued that DMF was not considered an appropriate comparator as it ha</w:t>
      </w:r>
      <w:r w:rsidR="00EC17A2" w:rsidRPr="00C04677">
        <w:rPr>
          <w:szCs w:val="22"/>
        </w:rPr>
        <w:t>d</w:t>
      </w:r>
      <w:r w:rsidRPr="00C04677">
        <w:rPr>
          <w:szCs w:val="22"/>
        </w:rPr>
        <w:t xml:space="preserve"> a substantially smaller mark</w:t>
      </w:r>
      <w:r w:rsidR="0016401E" w:rsidRPr="00C04677">
        <w:rPr>
          <w:szCs w:val="22"/>
        </w:rPr>
        <w:t>et share than fingolimod and</w:t>
      </w:r>
      <w:r w:rsidRPr="00C04677">
        <w:rPr>
          <w:szCs w:val="22"/>
        </w:rPr>
        <w:t xml:space="preserve"> the PBAC previously considered that DMF was of similar efficacy to ABCR therapies.</w:t>
      </w:r>
    </w:p>
    <w:p w:rsidR="00854BFB" w:rsidRPr="00C04677" w:rsidRDefault="00854BFB" w:rsidP="00854BFB">
      <w:pPr>
        <w:pStyle w:val="ListParagraph"/>
        <w:rPr>
          <w:szCs w:val="22"/>
        </w:rPr>
      </w:pPr>
    </w:p>
    <w:p w:rsidR="00854BFB" w:rsidRPr="00C04677" w:rsidRDefault="00854BFB" w:rsidP="00854BFB">
      <w:pPr>
        <w:pStyle w:val="ListParagraph"/>
        <w:numPr>
          <w:ilvl w:val="1"/>
          <w:numId w:val="5"/>
        </w:numPr>
        <w:rPr>
          <w:szCs w:val="22"/>
        </w:rPr>
      </w:pPr>
      <w:r w:rsidRPr="00C04677">
        <w:rPr>
          <w:szCs w:val="22"/>
        </w:rPr>
        <w:t xml:space="preserve">The Pre-PBAC response stated that natalizumab and alemtuzumab were not appropriate comparators, as there </w:t>
      </w:r>
      <w:r w:rsidR="00EC17A2" w:rsidRPr="00C04677">
        <w:rPr>
          <w:szCs w:val="22"/>
        </w:rPr>
        <w:t>we</w:t>
      </w:r>
      <w:r w:rsidRPr="00C04677">
        <w:rPr>
          <w:szCs w:val="22"/>
        </w:rPr>
        <w:t>re differences in their efficacy and safety profiles and ongoing treatment is limited to neurologists, whereas the ACPM recommended that daclizumab be</w:t>
      </w:r>
      <w:r w:rsidR="00EC17A2" w:rsidRPr="00C04677">
        <w:rPr>
          <w:szCs w:val="22"/>
        </w:rPr>
        <w:t xml:space="preserve"> restricted to</w:t>
      </w:r>
      <w:r w:rsidRPr="00C04677">
        <w:rPr>
          <w:szCs w:val="22"/>
        </w:rPr>
        <w:t xml:space="preserve"> initiat</w:t>
      </w:r>
      <w:r w:rsidR="00EC17A2" w:rsidRPr="00C04677">
        <w:rPr>
          <w:szCs w:val="22"/>
        </w:rPr>
        <w:t>ion</w:t>
      </w:r>
      <w:r w:rsidRPr="00C04677">
        <w:rPr>
          <w:szCs w:val="22"/>
        </w:rPr>
        <w:t xml:space="preserve"> by a neurologist</w:t>
      </w:r>
      <w:r w:rsidR="00EC17A2" w:rsidRPr="00C04677">
        <w:rPr>
          <w:szCs w:val="22"/>
        </w:rPr>
        <w:t xml:space="preserve"> only</w:t>
      </w:r>
      <w:r w:rsidRPr="00C04677">
        <w:rPr>
          <w:szCs w:val="22"/>
        </w:rPr>
        <w:t>.</w:t>
      </w:r>
    </w:p>
    <w:p w:rsidR="00035BB4" w:rsidRPr="00C04677" w:rsidRDefault="00035BB4" w:rsidP="003221CF">
      <w:pPr>
        <w:pStyle w:val="ListParagraph"/>
        <w:rPr>
          <w:szCs w:val="22"/>
        </w:rPr>
      </w:pPr>
    </w:p>
    <w:p w:rsidR="0089104C" w:rsidRPr="00C04677" w:rsidRDefault="0089104C" w:rsidP="0089104C">
      <w:pPr>
        <w:ind w:firstLine="720"/>
        <w:rPr>
          <w:rFonts w:cs="Arial"/>
          <w:bCs/>
          <w:snapToGrid w:val="0"/>
          <w:szCs w:val="22"/>
        </w:rPr>
      </w:pPr>
      <w:r w:rsidRPr="00C04677">
        <w:rPr>
          <w:rFonts w:cs="Arial"/>
          <w:bCs/>
          <w:i/>
          <w:snapToGrid w:val="0"/>
          <w:szCs w:val="22"/>
        </w:rPr>
        <w:t>For more detail on PBAC’s view, see section 7 “PBAC outcome”</w:t>
      </w:r>
    </w:p>
    <w:p w:rsidR="0089104C" w:rsidRPr="00C04677" w:rsidRDefault="0089104C" w:rsidP="0089104C">
      <w:pPr>
        <w:ind w:left="720"/>
        <w:jc w:val="both"/>
        <w:rPr>
          <w:szCs w:val="22"/>
        </w:rPr>
      </w:pPr>
    </w:p>
    <w:p w:rsidR="0089104C" w:rsidRPr="00C04677" w:rsidRDefault="0089104C" w:rsidP="00476245">
      <w:pPr>
        <w:jc w:val="both"/>
        <w:rPr>
          <w:szCs w:val="22"/>
        </w:rPr>
      </w:pPr>
    </w:p>
    <w:p w:rsidR="000B558D" w:rsidRPr="00C04677" w:rsidRDefault="008D7A41" w:rsidP="008A50F1">
      <w:pPr>
        <w:pStyle w:val="PBACHeading1"/>
      </w:pPr>
      <w:r w:rsidRPr="00C04677">
        <w:t>C</w:t>
      </w:r>
      <w:r w:rsidR="00D84934" w:rsidRPr="00C04677">
        <w:t>onsideration of the evidence</w:t>
      </w:r>
    </w:p>
    <w:p w:rsidR="00BB7EC3" w:rsidRPr="00C04677" w:rsidRDefault="00BB7EC3" w:rsidP="00F9629A">
      <w:pPr>
        <w:jc w:val="both"/>
        <w:rPr>
          <w:szCs w:val="22"/>
        </w:rPr>
      </w:pPr>
    </w:p>
    <w:p w:rsidR="0089104C" w:rsidRPr="00C04677" w:rsidRDefault="0089104C" w:rsidP="002B0FD5">
      <w:pPr>
        <w:pStyle w:val="Heading2"/>
        <w:rPr>
          <w:rFonts w:cs="Arial"/>
          <w:b w:val="0"/>
          <w:bCs/>
          <w:snapToGrid w:val="0"/>
          <w:szCs w:val="22"/>
        </w:rPr>
      </w:pPr>
      <w:r w:rsidRPr="00C04677">
        <w:rPr>
          <w:rFonts w:cs="Arial"/>
          <w:bCs/>
          <w:snapToGrid w:val="0"/>
          <w:szCs w:val="22"/>
        </w:rPr>
        <w:t>Sponsor hearing</w:t>
      </w:r>
    </w:p>
    <w:p w:rsidR="0089104C" w:rsidRPr="00C04677" w:rsidRDefault="0089104C" w:rsidP="0089104C">
      <w:pPr>
        <w:rPr>
          <w:rFonts w:cs="Arial"/>
          <w:bCs/>
          <w:snapToGrid w:val="0"/>
          <w:szCs w:val="22"/>
        </w:rPr>
      </w:pPr>
    </w:p>
    <w:p w:rsidR="0089104C" w:rsidRPr="00C04677" w:rsidRDefault="0089104C" w:rsidP="0089104C">
      <w:pPr>
        <w:numPr>
          <w:ilvl w:val="1"/>
          <w:numId w:val="5"/>
        </w:numPr>
        <w:rPr>
          <w:rFonts w:cs="Arial"/>
          <w:bCs/>
          <w:snapToGrid w:val="0"/>
          <w:szCs w:val="22"/>
        </w:rPr>
      </w:pPr>
      <w:r w:rsidRPr="00C04677">
        <w:rPr>
          <w:rFonts w:cs="Arial"/>
          <w:bCs/>
          <w:snapToGrid w:val="0"/>
          <w:szCs w:val="22"/>
        </w:rPr>
        <w:t>There was no hearing for this item as it was a minor submission.</w:t>
      </w:r>
    </w:p>
    <w:p w:rsidR="0089104C" w:rsidRPr="00C04677" w:rsidRDefault="0089104C" w:rsidP="003221CF"/>
    <w:p w:rsidR="0089104C" w:rsidRPr="00C04677" w:rsidRDefault="0089104C" w:rsidP="002B0FD5">
      <w:pPr>
        <w:pStyle w:val="Heading2"/>
        <w:rPr>
          <w:rFonts w:cs="Arial"/>
          <w:b w:val="0"/>
          <w:bCs/>
          <w:snapToGrid w:val="0"/>
          <w:szCs w:val="22"/>
        </w:rPr>
      </w:pPr>
      <w:r w:rsidRPr="00C04677">
        <w:rPr>
          <w:rFonts w:cs="Arial"/>
          <w:bCs/>
          <w:snapToGrid w:val="0"/>
          <w:szCs w:val="22"/>
        </w:rPr>
        <w:t>Consumer comments</w:t>
      </w:r>
    </w:p>
    <w:p w:rsidR="0089104C" w:rsidRPr="00C04677" w:rsidRDefault="0089104C" w:rsidP="0089104C">
      <w:pPr>
        <w:rPr>
          <w:rFonts w:cs="Arial"/>
          <w:bCs/>
          <w:snapToGrid w:val="0"/>
          <w:szCs w:val="22"/>
        </w:rPr>
      </w:pPr>
    </w:p>
    <w:p w:rsidR="0089104C" w:rsidRPr="00C04677" w:rsidRDefault="0089104C" w:rsidP="0089104C">
      <w:pPr>
        <w:numPr>
          <w:ilvl w:val="1"/>
          <w:numId w:val="5"/>
        </w:numPr>
        <w:rPr>
          <w:rFonts w:cs="Arial"/>
          <w:bCs/>
          <w:snapToGrid w:val="0"/>
          <w:szCs w:val="22"/>
        </w:rPr>
      </w:pPr>
      <w:r w:rsidRPr="00C04677">
        <w:rPr>
          <w:rFonts w:cs="Arial"/>
          <w:bCs/>
          <w:snapToGrid w:val="0"/>
          <w:szCs w:val="22"/>
        </w:rPr>
        <w:t>The PBAC noted that no consumer comments were received for this item.</w:t>
      </w:r>
    </w:p>
    <w:p w:rsidR="0089104C" w:rsidRPr="00C04677" w:rsidRDefault="0089104C" w:rsidP="003221CF"/>
    <w:p w:rsidR="00D84934" w:rsidRPr="002B0FD5" w:rsidRDefault="00D84934" w:rsidP="00B1059E">
      <w:pPr>
        <w:pStyle w:val="Heading2"/>
      </w:pPr>
      <w:r w:rsidRPr="002B0FD5">
        <w:t>Clinical trials</w:t>
      </w:r>
    </w:p>
    <w:p w:rsidR="00D84934" w:rsidRPr="00C04677" w:rsidRDefault="00D84934" w:rsidP="00F9629A">
      <w:pPr>
        <w:jc w:val="both"/>
        <w:rPr>
          <w:szCs w:val="22"/>
        </w:rPr>
      </w:pPr>
    </w:p>
    <w:p w:rsidR="0076420C" w:rsidRPr="00C04677" w:rsidRDefault="009F1ECE" w:rsidP="00083AC3">
      <w:pPr>
        <w:pStyle w:val="ListParagraph"/>
        <w:numPr>
          <w:ilvl w:val="1"/>
          <w:numId w:val="5"/>
        </w:numPr>
        <w:rPr>
          <w:szCs w:val="22"/>
        </w:rPr>
      </w:pPr>
      <w:r w:rsidRPr="00C04677">
        <w:rPr>
          <w:szCs w:val="22"/>
        </w:rPr>
        <w:t>No new clinical trials were presented in this minor submission. However, the Clinical Tr</w:t>
      </w:r>
      <w:r w:rsidR="00083AC3" w:rsidRPr="00C04677">
        <w:rPr>
          <w:szCs w:val="22"/>
        </w:rPr>
        <w:t>ials, Comparative Effectiveness and</w:t>
      </w:r>
      <w:r w:rsidRPr="00C04677">
        <w:rPr>
          <w:szCs w:val="22"/>
        </w:rPr>
        <w:t xml:space="preserve"> Comparative Harms sections </w:t>
      </w:r>
      <w:r w:rsidR="008A4714" w:rsidRPr="00C04677">
        <w:rPr>
          <w:szCs w:val="22"/>
        </w:rPr>
        <w:t>we</w:t>
      </w:r>
      <w:r w:rsidRPr="00C04677">
        <w:rPr>
          <w:szCs w:val="22"/>
        </w:rPr>
        <w:t xml:space="preserve">re reproduced from the </w:t>
      </w:r>
      <w:r w:rsidR="0059506D" w:rsidRPr="00C04677">
        <w:rPr>
          <w:szCs w:val="22"/>
        </w:rPr>
        <w:t>July 2016</w:t>
      </w:r>
      <w:r w:rsidR="00083AC3" w:rsidRPr="00C04677">
        <w:rPr>
          <w:szCs w:val="22"/>
        </w:rPr>
        <w:t xml:space="preserve"> </w:t>
      </w:r>
      <w:r w:rsidR="005E5F4D" w:rsidRPr="00C04677">
        <w:rPr>
          <w:szCs w:val="22"/>
        </w:rPr>
        <w:t xml:space="preserve">PBAC </w:t>
      </w:r>
      <w:r w:rsidR="00B65E96">
        <w:rPr>
          <w:szCs w:val="22"/>
        </w:rPr>
        <w:t>Public Summary Document (PSD)</w:t>
      </w:r>
      <w:r w:rsidR="00083AC3" w:rsidRPr="00C04677">
        <w:rPr>
          <w:szCs w:val="22"/>
        </w:rPr>
        <w:t>, with additional data on the direct comparison of daclizumab and IM IFN β-1a</w:t>
      </w:r>
      <w:r w:rsidR="008A4714" w:rsidRPr="00C04677">
        <w:rPr>
          <w:szCs w:val="22"/>
        </w:rPr>
        <w:t xml:space="preserve"> added for clarity</w:t>
      </w:r>
      <w:r w:rsidR="00083AC3" w:rsidRPr="00C04677">
        <w:rPr>
          <w:szCs w:val="22"/>
        </w:rPr>
        <w:t xml:space="preserve">. The Clinical Claim section reflects consideration by the </w:t>
      </w:r>
      <w:r w:rsidR="004D61B7" w:rsidRPr="00C04677">
        <w:rPr>
          <w:szCs w:val="22"/>
        </w:rPr>
        <w:t>PBAC</w:t>
      </w:r>
      <w:r w:rsidR="00083AC3" w:rsidRPr="00C04677">
        <w:rPr>
          <w:szCs w:val="22"/>
        </w:rPr>
        <w:t xml:space="preserve"> at the November 2016 meeting.</w:t>
      </w:r>
    </w:p>
    <w:p w:rsidR="0059506D" w:rsidRPr="00C04677" w:rsidRDefault="0059506D" w:rsidP="003221CF"/>
    <w:p w:rsidR="0059506D" w:rsidRPr="00C04677" w:rsidRDefault="0059506D" w:rsidP="0059506D">
      <w:pPr>
        <w:pStyle w:val="ListParagraph"/>
        <w:widowControl/>
        <w:numPr>
          <w:ilvl w:val="1"/>
          <w:numId w:val="5"/>
        </w:numPr>
        <w:rPr>
          <w:szCs w:val="22"/>
        </w:rPr>
      </w:pPr>
      <w:r w:rsidRPr="00C04677">
        <w:rPr>
          <w:szCs w:val="22"/>
        </w:rPr>
        <w:t xml:space="preserve">No head-to-head trials comparing daclizumab to fingolimod were available. The submission was based on a series of comparisons between daclizumab, fingolimod and </w:t>
      </w:r>
      <w:r w:rsidR="008A4714" w:rsidRPr="00C04677">
        <w:rPr>
          <w:szCs w:val="22"/>
        </w:rPr>
        <w:t xml:space="preserve">either placebo or </w:t>
      </w:r>
      <w:r w:rsidRPr="00C04677">
        <w:rPr>
          <w:szCs w:val="22"/>
        </w:rPr>
        <w:t>IM IFN β-1a:</w:t>
      </w:r>
    </w:p>
    <w:p w:rsidR="0059506D" w:rsidRPr="00C04677" w:rsidRDefault="0059506D" w:rsidP="0059506D">
      <w:pPr>
        <w:pStyle w:val="ListParagraph"/>
        <w:widowControl/>
        <w:rPr>
          <w:szCs w:val="22"/>
        </w:rPr>
      </w:pPr>
    </w:p>
    <w:p w:rsidR="0059506D" w:rsidRPr="00C04677" w:rsidRDefault="0059506D" w:rsidP="0059506D">
      <w:pPr>
        <w:pStyle w:val="ListParagraph"/>
        <w:widowControl/>
        <w:numPr>
          <w:ilvl w:val="0"/>
          <w:numId w:val="20"/>
        </w:numPr>
        <w:rPr>
          <w:szCs w:val="22"/>
        </w:rPr>
      </w:pPr>
      <w:r w:rsidRPr="00C04677">
        <w:rPr>
          <w:szCs w:val="22"/>
        </w:rPr>
        <w:t xml:space="preserve">Indirect comparison of daclizumab (SELECT) versus fingolimod (FREEDOMS, FREEDOMS II) using a placebo common comparator. </w:t>
      </w:r>
    </w:p>
    <w:p w:rsidR="0059506D" w:rsidRPr="00C04677" w:rsidRDefault="0059506D" w:rsidP="0059506D">
      <w:pPr>
        <w:pStyle w:val="ListParagraph"/>
        <w:widowControl/>
        <w:numPr>
          <w:ilvl w:val="0"/>
          <w:numId w:val="20"/>
        </w:numPr>
        <w:rPr>
          <w:szCs w:val="22"/>
        </w:rPr>
      </w:pPr>
      <w:r w:rsidRPr="00C04677">
        <w:rPr>
          <w:szCs w:val="22"/>
        </w:rPr>
        <w:t>Indirect comparison of daclizumab (DECIDE) versus fingolimod (TRANSFORMS) using IM IFN β-1a as the common comparator.</w:t>
      </w:r>
    </w:p>
    <w:p w:rsidR="0059506D" w:rsidRPr="00C04677" w:rsidRDefault="0059506D" w:rsidP="0059506D">
      <w:pPr>
        <w:pStyle w:val="ListParagraph"/>
        <w:widowControl/>
        <w:numPr>
          <w:ilvl w:val="0"/>
          <w:numId w:val="20"/>
        </w:numPr>
        <w:rPr>
          <w:szCs w:val="22"/>
        </w:rPr>
      </w:pPr>
      <w:r w:rsidRPr="00C04677">
        <w:rPr>
          <w:szCs w:val="22"/>
        </w:rPr>
        <w:t>Supportive direct comparison of daclizumab versus IM IFN β-1a (DECIDE).</w:t>
      </w:r>
      <w:r w:rsidRPr="00C04677">
        <w:rPr>
          <w:color w:val="3366FF"/>
        </w:rPr>
        <w:t xml:space="preserve"> </w:t>
      </w:r>
    </w:p>
    <w:p w:rsidR="0059506D" w:rsidRPr="00C04677" w:rsidRDefault="0059506D" w:rsidP="0059506D">
      <w:pPr>
        <w:rPr>
          <w:szCs w:val="22"/>
        </w:rPr>
      </w:pPr>
    </w:p>
    <w:p w:rsidR="0059506D" w:rsidRPr="00C04677" w:rsidRDefault="0059506D" w:rsidP="0059506D">
      <w:pPr>
        <w:pStyle w:val="ListParagraph"/>
        <w:widowControl/>
        <w:numPr>
          <w:ilvl w:val="1"/>
          <w:numId w:val="5"/>
        </w:numPr>
        <w:rPr>
          <w:szCs w:val="22"/>
        </w:rPr>
      </w:pPr>
      <w:r w:rsidRPr="00C04677">
        <w:rPr>
          <w:szCs w:val="22"/>
        </w:rPr>
        <w:t>Details of the trials presented in the submission are provided in the table below.</w:t>
      </w:r>
    </w:p>
    <w:p w:rsidR="0059506D" w:rsidRPr="00C04677" w:rsidRDefault="0059506D" w:rsidP="0059506D">
      <w:pPr>
        <w:rPr>
          <w:szCs w:val="22"/>
        </w:rPr>
      </w:pPr>
    </w:p>
    <w:p w:rsidR="0059506D" w:rsidRPr="00C04677" w:rsidRDefault="0059506D" w:rsidP="0059506D">
      <w:pPr>
        <w:rPr>
          <w:rFonts w:ascii="Arial Narrow" w:hAnsi="Arial Narrow"/>
          <w:b/>
          <w:sz w:val="20"/>
        </w:rPr>
      </w:pPr>
      <w:r w:rsidRPr="00C04677">
        <w:rPr>
          <w:rFonts w:ascii="Arial Narrow" w:hAnsi="Arial Narrow"/>
          <w:b/>
          <w:sz w:val="20"/>
        </w:rPr>
        <w:br w:type="page"/>
      </w:r>
    </w:p>
    <w:p w:rsidR="007A71FE" w:rsidRPr="00C04677" w:rsidRDefault="007A71FE" w:rsidP="003221CF">
      <w:pPr>
        <w:pStyle w:val="Caption"/>
        <w:keepNext/>
      </w:pPr>
      <w:r w:rsidRPr="00C04677">
        <w:lastRenderedPageBreak/>
        <w:t xml:space="preserve">Table </w:t>
      </w:r>
      <w:r w:rsidR="008859C3" w:rsidRPr="00CE43D0">
        <w:t>1</w:t>
      </w:r>
      <w:r w:rsidRPr="00C04677">
        <w:t xml:space="preserve">: Trials and associated reports included in the </w:t>
      </w:r>
      <w:r w:rsidR="000C045F" w:rsidRPr="00C04677">
        <w:t>original</w:t>
      </w:r>
      <w:r w:rsidR="008A4714" w:rsidRPr="00C04677">
        <w:t xml:space="preserve"> July 2016</w:t>
      </w:r>
      <w:r w:rsidR="000C045F" w:rsidRPr="00C04677">
        <w:t xml:space="preserve"> </w:t>
      </w:r>
      <w:r w:rsidRPr="00C04677">
        <w:t>submission</w:t>
      </w:r>
    </w:p>
    <w:tbl>
      <w:tblPr>
        <w:tblStyle w:val="TableGrid"/>
        <w:tblW w:w="9043" w:type="dxa"/>
        <w:tblInd w:w="108" w:type="dxa"/>
        <w:tblLook w:val="04A0" w:firstRow="1" w:lastRow="0" w:firstColumn="1" w:lastColumn="0" w:noHBand="0" w:noVBand="1"/>
        <w:tblCaption w:val="Table 1: Trials and associated reports included in the original July 2016 submission"/>
        <w:tblDescription w:val="Table 1: Trials and associated reports included in the original July 2016 submission"/>
      </w:tblPr>
      <w:tblGrid>
        <w:gridCol w:w="1418"/>
        <w:gridCol w:w="5386"/>
        <w:gridCol w:w="2239"/>
      </w:tblGrid>
      <w:tr w:rsidR="0059506D" w:rsidRPr="00C04677" w:rsidTr="00A06959">
        <w:trPr>
          <w:tblHeader/>
        </w:trPr>
        <w:tc>
          <w:tcPr>
            <w:tcW w:w="1418" w:type="dxa"/>
            <w:vAlign w:val="center"/>
          </w:tcPr>
          <w:p w:rsidR="0059506D" w:rsidRPr="00C04677" w:rsidRDefault="0059506D" w:rsidP="002E4DD8">
            <w:pPr>
              <w:rPr>
                <w:rFonts w:ascii="Arial Narrow" w:hAnsi="Arial Narrow"/>
                <w:b/>
                <w:sz w:val="20"/>
              </w:rPr>
            </w:pPr>
            <w:r w:rsidRPr="00C04677">
              <w:rPr>
                <w:rFonts w:ascii="Arial Narrow" w:hAnsi="Arial Narrow"/>
                <w:b/>
                <w:sz w:val="20"/>
              </w:rPr>
              <w:t>Trial ID</w:t>
            </w:r>
          </w:p>
        </w:tc>
        <w:tc>
          <w:tcPr>
            <w:tcW w:w="5386" w:type="dxa"/>
            <w:vAlign w:val="center"/>
          </w:tcPr>
          <w:p w:rsidR="0059506D" w:rsidRPr="00C04677" w:rsidRDefault="0059506D" w:rsidP="002E4DD8">
            <w:pPr>
              <w:jc w:val="center"/>
              <w:rPr>
                <w:rFonts w:ascii="Arial Narrow" w:hAnsi="Arial Narrow"/>
                <w:b/>
                <w:sz w:val="20"/>
              </w:rPr>
            </w:pPr>
            <w:r w:rsidRPr="00C04677">
              <w:rPr>
                <w:rFonts w:ascii="Arial Narrow" w:hAnsi="Arial Narrow"/>
                <w:b/>
                <w:sz w:val="20"/>
              </w:rPr>
              <w:t>Protocol title/ Publication title</w:t>
            </w:r>
          </w:p>
        </w:tc>
        <w:tc>
          <w:tcPr>
            <w:tcW w:w="2239" w:type="dxa"/>
            <w:vAlign w:val="center"/>
          </w:tcPr>
          <w:p w:rsidR="0059506D" w:rsidRPr="00C04677" w:rsidRDefault="0059506D" w:rsidP="002E4DD8">
            <w:pPr>
              <w:jc w:val="center"/>
              <w:rPr>
                <w:rFonts w:ascii="Arial Narrow" w:hAnsi="Arial Narrow"/>
                <w:b/>
                <w:sz w:val="20"/>
              </w:rPr>
            </w:pPr>
            <w:r w:rsidRPr="00C04677">
              <w:rPr>
                <w:rFonts w:ascii="Arial Narrow" w:hAnsi="Arial Narrow"/>
                <w:b/>
                <w:sz w:val="20"/>
              </w:rPr>
              <w:t>Publication citation</w:t>
            </w:r>
          </w:p>
        </w:tc>
      </w:tr>
      <w:tr w:rsidR="0059506D" w:rsidRPr="00C04677" w:rsidTr="003221CF">
        <w:tc>
          <w:tcPr>
            <w:tcW w:w="9043" w:type="dxa"/>
            <w:gridSpan w:val="3"/>
            <w:vAlign w:val="center"/>
          </w:tcPr>
          <w:p w:rsidR="0059506D" w:rsidRPr="00C04677" w:rsidRDefault="0059506D" w:rsidP="002E4DD8">
            <w:pPr>
              <w:rPr>
                <w:rFonts w:ascii="Arial Narrow" w:hAnsi="Arial Narrow"/>
                <w:b/>
                <w:sz w:val="20"/>
              </w:rPr>
            </w:pPr>
            <w:r w:rsidRPr="00C04677">
              <w:rPr>
                <w:rFonts w:ascii="Arial Narrow" w:hAnsi="Arial Narrow"/>
                <w:b/>
                <w:sz w:val="20"/>
              </w:rPr>
              <w:t>Daclizumab trials</w:t>
            </w:r>
          </w:p>
        </w:tc>
      </w:tr>
      <w:tr w:rsidR="00D06D1C" w:rsidRPr="00C04677" w:rsidTr="00D06D1C">
        <w:tc>
          <w:tcPr>
            <w:tcW w:w="1418" w:type="dxa"/>
            <w:vMerge w:val="restart"/>
            <w:vAlign w:val="center"/>
          </w:tcPr>
          <w:p w:rsidR="0059506D" w:rsidRPr="00C04677" w:rsidRDefault="0059506D" w:rsidP="002E4DD8">
            <w:pPr>
              <w:rPr>
                <w:rFonts w:ascii="Arial Narrow" w:hAnsi="Arial Narrow"/>
                <w:sz w:val="20"/>
              </w:rPr>
            </w:pPr>
            <w:r w:rsidRPr="00C04677">
              <w:rPr>
                <w:rFonts w:ascii="Arial Narrow" w:hAnsi="Arial Narrow"/>
                <w:color w:val="000000"/>
                <w:sz w:val="20"/>
              </w:rPr>
              <w:t>SELECT</w:t>
            </w: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Biogen Idec Clinical Study Report (2013). Multicenter, Double-Blind, Placebo-Controlled, Dose-Ranging Study to Determine the Safety and Efficacy of Daclizumab HYP (DAC HYP) as a Monotherapy Treatment in Subjects with Relapsing-Remitting Multiple Sclerosis</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Internal study report</w:t>
            </w:r>
          </w:p>
        </w:tc>
      </w:tr>
      <w:tr w:rsidR="00D06D1C" w:rsidRPr="00C04677" w:rsidTr="00D06D1C">
        <w:tc>
          <w:tcPr>
            <w:tcW w:w="1418" w:type="dxa"/>
            <w:vMerge/>
            <w:vAlign w:val="center"/>
          </w:tcPr>
          <w:p w:rsidR="0059506D" w:rsidRPr="00C04677" w:rsidRDefault="0059506D" w:rsidP="002E4DD8">
            <w:pPr>
              <w:rPr>
                <w:rFonts w:ascii="Arial Narrow" w:hAnsi="Arial Narrow"/>
                <w:color w:val="000000"/>
                <w:sz w:val="20"/>
              </w:rPr>
            </w:pP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 xml:space="preserve">Gold R et al (2013). Daclizumab high-yield process in relapsing-remitting multiple sclerosis (SELECT): A randomised, double-blind, placebo-controlled trial </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The Lancet 381: 2167-2175</w:t>
            </w:r>
          </w:p>
        </w:tc>
      </w:tr>
      <w:tr w:rsidR="00D06D1C" w:rsidRPr="00C04677" w:rsidTr="00D06D1C">
        <w:tc>
          <w:tcPr>
            <w:tcW w:w="1418" w:type="dxa"/>
            <w:vMerge/>
            <w:vAlign w:val="center"/>
          </w:tcPr>
          <w:p w:rsidR="0059506D" w:rsidRPr="00C04677" w:rsidRDefault="0059506D" w:rsidP="002E4DD8">
            <w:pPr>
              <w:rPr>
                <w:rFonts w:ascii="Arial Narrow" w:hAnsi="Arial Narrow"/>
                <w:color w:val="000000"/>
                <w:sz w:val="20"/>
              </w:rPr>
            </w:pP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 xml:space="preserve">Giovannoni G et al (2014). Effect of daclizumab high-yield process in patients with highly active relapsing-remitting multiple sclerosis </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Journal of Neurology 261: 316-323</w:t>
            </w:r>
          </w:p>
        </w:tc>
      </w:tr>
      <w:tr w:rsidR="00D06D1C" w:rsidRPr="00C04677" w:rsidTr="00D06D1C">
        <w:tc>
          <w:tcPr>
            <w:tcW w:w="1418" w:type="dxa"/>
            <w:vMerge/>
            <w:vAlign w:val="center"/>
          </w:tcPr>
          <w:p w:rsidR="0059506D" w:rsidRPr="00C04677" w:rsidRDefault="0059506D" w:rsidP="002E4DD8">
            <w:pPr>
              <w:rPr>
                <w:rFonts w:ascii="Arial Narrow" w:hAnsi="Arial Narrow"/>
                <w:color w:val="000000"/>
                <w:sz w:val="20"/>
              </w:rPr>
            </w:pP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 xml:space="preserve">Havrdova E et al (2014). Disease-activity-free status in patients with relapsing-remitting multiple sclerosis treated with daclizumab high-yield process in the SELECT study </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Multiple Sclerosis Journal 20: 464-470</w:t>
            </w:r>
          </w:p>
        </w:tc>
      </w:tr>
      <w:tr w:rsidR="00D06D1C" w:rsidRPr="00C04677" w:rsidTr="00D06D1C">
        <w:tc>
          <w:tcPr>
            <w:tcW w:w="1418" w:type="dxa"/>
            <w:vMerge w:val="restart"/>
            <w:vAlign w:val="center"/>
          </w:tcPr>
          <w:p w:rsidR="0059506D" w:rsidRPr="00C04677" w:rsidRDefault="0059506D" w:rsidP="002E4DD8">
            <w:pPr>
              <w:rPr>
                <w:rFonts w:ascii="Arial Narrow" w:hAnsi="Arial Narrow"/>
                <w:sz w:val="20"/>
              </w:rPr>
            </w:pPr>
            <w:r w:rsidRPr="00C04677">
              <w:rPr>
                <w:rFonts w:ascii="Arial Narrow" w:hAnsi="Arial Narrow"/>
                <w:sz w:val="20"/>
              </w:rPr>
              <w:t>DECIDE</w:t>
            </w: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Biogen Idec Clinical Study Report (2015). Multicenter, Double-blind, Randomized, Parallel-group, Monotherapy, Active-control Study to Determine the Efficacy and Safety of Daclizumab High Yield Process (DAC HYP) versus Avonex® (Interferon β-1a) in Patients with Relapsing-Remitting Multiple Sclerosis</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Internal study report</w:t>
            </w:r>
          </w:p>
        </w:tc>
      </w:tr>
      <w:tr w:rsidR="00D06D1C" w:rsidRPr="00C04677" w:rsidTr="00D06D1C">
        <w:tc>
          <w:tcPr>
            <w:tcW w:w="1418" w:type="dxa"/>
            <w:vMerge/>
            <w:vAlign w:val="center"/>
          </w:tcPr>
          <w:p w:rsidR="0059506D" w:rsidRPr="00C04677" w:rsidRDefault="0059506D" w:rsidP="002E4DD8">
            <w:pPr>
              <w:rPr>
                <w:rFonts w:ascii="Arial Narrow" w:hAnsi="Arial Narrow"/>
                <w:sz w:val="20"/>
              </w:rPr>
            </w:pP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 xml:space="preserve">Kappos L et al (2015). Daclizumab HYP versus IFN β-1ain relapsing multiple sclerosis </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New England Journal of Medicine 373: 1418-1428</w:t>
            </w:r>
          </w:p>
        </w:tc>
      </w:tr>
      <w:tr w:rsidR="0059506D" w:rsidRPr="00C04677" w:rsidTr="003221CF">
        <w:tc>
          <w:tcPr>
            <w:tcW w:w="9043" w:type="dxa"/>
            <w:gridSpan w:val="3"/>
            <w:vAlign w:val="center"/>
          </w:tcPr>
          <w:p w:rsidR="0059506D" w:rsidRPr="00C04677" w:rsidRDefault="0059506D" w:rsidP="002E4DD8">
            <w:pPr>
              <w:rPr>
                <w:rFonts w:ascii="Arial Narrow" w:hAnsi="Arial Narrow"/>
                <w:b/>
                <w:sz w:val="20"/>
              </w:rPr>
            </w:pPr>
            <w:r w:rsidRPr="00C04677">
              <w:rPr>
                <w:rFonts w:ascii="Arial Narrow" w:hAnsi="Arial Narrow"/>
                <w:b/>
                <w:sz w:val="20"/>
              </w:rPr>
              <w:t>Fingolimod trials</w:t>
            </w:r>
          </w:p>
        </w:tc>
      </w:tr>
      <w:tr w:rsidR="0059506D" w:rsidRPr="00C04677" w:rsidTr="003221CF">
        <w:tc>
          <w:tcPr>
            <w:tcW w:w="1418" w:type="dxa"/>
            <w:vMerge w:val="restart"/>
            <w:vAlign w:val="center"/>
          </w:tcPr>
          <w:p w:rsidR="0059506D" w:rsidRPr="00C04677" w:rsidRDefault="0059506D" w:rsidP="002E4DD8">
            <w:pPr>
              <w:rPr>
                <w:rFonts w:ascii="Arial Narrow" w:hAnsi="Arial Narrow"/>
                <w:sz w:val="20"/>
              </w:rPr>
            </w:pPr>
            <w:r w:rsidRPr="00C04677">
              <w:rPr>
                <w:rFonts w:ascii="Arial Narrow" w:hAnsi="Arial Narrow"/>
                <w:sz w:val="20"/>
              </w:rPr>
              <w:t>FREEDOMS</w:t>
            </w: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Kappos L et al (2010). A placebo-controlled trial of oral fingolimod in relapsing multiple sclerosis</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New England Journal of Medicine 362: 387-401</w:t>
            </w:r>
          </w:p>
        </w:tc>
      </w:tr>
      <w:tr w:rsidR="0059506D" w:rsidRPr="00C04677" w:rsidTr="003221CF">
        <w:tc>
          <w:tcPr>
            <w:tcW w:w="1418" w:type="dxa"/>
            <w:vMerge/>
            <w:vAlign w:val="center"/>
          </w:tcPr>
          <w:p w:rsidR="0059506D" w:rsidRPr="00C04677" w:rsidRDefault="0059506D" w:rsidP="002E4DD8">
            <w:pPr>
              <w:rPr>
                <w:rFonts w:ascii="Arial Narrow" w:hAnsi="Arial Narrow"/>
                <w:sz w:val="20"/>
              </w:rPr>
            </w:pP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Devonshire V et al (2012). Relapse and disability outcomes in patients with multiple sclerosis treated with fingolimod: subgroup analyses of the double-blind, randomised, placebo-controlled FREEDOMS study</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The Lancet Neurology 11: 420-428</w:t>
            </w:r>
          </w:p>
        </w:tc>
      </w:tr>
      <w:tr w:rsidR="0059506D" w:rsidRPr="00C04677" w:rsidTr="003221CF">
        <w:tc>
          <w:tcPr>
            <w:tcW w:w="1418" w:type="dxa"/>
            <w:vMerge/>
            <w:vAlign w:val="center"/>
          </w:tcPr>
          <w:p w:rsidR="0059506D" w:rsidRPr="00C04677" w:rsidRDefault="0059506D" w:rsidP="002E4DD8">
            <w:pPr>
              <w:rPr>
                <w:rFonts w:ascii="Arial Narrow" w:hAnsi="Arial Narrow"/>
                <w:sz w:val="20"/>
              </w:rPr>
            </w:pP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Kremenchutzky M (2014). Impact of prior treatment status and reasons for discontinuation on the efficacy and safety of fingolimod: Subgroup analyses of the Fingolimod Research Evaluating Effects of Daily Oral Therapy in Multiple Sclerosis (FREEDOMS) study</w:t>
            </w:r>
            <w:r w:rsidRPr="00C04677">
              <w:rPr>
                <w:rFonts w:ascii="Arial Narrow" w:hAnsi="Arial Narrow"/>
                <w:sz w:val="20"/>
              </w:rPr>
              <w:tab/>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Multiple Sclerosis &amp; Related Disorders 3: 341-349</w:t>
            </w:r>
          </w:p>
        </w:tc>
      </w:tr>
      <w:tr w:rsidR="0059506D" w:rsidRPr="00C04677" w:rsidTr="003221CF">
        <w:tc>
          <w:tcPr>
            <w:tcW w:w="1418" w:type="dxa"/>
            <w:vMerge/>
            <w:vAlign w:val="center"/>
          </w:tcPr>
          <w:p w:rsidR="0059506D" w:rsidRPr="00C04677" w:rsidRDefault="0059506D" w:rsidP="002E4DD8">
            <w:pPr>
              <w:rPr>
                <w:rFonts w:ascii="Arial Narrow" w:hAnsi="Arial Narrow"/>
                <w:sz w:val="20"/>
              </w:rPr>
            </w:pP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Radue EW et al (2012). Impact of fingolimod therapy on magnetic resonance imaging outcomes in patients with multiple sclerosis</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Archives of Neurology 69: 1259-1269</w:t>
            </w:r>
          </w:p>
        </w:tc>
      </w:tr>
      <w:tr w:rsidR="0059506D" w:rsidRPr="00C04677" w:rsidTr="003221CF">
        <w:tc>
          <w:tcPr>
            <w:tcW w:w="1418" w:type="dxa"/>
            <w:vAlign w:val="center"/>
          </w:tcPr>
          <w:p w:rsidR="0059506D" w:rsidRPr="00C04677" w:rsidRDefault="0059506D" w:rsidP="002E4DD8">
            <w:pPr>
              <w:rPr>
                <w:rFonts w:ascii="Arial Narrow" w:hAnsi="Arial Narrow"/>
                <w:sz w:val="20"/>
              </w:rPr>
            </w:pPr>
            <w:r w:rsidRPr="00C04677">
              <w:rPr>
                <w:rFonts w:ascii="Arial Narrow" w:hAnsi="Arial Narrow"/>
                <w:sz w:val="20"/>
              </w:rPr>
              <w:t>FREEDOMS II</w:t>
            </w: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 xml:space="preserve">Calabresi P et al (2014). Safety and efficacy of fingolimod in patients with relapsing-remitting multiple sclerosis (FREEDOMS II): A double-blind, randomised, placebo-controlled, phase 3 trial </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The Lancet Neurology 13: 545-556</w:t>
            </w:r>
          </w:p>
        </w:tc>
      </w:tr>
      <w:tr w:rsidR="0059506D" w:rsidRPr="00C04677" w:rsidTr="003221CF">
        <w:tc>
          <w:tcPr>
            <w:tcW w:w="1418" w:type="dxa"/>
            <w:vMerge w:val="restart"/>
            <w:vAlign w:val="center"/>
          </w:tcPr>
          <w:p w:rsidR="0059506D" w:rsidRPr="00C04677" w:rsidRDefault="0059506D" w:rsidP="002E4DD8">
            <w:pPr>
              <w:rPr>
                <w:rFonts w:ascii="Arial Narrow" w:hAnsi="Arial Narrow"/>
                <w:sz w:val="20"/>
              </w:rPr>
            </w:pPr>
            <w:r w:rsidRPr="00C04677">
              <w:rPr>
                <w:rFonts w:ascii="Arial Narrow" w:hAnsi="Arial Narrow"/>
                <w:sz w:val="20"/>
              </w:rPr>
              <w:t>TRANSFORMS</w:t>
            </w: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Cohen JA et al (2010). Oral fingolimod or intramuscular interferon for relapsing multiple sclerosis</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New England Journal of Medicine 362: 402-415</w:t>
            </w:r>
          </w:p>
        </w:tc>
      </w:tr>
      <w:tr w:rsidR="0059506D" w:rsidRPr="00C04677" w:rsidTr="003221CF">
        <w:tc>
          <w:tcPr>
            <w:tcW w:w="1418" w:type="dxa"/>
            <w:vMerge/>
            <w:vAlign w:val="center"/>
          </w:tcPr>
          <w:p w:rsidR="0059506D" w:rsidRPr="00C04677" w:rsidRDefault="0059506D" w:rsidP="002E4DD8">
            <w:pPr>
              <w:rPr>
                <w:rFonts w:ascii="Arial Narrow" w:hAnsi="Arial Narrow"/>
                <w:sz w:val="20"/>
              </w:rPr>
            </w:pP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Barkhof F et al (2014). The influence of patient demographics, disease characteristics and treatment on brain volume loss in Trial Assessing Injectable Interferon vs FTY720 Oral in Relapsing-Remitting Multiple Sclerosis (TRANSFORMS), a phase 3 study of fingolimod in multiple sclerosis</w:t>
            </w:r>
            <w:r w:rsidRPr="00C04677">
              <w:rPr>
                <w:rFonts w:ascii="Arial Narrow" w:hAnsi="Arial Narrow"/>
                <w:sz w:val="20"/>
              </w:rPr>
              <w:tab/>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Multiple Sclerosis Journal 20: 1704-1713</w:t>
            </w:r>
          </w:p>
        </w:tc>
      </w:tr>
      <w:tr w:rsidR="0059506D" w:rsidRPr="00C04677" w:rsidTr="003221CF">
        <w:tc>
          <w:tcPr>
            <w:tcW w:w="1418" w:type="dxa"/>
            <w:vMerge/>
            <w:vAlign w:val="center"/>
          </w:tcPr>
          <w:p w:rsidR="0059506D" w:rsidRPr="00C04677" w:rsidRDefault="0059506D" w:rsidP="002E4DD8">
            <w:pPr>
              <w:rPr>
                <w:rFonts w:ascii="Arial Narrow" w:hAnsi="Arial Narrow"/>
                <w:sz w:val="20"/>
              </w:rPr>
            </w:pP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 xml:space="preserve">Khatri BO et al (2014). Effect of prior treatment status and reasons for discontinuation on the efficacy and safety of fingolimod vs. IFN β-1a intramuscular: Subgroup analyses of the Trial Assessing Injectable Interferon vs. Fingolimod Oral in Relapsing-Remitting Multiple Sclerosis (TRANSFORMS) </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Multiple Sclerosis &amp; Related Disorders 3: 355-363</w:t>
            </w:r>
          </w:p>
        </w:tc>
      </w:tr>
      <w:tr w:rsidR="0059506D" w:rsidRPr="00C04677" w:rsidTr="003221CF">
        <w:tc>
          <w:tcPr>
            <w:tcW w:w="1418" w:type="dxa"/>
            <w:vMerge/>
            <w:vAlign w:val="center"/>
          </w:tcPr>
          <w:p w:rsidR="0059506D" w:rsidRPr="00C04677" w:rsidRDefault="0059506D" w:rsidP="002E4DD8">
            <w:pPr>
              <w:rPr>
                <w:rFonts w:ascii="Arial Narrow" w:hAnsi="Arial Narrow"/>
                <w:sz w:val="20"/>
              </w:rPr>
            </w:pPr>
          </w:p>
        </w:tc>
        <w:tc>
          <w:tcPr>
            <w:tcW w:w="5386" w:type="dxa"/>
            <w:vAlign w:val="center"/>
          </w:tcPr>
          <w:p w:rsidR="0059506D" w:rsidRPr="00C04677" w:rsidRDefault="0059506D" w:rsidP="002E4DD8">
            <w:pPr>
              <w:rPr>
                <w:rFonts w:ascii="Arial Narrow" w:hAnsi="Arial Narrow"/>
                <w:sz w:val="20"/>
              </w:rPr>
            </w:pPr>
            <w:r w:rsidRPr="00C04677">
              <w:rPr>
                <w:rFonts w:ascii="Arial Narrow" w:hAnsi="Arial Narrow"/>
                <w:sz w:val="20"/>
              </w:rPr>
              <w:t>Cohen JA et al (2013). Fingolimod versus intramuscular interferon in patient subgroups from TRANSFORMS</w:t>
            </w:r>
          </w:p>
        </w:tc>
        <w:tc>
          <w:tcPr>
            <w:tcW w:w="2239" w:type="dxa"/>
            <w:vAlign w:val="center"/>
          </w:tcPr>
          <w:p w:rsidR="0059506D" w:rsidRPr="00C04677" w:rsidRDefault="0059506D" w:rsidP="002E4DD8">
            <w:pPr>
              <w:rPr>
                <w:rFonts w:ascii="Arial Narrow" w:hAnsi="Arial Narrow"/>
                <w:sz w:val="20"/>
              </w:rPr>
            </w:pPr>
            <w:r w:rsidRPr="00C04677">
              <w:rPr>
                <w:rFonts w:ascii="Arial Narrow" w:hAnsi="Arial Narrow"/>
                <w:sz w:val="20"/>
              </w:rPr>
              <w:t>Journal of Neurology 260: 2023-2032</w:t>
            </w:r>
          </w:p>
        </w:tc>
      </w:tr>
    </w:tbl>
    <w:p w:rsidR="0059506D" w:rsidRPr="00C04677" w:rsidRDefault="0059506D" w:rsidP="003221CF">
      <w:pPr>
        <w:rPr>
          <w:rFonts w:ascii="Arial Narrow" w:hAnsi="Arial Narrow"/>
          <w:sz w:val="18"/>
          <w:szCs w:val="18"/>
        </w:rPr>
      </w:pPr>
      <w:r w:rsidRPr="00C04677">
        <w:rPr>
          <w:rFonts w:ascii="Arial Narrow" w:hAnsi="Arial Narrow"/>
          <w:sz w:val="18"/>
          <w:szCs w:val="18"/>
        </w:rPr>
        <w:t>Note: Abstracts of studies with full publications are not presented</w:t>
      </w:r>
    </w:p>
    <w:p w:rsidR="0059506D" w:rsidRPr="00C04677" w:rsidRDefault="0059506D" w:rsidP="0059506D">
      <w:pPr>
        <w:rPr>
          <w:szCs w:val="22"/>
        </w:rPr>
      </w:pPr>
    </w:p>
    <w:p w:rsidR="0059506D" w:rsidRPr="00C04677" w:rsidRDefault="0059506D" w:rsidP="0059506D">
      <w:pPr>
        <w:pStyle w:val="ListParagraph"/>
        <w:widowControl/>
        <w:numPr>
          <w:ilvl w:val="1"/>
          <w:numId w:val="5"/>
        </w:numPr>
        <w:rPr>
          <w:szCs w:val="22"/>
        </w:rPr>
      </w:pPr>
      <w:r w:rsidRPr="00C04677">
        <w:rPr>
          <w:szCs w:val="22"/>
        </w:rPr>
        <w:t>The key features of the included trials are summarised in the table below</w:t>
      </w:r>
      <w:r w:rsidR="00C04677">
        <w:rPr>
          <w:szCs w:val="22"/>
        </w:rPr>
        <w:t xml:space="preserve">. </w:t>
      </w:r>
    </w:p>
    <w:p w:rsidR="0059506D" w:rsidRPr="00C04677" w:rsidRDefault="0059506D" w:rsidP="0059506D"/>
    <w:p w:rsidR="007A71FE" w:rsidRPr="00C04677" w:rsidRDefault="007A71FE" w:rsidP="003221CF">
      <w:pPr>
        <w:pStyle w:val="Caption"/>
        <w:keepNext/>
      </w:pPr>
      <w:r w:rsidRPr="00C04677">
        <w:t xml:space="preserve">Table </w:t>
      </w:r>
      <w:r w:rsidR="008859C3" w:rsidRPr="00CE43D0">
        <w:t>2</w:t>
      </w:r>
      <w:r w:rsidRPr="00C04677">
        <w:t>: Key features of the included evidence – indirect comparison</w:t>
      </w:r>
    </w:p>
    <w:tbl>
      <w:tblPr>
        <w:tblW w:w="4985"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01"/>
        <w:gridCol w:w="1030"/>
        <w:gridCol w:w="1666"/>
        <w:gridCol w:w="991"/>
        <w:gridCol w:w="1418"/>
        <w:gridCol w:w="2249"/>
      </w:tblGrid>
      <w:tr w:rsidR="0059506D" w:rsidRPr="00C04677" w:rsidTr="003221CF">
        <w:trPr>
          <w:tblHeader/>
        </w:trPr>
        <w:tc>
          <w:tcPr>
            <w:tcW w:w="939" w:type="pct"/>
            <w:shd w:val="clear" w:color="auto" w:fill="auto"/>
            <w:vAlign w:val="center"/>
          </w:tcPr>
          <w:p w:rsidR="0059506D" w:rsidRPr="00C04677" w:rsidRDefault="0059506D" w:rsidP="002E4DD8">
            <w:pPr>
              <w:rPr>
                <w:rFonts w:ascii="Arial Narrow" w:hAnsi="Arial Narrow"/>
                <w:b/>
                <w:sz w:val="20"/>
                <w:szCs w:val="16"/>
              </w:rPr>
            </w:pPr>
            <w:r w:rsidRPr="00C04677">
              <w:rPr>
                <w:rFonts w:ascii="Arial Narrow" w:hAnsi="Arial Narrow"/>
                <w:b/>
                <w:sz w:val="20"/>
                <w:szCs w:val="16"/>
              </w:rPr>
              <w:t>Trial</w:t>
            </w:r>
          </w:p>
        </w:tc>
        <w:tc>
          <w:tcPr>
            <w:tcW w:w="569" w:type="pct"/>
            <w:shd w:val="clear" w:color="auto" w:fill="auto"/>
            <w:vAlign w:val="center"/>
          </w:tcPr>
          <w:p w:rsidR="0059506D" w:rsidRPr="00C04677" w:rsidRDefault="0059506D" w:rsidP="002E4DD8">
            <w:pPr>
              <w:jc w:val="center"/>
              <w:rPr>
                <w:rFonts w:ascii="Arial Narrow" w:hAnsi="Arial Narrow"/>
                <w:b/>
                <w:sz w:val="20"/>
                <w:szCs w:val="16"/>
              </w:rPr>
            </w:pPr>
            <w:r w:rsidRPr="00C04677">
              <w:rPr>
                <w:rFonts w:ascii="Arial Narrow" w:hAnsi="Arial Narrow"/>
                <w:b/>
                <w:sz w:val="20"/>
                <w:szCs w:val="16"/>
              </w:rPr>
              <w:t>N</w:t>
            </w:r>
          </w:p>
        </w:tc>
        <w:tc>
          <w:tcPr>
            <w:tcW w:w="920" w:type="pct"/>
            <w:shd w:val="clear" w:color="auto" w:fill="auto"/>
            <w:vAlign w:val="center"/>
          </w:tcPr>
          <w:p w:rsidR="0059506D" w:rsidRPr="00C04677" w:rsidRDefault="0059506D" w:rsidP="002E4DD8">
            <w:pPr>
              <w:jc w:val="center"/>
              <w:rPr>
                <w:rFonts w:ascii="Arial Narrow" w:hAnsi="Arial Narrow"/>
                <w:b/>
                <w:sz w:val="20"/>
                <w:szCs w:val="16"/>
              </w:rPr>
            </w:pPr>
            <w:r w:rsidRPr="00C04677">
              <w:rPr>
                <w:rFonts w:ascii="Arial Narrow" w:hAnsi="Arial Narrow"/>
                <w:b/>
                <w:sz w:val="20"/>
                <w:szCs w:val="16"/>
              </w:rPr>
              <w:t>Design/ duration</w:t>
            </w:r>
          </w:p>
        </w:tc>
        <w:tc>
          <w:tcPr>
            <w:tcW w:w="547" w:type="pct"/>
            <w:shd w:val="clear" w:color="auto" w:fill="auto"/>
            <w:vAlign w:val="center"/>
          </w:tcPr>
          <w:p w:rsidR="0059506D" w:rsidRPr="00C04677" w:rsidRDefault="0059506D" w:rsidP="002E4DD8">
            <w:pPr>
              <w:jc w:val="center"/>
              <w:rPr>
                <w:rFonts w:ascii="Arial Narrow" w:hAnsi="Arial Narrow"/>
                <w:b/>
                <w:sz w:val="20"/>
                <w:szCs w:val="16"/>
              </w:rPr>
            </w:pPr>
            <w:r w:rsidRPr="00C04677">
              <w:rPr>
                <w:rFonts w:ascii="Arial Narrow" w:hAnsi="Arial Narrow"/>
                <w:b/>
                <w:sz w:val="20"/>
                <w:szCs w:val="16"/>
              </w:rPr>
              <w:t>Risk of bias</w:t>
            </w:r>
          </w:p>
        </w:tc>
        <w:tc>
          <w:tcPr>
            <w:tcW w:w="783" w:type="pct"/>
            <w:shd w:val="clear" w:color="auto" w:fill="auto"/>
            <w:vAlign w:val="center"/>
          </w:tcPr>
          <w:p w:rsidR="0059506D" w:rsidRPr="00C04677" w:rsidRDefault="0059506D" w:rsidP="002E4DD8">
            <w:pPr>
              <w:jc w:val="center"/>
              <w:rPr>
                <w:rFonts w:ascii="Arial Narrow" w:hAnsi="Arial Narrow"/>
                <w:b/>
                <w:sz w:val="20"/>
                <w:szCs w:val="16"/>
              </w:rPr>
            </w:pPr>
            <w:r w:rsidRPr="00C04677">
              <w:rPr>
                <w:rFonts w:ascii="Arial Narrow" w:hAnsi="Arial Narrow"/>
                <w:b/>
                <w:sz w:val="20"/>
                <w:szCs w:val="16"/>
              </w:rPr>
              <w:t>Patient population</w:t>
            </w:r>
          </w:p>
        </w:tc>
        <w:tc>
          <w:tcPr>
            <w:tcW w:w="1242" w:type="pct"/>
            <w:shd w:val="clear" w:color="auto" w:fill="auto"/>
            <w:vAlign w:val="center"/>
          </w:tcPr>
          <w:p w:rsidR="0059506D" w:rsidRPr="00C04677" w:rsidRDefault="0059506D" w:rsidP="002E4DD8">
            <w:pPr>
              <w:jc w:val="center"/>
              <w:rPr>
                <w:rFonts w:ascii="Arial Narrow" w:hAnsi="Arial Narrow"/>
                <w:b/>
                <w:sz w:val="20"/>
                <w:szCs w:val="16"/>
              </w:rPr>
            </w:pPr>
            <w:r w:rsidRPr="00C04677">
              <w:rPr>
                <w:rFonts w:ascii="Arial Narrow" w:hAnsi="Arial Narrow"/>
                <w:b/>
                <w:sz w:val="20"/>
                <w:szCs w:val="16"/>
              </w:rPr>
              <w:t>Outcomes</w:t>
            </w:r>
          </w:p>
        </w:tc>
      </w:tr>
      <w:tr w:rsidR="0059506D" w:rsidRPr="00C04677" w:rsidTr="003221CF">
        <w:tc>
          <w:tcPr>
            <w:tcW w:w="5000" w:type="pct"/>
            <w:gridSpan w:val="6"/>
            <w:shd w:val="clear" w:color="auto" w:fill="auto"/>
            <w:vAlign w:val="center"/>
          </w:tcPr>
          <w:p w:rsidR="0059506D" w:rsidRPr="00C04677" w:rsidRDefault="0059506D" w:rsidP="002E4DD8">
            <w:pPr>
              <w:rPr>
                <w:rFonts w:ascii="Arial Narrow" w:hAnsi="Arial Narrow"/>
                <w:b/>
                <w:sz w:val="20"/>
                <w:szCs w:val="16"/>
              </w:rPr>
            </w:pPr>
            <w:r w:rsidRPr="00C04677">
              <w:rPr>
                <w:rFonts w:ascii="Arial Narrow" w:hAnsi="Arial Narrow"/>
                <w:b/>
                <w:sz w:val="20"/>
                <w:szCs w:val="16"/>
              </w:rPr>
              <w:t>Daclizumab vs. placebo</w:t>
            </w:r>
          </w:p>
        </w:tc>
      </w:tr>
      <w:tr w:rsidR="0059506D" w:rsidRPr="00C04677" w:rsidTr="003221CF">
        <w:tc>
          <w:tcPr>
            <w:tcW w:w="939" w:type="pct"/>
            <w:shd w:val="clear" w:color="auto" w:fill="auto"/>
            <w:vAlign w:val="center"/>
          </w:tcPr>
          <w:p w:rsidR="0059506D" w:rsidRPr="00C04677" w:rsidRDefault="0059506D" w:rsidP="002E4DD8">
            <w:pPr>
              <w:rPr>
                <w:rFonts w:ascii="Arial Narrow" w:hAnsi="Arial Narrow"/>
                <w:sz w:val="20"/>
                <w:szCs w:val="16"/>
              </w:rPr>
            </w:pPr>
            <w:r w:rsidRPr="00C04677">
              <w:rPr>
                <w:rFonts w:ascii="Arial Narrow" w:hAnsi="Arial Narrow"/>
                <w:sz w:val="20"/>
                <w:szCs w:val="16"/>
              </w:rPr>
              <w:t>SELECT</w:t>
            </w:r>
          </w:p>
        </w:tc>
        <w:tc>
          <w:tcPr>
            <w:tcW w:w="569"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621</w:t>
            </w:r>
          </w:p>
        </w:tc>
        <w:tc>
          <w:tcPr>
            <w:tcW w:w="920"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MC, R, DB</w:t>
            </w:r>
          </w:p>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1 year</w:t>
            </w:r>
          </w:p>
        </w:tc>
        <w:tc>
          <w:tcPr>
            <w:tcW w:w="547"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Low</w:t>
            </w:r>
          </w:p>
        </w:tc>
        <w:tc>
          <w:tcPr>
            <w:tcW w:w="783"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Active RRMS</w:t>
            </w:r>
          </w:p>
        </w:tc>
        <w:tc>
          <w:tcPr>
            <w:tcW w:w="1242"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 xml:space="preserve">Relapse rates, </w:t>
            </w:r>
          </w:p>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disability progression</w:t>
            </w:r>
          </w:p>
        </w:tc>
      </w:tr>
      <w:tr w:rsidR="0059506D" w:rsidRPr="00C04677" w:rsidTr="003221CF">
        <w:tc>
          <w:tcPr>
            <w:tcW w:w="5000" w:type="pct"/>
            <w:gridSpan w:val="6"/>
            <w:shd w:val="clear" w:color="auto" w:fill="auto"/>
            <w:vAlign w:val="center"/>
          </w:tcPr>
          <w:p w:rsidR="0059506D" w:rsidRPr="00C04677" w:rsidRDefault="0059506D" w:rsidP="002E4DD8">
            <w:pPr>
              <w:rPr>
                <w:rFonts w:ascii="Arial Narrow" w:hAnsi="Arial Narrow"/>
                <w:sz w:val="20"/>
                <w:szCs w:val="16"/>
              </w:rPr>
            </w:pPr>
            <w:r w:rsidRPr="00C04677">
              <w:rPr>
                <w:rFonts w:ascii="Arial Narrow" w:hAnsi="Arial Narrow"/>
                <w:b/>
                <w:sz w:val="20"/>
                <w:szCs w:val="16"/>
              </w:rPr>
              <w:t>Daclizumab vs. IM interferon beta-1a</w:t>
            </w:r>
          </w:p>
        </w:tc>
      </w:tr>
      <w:tr w:rsidR="0059506D" w:rsidRPr="00C04677" w:rsidTr="003221CF">
        <w:tc>
          <w:tcPr>
            <w:tcW w:w="939" w:type="pct"/>
            <w:shd w:val="clear" w:color="auto" w:fill="auto"/>
            <w:vAlign w:val="center"/>
          </w:tcPr>
          <w:p w:rsidR="0059506D" w:rsidRPr="00C04677" w:rsidRDefault="0059506D" w:rsidP="002E4DD8">
            <w:pPr>
              <w:rPr>
                <w:rFonts w:ascii="Arial Narrow" w:hAnsi="Arial Narrow"/>
                <w:sz w:val="20"/>
                <w:szCs w:val="16"/>
              </w:rPr>
            </w:pPr>
            <w:r w:rsidRPr="00C04677">
              <w:rPr>
                <w:rFonts w:ascii="Arial Narrow" w:hAnsi="Arial Narrow"/>
                <w:sz w:val="20"/>
                <w:szCs w:val="16"/>
              </w:rPr>
              <w:t>DECIDE</w:t>
            </w:r>
          </w:p>
        </w:tc>
        <w:tc>
          <w:tcPr>
            <w:tcW w:w="569"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1,841</w:t>
            </w:r>
          </w:p>
        </w:tc>
        <w:tc>
          <w:tcPr>
            <w:tcW w:w="920"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MC, R, DB</w:t>
            </w:r>
          </w:p>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2-3 years</w:t>
            </w:r>
          </w:p>
        </w:tc>
        <w:tc>
          <w:tcPr>
            <w:tcW w:w="547"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Low</w:t>
            </w:r>
          </w:p>
        </w:tc>
        <w:tc>
          <w:tcPr>
            <w:tcW w:w="783"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Active RRMS</w:t>
            </w:r>
          </w:p>
        </w:tc>
        <w:tc>
          <w:tcPr>
            <w:tcW w:w="1242"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 xml:space="preserve">Relapse rates, </w:t>
            </w:r>
          </w:p>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disability progression</w:t>
            </w:r>
          </w:p>
        </w:tc>
      </w:tr>
      <w:tr w:rsidR="0059506D" w:rsidRPr="00C04677" w:rsidTr="003221CF">
        <w:tc>
          <w:tcPr>
            <w:tcW w:w="5000" w:type="pct"/>
            <w:gridSpan w:val="6"/>
            <w:shd w:val="clear" w:color="auto" w:fill="auto"/>
            <w:vAlign w:val="center"/>
          </w:tcPr>
          <w:p w:rsidR="0059506D" w:rsidRPr="00C04677" w:rsidRDefault="0059506D" w:rsidP="002E4DD8">
            <w:pPr>
              <w:rPr>
                <w:rFonts w:ascii="Arial Narrow" w:hAnsi="Arial Narrow"/>
                <w:b/>
                <w:sz w:val="20"/>
                <w:szCs w:val="16"/>
              </w:rPr>
            </w:pPr>
            <w:r w:rsidRPr="00C04677">
              <w:rPr>
                <w:rFonts w:ascii="Arial Narrow" w:hAnsi="Arial Narrow"/>
                <w:b/>
                <w:sz w:val="20"/>
                <w:szCs w:val="16"/>
              </w:rPr>
              <w:t>Fingolimod vs placebo</w:t>
            </w:r>
          </w:p>
        </w:tc>
      </w:tr>
      <w:tr w:rsidR="0059506D" w:rsidRPr="00C04677" w:rsidTr="003221CF">
        <w:tc>
          <w:tcPr>
            <w:tcW w:w="939" w:type="pct"/>
            <w:shd w:val="clear" w:color="auto" w:fill="auto"/>
            <w:vAlign w:val="center"/>
          </w:tcPr>
          <w:p w:rsidR="0059506D" w:rsidRPr="00C04677" w:rsidRDefault="0059506D" w:rsidP="002E4DD8">
            <w:pPr>
              <w:rPr>
                <w:rFonts w:ascii="Arial Narrow" w:hAnsi="Arial Narrow"/>
                <w:sz w:val="20"/>
                <w:szCs w:val="16"/>
              </w:rPr>
            </w:pPr>
            <w:r w:rsidRPr="00C04677">
              <w:rPr>
                <w:rFonts w:ascii="Arial Narrow" w:hAnsi="Arial Narrow"/>
                <w:sz w:val="20"/>
                <w:szCs w:val="16"/>
              </w:rPr>
              <w:t>FREEDOMS</w:t>
            </w:r>
          </w:p>
        </w:tc>
        <w:tc>
          <w:tcPr>
            <w:tcW w:w="569"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1,272</w:t>
            </w:r>
          </w:p>
        </w:tc>
        <w:tc>
          <w:tcPr>
            <w:tcW w:w="920"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MC, R, DB</w:t>
            </w:r>
          </w:p>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2 years</w:t>
            </w:r>
          </w:p>
        </w:tc>
        <w:tc>
          <w:tcPr>
            <w:tcW w:w="547"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Low</w:t>
            </w:r>
          </w:p>
        </w:tc>
        <w:tc>
          <w:tcPr>
            <w:tcW w:w="783"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Active RRMS</w:t>
            </w:r>
          </w:p>
        </w:tc>
        <w:tc>
          <w:tcPr>
            <w:tcW w:w="1242"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 xml:space="preserve">Relapse rates, </w:t>
            </w:r>
          </w:p>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disability progression</w:t>
            </w:r>
          </w:p>
        </w:tc>
      </w:tr>
      <w:tr w:rsidR="0059506D" w:rsidRPr="00C04677" w:rsidTr="003221CF">
        <w:tc>
          <w:tcPr>
            <w:tcW w:w="939" w:type="pct"/>
            <w:shd w:val="clear" w:color="auto" w:fill="auto"/>
            <w:vAlign w:val="center"/>
          </w:tcPr>
          <w:p w:rsidR="0059506D" w:rsidRPr="00C04677" w:rsidRDefault="0059506D" w:rsidP="002E4DD8">
            <w:pPr>
              <w:rPr>
                <w:rFonts w:ascii="Arial Narrow" w:hAnsi="Arial Narrow"/>
                <w:sz w:val="20"/>
                <w:szCs w:val="16"/>
              </w:rPr>
            </w:pPr>
            <w:r w:rsidRPr="00C04677">
              <w:rPr>
                <w:rFonts w:ascii="Arial Narrow" w:hAnsi="Arial Narrow"/>
                <w:sz w:val="20"/>
                <w:szCs w:val="16"/>
              </w:rPr>
              <w:t>FREEDOMS II</w:t>
            </w:r>
          </w:p>
        </w:tc>
        <w:tc>
          <w:tcPr>
            <w:tcW w:w="569"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1,083</w:t>
            </w:r>
          </w:p>
        </w:tc>
        <w:tc>
          <w:tcPr>
            <w:tcW w:w="920"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MC, R, DB</w:t>
            </w:r>
          </w:p>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2 years</w:t>
            </w:r>
          </w:p>
        </w:tc>
        <w:tc>
          <w:tcPr>
            <w:tcW w:w="547"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Low</w:t>
            </w:r>
          </w:p>
        </w:tc>
        <w:tc>
          <w:tcPr>
            <w:tcW w:w="783"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Active RRMS</w:t>
            </w:r>
          </w:p>
        </w:tc>
        <w:tc>
          <w:tcPr>
            <w:tcW w:w="1242"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 xml:space="preserve">Relapse rates, </w:t>
            </w:r>
          </w:p>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disability progression</w:t>
            </w:r>
          </w:p>
        </w:tc>
      </w:tr>
      <w:tr w:rsidR="0059506D" w:rsidRPr="00C04677" w:rsidTr="003221CF">
        <w:tc>
          <w:tcPr>
            <w:tcW w:w="939" w:type="pct"/>
            <w:shd w:val="clear" w:color="auto" w:fill="auto"/>
            <w:vAlign w:val="center"/>
          </w:tcPr>
          <w:p w:rsidR="0059506D" w:rsidRPr="00C04677" w:rsidRDefault="0059506D" w:rsidP="002E4DD8">
            <w:pPr>
              <w:rPr>
                <w:rFonts w:ascii="Arial Narrow" w:hAnsi="Arial Narrow"/>
                <w:sz w:val="20"/>
                <w:szCs w:val="16"/>
              </w:rPr>
            </w:pPr>
            <w:r w:rsidRPr="00C04677">
              <w:rPr>
                <w:rFonts w:ascii="Arial Narrow" w:hAnsi="Arial Narrow"/>
                <w:sz w:val="20"/>
                <w:szCs w:val="16"/>
              </w:rPr>
              <w:t>Meta-analysis</w:t>
            </w:r>
          </w:p>
        </w:tc>
        <w:tc>
          <w:tcPr>
            <w:tcW w:w="569"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2,355</w:t>
            </w:r>
          </w:p>
        </w:tc>
        <w:tc>
          <w:tcPr>
            <w:tcW w:w="2250" w:type="pct"/>
            <w:gridSpan w:val="3"/>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Included FREEDOMS and FREEDOMS II results</w:t>
            </w:r>
          </w:p>
        </w:tc>
        <w:tc>
          <w:tcPr>
            <w:tcW w:w="1242"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 xml:space="preserve">Relapse rates, </w:t>
            </w:r>
          </w:p>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disability progression</w:t>
            </w:r>
          </w:p>
        </w:tc>
      </w:tr>
      <w:tr w:rsidR="0059506D" w:rsidRPr="00C04677" w:rsidTr="003221CF">
        <w:tc>
          <w:tcPr>
            <w:tcW w:w="5000" w:type="pct"/>
            <w:gridSpan w:val="6"/>
            <w:shd w:val="clear" w:color="auto" w:fill="auto"/>
            <w:vAlign w:val="center"/>
          </w:tcPr>
          <w:p w:rsidR="0059506D" w:rsidRPr="00C04677" w:rsidRDefault="0059506D" w:rsidP="002E4DD8">
            <w:pPr>
              <w:rPr>
                <w:rFonts w:ascii="Arial Narrow" w:hAnsi="Arial Narrow"/>
                <w:sz w:val="20"/>
                <w:szCs w:val="16"/>
              </w:rPr>
            </w:pPr>
            <w:r w:rsidRPr="00C04677">
              <w:rPr>
                <w:rFonts w:ascii="Arial Narrow" w:hAnsi="Arial Narrow"/>
                <w:b/>
                <w:sz w:val="20"/>
                <w:szCs w:val="16"/>
              </w:rPr>
              <w:t>Fingolimod vs. IM interferon beta-1a</w:t>
            </w:r>
          </w:p>
        </w:tc>
      </w:tr>
      <w:tr w:rsidR="0059506D" w:rsidRPr="00C04677" w:rsidTr="003221CF">
        <w:tc>
          <w:tcPr>
            <w:tcW w:w="939" w:type="pct"/>
            <w:shd w:val="clear" w:color="auto" w:fill="auto"/>
            <w:vAlign w:val="center"/>
          </w:tcPr>
          <w:p w:rsidR="0059506D" w:rsidRPr="00C04677" w:rsidRDefault="0059506D" w:rsidP="002E4DD8">
            <w:pPr>
              <w:rPr>
                <w:rFonts w:ascii="Arial Narrow" w:hAnsi="Arial Narrow"/>
                <w:sz w:val="20"/>
                <w:szCs w:val="16"/>
              </w:rPr>
            </w:pPr>
            <w:r w:rsidRPr="00C04677">
              <w:rPr>
                <w:rFonts w:ascii="Arial Narrow" w:hAnsi="Arial Narrow"/>
                <w:sz w:val="20"/>
                <w:szCs w:val="16"/>
              </w:rPr>
              <w:t>TRANSFORMS</w:t>
            </w:r>
          </w:p>
        </w:tc>
        <w:tc>
          <w:tcPr>
            <w:tcW w:w="569"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1,292</w:t>
            </w:r>
          </w:p>
        </w:tc>
        <w:tc>
          <w:tcPr>
            <w:tcW w:w="920"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MC, R, DB</w:t>
            </w:r>
          </w:p>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1 year</w:t>
            </w:r>
          </w:p>
        </w:tc>
        <w:tc>
          <w:tcPr>
            <w:tcW w:w="547"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Low</w:t>
            </w:r>
          </w:p>
        </w:tc>
        <w:tc>
          <w:tcPr>
            <w:tcW w:w="783"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Active RRMS</w:t>
            </w:r>
          </w:p>
        </w:tc>
        <w:tc>
          <w:tcPr>
            <w:tcW w:w="1242" w:type="pct"/>
            <w:shd w:val="clear" w:color="auto" w:fill="auto"/>
            <w:vAlign w:val="center"/>
          </w:tcPr>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 xml:space="preserve">Relapse rates, </w:t>
            </w:r>
          </w:p>
          <w:p w:rsidR="0059506D" w:rsidRPr="00C04677" w:rsidRDefault="0059506D" w:rsidP="002E4DD8">
            <w:pPr>
              <w:jc w:val="center"/>
              <w:rPr>
                <w:rFonts w:ascii="Arial Narrow" w:hAnsi="Arial Narrow"/>
                <w:sz w:val="20"/>
                <w:szCs w:val="16"/>
              </w:rPr>
            </w:pPr>
            <w:r w:rsidRPr="00C04677">
              <w:rPr>
                <w:rFonts w:ascii="Arial Narrow" w:hAnsi="Arial Narrow"/>
                <w:sz w:val="20"/>
                <w:szCs w:val="16"/>
              </w:rPr>
              <w:t>disability progression</w:t>
            </w:r>
          </w:p>
        </w:tc>
      </w:tr>
    </w:tbl>
    <w:p w:rsidR="0059506D" w:rsidRPr="00C04677" w:rsidRDefault="0059506D" w:rsidP="007A71FE">
      <w:pPr>
        <w:pStyle w:val="TableFooter"/>
      </w:pPr>
      <w:r w:rsidRPr="00C04677">
        <w:t>Abbreviations: DB, double blind; IM, intramuscular; MC, multi-centre; R, randomised; RRMS, relapsing-remitting multiple sclerosis</w:t>
      </w:r>
    </w:p>
    <w:p w:rsidR="0059506D" w:rsidRPr="00C04677" w:rsidRDefault="0059506D" w:rsidP="003221CF">
      <w:pPr>
        <w:pStyle w:val="TableFooter"/>
        <w:rPr>
          <w:szCs w:val="18"/>
        </w:rPr>
      </w:pPr>
      <w:r w:rsidRPr="00C04677">
        <w:rPr>
          <w:szCs w:val="18"/>
        </w:rPr>
        <w:t>Source: Constructed during the evaluation</w:t>
      </w:r>
    </w:p>
    <w:p w:rsidR="0059506D" w:rsidRPr="00C04677" w:rsidRDefault="0059506D" w:rsidP="0059506D">
      <w:pPr>
        <w:rPr>
          <w:szCs w:val="22"/>
        </w:rPr>
      </w:pPr>
    </w:p>
    <w:p w:rsidR="0059506D" w:rsidRPr="00C04677" w:rsidRDefault="00353008" w:rsidP="0059506D">
      <w:pPr>
        <w:pStyle w:val="ListParagraph"/>
        <w:widowControl/>
        <w:numPr>
          <w:ilvl w:val="1"/>
          <w:numId w:val="5"/>
        </w:numPr>
        <w:rPr>
          <w:szCs w:val="22"/>
        </w:rPr>
      </w:pPr>
      <w:r w:rsidRPr="00C04677">
        <w:rPr>
          <w:szCs w:val="22"/>
        </w:rPr>
        <w:t>The evaluation noted t</w:t>
      </w:r>
      <w:r w:rsidR="0059506D" w:rsidRPr="00C04677">
        <w:rPr>
          <w:szCs w:val="22"/>
        </w:rPr>
        <w:t>here were differences across the trials in treatment durations; with the SELECT and  TRANSFORMS studies having a one year duration; the FREEDOMS and FREEDOMS II studies having a two year duration; and the DECIDE study having a 2-3 year duration. The submission attempted to address this issue by limiting analyses to matched time points as well as using outcome measures that incorporate a time component (annualised relapse rates, time-to-event analyses).</w:t>
      </w:r>
    </w:p>
    <w:p w:rsidR="0059506D" w:rsidRPr="00C04677" w:rsidRDefault="0059506D" w:rsidP="0059506D">
      <w:pPr>
        <w:ind w:left="709"/>
        <w:rPr>
          <w:szCs w:val="22"/>
        </w:rPr>
      </w:pPr>
    </w:p>
    <w:p w:rsidR="0059506D" w:rsidRPr="00C04677" w:rsidRDefault="0059506D" w:rsidP="0059506D">
      <w:pPr>
        <w:pStyle w:val="ListParagraph"/>
        <w:widowControl/>
        <w:numPr>
          <w:ilvl w:val="1"/>
          <w:numId w:val="5"/>
        </w:numPr>
        <w:rPr>
          <w:szCs w:val="22"/>
        </w:rPr>
      </w:pPr>
      <w:r w:rsidRPr="00C04677">
        <w:rPr>
          <w:szCs w:val="22"/>
        </w:rPr>
        <w:t>There were differences across the trials in the enrolled patient populations; with the daclizumab trials (SELECT, DECIDE) generally including patients with higher baseline disability and magnetic resonance imaging (MRI) disease activity and the fingolimod trials (FREEDOMS, FREEDOMS II, TRANSFORMS) generally including more treatment-experienced patients with longer durations of the disease.</w:t>
      </w:r>
    </w:p>
    <w:p w:rsidR="0059506D" w:rsidRPr="00C04677" w:rsidRDefault="0059506D" w:rsidP="0059506D">
      <w:pPr>
        <w:rPr>
          <w:szCs w:val="22"/>
        </w:rPr>
      </w:pPr>
    </w:p>
    <w:p w:rsidR="0059506D" w:rsidRPr="00C04677" w:rsidRDefault="0059506D" w:rsidP="0059506D">
      <w:pPr>
        <w:pStyle w:val="Heading2"/>
        <w:keepLines/>
      </w:pPr>
      <w:bookmarkStart w:id="3" w:name="_Toc450127246"/>
      <w:r w:rsidRPr="00C04677">
        <w:t>Comparative effectiveness</w:t>
      </w:r>
      <w:bookmarkEnd w:id="3"/>
    </w:p>
    <w:p w:rsidR="0059506D" w:rsidRPr="00C04677" w:rsidRDefault="0059506D" w:rsidP="0059506D">
      <w:pPr>
        <w:keepNext/>
        <w:keepLines/>
        <w:rPr>
          <w:szCs w:val="22"/>
        </w:rPr>
      </w:pPr>
    </w:p>
    <w:p w:rsidR="0059506D" w:rsidRPr="00C04677" w:rsidRDefault="0059506D" w:rsidP="0059506D">
      <w:pPr>
        <w:pStyle w:val="ListParagraph"/>
        <w:keepNext/>
        <w:keepLines/>
        <w:widowControl/>
        <w:numPr>
          <w:ilvl w:val="1"/>
          <w:numId w:val="5"/>
        </w:numPr>
        <w:rPr>
          <w:szCs w:val="22"/>
        </w:rPr>
      </w:pPr>
      <w:r w:rsidRPr="00C04677">
        <w:rPr>
          <w:szCs w:val="22"/>
        </w:rPr>
        <w:t xml:space="preserve">The results of the indirect comparison of daclizumab versus fingolimod using placebo as the common comparator </w:t>
      </w:r>
      <w:r w:rsidR="008A4714" w:rsidRPr="00C04677">
        <w:rPr>
          <w:szCs w:val="22"/>
        </w:rPr>
        <w:t>are</w:t>
      </w:r>
      <w:r w:rsidRPr="00C04677">
        <w:rPr>
          <w:szCs w:val="22"/>
        </w:rPr>
        <w:t xml:space="preserve"> presented in the table below.</w:t>
      </w:r>
    </w:p>
    <w:p w:rsidR="0059506D" w:rsidRPr="00C04677" w:rsidRDefault="0059506D" w:rsidP="0059506D">
      <w:pPr>
        <w:rPr>
          <w:szCs w:val="22"/>
        </w:rPr>
      </w:pPr>
    </w:p>
    <w:p w:rsidR="0030503A" w:rsidRPr="00C04677" w:rsidRDefault="0030503A">
      <w:pPr>
        <w:rPr>
          <w:rFonts w:ascii="Arial Narrow" w:hAnsi="Arial Narrow"/>
          <w:b/>
          <w:bCs/>
          <w:sz w:val="20"/>
          <w:szCs w:val="18"/>
        </w:rPr>
      </w:pPr>
      <w:r w:rsidRPr="00C04677">
        <w:br w:type="page"/>
      </w:r>
    </w:p>
    <w:p w:rsidR="007A71FE" w:rsidRPr="00C04677" w:rsidRDefault="007A71FE" w:rsidP="003221CF">
      <w:pPr>
        <w:pStyle w:val="Caption"/>
      </w:pPr>
      <w:r w:rsidRPr="00C04677">
        <w:lastRenderedPageBreak/>
        <w:t xml:space="preserve">Table </w:t>
      </w:r>
      <w:r w:rsidR="008859C3" w:rsidRPr="00CE43D0">
        <w:t>3</w:t>
      </w:r>
      <w:r w:rsidRPr="00C04677">
        <w:t>: Indirect comparison daclizumab vs. fingolimod using a placebo common comparator</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250"/>
        <w:gridCol w:w="1250"/>
        <w:gridCol w:w="1251"/>
        <w:gridCol w:w="2689"/>
      </w:tblGrid>
      <w:tr w:rsidR="0059506D" w:rsidRPr="00C04677" w:rsidTr="003221CF">
        <w:trPr>
          <w:tblHeader/>
        </w:trPr>
        <w:tc>
          <w:tcPr>
            <w:tcW w:w="2617" w:type="dxa"/>
            <w:tcBorders>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Heading"/>
              <w:spacing w:before="0" w:after="0"/>
              <w:jc w:val="center"/>
              <w:rPr>
                <w:rFonts w:cs="Arial"/>
              </w:rPr>
            </w:pPr>
            <w:r w:rsidRPr="00C04677">
              <w:rPr>
                <w:rFonts w:cs="Arial"/>
              </w:rPr>
              <w:t>Trial</w:t>
            </w:r>
          </w:p>
        </w:tc>
        <w:tc>
          <w:tcPr>
            <w:tcW w:w="1250" w:type="dxa"/>
            <w:tcBorders>
              <w:top w:val="single" w:sz="4" w:space="0" w:color="auto"/>
              <w:left w:val="nil"/>
              <w:right w:val="single" w:sz="4" w:space="0" w:color="auto"/>
            </w:tcBorders>
            <w:vAlign w:val="center"/>
          </w:tcPr>
          <w:p w:rsidR="0059506D" w:rsidRPr="00C04677" w:rsidRDefault="0059506D" w:rsidP="002E4DD8">
            <w:pPr>
              <w:pStyle w:val="TableHeading"/>
              <w:spacing w:before="0" w:after="0"/>
              <w:jc w:val="center"/>
              <w:rPr>
                <w:rFonts w:cs="Arial"/>
              </w:rPr>
            </w:pPr>
            <w:r w:rsidRPr="00C04677">
              <w:rPr>
                <w:rFonts w:cs="Arial"/>
              </w:rPr>
              <w:t>Daclizumab</w:t>
            </w:r>
          </w:p>
          <w:p w:rsidR="0059506D" w:rsidRPr="00C04677" w:rsidRDefault="0059506D" w:rsidP="002E4DD8">
            <w:pPr>
              <w:pStyle w:val="TableHeading"/>
              <w:spacing w:before="0" w:after="0"/>
              <w:jc w:val="center"/>
              <w:rPr>
                <w:rFonts w:cs="Arial"/>
              </w:rPr>
            </w:pPr>
            <w:r w:rsidRPr="00C04677">
              <w:rPr>
                <w:rFonts w:cs="Arial"/>
              </w:rPr>
              <w:t>150 mg</w:t>
            </w:r>
          </w:p>
        </w:tc>
        <w:tc>
          <w:tcPr>
            <w:tcW w:w="1250" w:type="dxa"/>
            <w:tcBorders>
              <w:top w:val="single" w:sz="4" w:space="0" w:color="auto"/>
              <w:left w:val="single" w:sz="4" w:space="0" w:color="auto"/>
              <w:right w:val="single" w:sz="4" w:space="0" w:color="auto"/>
            </w:tcBorders>
            <w:vAlign w:val="center"/>
          </w:tcPr>
          <w:p w:rsidR="0059506D" w:rsidRPr="00C04677" w:rsidRDefault="0059506D" w:rsidP="002E4DD8">
            <w:pPr>
              <w:pStyle w:val="TableHeading"/>
              <w:spacing w:before="0" w:after="0"/>
              <w:jc w:val="center"/>
              <w:rPr>
                <w:rFonts w:cs="Arial"/>
              </w:rPr>
            </w:pPr>
            <w:r w:rsidRPr="00C04677">
              <w:rPr>
                <w:rFonts w:cs="Arial"/>
              </w:rPr>
              <w:t>Placebo</w:t>
            </w:r>
          </w:p>
        </w:tc>
        <w:tc>
          <w:tcPr>
            <w:tcW w:w="1251" w:type="dxa"/>
            <w:tcBorders>
              <w:top w:val="single" w:sz="4" w:space="0" w:color="auto"/>
              <w:left w:val="single" w:sz="4" w:space="0" w:color="auto"/>
              <w:right w:val="double" w:sz="4" w:space="0" w:color="auto"/>
            </w:tcBorders>
            <w:vAlign w:val="center"/>
          </w:tcPr>
          <w:p w:rsidR="0059506D" w:rsidRPr="00C04677" w:rsidRDefault="0059506D" w:rsidP="002E4DD8">
            <w:pPr>
              <w:pStyle w:val="TableHeading"/>
              <w:spacing w:before="0" w:after="0"/>
              <w:jc w:val="center"/>
              <w:rPr>
                <w:rFonts w:cs="Arial"/>
              </w:rPr>
            </w:pPr>
            <w:r w:rsidRPr="00C04677">
              <w:rPr>
                <w:rFonts w:cs="Arial"/>
              </w:rPr>
              <w:t>Fingolimod</w:t>
            </w:r>
          </w:p>
          <w:p w:rsidR="0059506D" w:rsidRPr="00C04677" w:rsidRDefault="0059506D" w:rsidP="002E4DD8">
            <w:pPr>
              <w:pStyle w:val="TableHeading"/>
              <w:spacing w:before="0" w:after="0"/>
              <w:jc w:val="center"/>
              <w:rPr>
                <w:rFonts w:cs="Arial"/>
              </w:rPr>
            </w:pPr>
            <w:r w:rsidRPr="00C04677">
              <w:rPr>
                <w:rFonts w:cs="Arial"/>
              </w:rPr>
              <w:t>0.5 mg</w:t>
            </w:r>
          </w:p>
        </w:tc>
        <w:tc>
          <w:tcPr>
            <w:tcW w:w="2689" w:type="dxa"/>
            <w:tcBorders>
              <w:left w:val="double" w:sz="4" w:space="0" w:color="auto"/>
              <w:right w:val="single" w:sz="4" w:space="0" w:color="auto"/>
            </w:tcBorders>
            <w:vAlign w:val="center"/>
          </w:tcPr>
          <w:p w:rsidR="0059506D" w:rsidRPr="00C04677" w:rsidRDefault="0059506D" w:rsidP="002E4DD8">
            <w:pPr>
              <w:pStyle w:val="TableHeading"/>
              <w:spacing w:before="0" w:after="0"/>
              <w:jc w:val="center"/>
              <w:rPr>
                <w:rFonts w:cs="Arial"/>
              </w:rPr>
            </w:pPr>
            <w:r w:rsidRPr="00C04677">
              <w:rPr>
                <w:rFonts w:cs="Arial"/>
              </w:rPr>
              <w:t xml:space="preserve">Treatment difference </w:t>
            </w:r>
          </w:p>
          <w:p w:rsidR="0059506D" w:rsidRPr="00C04677" w:rsidRDefault="0059506D" w:rsidP="002E4DD8">
            <w:pPr>
              <w:pStyle w:val="TableHeading"/>
              <w:spacing w:before="0" w:after="0"/>
              <w:jc w:val="center"/>
              <w:rPr>
                <w:rFonts w:cs="Arial"/>
              </w:rPr>
            </w:pPr>
            <w:r w:rsidRPr="00C04677">
              <w:rPr>
                <w:rFonts w:cs="Arial"/>
              </w:rPr>
              <w:t>(95% CI)</w:t>
            </w:r>
          </w:p>
        </w:tc>
      </w:tr>
      <w:tr w:rsidR="0059506D" w:rsidRPr="00C04677" w:rsidTr="003221CF">
        <w:tc>
          <w:tcPr>
            <w:tcW w:w="9057"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b/>
                <w:vertAlign w:val="superscript"/>
              </w:rPr>
            </w:pPr>
            <w:r w:rsidRPr="00C04677">
              <w:rPr>
                <w:rFonts w:cs="Arial"/>
                <w:b/>
              </w:rPr>
              <w:t>Annualised relapse rate (95% CI)</w:t>
            </w:r>
          </w:p>
        </w:tc>
      </w:tr>
      <w:tr w:rsidR="0059506D" w:rsidRPr="00C04677" w:rsidTr="003221CF">
        <w:tc>
          <w:tcPr>
            <w:tcW w:w="2617"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SELECT, 1 year</w:t>
            </w:r>
          </w:p>
          <w:p w:rsidR="0059506D" w:rsidRPr="00C04677" w:rsidRDefault="0059506D" w:rsidP="002E4DD8">
            <w:pPr>
              <w:pStyle w:val="TableText0"/>
              <w:keepNext w:val="0"/>
              <w:spacing w:before="0" w:after="0"/>
              <w:rPr>
                <w:rFonts w:cs="Arial"/>
              </w:rPr>
            </w:pPr>
            <w:r w:rsidRPr="00C04677">
              <w:rPr>
                <w:rFonts w:cs="Arial"/>
              </w:rPr>
              <w:t>(N = 397)</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 xml:space="preserve">0.21 </w:t>
            </w:r>
          </w:p>
          <w:p w:rsidR="0059506D" w:rsidRPr="00C04677" w:rsidRDefault="0059506D" w:rsidP="002E4DD8">
            <w:pPr>
              <w:pStyle w:val="TableText0"/>
              <w:keepNext w:val="0"/>
              <w:spacing w:before="0" w:after="0"/>
              <w:jc w:val="center"/>
              <w:rPr>
                <w:rFonts w:cs="Arial"/>
              </w:rPr>
            </w:pPr>
            <w:r w:rsidRPr="00C04677">
              <w:rPr>
                <w:rFonts w:cs="Arial"/>
              </w:rPr>
              <w:t>(0.16, 0.29)</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 xml:space="preserve">0.46 </w:t>
            </w:r>
          </w:p>
          <w:p w:rsidR="0059506D" w:rsidRPr="00C04677" w:rsidRDefault="0059506D" w:rsidP="002E4DD8">
            <w:pPr>
              <w:pStyle w:val="TableText0"/>
              <w:keepNext w:val="0"/>
              <w:spacing w:before="0" w:after="0"/>
              <w:jc w:val="center"/>
              <w:rPr>
                <w:rFonts w:cs="Arial"/>
              </w:rPr>
            </w:pPr>
            <w:r w:rsidRPr="00C04677">
              <w:rPr>
                <w:rFonts w:cs="Arial"/>
              </w:rPr>
              <w:t>(0.37, 0.57)</w:t>
            </w:r>
          </w:p>
        </w:tc>
        <w:tc>
          <w:tcPr>
            <w:tcW w:w="1251"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2689" w:type="dxa"/>
            <w:tcBorders>
              <w:top w:val="single" w:sz="4" w:space="0" w:color="auto"/>
              <w:left w:val="doub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b/>
              </w:rPr>
            </w:pPr>
            <w:r w:rsidRPr="00C04677">
              <w:rPr>
                <w:rFonts w:cs="Arial"/>
                <w:b/>
              </w:rPr>
              <w:t>Rate ratio: 0.46 (0.32, 0.67)</w:t>
            </w:r>
          </w:p>
        </w:tc>
      </w:tr>
      <w:tr w:rsidR="0059506D" w:rsidRPr="00C04677" w:rsidTr="003221CF">
        <w:tc>
          <w:tcPr>
            <w:tcW w:w="2617"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FREEDOMS, 2 year</w:t>
            </w:r>
          </w:p>
          <w:p w:rsidR="0059506D" w:rsidRPr="00C04677" w:rsidRDefault="0059506D" w:rsidP="002E4DD8">
            <w:pPr>
              <w:pStyle w:val="TableText0"/>
              <w:keepNext w:val="0"/>
              <w:spacing w:before="0" w:after="0"/>
              <w:rPr>
                <w:rFonts w:cs="Arial"/>
              </w:rPr>
            </w:pPr>
            <w:r w:rsidRPr="00C04677">
              <w:rPr>
                <w:rFonts w:cs="Arial"/>
              </w:rPr>
              <w:t>(N = 843)</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 xml:space="preserve">0.40 </w:t>
            </w:r>
          </w:p>
          <w:p w:rsidR="0059506D" w:rsidRPr="00C04677" w:rsidRDefault="0059506D" w:rsidP="002E4DD8">
            <w:pPr>
              <w:pStyle w:val="TableText0"/>
              <w:keepNext w:val="0"/>
              <w:spacing w:before="0" w:after="0"/>
              <w:jc w:val="center"/>
              <w:rPr>
                <w:rFonts w:cs="Arial"/>
              </w:rPr>
            </w:pPr>
            <w:r w:rsidRPr="00C04677">
              <w:rPr>
                <w:rFonts w:cs="Arial"/>
              </w:rPr>
              <w:t>(0.34, 0.47)</w:t>
            </w:r>
          </w:p>
        </w:tc>
        <w:tc>
          <w:tcPr>
            <w:tcW w:w="1251"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 xml:space="preserve">0.18 </w:t>
            </w:r>
          </w:p>
          <w:p w:rsidR="0059506D" w:rsidRPr="00C04677" w:rsidRDefault="0059506D" w:rsidP="002E4DD8">
            <w:pPr>
              <w:pStyle w:val="TableText0"/>
              <w:keepNext w:val="0"/>
              <w:spacing w:before="0" w:after="0"/>
              <w:jc w:val="center"/>
              <w:rPr>
                <w:rFonts w:cs="Arial"/>
              </w:rPr>
            </w:pPr>
            <w:r w:rsidRPr="00C04677">
              <w:rPr>
                <w:rFonts w:cs="Arial"/>
              </w:rPr>
              <w:t>(0.15, 0.22)</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b/>
              </w:rPr>
            </w:pPr>
            <w:r w:rsidRPr="00C04677">
              <w:rPr>
                <w:rFonts w:cs="Arial"/>
                <w:b/>
              </w:rPr>
              <w:t>Rate ratio: 0.45 (0.34, 0.59)</w:t>
            </w:r>
          </w:p>
        </w:tc>
      </w:tr>
      <w:tr w:rsidR="0059506D" w:rsidRPr="00C04677" w:rsidTr="003221CF">
        <w:tc>
          <w:tcPr>
            <w:tcW w:w="2617"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FREEDOMS II, 2 year</w:t>
            </w:r>
          </w:p>
          <w:p w:rsidR="0059506D" w:rsidRPr="00C04677" w:rsidRDefault="0059506D" w:rsidP="002E4DD8">
            <w:pPr>
              <w:pStyle w:val="TableText0"/>
              <w:keepNext w:val="0"/>
              <w:spacing w:before="0" w:after="0"/>
              <w:rPr>
                <w:rFonts w:cs="Arial"/>
              </w:rPr>
            </w:pPr>
            <w:r w:rsidRPr="00C04677">
              <w:rPr>
                <w:rFonts w:cs="Arial"/>
              </w:rPr>
              <w:t>(N = 713)</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 xml:space="preserve">0.40 </w:t>
            </w:r>
          </w:p>
          <w:p w:rsidR="0059506D" w:rsidRPr="00C04677" w:rsidRDefault="0059506D" w:rsidP="002E4DD8">
            <w:pPr>
              <w:pStyle w:val="TableText0"/>
              <w:keepNext w:val="0"/>
              <w:spacing w:before="0" w:after="0"/>
              <w:jc w:val="center"/>
              <w:rPr>
                <w:rFonts w:cs="Arial"/>
              </w:rPr>
            </w:pPr>
            <w:r w:rsidRPr="00C04677">
              <w:rPr>
                <w:rFonts w:cs="Arial"/>
              </w:rPr>
              <w:t>(0.34, 0.48)</w:t>
            </w:r>
          </w:p>
        </w:tc>
        <w:tc>
          <w:tcPr>
            <w:tcW w:w="1251"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 xml:space="preserve">0.21 </w:t>
            </w:r>
          </w:p>
          <w:p w:rsidR="0059506D" w:rsidRPr="00C04677" w:rsidRDefault="0059506D" w:rsidP="002E4DD8">
            <w:pPr>
              <w:pStyle w:val="TableText0"/>
              <w:keepNext w:val="0"/>
              <w:spacing w:before="0" w:after="0"/>
              <w:jc w:val="center"/>
              <w:rPr>
                <w:rFonts w:cs="Arial"/>
              </w:rPr>
            </w:pPr>
            <w:r w:rsidRPr="00C04677">
              <w:rPr>
                <w:rFonts w:cs="Arial"/>
              </w:rPr>
              <w:t>(0.17, 0.25)</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b/>
              </w:rPr>
            </w:pPr>
            <w:r w:rsidRPr="00C04677">
              <w:rPr>
                <w:rFonts w:cs="Arial"/>
                <w:b/>
              </w:rPr>
              <w:t xml:space="preserve">Rate ratio: 0.52 (0.40, 0.66) </w:t>
            </w:r>
          </w:p>
        </w:tc>
      </w:tr>
      <w:tr w:rsidR="0059506D" w:rsidRPr="00C04677" w:rsidTr="003221CF">
        <w:tc>
          <w:tcPr>
            <w:tcW w:w="6368"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59506D" w:rsidRPr="00C04677" w:rsidRDefault="0059506D" w:rsidP="002E4DD8">
            <w:pPr>
              <w:pStyle w:val="TableText0"/>
              <w:keepNext w:val="0"/>
              <w:spacing w:before="0" w:after="0"/>
              <w:jc w:val="right"/>
              <w:rPr>
                <w:rFonts w:cs="Arial"/>
              </w:rPr>
            </w:pPr>
            <w:r w:rsidRPr="00C04677">
              <w:rPr>
                <w:rFonts w:cs="Arial"/>
              </w:rPr>
              <w:t>Meta-analysis of fingolimod trials (I</w:t>
            </w:r>
            <w:r w:rsidRPr="00C04677">
              <w:rPr>
                <w:rFonts w:cs="Arial"/>
                <w:vertAlign w:val="superscript"/>
              </w:rPr>
              <w:t>2</w:t>
            </w:r>
            <w:r w:rsidRPr="00C04677">
              <w:rPr>
                <w:rFonts w:cs="Arial"/>
              </w:rPr>
              <w:t xml:space="preserve"> = 0%)</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b/>
              </w:rPr>
            </w:pPr>
            <w:r w:rsidRPr="00C04677">
              <w:rPr>
                <w:rFonts w:cs="Arial"/>
                <w:b/>
              </w:rPr>
              <w:t>Rate ratio: 0.49 (0.40, 0.58)</w:t>
            </w:r>
          </w:p>
        </w:tc>
      </w:tr>
      <w:tr w:rsidR="0059506D" w:rsidRPr="00C04677" w:rsidTr="003221CF">
        <w:tc>
          <w:tcPr>
            <w:tcW w:w="6368"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59506D" w:rsidRPr="00C04677" w:rsidRDefault="0059506D" w:rsidP="002E4DD8">
            <w:pPr>
              <w:pStyle w:val="TableText0"/>
              <w:spacing w:before="0" w:after="0"/>
              <w:jc w:val="right"/>
              <w:rPr>
                <w:rFonts w:cs="Arial"/>
              </w:rPr>
            </w:pPr>
            <w:r w:rsidRPr="00C04677">
              <w:rPr>
                <w:rFonts w:cs="Arial"/>
              </w:rPr>
              <w:t xml:space="preserve">Indirect estimate of effect </w:t>
            </w:r>
          </w:p>
          <w:p w:rsidR="0059506D" w:rsidRPr="00C04677" w:rsidRDefault="0059506D" w:rsidP="002E4DD8">
            <w:pPr>
              <w:pStyle w:val="TableText0"/>
              <w:keepNext w:val="0"/>
              <w:spacing w:before="0" w:after="0"/>
              <w:jc w:val="right"/>
              <w:rPr>
                <w:rFonts w:cs="Arial"/>
              </w:rPr>
            </w:pPr>
            <w:r w:rsidRPr="00C04677">
              <w:rPr>
                <w:rFonts w:cs="Arial"/>
              </w:rPr>
              <w:t>(results &lt; 1 favour daclizumab)</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rPr>
            </w:pPr>
            <w:r w:rsidRPr="00C04677">
              <w:rPr>
                <w:rFonts w:cs="Arial"/>
              </w:rPr>
              <w:t>Rate ratio: 0.95 (0.63, 1.43)</w:t>
            </w:r>
          </w:p>
        </w:tc>
      </w:tr>
      <w:tr w:rsidR="0059506D" w:rsidRPr="00C04677" w:rsidTr="003221CF">
        <w:tc>
          <w:tcPr>
            <w:tcW w:w="9057"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b/>
                <w:vertAlign w:val="superscript"/>
              </w:rPr>
            </w:pPr>
            <w:r w:rsidRPr="00C04677">
              <w:rPr>
                <w:rFonts w:cs="Arial"/>
                <w:b/>
              </w:rPr>
              <w:t>Time to 3-month sustained disability progression, n/N (%)</w:t>
            </w:r>
          </w:p>
        </w:tc>
      </w:tr>
      <w:tr w:rsidR="0059506D" w:rsidRPr="00C04677" w:rsidTr="003221CF">
        <w:tc>
          <w:tcPr>
            <w:tcW w:w="2617"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SELECT, 1 year</w:t>
            </w:r>
          </w:p>
          <w:p w:rsidR="0059506D" w:rsidRPr="00C04677" w:rsidRDefault="0059506D" w:rsidP="002E4DD8">
            <w:pPr>
              <w:pStyle w:val="TableText0"/>
              <w:keepNext w:val="0"/>
              <w:spacing w:before="0" w:after="0"/>
              <w:rPr>
                <w:rFonts w:cs="Arial"/>
              </w:rPr>
            </w:pPr>
            <w:r w:rsidRPr="00C04677">
              <w:rPr>
                <w:rFonts w:cs="Arial"/>
              </w:rPr>
              <w:t>(N = 397)</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12/201</w:t>
            </w:r>
          </w:p>
          <w:p w:rsidR="0059506D" w:rsidRPr="00C04677" w:rsidRDefault="0059506D" w:rsidP="002E4DD8">
            <w:pPr>
              <w:pStyle w:val="TableText0"/>
              <w:keepNext w:val="0"/>
              <w:spacing w:before="0" w:after="0"/>
              <w:jc w:val="center"/>
              <w:rPr>
                <w:rFonts w:cs="Arial"/>
              </w:rPr>
            </w:pPr>
            <w:r w:rsidRPr="00C04677">
              <w:rPr>
                <w:rFonts w:cs="Arial"/>
              </w:rPr>
              <w:t>(6.0%)</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26/196</w:t>
            </w:r>
          </w:p>
          <w:p w:rsidR="0059506D" w:rsidRPr="00C04677" w:rsidRDefault="0059506D" w:rsidP="002E4DD8">
            <w:pPr>
              <w:pStyle w:val="TableText0"/>
              <w:keepNext w:val="0"/>
              <w:spacing w:before="0" w:after="0"/>
              <w:jc w:val="center"/>
              <w:rPr>
                <w:rFonts w:cs="Arial"/>
              </w:rPr>
            </w:pPr>
            <w:r w:rsidRPr="00C04677">
              <w:rPr>
                <w:rFonts w:cs="Arial"/>
              </w:rPr>
              <w:t>(13.3%)</w:t>
            </w:r>
          </w:p>
        </w:tc>
        <w:tc>
          <w:tcPr>
            <w:tcW w:w="1251"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2689" w:type="dxa"/>
            <w:tcBorders>
              <w:top w:val="single" w:sz="4" w:space="0" w:color="auto"/>
              <w:left w:val="doub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b/>
              </w:rPr>
            </w:pPr>
            <w:r w:rsidRPr="00C04677">
              <w:rPr>
                <w:rFonts w:cs="Arial"/>
                <w:b/>
              </w:rPr>
              <w:t>Hazard ratio: 0.43 (0.21, 0.88)</w:t>
            </w:r>
          </w:p>
        </w:tc>
      </w:tr>
      <w:tr w:rsidR="0059506D" w:rsidRPr="00C04677" w:rsidTr="003221CF">
        <w:tc>
          <w:tcPr>
            <w:tcW w:w="2617"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FREEDOMS, 2 year</w:t>
            </w:r>
          </w:p>
          <w:p w:rsidR="0059506D" w:rsidRPr="00C04677" w:rsidRDefault="0059506D" w:rsidP="002E4DD8">
            <w:pPr>
              <w:pStyle w:val="TableText0"/>
              <w:keepNext w:val="0"/>
              <w:spacing w:before="0" w:after="0"/>
              <w:rPr>
                <w:rFonts w:cs="Arial"/>
              </w:rPr>
            </w:pPr>
            <w:r w:rsidRPr="00C04677">
              <w:rPr>
                <w:rFonts w:cs="Arial"/>
              </w:rPr>
              <w:t>(N = 843)</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101/418</w:t>
            </w:r>
          </w:p>
          <w:p w:rsidR="0059506D" w:rsidRPr="00C04677" w:rsidRDefault="0059506D" w:rsidP="002E4DD8">
            <w:pPr>
              <w:pStyle w:val="TableText0"/>
              <w:keepNext w:val="0"/>
              <w:spacing w:before="0" w:after="0"/>
              <w:jc w:val="center"/>
              <w:rPr>
                <w:rFonts w:cs="Arial"/>
              </w:rPr>
            </w:pPr>
            <w:r w:rsidRPr="00C04677">
              <w:rPr>
                <w:rFonts w:cs="Arial"/>
              </w:rPr>
              <w:t>(24.1%)</w:t>
            </w:r>
          </w:p>
        </w:tc>
        <w:tc>
          <w:tcPr>
            <w:tcW w:w="1251"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75/425</w:t>
            </w:r>
          </w:p>
          <w:p w:rsidR="0059506D" w:rsidRPr="00C04677" w:rsidRDefault="0059506D" w:rsidP="002E4DD8">
            <w:pPr>
              <w:pStyle w:val="TableText0"/>
              <w:keepNext w:val="0"/>
              <w:spacing w:before="0" w:after="0"/>
              <w:jc w:val="center"/>
              <w:rPr>
                <w:rFonts w:cs="Arial"/>
              </w:rPr>
            </w:pPr>
            <w:r w:rsidRPr="00C04677">
              <w:rPr>
                <w:rFonts w:cs="Arial"/>
              </w:rPr>
              <w:t>(17.7%)</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b/>
              </w:rPr>
            </w:pPr>
            <w:r w:rsidRPr="00C04677">
              <w:rPr>
                <w:rFonts w:cs="Arial"/>
                <w:b/>
              </w:rPr>
              <w:t>Hazard ratio: 0.70 (0.52, 0.96)</w:t>
            </w:r>
          </w:p>
        </w:tc>
      </w:tr>
      <w:tr w:rsidR="0059506D" w:rsidRPr="00C04677" w:rsidTr="003221CF">
        <w:tc>
          <w:tcPr>
            <w:tcW w:w="2617"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FREEDOMS II, 2 year</w:t>
            </w:r>
          </w:p>
          <w:p w:rsidR="0059506D" w:rsidRPr="00C04677" w:rsidRDefault="0059506D" w:rsidP="002E4DD8">
            <w:pPr>
              <w:pStyle w:val="TableText0"/>
              <w:keepNext w:val="0"/>
              <w:spacing w:before="0" w:after="0"/>
              <w:rPr>
                <w:rFonts w:cs="Arial"/>
              </w:rPr>
            </w:pPr>
            <w:r w:rsidRPr="00C04677">
              <w:rPr>
                <w:rFonts w:cs="Arial"/>
              </w:rPr>
              <w:t>(N = 713)</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103/355</w:t>
            </w:r>
          </w:p>
          <w:p w:rsidR="0059506D" w:rsidRPr="00C04677" w:rsidRDefault="0059506D" w:rsidP="002E4DD8">
            <w:pPr>
              <w:pStyle w:val="TableText0"/>
              <w:keepNext w:val="0"/>
              <w:spacing w:before="0" w:after="0"/>
              <w:jc w:val="center"/>
              <w:rPr>
                <w:rFonts w:cs="Arial"/>
              </w:rPr>
            </w:pPr>
            <w:r w:rsidRPr="00C04677">
              <w:rPr>
                <w:rFonts w:cs="Arial"/>
              </w:rPr>
              <w:t>(29.0%)</w:t>
            </w:r>
          </w:p>
        </w:tc>
        <w:tc>
          <w:tcPr>
            <w:tcW w:w="1251"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91/358</w:t>
            </w:r>
          </w:p>
          <w:p w:rsidR="0059506D" w:rsidRPr="00C04677" w:rsidRDefault="0059506D" w:rsidP="002E4DD8">
            <w:pPr>
              <w:pStyle w:val="TableText0"/>
              <w:keepNext w:val="0"/>
              <w:spacing w:before="0" w:after="0"/>
              <w:jc w:val="center"/>
              <w:rPr>
                <w:rFonts w:cs="Arial"/>
              </w:rPr>
            </w:pPr>
            <w:r w:rsidRPr="00C04677">
              <w:rPr>
                <w:rFonts w:cs="Arial"/>
              </w:rPr>
              <w:t>(25.3%)</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rPr>
            </w:pPr>
            <w:r w:rsidRPr="00C04677">
              <w:rPr>
                <w:rFonts w:cs="Arial"/>
              </w:rPr>
              <w:t xml:space="preserve">Hazard ratio: 0.83 (0.61, 1.12) </w:t>
            </w:r>
          </w:p>
        </w:tc>
      </w:tr>
      <w:tr w:rsidR="0059506D" w:rsidRPr="00C04677" w:rsidTr="003221CF">
        <w:tc>
          <w:tcPr>
            <w:tcW w:w="6368"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59506D" w:rsidRPr="00C04677" w:rsidRDefault="0059506D" w:rsidP="002E4DD8">
            <w:pPr>
              <w:pStyle w:val="TableText0"/>
              <w:keepNext w:val="0"/>
              <w:spacing w:before="0" w:after="0"/>
              <w:jc w:val="right"/>
              <w:rPr>
                <w:rFonts w:cs="Arial"/>
              </w:rPr>
            </w:pPr>
            <w:r w:rsidRPr="00C04677">
              <w:rPr>
                <w:rFonts w:cs="Arial"/>
              </w:rPr>
              <w:t>Meta-analysis of fingolimod trials (I</w:t>
            </w:r>
            <w:r w:rsidRPr="00C04677">
              <w:rPr>
                <w:rFonts w:cs="Arial"/>
                <w:vertAlign w:val="superscript"/>
              </w:rPr>
              <w:t>2</w:t>
            </w:r>
            <w:r w:rsidRPr="00C04677">
              <w:rPr>
                <w:rFonts w:cs="Arial"/>
              </w:rPr>
              <w:t xml:space="preserve"> = 0%)</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b/>
              </w:rPr>
            </w:pPr>
            <w:r w:rsidRPr="00C04677">
              <w:rPr>
                <w:rFonts w:cs="Arial"/>
                <w:b/>
              </w:rPr>
              <w:t>Hazard ratio: 0.76 (0.61, 0.95)</w:t>
            </w:r>
          </w:p>
        </w:tc>
      </w:tr>
      <w:tr w:rsidR="0059506D" w:rsidRPr="00C04677" w:rsidTr="003221CF">
        <w:tc>
          <w:tcPr>
            <w:tcW w:w="6368"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59506D" w:rsidRPr="00C04677" w:rsidRDefault="0059506D" w:rsidP="002E4DD8">
            <w:pPr>
              <w:pStyle w:val="TableText0"/>
              <w:spacing w:before="0" w:after="0"/>
              <w:jc w:val="right"/>
              <w:rPr>
                <w:rFonts w:cs="Arial"/>
              </w:rPr>
            </w:pPr>
            <w:r w:rsidRPr="00C04677">
              <w:rPr>
                <w:rFonts w:cs="Arial"/>
              </w:rPr>
              <w:t xml:space="preserve">Indirect estimate of effect </w:t>
            </w:r>
          </w:p>
          <w:p w:rsidR="0059506D" w:rsidRPr="00C04677" w:rsidRDefault="0059506D" w:rsidP="002E4DD8">
            <w:pPr>
              <w:pStyle w:val="TableText0"/>
              <w:keepNext w:val="0"/>
              <w:spacing w:before="0" w:after="0"/>
              <w:jc w:val="right"/>
              <w:rPr>
                <w:rFonts w:cs="Arial"/>
              </w:rPr>
            </w:pPr>
            <w:r w:rsidRPr="00C04677">
              <w:rPr>
                <w:rFonts w:cs="Arial"/>
              </w:rPr>
              <w:t>(results &lt; 1 favour daclizumab)</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rPr>
            </w:pPr>
            <w:r w:rsidRPr="00C04677">
              <w:rPr>
                <w:rFonts w:cs="Arial"/>
              </w:rPr>
              <w:t>Hazard ratio: 0.56 (0.27, 1.19)</w:t>
            </w:r>
          </w:p>
        </w:tc>
      </w:tr>
      <w:tr w:rsidR="0059506D" w:rsidRPr="00C04677" w:rsidTr="003221CF">
        <w:tc>
          <w:tcPr>
            <w:tcW w:w="9057"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b/>
                <w:vertAlign w:val="superscript"/>
              </w:rPr>
            </w:pPr>
            <w:r w:rsidRPr="00C04677">
              <w:rPr>
                <w:rFonts w:cs="Arial"/>
                <w:b/>
              </w:rPr>
              <w:t>Time to 6-month sustained disability progression, n/N (%)</w:t>
            </w:r>
          </w:p>
        </w:tc>
      </w:tr>
      <w:tr w:rsidR="0059506D" w:rsidRPr="00C04677" w:rsidTr="003221CF">
        <w:tc>
          <w:tcPr>
            <w:tcW w:w="2617"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SELECT, 1 year</w:t>
            </w:r>
          </w:p>
          <w:p w:rsidR="0059506D" w:rsidRPr="00C04677" w:rsidRDefault="0059506D" w:rsidP="002E4DD8">
            <w:pPr>
              <w:pStyle w:val="TableText0"/>
              <w:keepNext w:val="0"/>
              <w:spacing w:before="0" w:after="0"/>
              <w:rPr>
                <w:rFonts w:cs="Arial"/>
              </w:rPr>
            </w:pPr>
            <w:r w:rsidRPr="00C04677">
              <w:rPr>
                <w:rFonts w:cs="Arial"/>
              </w:rPr>
              <w:t>(N = 397)</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5/201</w:t>
            </w:r>
          </w:p>
          <w:p w:rsidR="0059506D" w:rsidRPr="00C04677" w:rsidRDefault="0059506D" w:rsidP="002E4DD8">
            <w:pPr>
              <w:pStyle w:val="TableText0"/>
              <w:keepNext w:val="0"/>
              <w:spacing w:before="0" w:after="0"/>
              <w:jc w:val="center"/>
              <w:rPr>
                <w:rFonts w:cs="Arial"/>
              </w:rPr>
            </w:pPr>
            <w:r w:rsidRPr="00C04677">
              <w:rPr>
                <w:rFonts w:cs="Arial"/>
              </w:rPr>
              <w:t>(2.6%)</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22/196</w:t>
            </w:r>
          </w:p>
          <w:p w:rsidR="0059506D" w:rsidRPr="00C04677" w:rsidRDefault="0059506D" w:rsidP="002E4DD8">
            <w:pPr>
              <w:pStyle w:val="TableText0"/>
              <w:keepNext w:val="0"/>
              <w:spacing w:before="0" w:after="0"/>
              <w:jc w:val="center"/>
              <w:rPr>
                <w:rFonts w:cs="Arial"/>
              </w:rPr>
            </w:pPr>
            <w:r w:rsidRPr="00C04677">
              <w:rPr>
                <w:rFonts w:cs="Arial"/>
              </w:rPr>
              <w:t>(11.1%)</w:t>
            </w:r>
          </w:p>
        </w:tc>
        <w:tc>
          <w:tcPr>
            <w:tcW w:w="1251"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2689" w:type="dxa"/>
            <w:tcBorders>
              <w:top w:val="single" w:sz="4" w:space="0" w:color="auto"/>
              <w:left w:val="doub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b/>
              </w:rPr>
            </w:pPr>
            <w:r w:rsidRPr="00C04677">
              <w:rPr>
                <w:rFonts w:cs="Arial"/>
                <w:b/>
              </w:rPr>
              <w:t>Hazard ratio: 0.24 (0.09, 0.63)</w:t>
            </w:r>
          </w:p>
        </w:tc>
      </w:tr>
      <w:tr w:rsidR="0059506D" w:rsidRPr="00C04677" w:rsidTr="003221CF">
        <w:tc>
          <w:tcPr>
            <w:tcW w:w="2617"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FREEDOMS, 2 year</w:t>
            </w:r>
          </w:p>
          <w:p w:rsidR="0059506D" w:rsidRPr="00C04677" w:rsidRDefault="0059506D" w:rsidP="002E4DD8">
            <w:pPr>
              <w:pStyle w:val="TableText0"/>
              <w:keepNext w:val="0"/>
              <w:spacing w:before="0" w:after="0"/>
              <w:rPr>
                <w:rFonts w:cs="Arial"/>
                <w:vertAlign w:val="superscript"/>
              </w:rPr>
            </w:pPr>
            <w:r w:rsidRPr="00C04677">
              <w:rPr>
                <w:rFonts w:cs="Arial"/>
              </w:rPr>
              <w:t>(N = 843)</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79/418</w:t>
            </w:r>
          </w:p>
          <w:p w:rsidR="0059506D" w:rsidRPr="00C04677" w:rsidRDefault="0059506D" w:rsidP="002E4DD8">
            <w:pPr>
              <w:pStyle w:val="TableText0"/>
              <w:keepNext w:val="0"/>
              <w:spacing w:before="0" w:after="0"/>
              <w:jc w:val="center"/>
              <w:rPr>
                <w:rFonts w:cs="Arial"/>
              </w:rPr>
            </w:pPr>
            <w:r w:rsidRPr="00C04677">
              <w:rPr>
                <w:rFonts w:cs="Arial"/>
              </w:rPr>
              <w:t>(19.0%)</w:t>
            </w:r>
          </w:p>
        </w:tc>
        <w:tc>
          <w:tcPr>
            <w:tcW w:w="1251"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53/425</w:t>
            </w:r>
          </w:p>
          <w:p w:rsidR="0059506D" w:rsidRPr="00C04677" w:rsidRDefault="0059506D" w:rsidP="002E4DD8">
            <w:pPr>
              <w:pStyle w:val="TableText0"/>
              <w:keepNext w:val="0"/>
              <w:spacing w:before="0" w:after="0"/>
              <w:jc w:val="center"/>
              <w:rPr>
                <w:rFonts w:cs="Arial"/>
              </w:rPr>
            </w:pPr>
            <w:r w:rsidRPr="00C04677">
              <w:rPr>
                <w:rFonts w:cs="Arial"/>
              </w:rPr>
              <w:t>(12.5%)</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b/>
              </w:rPr>
            </w:pPr>
            <w:r w:rsidRPr="00C04677">
              <w:rPr>
                <w:rFonts w:cs="Arial"/>
                <w:b/>
              </w:rPr>
              <w:t>Hazard ratio: 0.63 (0.44, 0.90)</w:t>
            </w:r>
          </w:p>
        </w:tc>
      </w:tr>
      <w:tr w:rsidR="0059506D" w:rsidRPr="00C04677" w:rsidTr="003221CF">
        <w:tc>
          <w:tcPr>
            <w:tcW w:w="2617"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FREEDOMS II, 2 year</w:t>
            </w:r>
          </w:p>
          <w:p w:rsidR="0059506D" w:rsidRPr="00C04677" w:rsidRDefault="0059506D" w:rsidP="002E4DD8">
            <w:pPr>
              <w:pStyle w:val="TableText0"/>
              <w:keepNext w:val="0"/>
              <w:spacing w:before="0" w:after="0"/>
              <w:rPr>
                <w:rFonts w:cs="Arial"/>
                <w:vertAlign w:val="superscript"/>
              </w:rPr>
            </w:pPr>
            <w:r w:rsidRPr="00C04677">
              <w:rPr>
                <w:rFonts w:cs="Arial"/>
              </w:rPr>
              <w:t>(N = 713)</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1250"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63/355</w:t>
            </w:r>
          </w:p>
          <w:p w:rsidR="0059506D" w:rsidRPr="00C04677" w:rsidRDefault="0059506D" w:rsidP="002E4DD8">
            <w:pPr>
              <w:pStyle w:val="TableText0"/>
              <w:keepNext w:val="0"/>
              <w:spacing w:before="0" w:after="0"/>
              <w:jc w:val="center"/>
              <w:rPr>
                <w:rFonts w:cs="Arial"/>
              </w:rPr>
            </w:pPr>
            <w:r w:rsidRPr="00C04677">
              <w:rPr>
                <w:rFonts w:cs="Arial"/>
              </w:rPr>
              <w:t>(17.8%)</w:t>
            </w:r>
          </w:p>
        </w:tc>
        <w:tc>
          <w:tcPr>
            <w:tcW w:w="1251"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49/358</w:t>
            </w:r>
          </w:p>
          <w:p w:rsidR="0059506D" w:rsidRPr="00C04677" w:rsidRDefault="0059506D" w:rsidP="002E4DD8">
            <w:pPr>
              <w:pStyle w:val="TableText0"/>
              <w:keepNext w:val="0"/>
              <w:spacing w:before="0" w:after="0"/>
              <w:jc w:val="center"/>
              <w:rPr>
                <w:rFonts w:cs="Arial"/>
              </w:rPr>
            </w:pPr>
            <w:r w:rsidRPr="00C04677">
              <w:rPr>
                <w:rFonts w:cs="Arial"/>
              </w:rPr>
              <w:t>(13.8%)</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rPr>
            </w:pPr>
            <w:r w:rsidRPr="00C04677">
              <w:rPr>
                <w:rFonts w:cs="Arial"/>
              </w:rPr>
              <w:t>Hazard ratio: 0.72 (0.48, 1.07)</w:t>
            </w:r>
          </w:p>
        </w:tc>
      </w:tr>
      <w:tr w:rsidR="0059506D" w:rsidRPr="00C04677" w:rsidTr="003221CF">
        <w:tc>
          <w:tcPr>
            <w:tcW w:w="6368"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59506D" w:rsidRPr="00C04677" w:rsidRDefault="0059506D" w:rsidP="002E4DD8">
            <w:pPr>
              <w:pStyle w:val="TableText0"/>
              <w:keepNext w:val="0"/>
              <w:spacing w:before="0" w:after="0"/>
              <w:jc w:val="right"/>
              <w:rPr>
                <w:rFonts w:cs="Arial"/>
              </w:rPr>
            </w:pPr>
            <w:r w:rsidRPr="00C04677">
              <w:rPr>
                <w:rFonts w:cs="Arial"/>
              </w:rPr>
              <w:t>Meta-analysis of fingolimod trials (I</w:t>
            </w:r>
            <w:r w:rsidRPr="00C04677">
              <w:rPr>
                <w:rFonts w:cs="Arial"/>
                <w:vertAlign w:val="superscript"/>
              </w:rPr>
              <w:t>2</w:t>
            </w:r>
            <w:r w:rsidRPr="00C04677">
              <w:rPr>
                <w:rFonts w:cs="Arial"/>
              </w:rPr>
              <w:t xml:space="preserve"> =0%) </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b/>
              </w:rPr>
            </w:pPr>
            <w:r w:rsidRPr="00C04677">
              <w:rPr>
                <w:rFonts w:cs="Arial"/>
                <w:b/>
              </w:rPr>
              <w:t>Hazard ratio: 0.67 (0.51, 0.87)</w:t>
            </w:r>
          </w:p>
        </w:tc>
      </w:tr>
      <w:tr w:rsidR="0059506D" w:rsidRPr="00C04677" w:rsidTr="003221CF">
        <w:tc>
          <w:tcPr>
            <w:tcW w:w="6368"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59506D" w:rsidRPr="00C04677" w:rsidRDefault="0059506D" w:rsidP="002E4DD8">
            <w:pPr>
              <w:pStyle w:val="TableText0"/>
              <w:spacing w:before="0" w:after="0"/>
              <w:jc w:val="right"/>
              <w:rPr>
                <w:rFonts w:cs="Arial"/>
              </w:rPr>
            </w:pPr>
            <w:r w:rsidRPr="00C04677">
              <w:rPr>
                <w:rFonts w:cs="Arial"/>
              </w:rPr>
              <w:t xml:space="preserve">Indirect estimate of effect </w:t>
            </w:r>
          </w:p>
          <w:p w:rsidR="0059506D" w:rsidRPr="00C04677" w:rsidRDefault="0059506D" w:rsidP="002E4DD8">
            <w:pPr>
              <w:pStyle w:val="TableText0"/>
              <w:keepNext w:val="0"/>
              <w:spacing w:before="0" w:after="0"/>
              <w:jc w:val="right"/>
              <w:rPr>
                <w:rFonts w:cs="Arial"/>
              </w:rPr>
            </w:pPr>
            <w:r w:rsidRPr="00C04677">
              <w:rPr>
                <w:rFonts w:cs="Arial"/>
              </w:rPr>
              <w:t>(results &lt; 1 favour daclizumab)</w:t>
            </w:r>
          </w:p>
        </w:tc>
        <w:tc>
          <w:tcPr>
            <w:tcW w:w="2689"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b/>
              </w:rPr>
            </w:pPr>
            <w:r w:rsidRPr="00C04677">
              <w:rPr>
                <w:rFonts w:cs="Arial"/>
                <w:b/>
              </w:rPr>
              <w:t>Hazard ratio: 0.36 (0.13, 0.99)</w:t>
            </w:r>
          </w:p>
        </w:tc>
      </w:tr>
    </w:tbl>
    <w:p w:rsidR="0059506D" w:rsidRPr="00C04677" w:rsidRDefault="0059506D" w:rsidP="00B9499D">
      <w:pPr>
        <w:rPr>
          <w:rFonts w:ascii="Arial Narrow" w:hAnsi="Arial Narrow"/>
          <w:sz w:val="18"/>
          <w:szCs w:val="18"/>
        </w:rPr>
      </w:pPr>
      <w:r w:rsidRPr="00C04677">
        <w:rPr>
          <w:rFonts w:ascii="Arial Narrow" w:hAnsi="Arial Narrow"/>
          <w:sz w:val="18"/>
          <w:szCs w:val="18"/>
        </w:rPr>
        <w:t>Abbreviations: CI, confidence interval</w:t>
      </w:r>
    </w:p>
    <w:p w:rsidR="0059506D" w:rsidRPr="00C04677" w:rsidRDefault="0059506D" w:rsidP="00B9499D">
      <w:pPr>
        <w:rPr>
          <w:rFonts w:ascii="Arial Narrow" w:hAnsi="Arial Narrow"/>
          <w:sz w:val="18"/>
          <w:szCs w:val="18"/>
        </w:rPr>
      </w:pPr>
      <w:r w:rsidRPr="00C04677">
        <w:rPr>
          <w:rFonts w:ascii="Arial Narrow" w:hAnsi="Arial Narrow"/>
          <w:sz w:val="18"/>
          <w:szCs w:val="18"/>
        </w:rPr>
        <w:t xml:space="preserve">Source: </w:t>
      </w:r>
      <w:r w:rsidR="000C045F" w:rsidRPr="00C04677">
        <w:rPr>
          <w:rFonts w:ascii="Arial Narrow" w:hAnsi="Arial Narrow"/>
          <w:sz w:val="18"/>
          <w:szCs w:val="18"/>
        </w:rPr>
        <w:t>Original</w:t>
      </w:r>
      <w:r w:rsidRPr="00C04677">
        <w:rPr>
          <w:rFonts w:ascii="Arial Narrow" w:hAnsi="Arial Narrow"/>
          <w:sz w:val="18"/>
          <w:szCs w:val="18"/>
        </w:rPr>
        <w:t xml:space="preserve"> </w:t>
      </w:r>
      <w:r w:rsidR="008A4714" w:rsidRPr="00C04677">
        <w:rPr>
          <w:rFonts w:ascii="Arial Narrow" w:hAnsi="Arial Narrow"/>
          <w:sz w:val="18"/>
          <w:szCs w:val="18"/>
        </w:rPr>
        <w:t xml:space="preserve">July 2016 </w:t>
      </w:r>
      <w:r w:rsidR="00B9499D" w:rsidRPr="00C04677">
        <w:rPr>
          <w:rFonts w:ascii="Arial Narrow" w:hAnsi="Arial Narrow"/>
          <w:sz w:val="18"/>
          <w:szCs w:val="18"/>
        </w:rPr>
        <w:t>submission.</w:t>
      </w:r>
    </w:p>
    <w:p w:rsidR="0059506D" w:rsidRPr="00C04677" w:rsidRDefault="0059506D" w:rsidP="0059506D">
      <w:pPr>
        <w:ind w:firstLine="720"/>
        <w:rPr>
          <w:rStyle w:val="CommentReference"/>
        </w:rPr>
      </w:pPr>
    </w:p>
    <w:p w:rsidR="0059506D" w:rsidRPr="00C04677" w:rsidRDefault="0059506D" w:rsidP="0059506D">
      <w:pPr>
        <w:pStyle w:val="ListParagraph"/>
        <w:widowControl/>
        <w:numPr>
          <w:ilvl w:val="1"/>
          <w:numId w:val="5"/>
        </w:numPr>
      </w:pPr>
      <w:r w:rsidRPr="00CE43D0">
        <w:rPr>
          <w:szCs w:val="22"/>
        </w:rPr>
        <w:t xml:space="preserve">There was no statistically significant difference in relapse outcomes between daclizumab and fingolimod. The indirect analysis of disability progression outcomes appeared to favour daclizumab over fingolimod, however, the evaluation noted the indirect analyses </w:t>
      </w:r>
      <w:r w:rsidRPr="00C04677">
        <w:rPr>
          <w:szCs w:val="22"/>
        </w:rPr>
        <w:t>should be interpreted with caution given the concerns regarding the exchangeability of the included trials and the robustness of outcome measures to account for differences in study duration.</w:t>
      </w:r>
      <w:r w:rsidR="00035BB4" w:rsidRPr="00C04677">
        <w:rPr>
          <w:szCs w:val="22"/>
        </w:rPr>
        <w:t xml:space="preserve"> When considered in July 2016, t</w:t>
      </w:r>
      <w:r w:rsidRPr="00C04677">
        <w:rPr>
          <w:szCs w:val="22"/>
        </w:rPr>
        <w:t>he PBAC noted differences across the daclizumab and fingolimod trials in the results for the placebo treatment groups and that this indicated that there may be exchangeability issues. The PBAC further noted that a non-inferiority margin was not proposed in the submission and that non-inferiority was claimed based on lack of a statistically significant difference. The PBAC considered this approach was not robust, especially given the wide 95% confidence limits for the indirect comparisons.</w:t>
      </w:r>
    </w:p>
    <w:p w:rsidR="0059506D" w:rsidRPr="00C04677" w:rsidRDefault="0059506D" w:rsidP="0059506D">
      <w:pPr>
        <w:ind w:left="720"/>
        <w:rPr>
          <w:szCs w:val="22"/>
        </w:rPr>
      </w:pPr>
    </w:p>
    <w:p w:rsidR="0059506D" w:rsidRPr="00C04677" w:rsidRDefault="0059506D" w:rsidP="0059506D">
      <w:pPr>
        <w:pStyle w:val="ListParagraph"/>
        <w:widowControl/>
        <w:numPr>
          <w:ilvl w:val="1"/>
          <w:numId w:val="5"/>
        </w:numPr>
        <w:rPr>
          <w:szCs w:val="22"/>
        </w:rPr>
      </w:pPr>
      <w:r w:rsidRPr="00C04677">
        <w:rPr>
          <w:szCs w:val="22"/>
        </w:rPr>
        <w:t>The results of the indirect comparison of daclizumab versus fingolimod using IM IFN β-1a as the common comparator is summarised in Table 4.</w:t>
      </w:r>
    </w:p>
    <w:p w:rsidR="0059506D" w:rsidRPr="00C04677" w:rsidRDefault="0059506D" w:rsidP="0059506D">
      <w:pPr>
        <w:ind w:left="720"/>
        <w:rPr>
          <w:szCs w:val="22"/>
        </w:rPr>
      </w:pPr>
    </w:p>
    <w:p w:rsidR="007A71FE" w:rsidRPr="00C04677" w:rsidRDefault="007A71FE" w:rsidP="003221CF">
      <w:pPr>
        <w:pStyle w:val="Caption"/>
        <w:keepNext/>
      </w:pPr>
      <w:r w:rsidRPr="00C04677">
        <w:lastRenderedPageBreak/>
        <w:t xml:space="preserve">Table </w:t>
      </w:r>
      <w:r w:rsidR="008859C3" w:rsidRPr="00CE43D0">
        <w:t>4</w:t>
      </w:r>
      <w:r w:rsidRPr="00C04677">
        <w:t>: Indirect comparison of daclizumab vs. fingolimod using IM interferon beta-1a as the common comparator</w:t>
      </w:r>
    </w:p>
    <w:tbl>
      <w:tblPr>
        <w:tblW w:w="490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7"/>
        <w:gridCol w:w="1253"/>
        <w:gridCol w:w="1254"/>
        <w:gridCol w:w="1254"/>
        <w:gridCol w:w="2692"/>
      </w:tblGrid>
      <w:tr w:rsidR="0059506D" w:rsidRPr="00C04677" w:rsidTr="003221CF">
        <w:trPr>
          <w:tblHeader/>
        </w:trPr>
        <w:tc>
          <w:tcPr>
            <w:tcW w:w="2618" w:type="dxa"/>
            <w:tcBorders>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Heading"/>
              <w:spacing w:before="0" w:after="0"/>
              <w:jc w:val="center"/>
              <w:rPr>
                <w:rFonts w:cs="Arial"/>
              </w:rPr>
            </w:pPr>
            <w:r w:rsidRPr="00C04677">
              <w:rPr>
                <w:rFonts w:cs="Arial"/>
              </w:rPr>
              <w:t>Trial</w:t>
            </w:r>
          </w:p>
        </w:tc>
        <w:tc>
          <w:tcPr>
            <w:tcW w:w="1253" w:type="dxa"/>
            <w:tcBorders>
              <w:top w:val="single" w:sz="4" w:space="0" w:color="auto"/>
              <w:left w:val="nil"/>
              <w:right w:val="single" w:sz="4" w:space="0" w:color="auto"/>
            </w:tcBorders>
            <w:vAlign w:val="center"/>
          </w:tcPr>
          <w:p w:rsidR="0059506D" w:rsidRPr="00C04677" w:rsidRDefault="0059506D" w:rsidP="002E4DD8">
            <w:pPr>
              <w:pStyle w:val="TableHeading"/>
              <w:spacing w:before="0" w:after="0"/>
              <w:jc w:val="center"/>
              <w:rPr>
                <w:rFonts w:cs="Arial"/>
              </w:rPr>
            </w:pPr>
            <w:r w:rsidRPr="00C04677">
              <w:rPr>
                <w:rFonts w:cs="Arial"/>
              </w:rPr>
              <w:t>Daclizumab</w:t>
            </w:r>
          </w:p>
          <w:p w:rsidR="0059506D" w:rsidRPr="00C04677" w:rsidRDefault="0059506D" w:rsidP="002E4DD8">
            <w:pPr>
              <w:pStyle w:val="TableHeading"/>
              <w:spacing w:before="0" w:after="0"/>
              <w:jc w:val="center"/>
              <w:rPr>
                <w:rFonts w:cs="Arial"/>
              </w:rPr>
            </w:pPr>
            <w:r w:rsidRPr="00C04677">
              <w:rPr>
                <w:rFonts w:cs="Arial"/>
              </w:rPr>
              <w:t>150 mg</w:t>
            </w:r>
          </w:p>
        </w:tc>
        <w:tc>
          <w:tcPr>
            <w:tcW w:w="1254" w:type="dxa"/>
            <w:tcBorders>
              <w:top w:val="single" w:sz="4" w:space="0" w:color="auto"/>
              <w:left w:val="single" w:sz="4" w:space="0" w:color="auto"/>
              <w:right w:val="single" w:sz="4" w:space="0" w:color="auto"/>
            </w:tcBorders>
            <w:vAlign w:val="center"/>
          </w:tcPr>
          <w:p w:rsidR="0059506D" w:rsidRPr="00C04677" w:rsidRDefault="0059506D" w:rsidP="002E4DD8">
            <w:pPr>
              <w:pStyle w:val="TableHeading"/>
              <w:spacing w:before="0" w:after="0"/>
              <w:jc w:val="center"/>
              <w:rPr>
                <w:rFonts w:cs="Arial"/>
              </w:rPr>
            </w:pPr>
            <w:r w:rsidRPr="00C04677">
              <w:rPr>
                <w:rFonts w:cs="Arial"/>
              </w:rPr>
              <w:t xml:space="preserve">IM </w:t>
            </w:r>
            <w:r w:rsidRPr="00C04677">
              <w:rPr>
                <w:szCs w:val="22"/>
              </w:rPr>
              <w:t>IFN β-1a</w:t>
            </w:r>
          </w:p>
        </w:tc>
        <w:tc>
          <w:tcPr>
            <w:tcW w:w="1254" w:type="dxa"/>
            <w:tcBorders>
              <w:top w:val="single" w:sz="4" w:space="0" w:color="auto"/>
              <w:left w:val="single" w:sz="4" w:space="0" w:color="auto"/>
              <w:right w:val="double" w:sz="4" w:space="0" w:color="auto"/>
            </w:tcBorders>
            <w:vAlign w:val="center"/>
          </w:tcPr>
          <w:p w:rsidR="0059506D" w:rsidRPr="00C04677" w:rsidRDefault="0059506D" w:rsidP="002E4DD8">
            <w:pPr>
              <w:pStyle w:val="TableHeading"/>
              <w:spacing w:before="0" w:after="0"/>
              <w:jc w:val="center"/>
              <w:rPr>
                <w:rFonts w:cs="Arial"/>
              </w:rPr>
            </w:pPr>
            <w:r w:rsidRPr="00C04677">
              <w:rPr>
                <w:rFonts w:cs="Arial"/>
              </w:rPr>
              <w:t>Fingolimod</w:t>
            </w:r>
          </w:p>
          <w:p w:rsidR="0059506D" w:rsidRPr="00C04677" w:rsidRDefault="0059506D" w:rsidP="002E4DD8">
            <w:pPr>
              <w:pStyle w:val="TableHeading"/>
              <w:spacing w:before="0" w:after="0"/>
              <w:jc w:val="center"/>
              <w:rPr>
                <w:rFonts w:cs="Arial"/>
              </w:rPr>
            </w:pPr>
            <w:r w:rsidRPr="00C04677">
              <w:rPr>
                <w:rFonts w:cs="Arial"/>
              </w:rPr>
              <w:t>0.5 mg</w:t>
            </w:r>
          </w:p>
        </w:tc>
        <w:tc>
          <w:tcPr>
            <w:tcW w:w="2692" w:type="dxa"/>
            <w:tcBorders>
              <w:left w:val="double" w:sz="4" w:space="0" w:color="auto"/>
              <w:right w:val="single" w:sz="4" w:space="0" w:color="auto"/>
            </w:tcBorders>
            <w:vAlign w:val="center"/>
          </w:tcPr>
          <w:p w:rsidR="0059506D" w:rsidRPr="00C04677" w:rsidRDefault="0059506D" w:rsidP="002E4DD8">
            <w:pPr>
              <w:pStyle w:val="TableHeading"/>
              <w:spacing w:before="0" w:after="0"/>
              <w:jc w:val="center"/>
              <w:rPr>
                <w:rFonts w:cs="Arial"/>
              </w:rPr>
            </w:pPr>
            <w:r w:rsidRPr="00C04677">
              <w:rPr>
                <w:rFonts w:cs="Arial"/>
              </w:rPr>
              <w:t xml:space="preserve">Treatment difference </w:t>
            </w:r>
          </w:p>
          <w:p w:rsidR="0059506D" w:rsidRPr="00C04677" w:rsidRDefault="0059506D" w:rsidP="002E4DD8">
            <w:pPr>
              <w:pStyle w:val="TableHeading"/>
              <w:spacing w:before="0" w:after="0"/>
              <w:jc w:val="center"/>
              <w:rPr>
                <w:rFonts w:cs="Arial"/>
              </w:rPr>
            </w:pPr>
            <w:r w:rsidRPr="00C04677">
              <w:rPr>
                <w:rFonts w:cs="Arial"/>
              </w:rPr>
              <w:t>(95% CI)</w:t>
            </w:r>
          </w:p>
        </w:tc>
      </w:tr>
      <w:tr w:rsidR="0059506D" w:rsidRPr="00C04677" w:rsidTr="003221CF">
        <w:tc>
          <w:tcPr>
            <w:tcW w:w="9071"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b/>
                <w:vertAlign w:val="superscript"/>
              </w:rPr>
            </w:pPr>
            <w:r w:rsidRPr="00C04677">
              <w:rPr>
                <w:rFonts w:cs="Arial"/>
                <w:b/>
              </w:rPr>
              <w:t>Annualised relapse rate at one year (95% CI)</w:t>
            </w:r>
          </w:p>
        </w:tc>
      </w:tr>
      <w:tr w:rsidR="0059506D" w:rsidRPr="00C04677" w:rsidTr="003221CF">
        <w:tc>
          <w:tcPr>
            <w:tcW w:w="2618"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DECIDE, 1 year</w:t>
            </w:r>
          </w:p>
          <w:p w:rsidR="0059506D" w:rsidRPr="00C04677" w:rsidRDefault="0059506D" w:rsidP="002E4DD8">
            <w:pPr>
              <w:pStyle w:val="TableText0"/>
              <w:keepNext w:val="0"/>
              <w:spacing w:before="0" w:after="0"/>
              <w:rPr>
                <w:rFonts w:cs="Arial"/>
              </w:rPr>
            </w:pPr>
            <w:r w:rsidRPr="00C04677">
              <w:rPr>
                <w:rFonts w:cs="Arial"/>
              </w:rPr>
              <w:t>(N = 1,841)</w:t>
            </w:r>
          </w:p>
        </w:tc>
        <w:tc>
          <w:tcPr>
            <w:tcW w:w="1253"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 xml:space="preserve">0.25 </w:t>
            </w:r>
          </w:p>
          <w:p w:rsidR="0059506D" w:rsidRPr="00C04677" w:rsidRDefault="0059506D" w:rsidP="002E4DD8">
            <w:pPr>
              <w:pStyle w:val="TableText0"/>
              <w:keepNext w:val="0"/>
              <w:spacing w:before="0" w:after="0"/>
              <w:jc w:val="center"/>
              <w:rPr>
                <w:rFonts w:cs="Arial"/>
              </w:rPr>
            </w:pPr>
            <w:r w:rsidRPr="00C04677">
              <w:rPr>
                <w:rFonts w:cs="Arial"/>
              </w:rPr>
              <w:t>(0.22, 0.30)</w:t>
            </w:r>
          </w:p>
        </w:tc>
        <w:tc>
          <w:tcPr>
            <w:tcW w:w="1254"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 xml:space="preserve">0.43 </w:t>
            </w:r>
          </w:p>
          <w:p w:rsidR="0059506D" w:rsidRPr="00C04677" w:rsidRDefault="0059506D" w:rsidP="002E4DD8">
            <w:pPr>
              <w:pStyle w:val="TableText0"/>
              <w:keepNext w:val="0"/>
              <w:spacing w:before="0" w:after="0"/>
              <w:jc w:val="center"/>
              <w:rPr>
                <w:rFonts w:cs="Arial"/>
              </w:rPr>
            </w:pPr>
            <w:r w:rsidRPr="00C04677">
              <w:rPr>
                <w:rFonts w:cs="Arial"/>
              </w:rPr>
              <w:t>(0.38, 0.49)</w:t>
            </w:r>
          </w:p>
        </w:tc>
        <w:tc>
          <w:tcPr>
            <w:tcW w:w="1254"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2692" w:type="dxa"/>
            <w:tcBorders>
              <w:top w:val="single" w:sz="4" w:space="0" w:color="auto"/>
              <w:left w:val="doub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b/>
              </w:rPr>
            </w:pPr>
            <w:r w:rsidRPr="00C04677">
              <w:rPr>
                <w:rFonts w:cs="Arial"/>
                <w:b/>
              </w:rPr>
              <w:t>Rate ratio: 0.59 (0.49, 0.72)</w:t>
            </w:r>
          </w:p>
        </w:tc>
      </w:tr>
      <w:tr w:rsidR="0059506D" w:rsidRPr="00C04677" w:rsidTr="003221CF">
        <w:tc>
          <w:tcPr>
            <w:tcW w:w="2618"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TRANSFORMS, 1 year</w:t>
            </w:r>
          </w:p>
          <w:p w:rsidR="0059506D" w:rsidRPr="00C04677" w:rsidRDefault="0059506D" w:rsidP="002E4DD8">
            <w:pPr>
              <w:pStyle w:val="TableText0"/>
              <w:keepNext w:val="0"/>
              <w:spacing w:before="0" w:after="0"/>
              <w:rPr>
                <w:rFonts w:cs="Arial"/>
              </w:rPr>
            </w:pPr>
            <w:r w:rsidRPr="00C04677">
              <w:rPr>
                <w:rFonts w:cs="Arial"/>
              </w:rPr>
              <w:t>(N = 843)</w:t>
            </w:r>
          </w:p>
        </w:tc>
        <w:tc>
          <w:tcPr>
            <w:tcW w:w="1253"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1254"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 xml:space="preserve">0.33 </w:t>
            </w:r>
          </w:p>
          <w:p w:rsidR="0059506D" w:rsidRPr="00C04677" w:rsidRDefault="0059506D" w:rsidP="002E4DD8">
            <w:pPr>
              <w:pStyle w:val="TableText0"/>
              <w:keepNext w:val="0"/>
              <w:spacing w:before="0" w:after="0"/>
              <w:jc w:val="center"/>
              <w:rPr>
                <w:rFonts w:cs="Arial"/>
              </w:rPr>
            </w:pPr>
            <w:r w:rsidRPr="00C04677">
              <w:rPr>
                <w:rFonts w:cs="Arial"/>
              </w:rPr>
              <w:t>(0.26, 0.42)</w:t>
            </w:r>
          </w:p>
        </w:tc>
        <w:tc>
          <w:tcPr>
            <w:tcW w:w="1254"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 xml:space="preserve">0.16 </w:t>
            </w:r>
          </w:p>
          <w:p w:rsidR="0059506D" w:rsidRPr="00C04677" w:rsidRDefault="0059506D" w:rsidP="002E4DD8">
            <w:pPr>
              <w:pStyle w:val="TableText0"/>
              <w:keepNext w:val="0"/>
              <w:spacing w:before="0" w:after="0"/>
              <w:jc w:val="center"/>
              <w:rPr>
                <w:rFonts w:cs="Arial"/>
              </w:rPr>
            </w:pPr>
            <w:r w:rsidRPr="00C04677">
              <w:rPr>
                <w:rFonts w:cs="Arial"/>
              </w:rPr>
              <w:t>(0.12, 0.21)</w:t>
            </w:r>
          </w:p>
        </w:tc>
        <w:tc>
          <w:tcPr>
            <w:tcW w:w="2692"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b/>
              </w:rPr>
            </w:pPr>
            <w:r w:rsidRPr="00C04677">
              <w:rPr>
                <w:rFonts w:cs="Arial"/>
                <w:b/>
              </w:rPr>
              <w:t>Rate ratio: 0.48 (0.36, 0.64)</w:t>
            </w:r>
          </w:p>
        </w:tc>
      </w:tr>
      <w:tr w:rsidR="0059506D" w:rsidRPr="00C04677" w:rsidTr="003221CF">
        <w:tc>
          <w:tcPr>
            <w:tcW w:w="6379"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59506D" w:rsidRPr="00C04677" w:rsidRDefault="0059506D" w:rsidP="002E4DD8">
            <w:pPr>
              <w:pStyle w:val="TableText0"/>
              <w:spacing w:before="0" w:after="0"/>
              <w:jc w:val="right"/>
              <w:rPr>
                <w:rFonts w:cs="Arial"/>
              </w:rPr>
            </w:pPr>
            <w:r w:rsidRPr="00C04677">
              <w:rPr>
                <w:rFonts w:cs="Arial"/>
              </w:rPr>
              <w:t xml:space="preserve">Indirect estimate of effect </w:t>
            </w:r>
          </w:p>
          <w:p w:rsidR="0059506D" w:rsidRPr="00C04677" w:rsidRDefault="0059506D" w:rsidP="002E4DD8">
            <w:pPr>
              <w:pStyle w:val="TableText0"/>
              <w:keepNext w:val="0"/>
              <w:spacing w:before="0" w:after="0"/>
              <w:jc w:val="right"/>
              <w:rPr>
                <w:rFonts w:cs="Arial"/>
              </w:rPr>
            </w:pPr>
            <w:r w:rsidRPr="00C04677">
              <w:rPr>
                <w:rFonts w:cs="Arial"/>
              </w:rPr>
              <w:t>(results &lt; 1 favour daclizumab)</w:t>
            </w:r>
          </w:p>
        </w:tc>
        <w:tc>
          <w:tcPr>
            <w:tcW w:w="2692"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rPr>
            </w:pPr>
            <w:r w:rsidRPr="00C04677">
              <w:rPr>
                <w:rFonts w:cs="Arial"/>
              </w:rPr>
              <w:t>Rate ratio: 1.23 (0.87, 1.74)</w:t>
            </w:r>
          </w:p>
        </w:tc>
      </w:tr>
      <w:tr w:rsidR="0059506D" w:rsidRPr="00C04677" w:rsidTr="003221CF">
        <w:tc>
          <w:tcPr>
            <w:tcW w:w="9071" w:type="dxa"/>
            <w:gridSpan w:val="5"/>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b/>
                <w:vertAlign w:val="superscript"/>
              </w:rPr>
            </w:pPr>
            <w:r w:rsidRPr="00C04677">
              <w:rPr>
                <w:rFonts w:cs="Arial"/>
                <w:b/>
              </w:rPr>
              <w:t>Proportion of patients with 3-month sustained disability at one year, n/N (%)</w:t>
            </w:r>
          </w:p>
        </w:tc>
      </w:tr>
      <w:tr w:rsidR="0059506D" w:rsidRPr="00C04677" w:rsidTr="003221CF">
        <w:tc>
          <w:tcPr>
            <w:tcW w:w="2618"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DECIDE, 1 year</w:t>
            </w:r>
          </w:p>
          <w:p w:rsidR="0059506D" w:rsidRPr="00C04677" w:rsidRDefault="0059506D" w:rsidP="002E4DD8">
            <w:pPr>
              <w:pStyle w:val="TableText0"/>
              <w:keepNext w:val="0"/>
              <w:spacing w:before="0" w:after="0"/>
              <w:rPr>
                <w:rFonts w:cs="Arial"/>
              </w:rPr>
            </w:pPr>
            <w:r w:rsidRPr="00C04677">
              <w:rPr>
                <w:rFonts w:cs="Arial"/>
              </w:rPr>
              <w:t>(N = 1,841)</w:t>
            </w:r>
          </w:p>
        </w:tc>
        <w:tc>
          <w:tcPr>
            <w:tcW w:w="1253"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59/919</w:t>
            </w:r>
          </w:p>
          <w:p w:rsidR="0059506D" w:rsidRPr="00C04677" w:rsidRDefault="0059506D" w:rsidP="002E4DD8">
            <w:pPr>
              <w:pStyle w:val="TableText0"/>
              <w:keepNext w:val="0"/>
              <w:spacing w:before="0" w:after="0"/>
              <w:jc w:val="center"/>
              <w:rPr>
                <w:rFonts w:cs="Arial"/>
              </w:rPr>
            </w:pPr>
            <w:r w:rsidRPr="00C04677">
              <w:rPr>
                <w:rFonts w:cs="Arial"/>
              </w:rPr>
              <w:t>(6.4%)</w:t>
            </w:r>
          </w:p>
        </w:tc>
        <w:tc>
          <w:tcPr>
            <w:tcW w:w="1254"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75/922</w:t>
            </w:r>
          </w:p>
          <w:p w:rsidR="0059506D" w:rsidRPr="00C04677" w:rsidRDefault="0059506D" w:rsidP="002E4DD8">
            <w:pPr>
              <w:pStyle w:val="TableText0"/>
              <w:keepNext w:val="0"/>
              <w:spacing w:before="0" w:after="0"/>
              <w:jc w:val="center"/>
              <w:rPr>
                <w:rFonts w:cs="Arial"/>
              </w:rPr>
            </w:pPr>
            <w:r w:rsidRPr="00C04677">
              <w:rPr>
                <w:rFonts w:cs="Arial"/>
              </w:rPr>
              <w:t>(8.1%)</w:t>
            </w:r>
          </w:p>
        </w:tc>
        <w:tc>
          <w:tcPr>
            <w:tcW w:w="1254"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2692" w:type="dxa"/>
            <w:tcBorders>
              <w:top w:val="single" w:sz="4" w:space="0" w:color="auto"/>
              <w:left w:val="doub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Relative risk: 0.79 (0.57, 1.10)</w:t>
            </w:r>
          </w:p>
        </w:tc>
      </w:tr>
      <w:tr w:rsidR="0059506D" w:rsidRPr="00C04677" w:rsidTr="003221CF">
        <w:tc>
          <w:tcPr>
            <w:tcW w:w="2618" w:type="dxa"/>
            <w:tcBorders>
              <w:top w:val="single" w:sz="4" w:space="0" w:color="auto"/>
              <w:left w:val="single" w:sz="4" w:space="0" w:color="auto"/>
              <w:bottom w:val="single" w:sz="4" w:space="0" w:color="auto"/>
              <w:right w:val="single" w:sz="4" w:space="0" w:color="auto"/>
            </w:tcBorders>
            <w:tcMar>
              <w:right w:w="28" w:type="dxa"/>
            </w:tcMar>
            <w:vAlign w:val="center"/>
          </w:tcPr>
          <w:p w:rsidR="0059506D" w:rsidRPr="00C04677" w:rsidRDefault="0059506D" w:rsidP="002E4DD8">
            <w:pPr>
              <w:pStyle w:val="TableText0"/>
              <w:keepNext w:val="0"/>
              <w:spacing w:before="0" w:after="0"/>
              <w:rPr>
                <w:rFonts w:cs="Arial"/>
              </w:rPr>
            </w:pPr>
            <w:r w:rsidRPr="00C04677">
              <w:rPr>
                <w:rFonts w:cs="Arial"/>
              </w:rPr>
              <w:t>TRANSFORMS, 1 year</w:t>
            </w:r>
          </w:p>
          <w:p w:rsidR="0059506D" w:rsidRPr="00C04677" w:rsidRDefault="0059506D" w:rsidP="002E4DD8">
            <w:pPr>
              <w:pStyle w:val="TableText0"/>
              <w:keepNext w:val="0"/>
              <w:spacing w:before="0" w:after="0"/>
              <w:rPr>
                <w:rFonts w:cs="Arial"/>
              </w:rPr>
            </w:pPr>
            <w:r w:rsidRPr="00C04677">
              <w:rPr>
                <w:rFonts w:cs="Arial"/>
              </w:rPr>
              <w:t>(N = 843)</w:t>
            </w:r>
          </w:p>
        </w:tc>
        <w:tc>
          <w:tcPr>
            <w:tcW w:w="1253"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w:t>
            </w:r>
          </w:p>
        </w:tc>
        <w:tc>
          <w:tcPr>
            <w:tcW w:w="1254" w:type="dxa"/>
            <w:tcBorders>
              <w:top w:val="single" w:sz="4" w:space="0" w:color="auto"/>
              <w:left w:val="single" w:sz="4" w:space="0" w:color="auto"/>
              <w:bottom w:val="single" w:sz="4" w:space="0" w:color="auto"/>
              <w:right w:val="sing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34/431</w:t>
            </w:r>
          </w:p>
          <w:p w:rsidR="0059506D" w:rsidRPr="00C04677" w:rsidRDefault="0059506D" w:rsidP="002E4DD8">
            <w:pPr>
              <w:pStyle w:val="TableText0"/>
              <w:keepNext w:val="0"/>
              <w:spacing w:before="0" w:after="0"/>
              <w:jc w:val="center"/>
              <w:rPr>
                <w:rFonts w:cs="Arial"/>
              </w:rPr>
            </w:pPr>
            <w:r w:rsidRPr="00C04677">
              <w:rPr>
                <w:rFonts w:cs="Arial"/>
              </w:rPr>
              <w:t>(7.9%)</w:t>
            </w:r>
          </w:p>
        </w:tc>
        <w:tc>
          <w:tcPr>
            <w:tcW w:w="1254" w:type="dxa"/>
            <w:tcBorders>
              <w:top w:val="single" w:sz="4" w:space="0" w:color="auto"/>
              <w:left w:val="single" w:sz="4" w:space="0" w:color="auto"/>
              <w:bottom w:val="single" w:sz="4" w:space="0" w:color="auto"/>
              <w:right w:val="double" w:sz="4" w:space="0" w:color="auto"/>
            </w:tcBorders>
            <w:vAlign w:val="center"/>
          </w:tcPr>
          <w:p w:rsidR="0059506D" w:rsidRPr="00C04677" w:rsidRDefault="0059506D" w:rsidP="002E4DD8">
            <w:pPr>
              <w:pStyle w:val="TableText0"/>
              <w:keepNext w:val="0"/>
              <w:spacing w:before="0" w:after="0"/>
              <w:jc w:val="center"/>
              <w:rPr>
                <w:rFonts w:cs="Arial"/>
              </w:rPr>
            </w:pPr>
            <w:r w:rsidRPr="00C04677">
              <w:rPr>
                <w:rFonts w:cs="Arial"/>
              </w:rPr>
              <w:t>25/429</w:t>
            </w:r>
          </w:p>
          <w:p w:rsidR="0059506D" w:rsidRPr="00C04677" w:rsidRDefault="0059506D" w:rsidP="002E4DD8">
            <w:pPr>
              <w:pStyle w:val="TableText0"/>
              <w:keepNext w:val="0"/>
              <w:spacing w:before="0" w:after="0"/>
              <w:jc w:val="center"/>
              <w:rPr>
                <w:rFonts w:cs="Arial"/>
              </w:rPr>
            </w:pPr>
            <w:r w:rsidRPr="00C04677">
              <w:rPr>
                <w:rFonts w:cs="Arial"/>
              </w:rPr>
              <w:t>(5.8%)</w:t>
            </w:r>
          </w:p>
        </w:tc>
        <w:tc>
          <w:tcPr>
            <w:tcW w:w="2692"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rPr>
            </w:pPr>
            <w:r w:rsidRPr="00C04677">
              <w:rPr>
                <w:rFonts w:cs="Arial"/>
              </w:rPr>
              <w:t>Relative risk: 0.74 (0.45, 1.22)</w:t>
            </w:r>
          </w:p>
        </w:tc>
      </w:tr>
      <w:tr w:rsidR="0059506D" w:rsidRPr="00C04677" w:rsidTr="003221CF">
        <w:tc>
          <w:tcPr>
            <w:tcW w:w="6379" w:type="dxa"/>
            <w:gridSpan w:val="4"/>
            <w:tcBorders>
              <w:top w:val="single" w:sz="4" w:space="0" w:color="auto"/>
              <w:left w:val="single" w:sz="4" w:space="0" w:color="auto"/>
              <w:bottom w:val="single" w:sz="4" w:space="0" w:color="auto"/>
              <w:right w:val="double" w:sz="4" w:space="0" w:color="auto"/>
            </w:tcBorders>
            <w:tcMar>
              <w:right w:w="28" w:type="dxa"/>
            </w:tcMar>
            <w:vAlign w:val="center"/>
          </w:tcPr>
          <w:p w:rsidR="0059506D" w:rsidRPr="00C04677" w:rsidRDefault="0059506D" w:rsidP="002E4DD8">
            <w:pPr>
              <w:pStyle w:val="TableText0"/>
              <w:spacing w:before="0" w:after="0"/>
              <w:jc w:val="right"/>
              <w:rPr>
                <w:rFonts w:cs="Arial"/>
              </w:rPr>
            </w:pPr>
            <w:r w:rsidRPr="00C04677">
              <w:rPr>
                <w:rFonts w:cs="Arial"/>
              </w:rPr>
              <w:t xml:space="preserve">Indirect estimate of effect </w:t>
            </w:r>
          </w:p>
          <w:p w:rsidR="0059506D" w:rsidRPr="00C04677" w:rsidRDefault="0059506D" w:rsidP="002E4DD8">
            <w:pPr>
              <w:pStyle w:val="TableText0"/>
              <w:keepNext w:val="0"/>
              <w:spacing w:before="0" w:after="0"/>
              <w:jc w:val="right"/>
              <w:rPr>
                <w:rFonts w:cs="Arial"/>
              </w:rPr>
            </w:pPr>
            <w:r w:rsidRPr="00C04677">
              <w:rPr>
                <w:rFonts w:cs="Arial"/>
              </w:rPr>
              <w:t>(results &lt; 1 favour daclizumab)</w:t>
            </w:r>
          </w:p>
        </w:tc>
        <w:tc>
          <w:tcPr>
            <w:tcW w:w="2692" w:type="dxa"/>
            <w:tcBorders>
              <w:top w:val="single" w:sz="4" w:space="0" w:color="auto"/>
              <w:left w:val="double" w:sz="4" w:space="0" w:color="auto"/>
              <w:bottom w:val="single" w:sz="4" w:space="0" w:color="auto"/>
              <w:right w:val="single" w:sz="4" w:space="0" w:color="auto"/>
            </w:tcBorders>
            <w:shd w:val="clear" w:color="auto" w:fill="FFFFFF"/>
            <w:vAlign w:val="center"/>
          </w:tcPr>
          <w:p w:rsidR="0059506D" w:rsidRPr="00C04677" w:rsidRDefault="0059506D" w:rsidP="002E4DD8">
            <w:pPr>
              <w:pStyle w:val="TableText0"/>
              <w:spacing w:before="0" w:after="0"/>
              <w:jc w:val="center"/>
              <w:rPr>
                <w:rFonts w:cs="Arial"/>
                <w:b/>
              </w:rPr>
            </w:pPr>
            <w:r w:rsidRPr="00C04677">
              <w:rPr>
                <w:rFonts w:cs="Arial"/>
              </w:rPr>
              <w:t>Relative risk: 1.07 (0.59, 1.94)</w:t>
            </w:r>
          </w:p>
        </w:tc>
      </w:tr>
    </w:tbl>
    <w:p w:rsidR="0059506D" w:rsidRPr="00C04677" w:rsidRDefault="0059506D" w:rsidP="00F713FB">
      <w:pPr>
        <w:rPr>
          <w:rFonts w:ascii="Arial Narrow" w:hAnsi="Arial Narrow"/>
          <w:sz w:val="18"/>
          <w:szCs w:val="18"/>
        </w:rPr>
      </w:pPr>
      <w:r w:rsidRPr="00C04677">
        <w:rPr>
          <w:rFonts w:ascii="Arial Narrow" w:hAnsi="Arial Narrow"/>
          <w:sz w:val="18"/>
          <w:szCs w:val="18"/>
        </w:rPr>
        <w:t>Abbreviations: CI, confidence interval</w:t>
      </w:r>
    </w:p>
    <w:p w:rsidR="0059506D" w:rsidRPr="00C04677" w:rsidRDefault="0059506D" w:rsidP="00F713FB">
      <w:pPr>
        <w:rPr>
          <w:rFonts w:ascii="Arial Narrow" w:hAnsi="Arial Narrow"/>
          <w:sz w:val="18"/>
          <w:szCs w:val="18"/>
        </w:rPr>
      </w:pPr>
      <w:r w:rsidRPr="00C04677">
        <w:rPr>
          <w:rFonts w:ascii="Arial Narrow" w:hAnsi="Arial Narrow"/>
          <w:sz w:val="18"/>
          <w:szCs w:val="18"/>
        </w:rPr>
        <w:t xml:space="preserve">Source: </w:t>
      </w:r>
      <w:r w:rsidR="000C045F" w:rsidRPr="00C04677">
        <w:rPr>
          <w:rFonts w:ascii="Arial Narrow" w:hAnsi="Arial Narrow"/>
          <w:sz w:val="18"/>
          <w:szCs w:val="18"/>
        </w:rPr>
        <w:t>Original</w:t>
      </w:r>
      <w:r w:rsidRPr="00C04677">
        <w:rPr>
          <w:rFonts w:ascii="Arial Narrow" w:hAnsi="Arial Narrow"/>
          <w:sz w:val="18"/>
          <w:szCs w:val="18"/>
        </w:rPr>
        <w:t xml:space="preserve"> </w:t>
      </w:r>
      <w:r w:rsidR="008A4714" w:rsidRPr="00C04677">
        <w:rPr>
          <w:rFonts w:ascii="Arial Narrow" w:hAnsi="Arial Narrow"/>
          <w:sz w:val="18"/>
          <w:szCs w:val="18"/>
        </w:rPr>
        <w:t xml:space="preserve">July 2016 </w:t>
      </w:r>
      <w:r w:rsidRPr="00C04677">
        <w:rPr>
          <w:rFonts w:ascii="Arial Narrow" w:hAnsi="Arial Narrow"/>
          <w:sz w:val="18"/>
          <w:szCs w:val="18"/>
        </w:rPr>
        <w:t xml:space="preserve">submission </w:t>
      </w:r>
    </w:p>
    <w:p w:rsidR="0059506D" w:rsidRPr="00C04677" w:rsidRDefault="0059506D" w:rsidP="0059506D">
      <w:pPr>
        <w:rPr>
          <w:rFonts w:ascii="Arial Narrow" w:hAnsi="Arial Narrow"/>
          <w:sz w:val="18"/>
          <w:szCs w:val="18"/>
        </w:rPr>
      </w:pPr>
    </w:p>
    <w:p w:rsidR="0059506D" w:rsidRPr="00C04677" w:rsidRDefault="0059506D" w:rsidP="0059506D">
      <w:pPr>
        <w:pStyle w:val="ListParagraph"/>
        <w:widowControl/>
        <w:numPr>
          <w:ilvl w:val="1"/>
          <w:numId w:val="5"/>
        </w:numPr>
        <w:rPr>
          <w:szCs w:val="22"/>
        </w:rPr>
      </w:pPr>
      <w:r w:rsidRPr="00C04677">
        <w:rPr>
          <w:szCs w:val="22"/>
        </w:rPr>
        <w:t>There were no statistically significant differences in relapse or disability outcomes between daclizumab and fingolimod. As for the indirect comparison using placebo, there were concerns noted during the evaluation regarding the exchangeability of the included trials and the robustness of outcome measures to account for differences in study duration. The PBAC noted the indirect comparison using IM IFN β-1a as the common comparator did not support a difference in disability outcomes.</w:t>
      </w:r>
    </w:p>
    <w:p w:rsidR="0059506D" w:rsidRPr="00C04677" w:rsidRDefault="0059506D" w:rsidP="0059506D">
      <w:pPr>
        <w:rPr>
          <w:rFonts w:ascii="Arial Narrow" w:hAnsi="Arial Narrow"/>
          <w:sz w:val="18"/>
          <w:szCs w:val="18"/>
        </w:rPr>
      </w:pPr>
    </w:p>
    <w:p w:rsidR="007A71FE" w:rsidRPr="00C04677" w:rsidRDefault="0059506D" w:rsidP="007A71FE">
      <w:pPr>
        <w:pStyle w:val="ListParagraph"/>
        <w:widowControl/>
        <w:numPr>
          <w:ilvl w:val="1"/>
          <w:numId w:val="5"/>
        </w:numPr>
        <w:rPr>
          <w:szCs w:val="22"/>
        </w:rPr>
      </w:pPr>
      <w:r w:rsidRPr="00C04677">
        <w:rPr>
          <w:szCs w:val="22"/>
        </w:rPr>
        <w:t>A direct comparison of daclizumab versus IM IFN β-1a was presented in the submission as supportive evidence.</w:t>
      </w:r>
      <w:r w:rsidR="007A71FE" w:rsidRPr="00C04677">
        <w:rPr>
          <w:szCs w:val="22"/>
        </w:rPr>
        <w:t xml:space="preserve"> The results of the direct comparison of daclizumab and IM IFN β-1a are presented in Table 5.</w:t>
      </w:r>
    </w:p>
    <w:p w:rsidR="007A71FE" w:rsidRPr="00C04677" w:rsidRDefault="007A71FE" w:rsidP="003221CF">
      <w:pPr>
        <w:pStyle w:val="ListParagraph"/>
        <w:rPr>
          <w:szCs w:val="22"/>
        </w:rPr>
      </w:pPr>
    </w:p>
    <w:p w:rsidR="0030503A" w:rsidRPr="00C04677" w:rsidRDefault="0030503A">
      <w:pPr>
        <w:rPr>
          <w:rFonts w:ascii="Arial Narrow" w:hAnsi="Arial Narrow"/>
          <w:b/>
          <w:bCs/>
          <w:sz w:val="20"/>
          <w:szCs w:val="18"/>
        </w:rPr>
      </w:pPr>
      <w:r w:rsidRPr="00C04677">
        <w:br w:type="page"/>
      </w:r>
    </w:p>
    <w:p w:rsidR="007A71FE" w:rsidRPr="00C04677" w:rsidRDefault="007A71FE" w:rsidP="003221CF">
      <w:pPr>
        <w:pStyle w:val="Caption"/>
        <w:keepNext/>
      </w:pPr>
      <w:r w:rsidRPr="00C04677">
        <w:lastRenderedPageBreak/>
        <w:t xml:space="preserve">Table </w:t>
      </w:r>
      <w:r w:rsidR="008859C3" w:rsidRPr="00CE43D0">
        <w:t>5</w:t>
      </w:r>
      <w:r w:rsidRPr="00C04677">
        <w:t>: Direct comparison of key outcomes between daclizumab and IM interferon beta-1a (DECIDE trial)</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3"/>
        <w:gridCol w:w="1864"/>
        <w:gridCol w:w="1866"/>
        <w:gridCol w:w="2444"/>
      </w:tblGrid>
      <w:tr w:rsidR="007A71FE" w:rsidRPr="00C04677" w:rsidTr="00564DC5">
        <w:trPr>
          <w:cantSplit/>
          <w:tblHeader/>
        </w:trPr>
        <w:tc>
          <w:tcPr>
            <w:tcW w:w="1592" w:type="pct"/>
            <w:shd w:val="clear" w:color="auto" w:fill="auto"/>
            <w:vAlign w:val="center"/>
          </w:tcPr>
          <w:p w:rsidR="007A71FE" w:rsidRPr="00C04677" w:rsidRDefault="007A71FE" w:rsidP="00564DC5">
            <w:pPr>
              <w:jc w:val="center"/>
              <w:rPr>
                <w:rFonts w:ascii="Arial Narrow" w:hAnsi="Arial Narrow"/>
                <w:b/>
                <w:sz w:val="20"/>
              </w:rPr>
            </w:pPr>
            <w:r w:rsidRPr="00C04677">
              <w:rPr>
                <w:rFonts w:ascii="Arial Narrow" w:hAnsi="Arial Narrow"/>
                <w:b/>
                <w:sz w:val="20"/>
              </w:rPr>
              <w:t>Outcome</w:t>
            </w:r>
          </w:p>
        </w:tc>
        <w:tc>
          <w:tcPr>
            <w:tcW w:w="1029" w:type="pct"/>
            <w:shd w:val="clear" w:color="auto" w:fill="auto"/>
            <w:vAlign w:val="center"/>
          </w:tcPr>
          <w:p w:rsidR="007A71FE" w:rsidRPr="00C04677" w:rsidRDefault="007A71FE" w:rsidP="00564DC5">
            <w:pPr>
              <w:jc w:val="center"/>
              <w:rPr>
                <w:rFonts w:ascii="Arial Narrow" w:hAnsi="Arial Narrow"/>
                <w:b/>
                <w:sz w:val="20"/>
              </w:rPr>
            </w:pPr>
            <w:r w:rsidRPr="00C04677">
              <w:rPr>
                <w:rFonts w:ascii="Arial Narrow" w:hAnsi="Arial Narrow"/>
                <w:b/>
                <w:sz w:val="20"/>
              </w:rPr>
              <w:t>Daclizumab</w:t>
            </w:r>
          </w:p>
          <w:p w:rsidR="007A71FE" w:rsidRPr="00C04677" w:rsidRDefault="007A71FE" w:rsidP="00564DC5">
            <w:pPr>
              <w:jc w:val="center"/>
              <w:rPr>
                <w:rFonts w:ascii="Arial Narrow" w:hAnsi="Arial Narrow"/>
                <w:b/>
                <w:sz w:val="20"/>
              </w:rPr>
            </w:pPr>
            <w:r w:rsidRPr="00C04677">
              <w:rPr>
                <w:rFonts w:ascii="Arial Narrow" w:hAnsi="Arial Narrow"/>
                <w:b/>
                <w:sz w:val="20"/>
              </w:rPr>
              <w:t>N = 919</w:t>
            </w:r>
          </w:p>
        </w:tc>
        <w:tc>
          <w:tcPr>
            <w:tcW w:w="1030" w:type="pct"/>
            <w:shd w:val="clear" w:color="auto" w:fill="auto"/>
            <w:vAlign w:val="center"/>
          </w:tcPr>
          <w:p w:rsidR="007A71FE" w:rsidRPr="00C04677" w:rsidRDefault="007A71FE" w:rsidP="00564DC5">
            <w:pPr>
              <w:jc w:val="center"/>
              <w:rPr>
                <w:rFonts w:ascii="Arial Narrow" w:hAnsi="Arial Narrow"/>
                <w:b/>
                <w:sz w:val="20"/>
              </w:rPr>
            </w:pPr>
            <w:r w:rsidRPr="00C04677">
              <w:rPr>
                <w:rFonts w:ascii="Arial Narrow" w:hAnsi="Arial Narrow"/>
                <w:b/>
                <w:sz w:val="20"/>
              </w:rPr>
              <w:t>IM interferon beta-1a</w:t>
            </w:r>
          </w:p>
          <w:p w:rsidR="007A71FE" w:rsidRPr="00C04677" w:rsidRDefault="007A71FE" w:rsidP="00564DC5">
            <w:pPr>
              <w:jc w:val="center"/>
              <w:rPr>
                <w:rFonts w:ascii="Arial Narrow" w:hAnsi="Arial Narrow"/>
                <w:b/>
                <w:sz w:val="20"/>
              </w:rPr>
            </w:pPr>
            <w:r w:rsidRPr="00C04677">
              <w:rPr>
                <w:rFonts w:ascii="Arial Narrow" w:hAnsi="Arial Narrow"/>
                <w:b/>
                <w:sz w:val="20"/>
              </w:rPr>
              <w:t>N = 922</w:t>
            </w:r>
          </w:p>
        </w:tc>
        <w:tc>
          <w:tcPr>
            <w:tcW w:w="1349" w:type="pct"/>
            <w:shd w:val="clear" w:color="auto" w:fill="auto"/>
            <w:vAlign w:val="center"/>
          </w:tcPr>
          <w:p w:rsidR="007A71FE" w:rsidRPr="00C04677" w:rsidRDefault="007A71FE" w:rsidP="00564DC5">
            <w:pPr>
              <w:jc w:val="center"/>
              <w:rPr>
                <w:rFonts w:ascii="Arial Narrow" w:hAnsi="Arial Narrow"/>
                <w:b/>
                <w:sz w:val="20"/>
              </w:rPr>
            </w:pPr>
            <w:r w:rsidRPr="00C04677">
              <w:rPr>
                <w:rFonts w:ascii="Arial Narrow" w:hAnsi="Arial Narrow"/>
                <w:b/>
                <w:sz w:val="20"/>
              </w:rPr>
              <w:t>Treatment difference</w:t>
            </w:r>
          </w:p>
          <w:p w:rsidR="007A71FE" w:rsidRPr="00C04677" w:rsidRDefault="007A71FE" w:rsidP="00564DC5">
            <w:pPr>
              <w:jc w:val="center"/>
              <w:rPr>
                <w:rFonts w:ascii="Arial Narrow" w:hAnsi="Arial Narrow"/>
                <w:b/>
                <w:sz w:val="20"/>
              </w:rPr>
            </w:pPr>
            <w:r w:rsidRPr="00C04677">
              <w:rPr>
                <w:rFonts w:ascii="Arial Narrow" w:hAnsi="Arial Narrow"/>
                <w:b/>
                <w:sz w:val="20"/>
              </w:rPr>
              <w:t>(95% CI)</w:t>
            </w:r>
          </w:p>
        </w:tc>
      </w:tr>
      <w:tr w:rsidR="007A71FE" w:rsidRPr="00C04677" w:rsidTr="00564DC5">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A71FE" w:rsidRPr="00C04677" w:rsidRDefault="007A71FE" w:rsidP="00564DC5">
            <w:pPr>
              <w:rPr>
                <w:rFonts w:ascii="Arial Narrow" w:hAnsi="Arial Narrow"/>
                <w:b/>
                <w:sz w:val="20"/>
              </w:rPr>
            </w:pPr>
            <w:r w:rsidRPr="00C04677">
              <w:rPr>
                <w:rFonts w:ascii="Arial Narrow" w:hAnsi="Arial Narrow"/>
                <w:b/>
                <w:sz w:val="20"/>
              </w:rPr>
              <w:t>Primary endpoint</w:t>
            </w:r>
          </w:p>
        </w:tc>
      </w:tr>
      <w:tr w:rsidR="007A71FE" w:rsidRPr="00C04677" w:rsidTr="00564DC5">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rsidR="007A71FE" w:rsidRPr="00C04677" w:rsidRDefault="007A71FE" w:rsidP="00564DC5">
            <w:pPr>
              <w:rPr>
                <w:rFonts w:ascii="Arial Narrow" w:hAnsi="Arial Narrow"/>
                <w:sz w:val="20"/>
              </w:rPr>
            </w:pPr>
            <w:r w:rsidRPr="00C04677">
              <w:rPr>
                <w:rFonts w:ascii="Arial Narrow" w:hAnsi="Arial Narrow"/>
                <w:sz w:val="20"/>
              </w:rPr>
              <w:t>Annualised relapse rate (95% CI) at end of study (2-3 years)</w:t>
            </w:r>
          </w:p>
        </w:tc>
        <w:tc>
          <w:tcPr>
            <w:tcW w:w="1029"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 xml:space="preserve">0.22 </w:t>
            </w:r>
          </w:p>
          <w:p w:rsidR="007A71FE" w:rsidRPr="00C04677" w:rsidRDefault="007A71FE" w:rsidP="00564DC5">
            <w:pPr>
              <w:jc w:val="center"/>
              <w:rPr>
                <w:rFonts w:ascii="Arial Narrow" w:hAnsi="Arial Narrow"/>
                <w:sz w:val="20"/>
              </w:rPr>
            </w:pPr>
            <w:r w:rsidRPr="00C04677">
              <w:rPr>
                <w:rFonts w:ascii="Arial Narrow" w:hAnsi="Arial Narrow"/>
                <w:sz w:val="20"/>
              </w:rPr>
              <w:t>(0.19, 0.24)</w:t>
            </w:r>
          </w:p>
        </w:tc>
        <w:tc>
          <w:tcPr>
            <w:tcW w:w="1030"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 xml:space="preserve">0.39 </w:t>
            </w:r>
          </w:p>
          <w:p w:rsidR="007A71FE" w:rsidRPr="00C04677" w:rsidRDefault="007A71FE" w:rsidP="00564DC5">
            <w:pPr>
              <w:jc w:val="center"/>
              <w:rPr>
                <w:rFonts w:ascii="Arial Narrow" w:hAnsi="Arial Narrow"/>
                <w:sz w:val="20"/>
              </w:rPr>
            </w:pPr>
            <w:r w:rsidRPr="00C04677">
              <w:rPr>
                <w:rFonts w:ascii="Arial Narrow" w:hAnsi="Arial Narrow"/>
                <w:sz w:val="20"/>
              </w:rPr>
              <w:t>(0.35, 0.44)</w:t>
            </w:r>
          </w:p>
        </w:tc>
        <w:tc>
          <w:tcPr>
            <w:tcW w:w="1349"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b/>
                <w:sz w:val="20"/>
              </w:rPr>
            </w:pPr>
            <w:r w:rsidRPr="00C04677">
              <w:rPr>
                <w:rFonts w:ascii="Arial Narrow" w:hAnsi="Arial Narrow"/>
                <w:b/>
                <w:sz w:val="20"/>
              </w:rPr>
              <w:t xml:space="preserve">Rate ratio: 0.55 </w:t>
            </w:r>
          </w:p>
          <w:p w:rsidR="007A71FE" w:rsidRPr="00C04677" w:rsidRDefault="007A71FE" w:rsidP="00564DC5">
            <w:pPr>
              <w:jc w:val="center"/>
              <w:rPr>
                <w:rFonts w:ascii="Arial Narrow" w:hAnsi="Arial Narrow"/>
                <w:sz w:val="20"/>
              </w:rPr>
            </w:pPr>
            <w:r w:rsidRPr="00C04677">
              <w:rPr>
                <w:rFonts w:ascii="Arial Narrow" w:hAnsi="Arial Narrow"/>
                <w:b/>
                <w:sz w:val="20"/>
              </w:rPr>
              <w:t>(0.47, 0.65)</w:t>
            </w:r>
          </w:p>
        </w:tc>
      </w:tr>
      <w:tr w:rsidR="007A71FE" w:rsidRPr="00C04677" w:rsidTr="003221CF">
        <w:trPr>
          <w:cantSplit/>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7A71FE" w:rsidRPr="00C04677" w:rsidRDefault="007A71FE" w:rsidP="00564DC5">
            <w:pPr>
              <w:rPr>
                <w:rFonts w:ascii="Arial Narrow" w:hAnsi="Arial Narrow"/>
                <w:b/>
                <w:sz w:val="20"/>
              </w:rPr>
            </w:pPr>
            <w:r w:rsidRPr="00C04677">
              <w:rPr>
                <w:rFonts w:ascii="Arial Narrow" w:hAnsi="Arial Narrow"/>
                <w:b/>
                <w:sz w:val="20"/>
              </w:rPr>
              <w:t>Secondary endpoints</w:t>
            </w:r>
          </w:p>
        </w:tc>
      </w:tr>
      <w:tr w:rsidR="007A71FE" w:rsidRPr="00C04677" w:rsidTr="00564DC5">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rsidR="007A71FE" w:rsidRPr="00C04677" w:rsidRDefault="007A71FE" w:rsidP="00564DC5">
            <w:pPr>
              <w:rPr>
                <w:rFonts w:ascii="Arial Narrow" w:hAnsi="Arial Narrow"/>
                <w:sz w:val="20"/>
              </w:rPr>
            </w:pPr>
            <w:r w:rsidRPr="00C04677">
              <w:rPr>
                <w:rFonts w:ascii="Arial Narrow" w:hAnsi="Arial Narrow"/>
                <w:sz w:val="20"/>
              </w:rPr>
              <w:t>Average number of new/enlarged T2 lesions (95% CI) at Week 96</w:t>
            </w:r>
          </w:p>
        </w:tc>
        <w:tc>
          <w:tcPr>
            <w:tcW w:w="1029"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 xml:space="preserve">4.31 </w:t>
            </w:r>
          </w:p>
          <w:p w:rsidR="007A71FE" w:rsidRPr="00C04677" w:rsidRDefault="007A71FE" w:rsidP="00564DC5">
            <w:pPr>
              <w:jc w:val="center"/>
              <w:rPr>
                <w:rFonts w:ascii="Arial Narrow" w:hAnsi="Arial Narrow"/>
                <w:sz w:val="20"/>
              </w:rPr>
            </w:pPr>
            <w:r w:rsidRPr="00C04677">
              <w:rPr>
                <w:rFonts w:ascii="Arial Narrow" w:hAnsi="Arial Narrow"/>
                <w:sz w:val="20"/>
              </w:rPr>
              <w:t>(3.85, 4.81)</w:t>
            </w:r>
          </w:p>
        </w:tc>
        <w:tc>
          <w:tcPr>
            <w:tcW w:w="1030"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 xml:space="preserve">9.44 </w:t>
            </w:r>
          </w:p>
          <w:p w:rsidR="007A71FE" w:rsidRPr="00C04677" w:rsidRDefault="007A71FE" w:rsidP="00564DC5">
            <w:pPr>
              <w:jc w:val="center"/>
              <w:rPr>
                <w:rFonts w:ascii="Arial Narrow" w:hAnsi="Arial Narrow"/>
                <w:sz w:val="20"/>
              </w:rPr>
            </w:pPr>
            <w:r w:rsidRPr="00C04677">
              <w:rPr>
                <w:rFonts w:ascii="Arial Narrow" w:hAnsi="Arial Narrow"/>
                <w:sz w:val="20"/>
              </w:rPr>
              <w:t>(8.46, 10.54)</w:t>
            </w:r>
          </w:p>
        </w:tc>
        <w:tc>
          <w:tcPr>
            <w:tcW w:w="1349"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b/>
                <w:sz w:val="20"/>
              </w:rPr>
            </w:pPr>
            <w:r w:rsidRPr="00C04677">
              <w:rPr>
                <w:rFonts w:ascii="Arial Narrow" w:hAnsi="Arial Narrow"/>
                <w:b/>
                <w:sz w:val="20"/>
              </w:rPr>
              <w:t xml:space="preserve">Mean difference: -54.4% </w:t>
            </w:r>
          </w:p>
          <w:p w:rsidR="007A71FE" w:rsidRPr="00C04677" w:rsidRDefault="007A71FE" w:rsidP="00564DC5">
            <w:pPr>
              <w:jc w:val="center"/>
              <w:rPr>
                <w:rFonts w:ascii="Arial Narrow" w:hAnsi="Arial Narrow"/>
                <w:b/>
                <w:sz w:val="20"/>
              </w:rPr>
            </w:pPr>
            <w:r w:rsidRPr="00C04677">
              <w:rPr>
                <w:rFonts w:ascii="Arial Narrow" w:hAnsi="Arial Narrow"/>
                <w:b/>
                <w:sz w:val="20"/>
              </w:rPr>
              <w:t>(-60.8, -46.9)</w:t>
            </w:r>
          </w:p>
        </w:tc>
      </w:tr>
      <w:tr w:rsidR="007A71FE" w:rsidRPr="00C04677" w:rsidTr="00564DC5">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rsidR="007A71FE" w:rsidRPr="00C04677" w:rsidRDefault="007A71FE" w:rsidP="00564DC5">
            <w:pPr>
              <w:rPr>
                <w:rFonts w:ascii="Arial Narrow" w:hAnsi="Arial Narrow"/>
                <w:sz w:val="20"/>
              </w:rPr>
            </w:pPr>
            <w:r w:rsidRPr="00C04677">
              <w:rPr>
                <w:rFonts w:ascii="Arial Narrow" w:hAnsi="Arial Narrow"/>
                <w:sz w:val="20"/>
              </w:rPr>
              <w:t>Time to 3-month sustained disability progression (n/N, %) at end of study (2-3 years)</w:t>
            </w:r>
          </w:p>
        </w:tc>
        <w:tc>
          <w:tcPr>
            <w:tcW w:w="1029"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 xml:space="preserve">121/919 </w:t>
            </w:r>
          </w:p>
          <w:p w:rsidR="007A71FE" w:rsidRPr="00C04677" w:rsidRDefault="007A71FE" w:rsidP="00564DC5">
            <w:pPr>
              <w:jc w:val="center"/>
              <w:rPr>
                <w:rFonts w:ascii="Arial Narrow" w:hAnsi="Arial Narrow"/>
                <w:sz w:val="20"/>
              </w:rPr>
            </w:pPr>
            <w:r w:rsidRPr="00C04677">
              <w:rPr>
                <w:rFonts w:ascii="Arial Narrow" w:hAnsi="Arial Narrow"/>
                <w:sz w:val="20"/>
              </w:rPr>
              <w:t>(13.2%)</w:t>
            </w:r>
          </w:p>
        </w:tc>
        <w:tc>
          <w:tcPr>
            <w:tcW w:w="1030"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 xml:space="preserve">140/922 </w:t>
            </w:r>
          </w:p>
          <w:p w:rsidR="007A71FE" w:rsidRPr="00C04677" w:rsidRDefault="007A71FE" w:rsidP="00564DC5">
            <w:pPr>
              <w:jc w:val="center"/>
              <w:rPr>
                <w:rFonts w:ascii="Arial Narrow" w:hAnsi="Arial Narrow"/>
                <w:sz w:val="20"/>
              </w:rPr>
            </w:pPr>
            <w:r w:rsidRPr="00C04677">
              <w:rPr>
                <w:rFonts w:ascii="Arial Narrow" w:hAnsi="Arial Narrow"/>
                <w:sz w:val="20"/>
              </w:rPr>
              <w:t>(15.2%)</w:t>
            </w:r>
          </w:p>
        </w:tc>
        <w:tc>
          <w:tcPr>
            <w:tcW w:w="1349"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 xml:space="preserve">Hazard ratio: 0.84 </w:t>
            </w:r>
          </w:p>
          <w:p w:rsidR="007A71FE" w:rsidRPr="00C04677" w:rsidRDefault="007A71FE" w:rsidP="00564DC5">
            <w:pPr>
              <w:jc w:val="center"/>
              <w:rPr>
                <w:rFonts w:ascii="Arial Narrow" w:hAnsi="Arial Narrow"/>
                <w:sz w:val="20"/>
              </w:rPr>
            </w:pPr>
            <w:r w:rsidRPr="00C04677">
              <w:rPr>
                <w:rFonts w:ascii="Arial Narrow" w:hAnsi="Arial Narrow"/>
                <w:sz w:val="20"/>
              </w:rPr>
              <w:t>(0.66, 1.07)</w:t>
            </w:r>
          </w:p>
        </w:tc>
      </w:tr>
      <w:tr w:rsidR="007A71FE" w:rsidRPr="00C04677" w:rsidTr="00564DC5">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rsidR="007A71FE" w:rsidRPr="00C04677" w:rsidRDefault="007A71FE" w:rsidP="00564DC5">
            <w:pPr>
              <w:rPr>
                <w:rFonts w:ascii="Arial Narrow" w:hAnsi="Arial Narrow"/>
                <w:sz w:val="20"/>
              </w:rPr>
            </w:pPr>
            <w:r w:rsidRPr="00C04677">
              <w:rPr>
                <w:rFonts w:ascii="Arial Narrow" w:hAnsi="Arial Narrow"/>
                <w:sz w:val="20"/>
              </w:rPr>
              <w:t>Proportion of relapse-free patients (n/N, %) at end of study (2-3 years)</w:t>
            </w:r>
          </w:p>
        </w:tc>
        <w:tc>
          <w:tcPr>
            <w:tcW w:w="1029"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659/919</w:t>
            </w:r>
          </w:p>
          <w:p w:rsidR="007A71FE" w:rsidRPr="00C04677" w:rsidRDefault="007A71FE" w:rsidP="00564DC5">
            <w:pPr>
              <w:jc w:val="center"/>
              <w:rPr>
                <w:rFonts w:ascii="Arial Narrow" w:hAnsi="Arial Narrow"/>
                <w:sz w:val="20"/>
              </w:rPr>
            </w:pPr>
            <w:r w:rsidRPr="00C04677">
              <w:rPr>
                <w:rFonts w:ascii="Arial Narrow" w:hAnsi="Arial Narrow"/>
                <w:sz w:val="20"/>
              </w:rPr>
              <w:t>(71.7%)</w:t>
            </w:r>
          </w:p>
        </w:tc>
        <w:tc>
          <w:tcPr>
            <w:tcW w:w="1030"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530/922</w:t>
            </w:r>
          </w:p>
          <w:p w:rsidR="007A71FE" w:rsidRPr="00C04677" w:rsidRDefault="007A71FE" w:rsidP="00564DC5">
            <w:pPr>
              <w:jc w:val="center"/>
              <w:rPr>
                <w:rFonts w:ascii="Arial Narrow" w:hAnsi="Arial Narrow"/>
                <w:sz w:val="20"/>
              </w:rPr>
            </w:pPr>
            <w:r w:rsidRPr="00C04677">
              <w:rPr>
                <w:rFonts w:ascii="Arial Narrow" w:hAnsi="Arial Narrow"/>
                <w:sz w:val="20"/>
              </w:rPr>
              <w:t>(57.5%)</w:t>
            </w:r>
          </w:p>
        </w:tc>
        <w:tc>
          <w:tcPr>
            <w:tcW w:w="1349"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 xml:space="preserve">Hazard ratio: 0.59 </w:t>
            </w:r>
          </w:p>
          <w:p w:rsidR="007A71FE" w:rsidRPr="00C04677" w:rsidRDefault="007A71FE" w:rsidP="00564DC5">
            <w:pPr>
              <w:jc w:val="center"/>
              <w:rPr>
                <w:rFonts w:ascii="Arial Narrow" w:hAnsi="Arial Narrow"/>
                <w:sz w:val="20"/>
                <w:vertAlign w:val="superscript"/>
              </w:rPr>
            </w:pPr>
            <w:r w:rsidRPr="00C04677">
              <w:rPr>
                <w:rFonts w:ascii="Arial Narrow" w:hAnsi="Arial Narrow"/>
                <w:sz w:val="20"/>
              </w:rPr>
              <w:t>(0.50, 0.69)</w:t>
            </w:r>
            <w:r w:rsidRPr="00C04677">
              <w:rPr>
                <w:rFonts w:ascii="Arial Narrow" w:hAnsi="Arial Narrow"/>
                <w:sz w:val="20"/>
                <w:vertAlign w:val="superscript"/>
              </w:rPr>
              <w:t>a</w:t>
            </w:r>
          </w:p>
        </w:tc>
      </w:tr>
      <w:tr w:rsidR="007A71FE" w:rsidRPr="00C04677" w:rsidTr="00564DC5">
        <w:trPr>
          <w:cantSplit/>
        </w:trPr>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rsidR="007A71FE" w:rsidRPr="00C04677" w:rsidRDefault="007A71FE" w:rsidP="00564DC5">
            <w:pPr>
              <w:rPr>
                <w:rFonts w:ascii="Arial Narrow" w:hAnsi="Arial Narrow"/>
                <w:sz w:val="20"/>
                <w:vertAlign w:val="superscript"/>
              </w:rPr>
            </w:pPr>
            <w:r w:rsidRPr="00C04677">
              <w:rPr>
                <w:rFonts w:ascii="Arial Narrow" w:hAnsi="Arial Narrow"/>
                <w:sz w:val="20"/>
              </w:rPr>
              <w:t>Clinically meaningful worsening on MSIS-29 physical subscale (n/N, %) at Week 96</w:t>
            </w:r>
            <w:r w:rsidRPr="00C04677">
              <w:rPr>
                <w:rFonts w:ascii="Arial Narrow" w:hAnsi="Arial Narrow"/>
                <w:sz w:val="20"/>
                <w:vertAlign w:val="superscript"/>
              </w:rPr>
              <w:t>b</w:t>
            </w:r>
          </w:p>
        </w:tc>
        <w:tc>
          <w:tcPr>
            <w:tcW w:w="1029"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 xml:space="preserve">171/906 </w:t>
            </w:r>
          </w:p>
          <w:p w:rsidR="007A71FE" w:rsidRPr="00C04677" w:rsidRDefault="007A71FE" w:rsidP="00564DC5">
            <w:pPr>
              <w:jc w:val="center"/>
              <w:rPr>
                <w:rFonts w:ascii="Arial Narrow" w:hAnsi="Arial Narrow"/>
                <w:sz w:val="20"/>
              </w:rPr>
            </w:pPr>
            <w:r w:rsidRPr="00C04677">
              <w:rPr>
                <w:rFonts w:ascii="Arial Narrow" w:hAnsi="Arial Narrow"/>
                <w:sz w:val="20"/>
              </w:rPr>
              <w:t>(18.9%)</w:t>
            </w:r>
          </w:p>
        </w:tc>
        <w:tc>
          <w:tcPr>
            <w:tcW w:w="1030"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 xml:space="preserve">213/912 </w:t>
            </w:r>
          </w:p>
          <w:p w:rsidR="007A71FE" w:rsidRPr="00C04677" w:rsidRDefault="007A71FE" w:rsidP="00564DC5">
            <w:pPr>
              <w:jc w:val="center"/>
              <w:rPr>
                <w:rFonts w:ascii="Arial Narrow" w:hAnsi="Arial Narrow"/>
                <w:sz w:val="20"/>
              </w:rPr>
            </w:pPr>
            <w:r w:rsidRPr="00C04677">
              <w:rPr>
                <w:rFonts w:ascii="Arial Narrow" w:hAnsi="Arial Narrow"/>
                <w:sz w:val="20"/>
              </w:rPr>
              <w:t>(23.4%)</w:t>
            </w:r>
          </w:p>
        </w:tc>
        <w:tc>
          <w:tcPr>
            <w:tcW w:w="1349" w:type="pct"/>
            <w:tcBorders>
              <w:top w:val="single" w:sz="4" w:space="0" w:color="auto"/>
              <w:left w:val="single" w:sz="4" w:space="0" w:color="auto"/>
              <w:bottom w:val="single" w:sz="4" w:space="0" w:color="auto"/>
              <w:right w:val="single" w:sz="4" w:space="0" w:color="auto"/>
            </w:tcBorders>
            <w:vAlign w:val="center"/>
          </w:tcPr>
          <w:p w:rsidR="007A71FE" w:rsidRPr="00C04677" w:rsidRDefault="007A71FE" w:rsidP="00564DC5">
            <w:pPr>
              <w:jc w:val="center"/>
              <w:rPr>
                <w:rFonts w:ascii="Arial Narrow" w:hAnsi="Arial Narrow"/>
                <w:sz w:val="20"/>
              </w:rPr>
            </w:pPr>
            <w:r w:rsidRPr="00C04677">
              <w:rPr>
                <w:rFonts w:ascii="Arial Narrow" w:hAnsi="Arial Narrow"/>
                <w:sz w:val="20"/>
              </w:rPr>
              <w:t xml:space="preserve">Odds ratio: 0.76 </w:t>
            </w:r>
          </w:p>
          <w:p w:rsidR="007A71FE" w:rsidRPr="00C04677" w:rsidRDefault="007A71FE" w:rsidP="00564DC5">
            <w:pPr>
              <w:jc w:val="center"/>
              <w:rPr>
                <w:rFonts w:ascii="Arial Narrow" w:hAnsi="Arial Narrow"/>
                <w:sz w:val="20"/>
                <w:vertAlign w:val="superscript"/>
              </w:rPr>
            </w:pPr>
            <w:r w:rsidRPr="00C04677">
              <w:rPr>
                <w:rFonts w:ascii="Arial Narrow" w:hAnsi="Arial Narrow"/>
                <w:sz w:val="20"/>
              </w:rPr>
              <w:t>(0.60, 0.95)</w:t>
            </w:r>
            <w:r w:rsidRPr="00C04677">
              <w:rPr>
                <w:rFonts w:ascii="Arial Narrow" w:hAnsi="Arial Narrow"/>
                <w:sz w:val="20"/>
                <w:vertAlign w:val="superscript"/>
              </w:rPr>
              <w:t>a</w:t>
            </w:r>
          </w:p>
        </w:tc>
      </w:tr>
    </w:tbl>
    <w:p w:rsidR="007A71FE" w:rsidRPr="00C04677" w:rsidRDefault="007A71FE" w:rsidP="007A71FE">
      <w:pPr>
        <w:rPr>
          <w:rFonts w:ascii="Arial Narrow" w:hAnsi="Arial Narrow"/>
          <w:sz w:val="18"/>
          <w:szCs w:val="18"/>
        </w:rPr>
      </w:pPr>
      <w:r w:rsidRPr="00C04677">
        <w:rPr>
          <w:rFonts w:ascii="Arial Narrow" w:hAnsi="Arial Narrow"/>
          <w:sz w:val="18"/>
          <w:szCs w:val="18"/>
        </w:rPr>
        <w:t>Abbreviations: CI, confidence interval</w:t>
      </w:r>
    </w:p>
    <w:p w:rsidR="007A71FE" w:rsidRPr="00C04677" w:rsidRDefault="007A71FE" w:rsidP="007A71FE">
      <w:pPr>
        <w:rPr>
          <w:rFonts w:ascii="Arial Narrow" w:hAnsi="Arial Narrow"/>
          <w:sz w:val="18"/>
          <w:szCs w:val="18"/>
        </w:rPr>
      </w:pPr>
      <w:r w:rsidRPr="00C04677">
        <w:rPr>
          <w:rFonts w:ascii="Arial Narrow" w:hAnsi="Arial Narrow"/>
          <w:sz w:val="18"/>
          <w:szCs w:val="18"/>
        </w:rPr>
        <w:t xml:space="preserve">Source: </w:t>
      </w:r>
      <w:r w:rsidR="000C045F" w:rsidRPr="00C04677">
        <w:rPr>
          <w:rFonts w:ascii="Arial Narrow" w:hAnsi="Arial Narrow"/>
          <w:sz w:val="18"/>
          <w:szCs w:val="18"/>
        </w:rPr>
        <w:t>Original</w:t>
      </w:r>
      <w:r w:rsidRPr="00C04677">
        <w:rPr>
          <w:rFonts w:ascii="Arial Narrow" w:hAnsi="Arial Narrow"/>
          <w:sz w:val="18"/>
          <w:szCs w:val="18"/>
        </w:rPr>
        <w:t xml:space="preserve"> </w:t>
      </w:r>
      <w:r w:rsidR="00BC6DD7" w:rsidRPr="00C04677">
        <w:rPr>
          <w:rFonts w:ascii="Arial Narrow" w:hAnsi="Arial Narrow"/>
          <w:sz w:val="18"/>
          <w:szCs w:val="18"/>
        </w:rPr>
        <w:t xml:space="preserve">July 2016 </w:t>
      </w:r>
      <w:r w:rsidRPr="00C04677">
        <w:rPr>
          <w:rFonts w:ascii="Arial Narrow" w:hAnsi="Arial Narrow"/>
          <w:sz w:val="18"/>
          <w:szCs w:val="18"/>
        </w:rPr>
        <w:t>submission</w:t>
      </w:r>
    </w:p>
    <w:p w:rsidR="007A71FE" w:rsidRPr="00C04677" w:rsidRDefault="007A71FE" w:rsidP="007A71FE">
      <w:pPr>
        <w:rPr>
          <w:rFonts w:ascii="Arial Narrow" w:hAnsi="Arial Narrow"/>
          <w:sz w:val="18"/>
          <w:szCs w:val="18"/>
        </w:rPr>
      </w:pPr>
      <w:r w:rsidRPr="00C04677">
        <w:rPr>
          <w:rFonts w:ascii="Arial Narrow" w:hAnsi="Arial Narrow"/>
          <w:sz w:val="18"/>
          <w:szCs w:val="18"/>
          <w:vertAlign w:val="superscript"/>
        </w:rPr>
        <w:t>a</w:t>
      </w:r>
      <w:r w:rsidRPr="00C04677">
        <w:rPr>
          <w:rFonts w:ascii="Arial Narrow" w:hAnsi="Arial Narrow"/>
          <w:sz w:val="18"/>
          <w:szCs w:val="18"/>
        </w:rPr>
        <w:t xml:space="preserve"> The DECIDE trial used a hierarchical statistical testing approach to adjust for multiple comparisons with daclizumab failing to demonstrate a difference with a higher order comparison (3-month sustained disability progression) and therefore lower order comparisons (such as relapse-free patients and clinical worsening on MSIS-29 subscale) were not statistically significant.</w:t>
      </w:r>
    </w:p>
    <w:p w:rsidR="007A71FE" w:rsidRPr="00C04677" w:rsidRDefault="007A71FE" w:rsidP="007A71FE">
      <w:pPr>
        <w:rPr>
          <w:rFonts w:ascii="Arial Narrow" w:hAnsi="Arial Narrow"/>
          <w:sz w:val="18"/>
          <w:szCs w:val="18"/>
        </w:rPr>
      </w:pPr>
      <w:r w:rsidRPr="00C04677">
        <w:rPr>
          <w:rFonts w:ascii="Arial Narrow" w:hAnsi="Arial Narrow"/>
          <w:sz w:val="18"/>
          <w:szCs w:val="18"/>
          <w:vertAlign w:val="superscript"/>
        </w:rPr>
        <w:t>b</w:t>
      </w:r>
      <w:r w:rsidRPr="00C04677">
        <w:rPr>
          <w:rFonts w:ascii="Arial Narrow" w:hAnsi="Arial Narrow"/>
          <w:sz w:val="18"/>
          <w:szCs w:val="18"/>
        </w:rPr>
        <w:t xml:space="preserve"> MSIS-29 assessed the impact of multiple sclerosis on physical (20 items) and psychological domains (9 items). Clinically meaningful worsening was defined as an increase of at least 7.5 points from baseline in the MSIS-29 physical subscale score (potential scores range from 1 to 100).</w:t>
      </w:r>
    </w:p>
    <w:p w:rsidR="007A71FE" w:rsidRPr="00C04677" w:rsidRDefault="007A71FE" w:rsidP="003221CF">
      <w:pPr>
        <w:rPr>
          <w:szCs w:val="22"/>
        </w:rPr>
      </w:pPr>
    </w:p>
    <w:p w:rsidR="007A71FE" w:rsidRPr="00C04677" w:rsidRDefault="007A71FE" w:rsidP="003221CF">
      <w:pPr>
        <w:pStyle w:val="ListParagraph"/>
        <w:rPr>
          <w:szCs w:val="22"/>
        </w:rPr>
      </w:pPr>
    </w:p>
    <w:p w:rsidR="0059506D" w:rsidRPr="00C04677" w:rsidRDefault="0059506D" w:rsidP="007A71FE">
      <w:pPr>
        <w:pStyle w:val="ListParagraph"/>
        <w:widowControl/>
        <w:numPr>
          <w:ilvl w:val="1"/>
          <w:numId w:val="5"/>
        </w:numPr>
        <w:rPr>
          <w:szCs w:val="22"/>
        </w:rPr>
      </w:pPr>
      <w:r w:rsidRPr="00C04677">
        <w:rPr>
          <w:szCs w:val="22"/>
        </w:rPr>
        <w:t>Daclizumab was associated with statistically significant improvements in both relapse outcomes and MRI measures compared to IM IFN β-1a. There was no difference in confirmed disability progression events between treatments although additional analyses suggested that results favour daclizumab when disability progression was relaxed to include tentative cases. The PBAC noted the lack of demonstration of superiority over IFN β-1a for the endpoint of progression of disability</w:t>
      </w:r>
      <w:r w:rsidR="00563C6A" w:rsidRPr="00C04677">
        <w:rPr>
          <w:szCs w:val="22"/>
        </w:rPr>
        <w:t>, and that this</w:t>
      </w:r>
      <w:r w:rsidRPr="00C04677">
        <w:rPr>
          <w:szCs w:val="22"/>
        </w:rPr>
        <w:t xml:space="preserve"> was an issue </w:t>
      </w:r>
      <w:r w:rsidR="00563C6A" w:rsidRPr="00C04677">
        <w:rPr>
          <w:szCs w:val="22"/>
        </w:rPr>
        <w:t xml:space="preserve">that was also </w:t>
      </w:r>
      <w:r w:rsidRPr="00C04677">
        <w:rPr>
          <w:szCs w:val="22"/>
        </w:rPr>
        <w:t>raised in the TGA Delegate’s Overview.</w:t>
      </w:r>
    </w:p>
    <w:p w:rsidR="0059506D" w:rsidRPr="00C04677" w:rsidRDefault="0059506D" w:rsidP="003221CF"/>
    <w:p w:rsidR="0059506D" w:rsidRPr="00C04677" w:rsidRDefault="0059506D" w:rsidP="0059506D">
      <w:pPr>
        <w:pStyle w:val="ListParagraph"/>
        <w:widowControl/>
        <w:numPr>
          <w:ilvl w:val="1"/>
          <w:numId w:val="5"/>
        </w:numPr>
        <w:rPr>
          <w:szCs w:val="22"/>
        </w:rPr>
      </w:pPr>
      <w:r w:rsidRPr="00C04677">
        <w:rPr>
          <w:szCs w:val="22"/>
        </w:rPr>
        <w:t xml:space="preserve">The </w:t>
      </w:r>
      <w:r w:rsidR="00887377" w:rsidRPr="00C04677">
        <w:rPr>
          <w:szCs w:val="22"/>
        </w:rPr>
        <w:t xml:space="preserve">PBAC </w:t>
      </w:r>
      <w:r w:rsidRPr="00C04677">
        <w:rPr>
          <w:szCs w:val="22"/>
        </w:rPr>
        <w:t xml:space="preserve">recalled </w:t>
      </w:r>
      <w:r w:rsidR="00887377" w:rsidRPr="00C04677">
        <w:rPr>
          <w:szCs w:val="22"/>
        </w:rPr>
        <w:t xml:space="preserve">its </w:t>
      </w:r>
      <w:r w:rsidRPr="00C04677">
        <w:rPr>
          <w:szCs w:val="22"/>
        </w:rPr>
        <w:t xml:space="preserve">previous consideration of DMF in July 2013, in which the submission requested listing on a cost minimisation basis with fingolimod. The PBAC did not accept the superiority claim for DMF over pooled ABCR therapies as the level of heterogeneity between the various trial populations made the indirect comparison difficult to interpret. DMF was recommended on a cost-minimisation basis with ABCR therapies based on a comparison of DMF and glatiramer acetate presented in that submission. </w:t>
      </w:r>
    </w:p>
    <w:p w:rsidR="0059506D" w:rsidRPr="00C04677" w:rsidRDefault="0059506D" w:rsidP="0059506D">
      <w:bookmarkStart w:id="4" w:name="_Toc450127247"/>
    </w:p>
    <w:p w:rsidR="0059506D" w:rsidRPr="00C04677" w:rsidRDefault="0059506D" w:rsidP="0059506D">
      <w:pPr>
        <w:pStyle w:val="Heading2"/>
      </w:pPr>
      <w:r w:rsidRPr="00C04677">
        <w:t>Comparative harms</w:t>
      </w:r>
      <w:bookmarkEnd w:id="4"/>
    </w:p>
    <w:p w:rsidR="0059506D" w:rsidRPr="00C04677" w:rsidRDefault="0059506D" w:rsidP="0059506D">
      <w:pPr>
        <w:ind w:left="720" w:hanging="720"/>
        <w:rPr>
          <w:szCs w:val="22"/>
        </w:rPr>
      </w:pPr>
    </w:p>
    <w:p w:rsidR="0059506D" w:rsidRPr="00C04677" w:rsidRDefault="0059506D" w:rsidP="0059506D">
      <w:pPr>
        <w:pStyle w:val="ListParagraph"/>
        <w:widowControl/>
        <w:numPr>
          <w:ilvl w:val="1"/>
          <w:numId w:val="5"/>
        </w:numPr>
        <w:rPr>
          <w:szCs w:val="22"/>
        </w:rPr>
      </w:pPr>
      <w:r w:rsidRPr="00C04677">
        <w:rPr>
          <w:szCs w:val="22"/>
        </w:rPr>
        <w:t>A series of indirect comparisons of safety outcomes between daclizumab and fingolimod were presented in the submission (any adverse event, serious adverse events, adverse events leading to discontinuation, infections, and liver enzyme abnormalities). These analyses did not identify any statistically significant difference in adverse events between treatments.</w:t>
      </w:r>
    </w:p>
    <w:p w:rsidR="0059506D" w:rsidRPr="00C04677" w:rsidRDefault="0059506D" w:rsidP="003221CF"/>
    <w:p w:rsidR="0059506D" w:rsidRPr="00C04677" w:rsidRDefault="00035BB4" w:rsidP="0059506D">
      <w:pPr>
        <w:pStyle w:val="ListParagraph"/>
        <w:widowControl/>
        <w:numPr>
          <w:ilvl w:val="1"/>
          <w:numId w:val="5"/>
        </w:numPr>
        <w:rPr>
          <w:szCs w:val="22"/>
        </w:rPr>
      </w:pPr>
      <w:r w:rsidRPr="00C04677">
        <w:rPr>
          <w:szCs w:val="22"/>
        </w:rPr>
        <w:lastRenderedPageBreak/>
        <w:t>In July 2016, t</w:t>
      </w:r>
      <w:r w:rsidR="0059506D" w:rsidRPr="00C04677">
        <w:rPr>
          <w:szCs w:val="22"/>
        </w:rPr>
        <w:t>he PBAC considered the analyses largely non-informative given that there were substantial differences in the incidence of adverse events (particularly serious events) between common comparator arms, the lack of statistical power to detect a meaningful difference in adverse event rates,</w:t>
      </w:r>
      <w:r w:rsidR="00C45640" w:rsidRPr="00C04677">
        <w:rPr>
          <w:szCs w:val="22"/>
        </w:rPr>
        <w:t xml:space="preserve"> and</w:t>
      </w:r>
      <w:r w:rsidR="0059506D" w:rsidRPr="00C04677">
        <w:rPr>
          <w:szCs w:val="22"/>
        </w:rPr>
        <w:t xml:space="preserve"> the analyses were confounded by events of MS relapse being classified as adverse events and differences in study duration across the daclizumab and fingolimod trials. </w:t>
      </w:r>
    </w:p>
    <w:p w:rsidR="0059506D" w:rsidRPr="00C04677" w:rsidRDefault="0059506D" w:rsidP="0059506D">
      <w:pPr>
        <w:rPr>
          <w:szCs w:val="22"/>
        </w:rPr>
      </w:pPr>
    </w:p>
    <w:p w:rsidR="0059506D" w:rsidRPr="00C04677" w:rsidRDefault="0059506D" w:rsidP="0059506D">
      <w:pPr>
        <w:pStyle w:val="ListParagraph"/>
        <w:widowControl/>
        <w:numPr>
          <w:ilvl w:val="1"/>
          <w:numId w:val="5"/>
        </w:numPr>
        <w:rPr>
          <w:szCs w:val="22"/>
        </w:rPr>
      </w:pPr>
      <w:r w:rsidRPr="00C04677">
        <w:rPr>
          <w:szCs w:val="22"/>
        </w:rPr>
        <w:t>Based on data from the included clinical trials, the most frequent treatment-related adverse events associated with daclizumab were general disorders (pyrexia, injection-site pain, influenza-like illness, fatigue, injection site erythema, injection site bruising), cutaneous events (rash, eczema), infections and infestations (nasopharyngitis, upper respiratory tract infection, pharyngitis), investigations (ALT increased, AST increased, LFT abnormal, GGT increased), nervous system disorders (headache), gastrointestinal disorders (nausea), blood and lymphatic system disorders (lymphadenopathy, lymphopenia). Treatment with daclizumab was associated with an increased incidence of serious infections and serious cutaneous events.</w:t>
      </w:r>
      <w:r w:rsidR="00035BB4" w:rsidRPr="00C04677">
        <w:rPr>
          <w:szCs w:val="22"/>
        </w:rPr>
        <w:t xml:space="preserve"> T</w:t>
      </w:r>
      <w:r w:rsidRPr="00C04677">
        <w:rPr>
          <w:szCs w:val="22"/>
        </w:rPr>
        <w:t>he PBAC noted that steroids may be used more frequently to manage skin reactions associated with daclizumab. The most frequent adverse event leading to treatment discontinuation was liver enzyme abnormalities.</w:t>
      </w:r>
    </w:p>
    <w:p w:rsidR="0059506D" w:rsidRPr="00C04677" w:rsidRDefault="0059506D" w:rsidP="0059506D">
      <w:pPr>
        <w:pStyle w:val="ListParagraph"/>
        <w:widowControl/>
        <w:rPr>
          <w:szCs w:val="22"/>
        </w:rPr>
      </w:pPr>
    </w:p>
    <w:p w:rsidR="0059506D" w:rsidRPr="00C04677" w:rsidRDefault="0059506D" w:rsidP="0059506D">
      <w:pPr>
        <w:pStyle w:val="ListParagraph"/>
        <w:widowControl/>
        <w:numPr>
          <w:ilvl w:val="1"/>
          <w:numId w:val="5"/>
        </w:numPr>
        <w:rPr>
          <w:szCs w:val="22"/>
        </w:rPr>
      </w:pPr>
      <w:r w:rsidRPr="00C04677">
        <w:rPr>
          <w:szCs w:val="22"/>
        </w:rPr>
        <w:t>Based on the Development Safety Update Report, important identified risks associated with daclizumab treatment included transaminase elevations and serious hepatic injury; cutaneous and serious cutaneous events; infections and serious infections; and colitis. Important potential risks associated with biological therapies included anaphylaxis, opportunistic infection and malignancy.</w:t>
      </w:r>
    </w:p>
    <w:p w:rsidR="0059506D" w:rsidRPr="00C04677" w:rsidRDefault="0059506D" w:rsidP="0059506D">
      <w:pPr>
        <w:pStyle w:val="ListParagraph"/>
        <w:widowControl/>
        <w:rPr>
          <w:szCs w:val="22"/>
        </w:rPr>
      </w:pPr>
    </w:p>
    <w:p w:rsidR="0059506D" w:rsidRPr="00C04677" w:rsidRDefault="0059506D" w:rsidP="0059506D">
      <w:pPr>
        <w:pStyle w:val="ListParagraph"/>
        <w:widowControl/>
        <w:numPr>
          <w:ilvl w:val="1"/>
          <w:numId w:val="5"/>
        </w:numPr>
        <w:rPr>
          <w:szCs w:val="22"/>
        </w:rPr>
      </w:pPr>
      <w:r w:rsidRPr="00C04677">
        <w:rPr>
          <w:szCs w:val="22"/>
        </w:rPr>
        <w:t xml:space="preserve">Two treatment-related deaths were reported with daclizumab therapy in the clinical trial program (serious rash with subsequent psoas abscess resulting in local thrombosis and acute ischaemic colitis; and autoimmune hepatitis). The occurrence of autoimmune hepatitis resulted in the requirement </w:t>
      </w:r>
      <w:r w:rsidR="00BC6DD7" w:rsidRPr="00C04677">
        <w:rPr>
          <w:szCs w:val="22"/>
        </w:rPr>
        <w:t xml:space="preserve">in the TGA registration </w:t>
      </w:r>
      <w:r w:rsidRPr="00C04677">
        <w:rPr>
          <w:szCs w:val="22"/>
        </w:rPr>
        <w:t>for monthly liver function testing with daclizumab therapy.</w:t>
      </w:r>
    </w:p>
    <w:p w:rsidR="0059506D" w:rsidRPr="00C04677" w:rsidRDefault="0059506D" w:rsidP="0059506D">
      <w:pPr>
        <w:pStyle w:val="ListParagraph"/>
        <w:rPr>
          <w:szCs w:val="22"/>
        </w:rPr>
      </w:pPr>
    </w:p>
    <w:p w:rsidR="0059506D" w:rsidRPr="00C04677" w:rsidRDefault="0059506D" w:rsidP="0059506D">
      <w:pPr>
        <w:pStyle w:val="ListParagraph"/>
        <w:widowControl/>
        <w:numPr>
          <w:ilvl w:val="1"/>
          <w:numId w:val="5"/>
        </w:numPr>
        <w:rPr>
          <w:szCs w:val="22"/>
        </w:rPr>
      </w:pPr>
      <w:r w:rsidRPr="00C04677">
        <w:t>There are limited long-term data on the safety of daclizumab for the treatment of multiple sclerosis. The PBAC also noted that a potential risk of depression associated with daclizumab treatment was identified in the TGA Delegate’s Overview.</w:t>
      </w:r>
    </w:p>
    <w:p w:rsidR="0059506D" w:rsidRPr="00C04677" w:rsidRDefault="0059506D" w:rsidP="0059506D">
      <w:pPr>
        <w:pStyle w:val="ListParagraph"/>
        <w:rPr>
          <w:szCs w:val="22"/>
        </w:rPr>
      </w:pPr>
    </w:p>
    <w:p w:rsidR="0059506D" w:rsidRPr="00C04677" w:rsidRDefault="0059506D" w:rsidP="0059506D">
      <w:pPr>
        <w:pStyle w:val="Heading2"/>
      </w:pPr>
      <w:bookmarkStart w:id="5" w:name="_Toc450127248"/>
      <w:r w:rsidRPr="00C04677">
        <w:t>Clinical claim</w:t>
      </w:r>
      <w:bookmarkEnd w:id="5"/>
    </w:p>
    <w:p w:rsidR="0059506D" w:rsidRPr="00C04677" w:rsidRDefault="0059506D" w:rsidP="0059506D">
      <w:pPr>
        <w:ind w:left="720" w:hanging="720"/>
        <w:rPr>
          <w:szCs w:val="22"/>
        </w:rPr>
      </w:pPr>
    </w:p>
    <w:p w:rsidR="008202DE" w:rsidRPr="00C04677" w:rsidRDefault="0059506D" w:rsidP="0059506D">
      <w:pPr>
        <w:pStyle w:val="ListParagraph"/>
        <w:widowControl/>
        <w:numPr>
          <w:ilvl w:val="1"/>
          <w:numId w:val="5"/>
        </w:numPr>
        <w:rPr>
          <w:szCs w:val="22"/>
        </w:rPr>
      </w:pPr>
      <w:r w:rsidRPr="00C04677">
        <w:rPr>
          <w:szCs w:val="22"/>
        </w:rPr>
        <w:t>The submission described daclizumab as non-inferior in terms of</w:t>
      </w:r>
      <w:r w:rsidR="00C45640" w:rsidRPr="00C04677">
        <w:rPr>
          <w:szCs w:val="22"/>
        </w:rPr>
        <w:t xml:space="preserve"> comparative</w:t>
      </w:r>
      <w:r w:rsidRPr="00C04677">
        <w:rPr>
          <w:szCs w:val="22"/>
        </w:rPr>
        <w:t xml:space="preserve"> efficacy and </w:t>
      </w:r>
      <w:r w:rsidR="008202DE" w:rsidRPr="00C04677">
        <w:rPr>
          <w:szCs w:val="22"/>
        </w:rPr>
        <w:t>safety compared to fingolimod. It also described daclizumab as superior in terms of efficacy and similar in</w:t>
      </w:r>
      <w:r w:rsidR="009E530E" w:rsidRPr="00C04677">
        <w:rPr>
          <w:szCs w:val="22"/>
        </w:rPr>
        <w:t xml:space="preserve"> terms of safety compared to IM IFN β</w:t>
      </w:r>
      <w:r w:rsidR="009E530E" w:rsidRPr="00C04677">
        <w:rPr>
          <w:szCs w:val="22"/>
        </w:rPr>
        <w:noBreakHyphen/>
      </w:r>
      <w:r w:rsidR="008202DE" w:rsidRPr="00C04677">
        <w:rPr>
          <w:szCs w:val="22"/>
        </w:rPr>
        <w:t>1a.</w:t>
      </w:r>
    </w:p>
    <w:p w:rsidR="008202DE" w:rsidRPr="00C04677" w:rsidRDefault="008202DE" w:rsidP="003221CF"/>
    <w:p w:rsidR="0059506D" w:rsidRPr="00C04677" w:rsidRDefault="002E4DD8" w:rsidP="0059506D">
      <w:pPr>
        <w:pStyle w:val="ListParagraph"/>
        <w:widowControl/>
        <w:numPr>
          <w:ilvl w:val="1"/>
          <w:numId w:val="5"/>
        </w:numPr>
        <w:rPr>
          <w:szCs w:val="22"/>
        </w:rPr>
      </w:pPr>
      <w:r w:rsidRPr="00C04677">
        <w:rPr>
          <w:szCs w:val="22"/>
        </w:rPr>
        <w:t xml:space="preserve">The PBAC considered there was substantial uncertainty with the indirect comparisons with fingolimod using </w:t>
      </w:r>
      <w:r w:rsidR="00C45640" w:rsidRPr="00C04677">
        <w:rPr>
          <w:szCs w:val="22"/>
        </w:rPr>
        <w:t>either placebo or</w:t>
      </w:r>
      <w:r w:rsidRPr="00C04677">
        <w:rPr>
          <w:szCs w:val="22"/>
        </w:rPr>
        <w:t xml:space="preserve"> IM IFN β-1a as</w:t>
      </w:r>
      <w:r w:rsidR="00C45640" w:rsidRPr="00C04677">
        <w:rPr>
          <w:szCs w:val="22"/>
        </w:rPr>
        <w:t xml:space="preserve"> the</w:t>
      </w:r>
      <w:r w:rsidRPr="00C04677">
        <w:rPr>
          <w:szCs w:val="22"/>
        </w:rPr>
        <w:t xml:space="preserve"> common </w:t>
      </w:r>
      <w:r w:rsidR="00C45640" w:rsidRPr="00C04677">
        <w:rPr>
          <w:szCs w:val="22"/>
        </w:rPr>
        <w:t>comparator</w:t>
      </w:r>
      <w:r w:rsidRPr="00C04677">
        <w:rPr>
          <w:szCs w:val="22"/>
        </w:rPr>
        <w:t>.</w:t>
      </w:r>
      <w:r w:rsidR="00035BB4" w:rsidRPr="00C04677">
        <w:rPr>
          <w:szCs w:val="22"/>
        </w:rPr>
        <w:t xml:space="preserve"> G</w:t>
      </w:r>
      <w:r w:rsidR="008202DE" w:rsidRPr="00C04677">
        <w:rPr>
          <w:szCs w:val="22"/>
        </w:rPr>
        <w:t xml:space="preserve">iven the wide confidence </w:t>
      </w:r>
      <w:r w:rsidR="00BC6DD7" w:rsidRPr="00C04677">
        <w:rPr>
          <w:szCs w:val="22"/>
        </w:rPr>
        <w:t>intervals</w:t>
      </w:r>
      <w:r w:rsidR="008202DE" w:rsidRPr="00C04677">
        <w:rPr>
          <w:szCs w:val="22"/>
        </w:rPr>
        <w:t xml:space="preserve"> and exchangeability issues with the indirect comparison,</w:t>
      </w:r>
      <w:r w:rsidR="00C45640" w:rsidRPr="00C04677">
        <w:rPr>
          <w:szCs w:val="22"/>
        </w:rPr>
        <w:t xml:space="preserve"> the PBAC</w:t>
      </w:r>
      <w:r w:rsidR="008202DE" w:rsidRPr="00C04677">
        <w:rPr>
          <w:szCs w:val="22"/>
        </w:rPr>
        <w:t xml:space="preserve"> did not consider the claim of non-inferior efficacy with fingolimod to be adequately supported. </w:t>
      </w:r>
      <w:r w:rsidR="00035BB4" w:rsidRPr="00C04677">
        <w:rPr>
          <w:szCs w:val="22"/>
        </w:rPr>
        <w:t xml:space="preserve">The </w:t>
      </w:r>
      <w:r w:rsidR="00BC6DD7" w:rsidRPr="00C04677">
        <w:rPr>
          <w:szCs w:val="22"/>
        </w:rPr>
        <w:t>PBAC</w:t>
      </w:r>
      <w:r w:rsidR="00035BB4" w:rsidRPr="00C04677">
        <w:rPr>
          <w:szCs w:val="22"/>
        </w:rPr>
        <w:t xml:space="preserve"> considered that daclizumab is likely superior to IFN β</w:t>
      </w:r>
      <w:r w:rsidR="00035BB4" w:rsidRPr="00C04677">
        <w:rPr>
          <w:szCs w:val="22"/>
        </w:rPr>
        <w:noBreakHyphen/>
        <w:t>1a with regards to comparative efficacy</w:t>
      </w:r>
      <w:r w:rsidR="00563C6A" w:rsidRPr="00C04677">
        <w:rPr>
          <w:szCs w:val="22"/>
        </w:rPr>
        <w:t>, but noted that only two of the three efficacy outcomes measured supported this conclusion.</w:t>
      </w:r>
    </w:p>
    <w:p w:rsidR="0059506D" w:rsidRPr="00C04677" w:rsidRDefault="0059506D" w:rsidP="003221CF">
      <w:pPr>
        <w:rPr>
          <w:szCs w:val="22"/>
        </w:rPr>
      </w:pPr>
    </w:p>
    <w:p w:rsidR="000065FC" w:rsidRPr="00C04677" w:rsidRDefault="008202DE" w:rsidP="0059506D">
      <w:pPr>
        <w:pStyle w:val="ListParagraph"/>
        <w:widowControl/>
        <w:numPr>
          <w:ilvl w:val="1"/>
          <w:numId w:val="5"/>
        </w:numPr>
        <w:rPr>
          <w:szCs w:val="22"/>
        </w:rPr>
      </w:pPr>
      <w:r w:rsidRPr="00C04677">
        <w:rPr>
          <w:szCs w:val="22"/>
        </w:rPr>
        <w:t>The PBAC considered that the indirect comparison of safety with daclizumab</w:t>
      </w:r>
      <w:r w:rsidR="00035BB4" w:rsidRPr="00C04677">
        <w:rPr>
          <w:szCs w:val="22"/>
        </w:rPr>
        <w:t xml:space="preserve"> and fingolimod</w:t>
      </w:r>
      <w:r w:rsidRPr="00C04677">
        <w:rPr>
          <w:szCs w:val="22"/>
        </w:rPr>
        <w:t xml:space="preserve"> was largely non-informative, and therefore the claim of non-inferior safety was not adequately supported. </w:t>
      </w:r>
    </w:p>
    <w:p w:rsidR="00401D96" w:rsidRPr="00C04677" w:rsidRDefault="00401D96" w:rsidP="00C469E8"/>
    <w:p w:rsidR="00401D96" w:rsidRPr="00C04677" w:rsidRDefault="00401D96" w:rsidP="00401D96">
      <w:pPr>
        <w:pStyle w:val="Heading2"/>
      </w:pPr>
      <w:r w:rsidRPr="00C04677">
        <w:t>Economic Analysis</w:t>
      </w:r>
    </w:p>
    <w:p w:rsidR="00401D96" w:rsidRPr="00C04677" w:rsidRDefault="00401D96" w:rsidP="00C469E8"/>
    <w:p w:rsidR="009F1ECE" w:rsidRPr="00C04677" w:rsidRDefault="00401D96" w:rsidP="008A50F1">
      <w:pPr>
        <w:pStyle w:val="ListParagraph"/>
        <w:numPr>
          <w:ilvl w:val="1"/>
          <w:numId w:val="5"/>
        </w:numPr>
        <w:rPr>
          <w:szCs w:val="22"/>
        </w:rPr>
      </w:pPr>
      <w:r w:rsidRPr="00C04677">
        <w:rPr>
          <w:szCs w:val="22"/>
        </w:rPr>
        <w:t>Th</w:t>
      </w:r>
      <w:r w:rsidR="006629C5" w:rsidRPr="00C04677">
        <w:rPr>
          <w:szCs w:val="22"/>
        </w:rPr>
        <w:t xml:space="preserve">e </w:t>
      </w:r>
      <w:r w:rsidR="00BC6DD7" w:rsidRPr="00C04677">
        <w:rPr>
          <w:szCs w:val="22"/>
        </w:rPr>
        <w:t xml:space="preserve">July 2016 </w:t>
      </w:r>
      <w:r w:rsidR="009F1ECE" w:rsidRPr="00C04677">
        <w:rPr>
          <w:szCs w:val="22"/>
        </w:rPr>
        <w:t>submission presented a cost-minimisation analysis versus fingolimod.</w:t>
      </w:r>
    </w:p>
    <w:p w:rsidR="0030503A" w:rsidRPr="00C04677" w:rsidRDefault="0030503A" w:rsidP="0030503A"/>
    <w:p w:rsidR="0030503A" w:rsidRPr="00C04677" w:rsidRDefault="0030503A" w:rsidP="008A50F1">
      <w:pPr>
        <w:pStyle w:val="ListParagraph"/>
        <w:numPr>
          <w:ilvl w:val="1"/>
          <w:numId w:val="5"/>
        </w:numPr>
        <w:rPr>
          <w:szCs w:val="22"/>
        </w:rPr>
      </w:pPr>
      <w:r w:rsidRPr="00C04677">
        <w:rPr>
          <w:szCs w:val="22"/>
        </w:rPr>
        <w:t>The PBAC considered that daclizumab 150 mg is likely to be administered at 28 day intervals, rather than monthly intervals for any pricing considerations.</w:t>
      </w:r>
    </w:p>
    <w:p w:rsidR="00100B7C" w:rsidRPr="00C04677" w:rsidRDefault="00FB4B64" w:rsidP="00C469E8">
      <w:pPr>
        <w:rPr>
          <w:szCs w:val="22"/>
        </w:rPr>
      </w:pPr>
      <w:r w:rsidRPr="00C04677">
        <w:rPr>
          <w:szCs w:val="22"/>
        </w:rPr>
        <w:t xml:space="preserve"> </w:t>
      </w:r>
    </w:p>
    <w:p w:rsidR="00100B7C" w:rsidRPr="00C04677" w:rsidRDefault="00100B7C" w:rsidP="00C469E8">
      <w:pPr>
        <w:pStyle w:val="Heading2"/>
      </w:pPr>
      <w:r w:rsidRPr="00C04677">
        <w:t>Estimated PBS usage &amp; financial implications</w:t>
      </w:r>
    </w:p>
    <w:p w:rsidR="00100B7C" w:rsidRPr="00C04677" w:rsidRDefault="00100B7C" w:rsidP="00C469E8"/>
    <w:p w:rsidR="00401D96" w:rsidRPr="00C04677" w:rsidRDefault="00100B7C" w:rsidP="00401D96">
      <w:pPr>
        <w:pStyle w:val="ListParagraph"/>
        <w:numPr>
          <w:ilvl w:val="1"/>
          <w:numId w:val="5"/>
        </w:numPr>
        <w:rPr>
          <w:szCs w:val="22"/>
        </w:rPr>
      </w:pPr>
      <w:r w:rsidRPr="00C04677">
        <w:rPr>
          <w:szCs w:val="22"/>
        </w:rPr>
        <w:t>The Sponsor did not provide updated or amended estimates</w:t>
      </w:r>
      <w:r w:rsidR="00D40578" w:rsidRPr="00C04677">
        <w:rPr>
          <w:szCs w:val="22"/>
        </w:rPr>
        <w:t xml:space="preserve"> of</w:t>
      </w:r>
      <w:r w:rsidRPr="00C04677">
        <w:rPr>
          <w:szCs w:val="22"/>
        </w:rPr>
        <w:t xml:space="preserve"> utilisation or financial implications.</w:t>
      </w:r>
      <w:r w:rsidR="00564DC5" w:rsidRPr="00C04677">
        <w:rPr>
          <w:szCs w:val="22"/>
        </w:rPr>
        <w:t xml:space="preserve"> The utilisation estimates are reproduced from the July 2016 </w:t>
      </w:r>
      <w:r w:rsidR="00B65E96">
        <w:rPr>
          <w:szCs w:val="22"/>
        </w:rPr>
        <w:t>PSD</w:t>
      </w:r>
      <w:r w:rsidR="00564DC5" w:rsidRPr="00C04677">
        <w:rPr>
          <w:szCs w:val="22"/>
        </w:rPr>
        <w:t>.</w:t>
      </w:r>
    </w:p>
    <w:p w:rsidR="00564DC5" w:rsidRPr="00C04677" w:rsidRDefault="00564DC5" w:rsidP="00564DC5">
      <w:pPr>
        <w:pStyle w:val="ListParagraph"/>
        <w:rPr>
          <w:szCs w:val="22"/>
        </w:rPr>
      </w:pPr>
    </w:p>
    <w:p w:rsidR="00564DC5" w:rsidRPr="00C04677" w:rsidRDefault="00564DC5" w:rsidP="00564DC5">
      <w:pPr>
        <w:pStyle w:val="ListParagraph"/>
        <w:widowControl/>
        <w:numPr>
          <w:ilvl w:val="1"/>
          <w:numId w:val="5"/>
        </w:numPr>
      </w:pPr>
      <w:r w:rsidRPr="00C04677">
        <w:rPr>
          <w:szCs w:val="22"/>
        </w:rPr>
        <w:t>The submission used a market share approach to estimate the utilisation/financial implications associated with the PBS listing of daclizumab.</w:t>
      </w:r>
    </w:p>
    <w:p w:rsidR="00564DC5" w:rsidRPr="00C04677" w:rsidRDefault="00564DC5" w:rsidP="00564DC5"/>
    <w:p w:rsidR="00076727" w:rsidRPr="00C04677" w:rsidRDefault="00076727" w:rsidP="003221CF">
      <w:pPr>
        <w:pStyle w:val="Caption"/>
        <w:keepNext/>
      </w:pPr>
      <w:r w:rsidRPr="00C04677">
        <w:t xml:space="preserve">Table </w:t>
      </w:r>
      <w:r w:rsidR="008859C3" w:rsidRPr="00CE43D0">
        <w:t>6</w:t>
      </w:r>
      <w:r w:rsidRPr="00C04677">
        <w:t>: Estimated utilisation and cost to the PBS in the first five years of listing</w:t>
      </w:r>
    </w:p>
    <w:tbl>
      <w:tblPr>
        <w:tblW w:w="489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4"/>
        <w:gridCol w:w="1192"/>
        <w:gridCol w:w="1192"/>
        <w:gridCol w:w="1193"/>
        <w:gridCol w:w="1192"/>
        <w:gridCol w:w="1192"/>
      </w:tblGrid>
      <w:tr w:rsidR="00564DC5" w:rsidRPr="00C04677" w:rsidTr="003221CF">
        <w:trPr>
          <w:tblHeader/>
        </w:trPr>
        <w:tc>
          <w:tcPr>
            <w:tcW w:w="1708" w:type="pct"/>
            <w:tcBorders>
              <w:left w:val="single" w:sz="4" w:space="0" w:color="auto"/>
              <w:bottom w:val="single" w:sz="4" w:space="0" w:color="auto"/>
            </w:tcBorders>
            <w:shd w:val="clear" w:color="auto" w:fill="auto"/>
            <w:vAlign w:val="bottom"/>
            <w:hideMark/>
          </w:tcPr>
          <w:p w:rsidR="00564DC5" w:rsidRPr="00C04677" w:rsidRDefault="00564DC5" w:rsidP="00564DC5">
            <w:pPr>
              <w:rPr>
                <w:rFonts w:ascii="Arial Narrow" w:hAnsi="Arial Narrow"/>
                <w:sz w:val="20"/>
              </w:rPr>
            </w:pPr>
          </w:p>
        </w:tc>
        <w:tc>
          <w:tcPr>
            <w:tcW w:w="658" w:type="pct"/>
            <w:tcBorders>
              <w:bottom w:val="single" w:sz="4" w:space="0" w:color="auto"/>
            </w:tcBorders>
            <w:shd w:val="clear" w:color="auto" w:fill="auto"/>
            <w:vAlign w:val="bottom"/>
            <w:hideMark/>
          </w:tcPr>
          <w:p w:rsidR="00564DC5" w:rsidRPr="00C04677" w:rsidRDefault="00564DC5" w:rsidP="00564DC5">
            <w:pPr>
              <w:jc w:val="center"/>
              <w:rPr>
                <w:rFonts w:ascii="Arial Narrow" w:hAnsi="Arial Narrow"/>
                <w:b/>
                <w:bCs/>
                <w:sz w:val="20"/>
              </w:rPr>
            </w:pPr>
            <w:r w:rsidRPr="00C04677">
              <w:rPr>
                <w:rFonts w:ascii="Arial Narrow" w:hAnsi="Arial Narrow"/>
                <w:b/>
                <w:bCs/>
                <w:sz w:val="20"/>
              </w:rPr>
              <w:t>Year 1</w:t>
            </w:r>
          </w:p>
          <w:p w:rsidR="00564DC5" w:rsidRPr="00C04677" w:rsidRDefault="00564DC5" w:rsidP="00564DC5">
            <w:pPr>
              <w:jc w:val="center"/>
              <w:rPr>
                <w:rFonts w:ascii="Arial Narrow" w:hAnsi="Arial Narrow"/>
                <w:b/>
                <w:bCs/>
                <w:sz w:val="20"/>
              </w:rPr>
            </w:pPr>
            <w:r w:rsidRPr="00C04677">
              <w:rPr>
                <w:rFonts w:ascii="Arial Narrow" w:hAnsi="Arial Narrow"/>
                <w:b/>
                <w:bCs/>
                <w:sz w:val="20"/>
              </w:rPr>
              <w:t>(2017)</w:t>
            </w:r>
          </w:p>
        </w:tc>
        <w:tc>
          <w:tcPr>
            <w:tcW w:w="658" w:type="pct"/>
            <w:tcBorders>
              <w:bottom w:val="single" w:sz="4" w:space="0" w:color="auto"/>
            </w:tcBorders>
            <w:shd w:val="clear" w:color="auto" w:fill="auto"/>
            <w:vAlign w:val="bottom"/>
            <w:hideMark/>
          </w:tcPr>
          <w:p w:rsidR="00564DC5" w:rsidRPr="00C04677" w:rsidRDefault="00564DC5" w:rsidP="00564DC5">
            <w:pPr>
              <w:jc w:val="center"/>
              <w:rPr>
                <w:rFonts w:ascii="Arial Narrow" w:hAnsi="Arial Narrow"/>
                <w:b/>
                <w:bCs/>
                <w:sz w:val="20"/>
              </w:rPr>
            </w:pPr>
            <w:r w:rsidRPr="00C04677">
              <w:rPr>
                <w:rFonts w:ascii="Arial Narrow" w:hAnsi="Arial Narrow"/>
                <w:b/>
                <w:bCs/>
                <w:sz w:val="20"/>
              </w:rPr>
              <w:t>Year 2</w:t>
            </w:r>
          </w:p>
          <w:p w:rsidR="00564DC5" w:rsidRPr="00C04677" w:rsidRDefault="00564DC5" w:rsidP="00564DC5">
            <w:pPr>
              <w:jc w:val="center"/>
              <w:rPr>
                <w:rFonts w:ascii="Arial Narrow" w:hAnsi="Arial Narrow"/>
                <w:b/>
                <w:bCs/>
                <w:sz w:val="20"/>
              </w:rPr>
            </w:pPr>
            <w:r w:rsidRPr="00C04677">
              <w:rPr>
                <w:rFonts w:ascii="Arial Narrow" w:hAnsi="Arial Narrow"/>
                <w:b/>
                <w:bCs/>
                <w:sz w:val="20"/>
              </w:rPr>
              <w:t>(2018)</w:t>
            </w:r>
          </w:p>
        </w:tc>
        <w:tc>
          <w:tcPr>
            <w:tcW w:w="659" w:type="pct"/>
            <w:tcBorders>
              <w:bottom w:val="single" w:sz="4" w:space="0" w:color="auto"/>
            </w:tcBorders>
            <w:shd w:val="clear" w:color="auto" w:fill="auto"/>
            <w:vAlign w:val="bottom"/>
            <w:hideMark/>
          </w:tcPr>
          <w:p w:rsidR="00564DC5" w:rsidRPr="00C04677" w:rsidRDefault="00564DC5" w:rsidP="00564DC5">
            <w:pPr>
              <w:jc w:val="center"/>
              <w:rPr>
                <w:rFonts w:ascii="Arial Narrow" w:hAnsi="Arial Narrow"/>
                <w:b/>
                <w:bCs/>
                <w:sz w:val="20"/>
              </w:rPr>
            </w:pPr>
            <w:r w:rsidRPr="00C04677">
              <w:rPr>
                <w:rFonts w:ascii="Arial Narrow" w:hAnsi="Arial Narrow"/>
                <w:b/>
                <w:bCs/>
                <w:sz w:val="20"/>
              </w:rPr>
              <w:t>Year 3</w:t>
            </w:r>
          </w:p>
          <w:p w:rsidR="00564DC5" w:rsidRPr="00C04677" w:rsidRDefault="00564DC5" w:rsidP="00564DC5">
            <w:pPr>
              <w:jc w:val="center"/>
              <w:rPr>
                <w:rFonts w:ascii="Arial Narrow" w:hAnsi="Arial Narrow"/>
                <w:b/>
                <w:bCs/>
                <w:sz w:val="20"/>
              </w:rPr>
            </w:pPr>
            <w:r w:rsidRPr="00C04677">
              <w:rPr>
                <w:rFonts w:ascii="Arial Narrow" w:hAnsi="Arial Narrow"/>
                <w:b/>
                <w:bCs/>
                <w:sz w:val="20"/>
              </w:rPr>
              <w:t>(2019)</w:t>
            </w:r>
          </w:p>
        </w:tc>
        <w:tc>
          <w:tcPr>
            <w:tcW w:w="658" w:type="pct"/>
            <w:tcBorders>
              <w:bottom w:val="single" w:sz="4" w:space="0" w:color="auto"/>
            </w:tcBorders>
            <w:shd w:val="clear" w:color="auto" w:fill="auto"/>
            <w:vAlign w:val="bottom"/>
            <w:hideMark/>
          </w:tcPr>
          <w:p w:rsidR="00564DC5" w:rsidRPr="00C04677" w:rsidRDefault="00564DC5" w:rsidP="00564DC5">
            <w:pPr>
              <w:jc w:val="center"/>
              <w:rPr>
                <w:rFonts w:ascii="Arial Narrow" w:hAnsi="Arial Narrow"/>
                <w:b/>
                <w:bCs/>
                <w:sz w:val="20"/>
              </w:rPr>
            </w:pPr>
            <w:r w:rsidRPr="00C04677">
              <w:rPr>
                <w:rFonts w:ascii="Arial Narrow" w:hAnsi="Arial Narrow"/>
                <w:b/>
                <w:bCs/>
                <w:sz w:val="20"/>
              </w:rPr>
              <w:t>Year 4</w:t>
            </w:r>
          </w:p>
          <w:p w:rsidR="00564DC5" w:rsidRPr="00C04677" w:rsidRDefault="00564DC5" w:rsidP="00564DC5">
            <w:pPr>
              <w:jc w:val="center"/>
              <w:rPr>
                <w:rFonts w:ascii="Arial Narrow" w:hAnsi="Arial Narrow"/>
                <w:b/>
                <w:bCs/>
                <w:sz w:val="20"/>
              </w:rPr>
            </w:pPr>
            <w:r w:rsidRPr="00C04677">
              <w:rPr>
                <w:rFonts w:ascii="Arial Narrow" w:hAnsi="Arial Narrow"/>
                <w:b/>
                <w:bCs/>
                <w:sz w:val="20"/>
              </w:rPr>
              <w:t>(2020)</w:t>
            </w:r>
          </w:p>
        </w:tc>
        <w:tc>
          <w:tcPr>
            <w:tcW w:w="658" w:type="pct"/>
            <w:tcBorders>
              <w:bottom w:val="single" w:sz="4" w:space="0" w:color="auto"/>
              <w:right w:val="single" w:sz="4" w:space="0" w:color="auto"/>
            </w:tcBorders>
            <w:shd w:val="clear" w:color="auto" w:fill="auto"/>
            <w:vAlign w:val="bottom"/>
            <w:hideMark/>
          </w:tcPr>
          <w:p w:rsidR="00564DC5" w:rsidRPr="00C04677" w:rsidRDefault="00564DC5" w:rsidP="00564DC5">
            <w:pPr>
              <w:jc w:val="center"/>
              <w:rPr>
                <w:rFonts w:ascii="Arial Narrow" w:hAnsi="Arial Narrow"/>
                <w:b/>
                <w:bCs/>
                <w:sz w:val="20"/>
              </w:rPr>
            </w:pPr>
            <w:r w:rsidRPr="00C04677">
              <w:rPr>
                <w:rFonts w:ascii="Arial Narrow" w:hAnsi="Arial Narrow"/>
                <w:b/>
                <w:bCs/>
                <w:sz w:val="20"/>
              </w:rPr>
              <w:t>Year 5</w:t>
            </w:r>
          </w:p>
          <w:p w:rsidR="00564DC5" w:rsidRPr="00C04677" w:rsidRDefault="00564DC5" w:rsidP="00564DC5">
            <w:pPr>
              <w:jc w:val="center"/>
              <w:rPr>
                <w:rFonts w:ascii="Arial Narrow" w:hAnsi="Arial Narrow"/>
                <w:b/>
                <w:bCs/>
                <w:sz w:val="20"/>
              </w:rPr>
            </w:pPr>
            <w:r w:rsidRPr="00C04677">
              <w:rPr>
                <w:rFonts w:ascii="Arial Narrow" w:hAnsi="Arial Narrow"/>
                <w:b/>
                <w:bCs/>
                <w:sz w:val="20"/>
              </w:rPr>
              <w:t>(2021)</w:t>
            </w:r>
          </w:p>
        </w:tc>
      </w:tr>
      <w:tr w:rsidR="00564DC5" w:rsidRPr="00C04677" w:rsidTr="0032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64DC5" w:rsidRPr="00C04677" w:rsidRDefault="00564DC5" w:rsidP="00564DC5">
            <w:pPr>
              <w:rPr>
                <w:rFonts w:ascii="Arial Narrow" w:hAnsi="Arial Narrow"/>
                <w:sz w:val="20"/>
              </w:rPr>
            </w:pPr>
            <w:r w:rsidRPr="00C04677">
              <w:rPr>
                <w:rFonts w:ascii="Arial Narrow" w:hAnsi="Arial Narrow"/>
                <w:sz w:val="20"/>
              </w:rPr>
              <w:t>Projected PBS scripts for MS therapies</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r>
      <w:tr w:rsidR="00564DC5" w:rsidRPr="00C04677" w:rsidTr="0032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64DC5" w:rsidRPr="00C04677" w:rsidRDefault="00564DC5" w:rsidP="00564DC5">
            <w:pPr>
              <w:rPr>
                <w:rFonts w:ascii="Arial Narrow" w:hAnsi="Arial Narrow"/>
                <w:sz w:val="20"/>
              </w:rPr>
            </w:pPr>
            <w:r w:rsidRPr="00C04677">
              <w:rPr>
                <w:rFonts w:ascii="Arial Narrow" w:hAnsi="Arial Narrow"/>
                <w:sz w:val="20"/>
              </w:rPr>
              <w:t>Fingolimod market share</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B46366" w:rsidP="00564DC5">
            <w:pPr>
              <w:jc w:val="center"/>
              <w:rPr>
                <w:rFonts w:ascii="Arial Narrow" w:hAnsi="Arial Narrow"/>
                <w:sz w:val="20"/>
              </w:rPr>
            </w:pPr>
            <w:r>
              <w:rPr>
                <w:rFonts w:ascii="Arial Narrow" w:hAnsi="Arial Narrow"/>
                <w:noProof/>
                <w:color w:val="000000"/>
                <w:sz w:val="20"/>
                <w:highlight w:val="black"/>
              </w:rPr>
              <w:t>''''''''''</w:t>
            </w:r>
            <w:r w:rsidR="00564DC5" w:rsidRPr="00C04677">
              <w:rPr>
                <w:rFonts w:ascii="Arial Narrow" w:hAnsi="Arial Narrow"/>
                <w:sz w:val="20"/>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B46366" w:rsidP="00564DC5">
            <w:pPr>
              <w:jc w:val="center"/>
              <w:rPr>
                <w:rFonts w:ascii="Arial Narrow" w:hAnsi="Arial Narrow"/>
                <w:sz w:val="20"/>
              </w:rPr>
            </w:pPr>
            <w:r>
              <w:rPr>
                <w:rFonts w:ascii="Arial Narrow" w:hAnsi="Arial Narrow"/>
                <w:noProof/>
                <w:color w:val="000000"/>
                <w:sz w:val="20"/>
                <w:highlight w:val="black"/>
              </w:rPr>
              <w:t>''''''''''</w:t>
            </w:r>
            <w:r w:rsidR="00564DC5" w:rsidRPr="00C04677">
              <w:rPr>
                <w:rFonts w:ascii="Arial Narrow" w:hAnsi="Arial Narrow"/>
                <w:sz w:val="20"/>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B46366" w:rsidP="00564DC5">
            <w:pPr>
              <w:jc w:val="center"/>
              <w:rPr>
                <w:rFonts w:ascii="Arial Narrow" w:hAnsi="Arial Narrow"/>
                <w:sz w:val="20"/>
              </w:rPr>
            </w:pPr>
            <w:r>
              <w:rPr>
                <w:rFonts w:ascii="Arial Narrow" w:hAnsi="Arial Narrow"/>
                <w:noProof/>
                <w:color w:val="000000"/>
                <w:sz w:val="20"/>
                <w:highlight w:val="black"/>
              </w:rPr>
              <w:t>''''''''''</w:t>
            </w:r>
            <w:r w:rsidR="00564DC5" w:rsidRPr="00C04677">
              <w:rPr>
                <w:rFonts w:ascii="Arial Narrow" w:hAnsi="Arial Narrow"/>
                <w:sz w:val="20"/>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B46366" w:rsidP="00564DC5">
            <w:pPr>
              <w:jc w:val="center"/>
              <w:rPr>
                <w:rFonts w:ascii="Arial Narrow" w:hAnsi="Arial Narrow"/>
                <w:sz w:val="20"/>
              </w:rPr>
            </w:pPr>
            <w:r>
              <w:rPr>
                <w:rFonts w:ascii="Arial Narrow" w:hAnsi="Arial Narrow"/>
                <w:noProof/>
                <w:color w:val="000000"/>
                <w:sz w:val="20"/>
                <w:highlight w:val="black"/>
              </w:rPr>
              <w:t>''''''''''</w:t>
            </w:r>
            <w:r w:rsidR="00564DC5" w:rsidRPr="00C04677">
              <w:rPr>
                <w:rFonts w:ascii="Arial Narrow" w:hAnsi="Arial Narrow"/>
                <w:sz w:val="20"/>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B46366" w:rsidP="00564DC5">
            <w:pPr>
              <w:jc w:val="center"/>
              <w:rPr>
                <w:rFonts w:ascii="Arial Narrow" w:hAnsi="Arial Narrow"/>
                <w:sz w:val="20"/>
              </w:rPr>
            </w:pPr>
            <w:r>
              <w:rPr>
                <w:rFonts w:ascii="Arial Narrow" w:hAnsi="Arial Narrow"/>
                <w:noProof/>
                <w:color w:val="000000"/>
                <w:sz w:val="20"/>
                <w:highlight w:val="black"/>
              </w:rPr>
              <w:t>''''''''''''</w:t>
            </w:r>
            <w:r w:rsidR="00564DC5" w:rsidRPr="00C04677">
              <w:rPr>
                <w:rFonts w:ascii="Arial Narrow" w:hAnsi="Arial Narrow"/>
                <w:sz w:val="20"/>
              </w:rPr>
              <w:t>%</w:t>
            </w:r>
          </w:p>
        </w:tc>
      </w:tr>
      <w:tr w:rsidR="00564DC5" w:rsidRPr="00C04677" w:rsidTr="0032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8" w:type="pct"/>
            <w:tcBorders>
              <w:top w:val="single" w:sz="4" w:space="0" w:color="auto"/>
              <w:left w:val="single" w:sz="4" w:space="0" w:color="auto"/>
              <w:bottom w:val="single" w:sz="4" w:space="0" w:color="auto"/>
              <w:right w:val="single" w:sz="4" w:space="0" w:color="auto"/>
            </w:tcBorders>
            <w:shd w:val="clear" w:color="auto" w:fill="auto"/>
            <w:vAlign w:val="bottom"/>
          </w:tcPr>
          <w:p w:rsidR="00564DC5" w:rsidRPr="00C04677" w:rsidRDefault="00564DC5" w:rsidP="00564DC5">
            <w:pPr>
              <w:rPr>
                <w:rFonts w:ascii="Arial Narrow" w:hAnsi="Arial Narrow"/>
                <w:sz w:val="20"/>
              </w:rPr>
            </w:pPr>
            <w:r w:rsidRPr="00C04677">
              <w:rPr>
                <w:rFonts w:ascii="Arial Narrow" w:hAnsi="Arial Narrow"/>
                <w:sz w:val="20"/>
              </w:rPr>
              <w:t>Projected fingolimod scripts</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r>
      <w:tr w:rsidR="00564DC5" w:rsidRPr="00C04677" w:rsidTr="0032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8" w:type="pct"/>
            <w:tcBorders>
              <w:top w:val="single" w:sz="4" w:space="0" w:color="auto"/>
              <w:left w:val="single" w:sz="4" w:space="0" w:color="auto"/>
              <w:bottom w:val="single" w:sz="4" w:space="0" w:color="auto"/>
              <w:right w:val="single" w:sz="4" w:space="0" w:color="auto"/>
            </w:tcBorders>
            <w:shd w:val="clear" w:color="auto" w:fill="auto"/>
            <w:vAlign w:val="bottom"/>
          </w:tcPr>
          <w:p w:rsidR="00564DC5" w:rsidRPr="00C04677" w:rsidRDefault="00564DC5" w:rsidP="00564DC5">
            <w:pPr>
              <w:rPr>
                <w:rFonts w:ascii="Arial Narrow" w:hAnsi="Arial Narrow"/>
                <w:sz w:val="20"/>
              </w:rPr>
            </w:pPr>
            <w:r w:rsidRPr="00C04677">
              <w:rPr>
                <w:rFonts w:ascii="Arial Narrow" w:hAnsi="Arial Narrow"/>
                <w:sz w:val="20"/>
              </w:rPr>
              <w:t>Daclizumab uptake rate</w:t>
            </w:r>
            <w:r w:rsidRPr="00C04677">
              <w:rPr>
                <w:rFonts w:ascii="Arial Narrow" w:hAnsi="Arial Narrow"/>
                <w:sz w:val="20"/>
                <w:vertAlign w:val="superscript"/>
              </w:rPr>
              <w:t>a</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B46366" w:rsidP="00564DC5">
            <w:pPr>
              <w:jc w:val="center"/>
              <w:rPr>
                <w:rFonts w:ascii="Arial Narrow" w:hAnsi="Arial Narrow"/>
                <w:sz w:val="20"/>
              </w:rPr>
            </w:pPr>
            <w:r>
              <w:rPr>
                <w:rFonts w:ascii="Arial Narrow" w:hAnsi="Arial Narrow"/>
                <w:noProof/>
                <w:color w:val="000000"/>
                <w:sz w:val="20"/>
                <w:highlight w:val="black"/>
              </w:rPr>
              <w:t>''''''''''</w:t>
            </w:r>
            <w:r w:rsidR="00564DC5" w:rsidRPr="00C04677">
              <w:rPr>
                <w:rFonts w:ascii="Arial Narrow" w:hAnsi="Arial Narrow"/>
                <w:sz w:val="20"/>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B46366" w:rsidP="00564DC5">
            <w:pPr>
              <w:jc w:val="center"/>
              <w:rPr>
                <w:rFonts w:ascii="Arial Narrow" w:hAnsi="Arial Narrow"/>
                <w:sz w:val="20"/>
              </w:rPr>
            </w:pPr>
            <w:r>
              <w:rPr>
                <w:rFonts w:ascii="Arial Narrow" w:hAnsi="Arial Narrow"/>
                <w:noProof/>
                <w:color w:val="000000"/>
                <w:sz w:val="20"/>
                <w:highlight w:val="black"/>
              </w:rPr>
              <w:t>''''''''''''''</w:t>
            </w:r>
            <w:r w:rsidR="00564DC5" w:rsidRPr="00C04677">
              <w:rPr>
                <w:rFonts w:ascii="Arial Narrow" w:hAnsi="Arial Narrow"/>
                <w:sz w:val="20"/>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B46366" w:rsidP="00564DC5">
            <w:pPr>
              <w:jc w:val="center"/>
              <w:rPr>
                <w:rFonts w:ascii="Arial Narrow" w:hAnsi="Arial Narrow"/>
                <w:sz w:val="20"/>
              </w:rPr>
            </w:pPr>
            <w:r>
              <w:rPr>
                <w:rFonts w:ascii="Arial Narrow" w:hAnsi="Arial Narrow"/>
                <w:noProof/>
                <w:color w:val="000000"/>
                <w:sz w:val="20"/>
                <w:highlight w:val="black"/>
              </w:rPr>
              <w:t>''''''''''''''</w:t>
            </w:r>
            <w:r w:rsidR="00564DC5" w:rsidRPr="00C04677">
              <w:rPr>
                <w:rFonts w:ascii="Arial Narrow" w:hAnsi="Arial Narrow"/>
                <w:sz w:val="20"/>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B46366" w:rsidP="00564DC5">
            <w:pPr>
              <w:jc w:val="center"/>
              <w:rPr>
                <w:rFonts w:ascii="Arial Narrow" w:hAnsi="Arial Narrow"/>
                <w:sz w:val="20"/>
              </w:rPr>
            </w:pPr>
            <w:r>
              <w:rPr>
                <w:rFonts w:ascii="Arial Narrow" w:hAnsi="Arial Narrow"/>
                <w:noProof/>
                <w:color w:val="000000"/>
                <w:sz w:val="20"/>
                <w:highlight w:val="black"/>
              </w:rPr>
              <w:t>'''''''''''''</w:t>
            </w:r>
            <w:r w:rsidR="00564DC5" w:rsidRPr="00C04677">
              <w:rPr>
                <w:rFonts w:ascii="Arial Narrow" w:hAnsi="Arial Narrow"/>
                <w:sz w:val="20"/>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B46366" w:rsidP="00564DC5">
            <w:pPr>
              <w:jc w:val="center"/>
              <w:rPr>
                <w:rFonts w:ascii="Arial Narrow" w:hAnsi="Arial Narrow"/>
                <w:sz w:val="20"/>
              </w:rPr>
            </w:pPr>
            <w:r>
              <w:rPr>
                <w:rFonts w:ascii="Arial Narrow" w:hAnsi="Arial Narrow"/>
                <w:noProof/>
                <w:color w:val="000000"/>
                <w:sz w:val="20"/>
                <w:highlight w:val="black"/>
              </w:rPr>
              <w:t>''''''''''''</w:t>
            </w:r>
            <w:r w:rsidR="00564DC5" w:rsidRPr="00C04677">
              <w:rPr>
                <w:rFonts w:ascii="Arial Narrow" w:hAnsi="Arial Narrow"/>
                <w:sz w:val="20"/>
              </w:rPr>
              <w:t>%</w:t>
            </w:r>
          </w:p>
        </w:tc>
      </w:tr>
      <w:tr w:rsidR="00564DC5" w:rsidRPr="00C04677" w:rsidTr="0032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8" w:type="pct"/>
            <w:tcBorders>
              <w:top w:val="single" w:sz="4" w:space="0" w:color="auto"/>
              <w:left w:val="single" w:sz="4" w:space="0" w:color="auto"/>
              <w:bottom w:val="single" w:sz="4" w:space="0" w:color="auto"/>
              <w:right w:val="single" w:sz="4" w:space="0" w:color="auto"/>
            </w:tcBorders>
            <w:shd w:val="clear" w:color="auto" w:fill="auto"/>
            <w:vAlign w:val="bottom"/>
          </w:tcPr>
          <w:p w:rsidR="00564DC5" w:rsidRPr="00C04677" w:rsidRDefault="00564DC5" w:rsidP="00564DC5">
            <w:pPr>
              <w:tabs>
                <w:tab w:val="right" w:pos="3045"/>
              </w:tabs>
              <w:rPr>
                <w:rFonts w:ascii="Arial Narrow" w:hAnsi="Arial Narrow"/>
                <w:sz w:val="20"/>
              </w:rPr>
            </w:pPr>
            <w:r w:rsidRPr="00C04677">
              <w:rPr>
                <w:rFonts w:ascii="Arial Narrow" w:hAnsi="Arial Narrow"/>
                <w:sz w:val="20"/>
              </w:rPr>
              <w:t>Substituted scripts</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r>
      <w:tr w:rsidR="00564DC5" w:rsidRPr="00C04677" w:rsidTr="0032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8" w:type="pct"/>
            <w:tcBorders>
              <w:top w:val="single" w:sz="4" w:space="0" w:color="auto"/>
              <w:left w:val="single" w:sz="4" w:space="0" w:color="auto"/>
              <w:bottom w:val="single" w:sz="4" w:space="0" w:color="auto"/>
              <w:right w:val="single" w:sz="4" w:space="0" w:color="auto"/>
            </w:tcBorders>
            <w:shd w:val="clear" w:color="auto" w:fill="auto"/>
            <w:vAlign w:val="bottom"/>
          </w:tcPr>
          <w:p w:rsidR="00564DC5" w:rsidRPr="00C04677" w:rsidRDefault="00564DC5" w:rsidP="00564DC5">
            <w:pPr>
              <w:tabs>
                <w:tab w:val="right" w:pos="3045"/>
              </w:tabs>
              <w:rPr>
                <w:rFonts w:ascii="Arial Narrow" w:hAnsi="Arial Narrow"/>
                <w:sz w:val="20"/>
              </w:rPr>
            </w:pPr>
            <w:r w:rsidRPr="00C04677">
              <w:rPr>
                <w:rFonts w:ascii="Arial Narrow" w:hAnsi="Arial Narrow"/>
                <w:sz w:val="20"/>
              </w:rPr>
              <w:t>Equivalent daclizumab scripts (script duration adjustment; 30.4 vs 28 days)</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B46366" w:rsidRDefault="00B46366" w:rsidP="00564DC5">
            <w:pPr>
              <w:jc w:val="center"/>
              <w:rPr>
                <w:rFonts w:ascii="Arial Narrow" w:hAnsi="Arial Narrow"/>
                <w:sz w:val="20"/>
                <w:highlight w:val="black"/>
              </w:rPr>
            </w:pPr>
            <w:r>
              <w:rPr>
                <w:rFonts w:ascii="Arial Narrow" w:hAnsi="Arial Narrow"/>
                <w:noProof/>
                <w:color w:val="000000"/>
                <w:sz w:val="20"/>
                <w:highlight w:val="black"/>
              </w:rPr>
              <w:t>''''''''''''''''</w:t>
            </w:r>
          </w:p>
        </w:tc>
      </w:tr>
      <w:tr w:rsidR="00564DC5" w:rsidRPr="00C04677" w:rsidTr="0032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8" w:type="pct"/>
            <w:tcBorders>
              <w:top w:val="single" w:sz="4" w:space="0" w:color="auto"/>
              <w:left w:val="single" w:sz="4" w:space="0" w:color="auto"/>
              <w:bottom w:val="single" w:sz="4" w:space="0" w:color="auto"/>
              <w:right w:val="single" w:sz="4" w:space="0" w:color="auto"/>
            </w:tcBorders>
            <w:shd w:val="clear" w:color="auto" w:fill="auto"/>
            <w:vAlign w:val="bottom"/>
          </w:tcPr>
          <w:p w:rsidR="00564DC5" w:rsidRPr="00C04677" w:rsidRDefault="00564DC5" w:rsidP="00564DC5">
            <w:pPr>
              <w:tabs>
                <w:tab w:val="right" w:pos="3045"/>
              </w:tabs>
              <w:rPr>
                <w:rFonts w:ascii="Arial Narrow" w:hAnsi="Arial Narrow"/>
                <w:sz w:val="20"/>
              </w:rPr>
            </w:pPr>
            <w:r w:rsidRPr="00C04677">
              <w:rPr>
                <w:rFonts w:ascii="Arial Narrow" w:hAnsi="Arial Narrow"/>
                <w:sz w:val="20"/>
              </w:rPr>
              <w:t>Cost of daclizumab (published DPMQ)</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r>
      <w:tr w:rsidR="00564DC5" w:rsidRPr="00C04677" w:rsidTr="0032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8" w:type="pct"/>
            <w:tcBorders>
              <w:top w:val="single" w:sz="4" w:space="0" w:color="auto"/>
              <w:left w:val="single" w:sz="4" w:space="0" w:color="auto"/>
              <w:bottom w:val="single" w:sz="4" w:space="0" w:color="auto"/>
              <w:right w:val="single" w:sz="4" w:space="0" w:color="auto"/>
            </w:tcBorders>
            <w:shd w:val="clear" w:color="auto" w:fill="auto"/>
            <w:vAlign w:val="bottom"/>
          </w:tcPr>
          <w:p w:rsidR="00564DC5" w:rsidRPr="00C04677" w:rsidRDefault="00564DC5" w:rsidP="00564DC5">
            <w:pPr>
              <w:tabs>
                <w:tab w:val="right" w:pos="3045"/>
              </w:tabs>
              <w:rPr>
                <w:rFonts w:ascii="Arial Narrow" w:hAnsi="Arial Narrow"/>
                <w:sz w:val="20"/>
              </w:rPr>
            </w:pPr>
            <w:r w:rsidRPr="00C04677">
              <w:rPr>
                <w:rFonts w:ascii="Arial Narrow" w:hAnsi="Arial Narrow"/>
                <w:sz w:val="20"/>
              </w:rPr>
              <w:t>Patient co-payments ($23.51 per script)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r>
      <w:tr w:rsidR="00564DC5" w:rsidRPr="00C04677" w:rsidTr="0032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8"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64DC5" w:rsidRPr="00C04677" w:rsidRDefault="00564DC5" w:rsidP="00564DC5">
            <w:pPr>
              <w:tabs>
                <w:tab w:val="right" w:pos="3045"/>
              </w:tabs>
              <w:rPr>
                <w:rFonts w:ascii="Arial Narrow" w:hAnsi="Arial Narrow"/>
                <w:sz w:val="20"/>
              </w:rPr>
            </w:pPr>
            <w:r w:rsidRPr="00C04677">
              <w:rPr>
                <w:rFonts w:ascii="Arial Narrow" w:hAnsi="Arial Narrow"/>
                <w:sz w:val="20"/>
              </w:rPr>
              <w:t>Total cost of daclizumab</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r>
      <w:tr w:rsidR="00564DC5" w:rsidRPr="00C04677" w:rsidTr="003221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708" w:type="pct"/>
            <w:tcBorders>
              <w:top w:val="single" w:sz="4" w:space="0" w:color="auto"/>
              <w:left w:val="single" w:sz="4" w:space="0" w:color="auto"/>
              <w:bottom w:val="single" w:sz="4" w:space="0" w:color="auto"/>
              <w:right w:val="single" w:sz="4" w:space="0" w:color="auto"/>
            </w:tcBorders>
            <w:shd w:val="clear" w:color="auto" w:fill="auto"/>
            <w:vAlign w:val="bottom"/>
          </w:tcPr>
          <w:p w:rsidR="00564DC5" w:rsidRPr="00C04677" w:rsidRDefault="00564DC5" w:rsidP="00564DC5">
            <w:pPr>
              <w:tabs>
                <w:tab w:val="right" w:pos="3045"/>
              </w:tabs>
              <w:rPr>
                <w:rFonts w:ascii="Arial Narrow" w:hAnsi="Arial Narrow"/>
                <w:sz w:val="20"/>
              </w:rPr>
            </w:pPr>
            <w:r w:rsidRPr="00C04677">
              <w:rPr>
                <w:rFonts w:ascii="Arial Narrow" w:hAnsi="Arial Narrow"/>
                <w:sz w:val="20"/>
              </w:rPr>
              <w:t>Cost of substituted fingolimod scripts (published DPMQ less co-pay)</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9"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r>
      <w:tr w:rsidR="00564DC5" w:rsidRPr="00C04677" w:rsidTr="003221CF">
        <w:tc>
          <w:tcPr>
            <w:tcW w:w="1708" w:type="pct"/>
            <w:shd w:val="clear" w:color="auto" w:fill="auto"/>
            <w:vAlign w:val="bottom"/>
          </w:tcPr>
          <w:p w:rsidR="00564DC5" w:rsidRPr="00C04677" w:rsidRDefault="00564DC5" w:rsidP="00564DC5">
            <w:pPr>
              <w:rPr>
                <w:rFonts w:ascii="Arial Narrow" w:hAnsi="Arial Narrow"/>
                <w:b/>
                <w:sz w:val="20"/>
              </w:rPr>
            </w:pPr>
            <w:r w:rsidRPr="00C04677">
              <w:rPr>
                <w:rFonts w:ascii="Arial Narrow" w:hAnsi="Arial Narrow"/>
                <w:b/>
                <w:sz w:val="20"/>
              </w:rPr>
              <w:t>Net cost to the PBS/RPBS</w:t>
            </w:r>
          </w:p>
        </w:tc>
        <w:tc>
          <w:tcPr>
            <w:tcW w:w="658" w:type="pct"/>
            <w:shd w:val="clear" w:color="auto" w:fill="auto"/>
            <w:noWrap/>
            <w:vAlign w:val="center"/>
          </w:tcPr>
          <w:p w:rsidR="00564DC5" w:rsidRPr="00B46366" w:rsidRDefault="00B46366" w:rsidP="00564DC5">
            <w:pPr>
              <w:jc w:val="center"/>
              <w:rPr>
                <w:rFonts w:ascii="Arial Narrow" w:hAnsi="Arial Narrow"/>
                <w:b/>
                <w:sz w:val="20"/>
                <w:highlight w:val="black"/>
              </w:rPr>
            </w:pPr>
            <w:r>
              <w:rPr>
                <w:rFonts w:ascii="Arial Narrow" w:hAnsi="Arial Narrow"/>
                <w:b/>
                <w:noProof/>
                <w:color w:val="000000"/>
                <w:sz w:val="20"/>
                <w:highlight w:val="black"/>
              </w:rPr>
              <w:t>''''''''''''''''''</w:t>
            </w:r>
          </w:p>
        </w:tc>
        <w:tc>
          <w:tcPr>
            <w:tcW w:w="658" w:type="pct"/>
            <w:shd w:val="clear" w:color="auto" w:fill="auto"/>
            <w:noWrap/>
            <w:vAlign w:val="center"/>
          </w:tcPr>
          <w:p w:rsidR="00564DC5" w:rsidRPr="00B46366" w:rsidRDefault="00B46366" w:rsidP="00564DC5">
            <w:pPr>
              <w:jc w:val="center"/>
              <w:rPr>
                <w:rFonts w:ascii="Arial Narrow" w:hAnsi="Arial Narrow"/>
                <w:b/>
                <w:sz w:val="20"/>
                <w:highlight w:val="black"/>
              </w:rPr>
            </w:pPr>
            <w:r>
              <w:rPr>
                <w:rFonts w:ascii="Arial Narrow" w:hAnsi="Arial Narrow"/>
                <w:b/>
                <w:noProof/>
                <w:color w:val="000000"/>
                <w:sz w:val="20"/>
                <w:highlight w:val="black"/>
              </w:rPr>
              <w:t>'''''''''''''''''''''</w:t>
            </w:r>
          </w:p>
        </w:tc>
        <w:tc>
          <w:tcPr>
            <w:tcW w:w="659" w:type="pct"/>
            <w:shd w:val="clear" w:color="auto" w:fill="auto"/>
            <w:noWrap/>
            <w:vAlign w:val="center"/>
          </w:tcPr>
          <w:p w:rsidR="00564DC5" w:rsidRPr="00B46366" w:rsidRDefault="00B46366" w:rsidP="00564DC5">
            <w:pPr>
              <w:jc w:val="center"/>
              <w:rPr>
                <w:rFonts w:ascii="Arial Narrow" w:hAnsi="Arial Narrow"/>
                <w:b/>
                <w:sz w:val="20"/>
                <w:highlight w:val="black"/>
              </w:rPr>
            </w:pPr>
            <w:r>
              <w:rPr>
                <w:rFonts w:ascii="Arial Narrow" w:hAnsi="Arial Narrow"/>
                <w:b/>
                <w:noProof/>
                <w:color w:val="000000"/>
                <w:sz w:val="20"/>
                <w:highlight w:val="black"/>
              </w:rPr>
              <w:t>'''''''''''''''''''</w:t>
            </w:r>
          </w:p>
        </w:tc>
        <w:tc>
          <w:tcPr>
            <w:tcW w:w="658" w:type="pct"/>
            <w:shd w:val="clear" w:color="auto" w:fill="auto"/>
            <w:noWrap/>
            <w:vAlign w:val="center"/>
          </w:tcPr>
          <w:p w:rsidR="00564DC5" w:rsidRPr="00B46366" w:rsidRDefault="00B46366" w:rsidP="00564DC5">
            <w:pPr>
              <w:jc w:val="center"/>
              <w:rPr>
                <w:rFonts w:ascii="Arial Narrow" w:hAnsi="Arial Narrow"/>
                <w:b/>
                <w:sz w:val="20"/>
                <w:highlight w:val="black"/>
              </w:rPr>
            </w:pPr>
            <w:r>
              <w:rPr>
                <w:rFonts w:ascii="Arial Narrow" w:hAnsi="Arial Narrow"/>
                <w:b/>
                <w:noProof/>
                <w:color w:val="000000"/>
                <w:sz w:val="20"/>
                <w:highlight w:val="black"/>
              </w:rPr>
              <w:t>'''''''''''''''''''</w:t>
            </w:r>
          </w:p>
        </w:tc>
        <w:tc>
          <w:tcPr>
            <w:tcW w:w="658" w:type="pct"/>
            <w:shd w:val="clear" w:color="auto" w:fill="auto"/>
            <w:noWrap/>
            <w:vAlign w:val="center"/>
          </w:tcPr>
          <w:p w:rsidR="00564DC5" w:rsidRPr="00B46366" w:rsidRDefault="00B46366" w:rsidP="00564DC5">
            <w:pPr>
              <w:jc w:val="center"/>
              <w:rPr>
                <w:rFonts w:ascii="Arial Narrow" w:hAnsi="Arial Narrow"/>
                <w:b/>
                <w:sz w:val="20"/>
                <w:highlight w:val="black"/>
              </w:rPr>
            </w:pPr>
            <w:r>
              <w:rPr>
                <w:rFonts w:ascii="Arial Narrow" w:hAnsi="Arial Narrow"/>
                <w:b/>
                <w:noProof/>
                <w:color w:val="000000"/>
                <w:sz w:val="20"/>
                <w:highlight w:val="black"/>
              </w:rPr>
              <w:t>'''''''''''''''''''''</w:t>
            </w:r>
          </w:p>
        </w:tc>
      </w:tr>
      <w:tr w:rsidR="00564DC5" w:rsidRPr="00C04677" w:rsidTr="003221CF">
        <w:tc>
          <w:tcPr>
            <w:tcW w:w="1708" w:type="pct"/>
            <w:shd w:val="clear" w:color="auto" w:fill="auto"/>
            <w:vAlign w:val="bottom"/>
          </w:tcPr>
          <w:p w:rsidR="00564DC5" w:rsidRPr="00C04677" w:rsidRDefault="00564DC5" w:rsidP="00564DC5">
            <w:pPr>
              <w:rPr>
                <w:rFonts w:ascii="Arial Narrow" w:hAnsi="Arial Narrow"/>
                <w:sz w:val="20"/>
              </w:rPr>
            </w:pPr>
            <w:r w:rsidRPr="00C04677">
              <w:rPr>
                <w:rFonts w:ascii="Arial Narrow" w:hAnsi="Arial Narrow"/>
                <w:sz w:val="20"/>
              </w:rPr>
              <w:t xml:space="preserve">Cost of liver function testing </w:t>
            </w:r>
          </w:p>
          <w:p w:rsidR="00564DC5" w:rsidRPr="00C04677" w:rsidRDefault="00564DC5" w:rsidP="00564DC5">
            <w:pPr>
              <w:rPr>
                <w:rFonts w:ascii="Arial Narrow" w:hAnsi="Arial Narrow"/>
                <w:sz w:val="20"/>
              </w:rPr>
            </w:pPr>
            <w:r w:rsidRPr="00C04677">
              <w:rPr>
                <w:rFonts w:ascii="Arial Narrow" w:hAnsi="Arial Narrow"/>
                <w:sz w:val="20"/>
              </w:rPr>
              <w:t>($17.70 per script)</w:t>
            </w:r>
          </w:p>
        </w:tc>
        <w:tc>
          <w:tcPr>
            <w:tcW w:w="658" w:type="pct"/>
            <w:shd w:val="clear" w:color="auto" w:fill="auto"/>
            <w:noWrap/>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shd w:val="clear" w:color="auto" w:fill="auto"/>
            <w:noWrap/>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9" w:type="pct"/>
            <w:shd w:val="clear" w:color="auto" w:fill="auto"/>
            <w:noWrap/>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shd w:val="clear" w:color="auto" w:fill="auto"/>
            <w:noWrap/>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c>
          <w:tcPr>
            <w:tcW w:w="658" w:type="pct"/>
            <w:shd w:val="clear" w:color="auto" w:fill="auto"/>
            <w:noWrap/>
            <w:vAlign w:val="center"/>
          </w:tcPr>
          <w:p w:rsidR="00564DC5" w:rsidRPr="00C04677" w:rsidRDefault="00564DC5" w:rsidP="00564DC5">
            <w:pPr>
              <w:jc w:val="center"/>
              <w:rPr>
                <w:rFonts w:ascii="Arial Narrow" w:hAnsi="Arial Narrow"/>
                <w:sz w:val="20"/>
              </w:rPr>
            </w:pPr>
            <w:r w:rsidRPr="00C04677">
              <w:rPr>
                <w:rFonts w:ascii="Arial Narrow" w:hAnsi="Arial Narrow"/>
                <w:sz w:val="20"/>
              </w:rPr>
              <w:t>$</w:t>
            </w:r>
            <w:r w:rsidR="00B46366">
              <w:rPr>
                <w:rFonts w:ascii="Arial Narrow" w:hAnsi="Arial Narrow"/>
                <w:noProof/>
                <w:color w:val="000000"/>
                <w:sz w:val="20"/>
                <w:highlight w:val="black"/>
              </w:rPr>
              <w:t>''''''''''''''''''''''</w:t>
            </w:r>
          </w:p>
        </w:tc>
      </w:tr>
      <w:tr w:rsidR="00564DC5" w:rsidRPr="00C04677" w:rsidTr="003221CF">
        <w:tc>
          <w:tcPr>
            <w:tcW w:w="1708" w:type="pct"/>
            <w:shd w:val="clear" w:color="auto" w:fill="auto"/>
            <w:vAlign w:val="bottom"/>
          </w:tcPr>
          <w:p w:rsidR="00564DC5" w:rsidRPr="00C04677" w:rsidRDefault="00564DC5" w:rsidP="00564DC5">
            <w:pPr>
              <w:rPr>
                <w:rFonts w:ascii="Arial Narrow" w:hAnsi="Arial Narrow"/>
                <w:b/>
                <w:sz w:val="20"/>
                <w:vertAlign w:val="superscript"/>
              </w:rPr>
            </w:pPr>
            <w:r w:rsidRPr="00C04677">
              <w:rPr>
                <w:rFonts w:ascii="Arial Narrow" w:hAnsi="Arial Narrow"/>
                <w:b/>
                <w:sz w:val="20"/>
              </w:rPr>
              <w:t>Net cost to government</w:t>
            </w:r>
            <w:r w:rsidRPr="00C04677">
              <w:rPr>
                <w:rFonts w:ascii="Arial Narrow" w:hAnsi="Arial Narrow"/>
                <w:b/>
                <w:sz w:val="20"/>
                <w:vertAlign w:val="superscript"/>
              </w:rPr>
              <w:t>b</w:t>
            </w:r>
          </w:p>
        </w:tc>
        <w:tc>
          <w:tcPr>
            <w:tcW w:w="658" w:type="pct"/>
            <w:shd w:val="clear" w:color="auto" w:fill="auto"/>
            <w:noWrap/>
            <w:vAlign w:val="center"/>
          </w:tcPr>
          <w:p w:rsidR="00564DC5" w:rsidRPr="00B46366" w:rsidRDefault="00B46366" w:rsidP="00564DC5">
            <w:pPr>
              <w:jc w:val="center"/>
              <w:rPr>
                <w:rFonts w:ascii="Arial Narrow" w:hAnsi="Arial Narrow"/>
                <w:b/>
                <w:sz w:val="20"/>
                <w:highlight w:val="black"/>
              </w:rPr>
            </w:pPr>
            <w:r>
              <w:rPr>
                <w:rFonts w:ascii="Arial Narrow" w:hAnsi="Arial Narrow"/>
                <w:b/>
                <w:noProof/>
                <w:color w:val="000000"/>
                <w:sz w:val="20"/>
                <w:highlight w:val="black"/>
              </w:rPr>
              <w:t>''''''''''''''</w:t>
            </w:r>
          </w:p>
        </w:tc>
        <w:tc>
          <w:tcPr>
            <w:tcW w:w="658" w:type="pct"/>
            <w:shd w:val="clear" w:color="auto" w:fill="auto"/>
            <w:noWrap/>
            <w:vAlign w:val="center"/>
          </w:tcPr>
          <w:p w:rsidR="00564DC5" w:rsidRPr="00B46366" w:rsidRDefault="00B46366" w:rsidP="00564DC5">
            <w:pPr>
              <w:jc w:val="center"/>
              <w:rPr>
                <w:rFonts w:ascii="Arial Narrow" w:hAnsi="Arial Narrow"/>
                <w:b/>
                <w:sz w:val="20"/>
                <w:highlight w:val="black"/>
              </w:rPr>
            </w:pPr>
            <w:r>
              <w:rPr>
                <w:rFonts w:ascii="Arial Narrow" w:hAnsi="Arial Narrow"/>
                <w:b/>
                <w:noProof/>
                <w:color w:val="000000"/>
                <w:sz w:val="20"/>
                <w:highlight w:val="black"/>
              </w:rPr>
              <w:t>''''''''''''''''</w:t>
            </w:r>
          </w:p>
        </w:tc>
        <w:tc>
          <w:tcPr>
            <w:tcW w:w="659" w:type="pct"/>
            <w:shd w:val="clear" w:color="auto" w:fill="auto"/>
            <w:noWrap/>
            <w:vAlign w:val="center"/>
          </w:tcPr>
          <w:p w:rsidR="00564DC5" w:rsidRPr="00B46366" w:rsidRDefault="00B46366" w:rsidP="00564DC5">
            <w:pPr>
              <w:jc w:val="center"/>
              <w:rPr>
                <w:rFonts w:ascii="Arial Narrow" w:hAnsi="Arial Narrow"/>
                <w:b/>
                <w:sz w:val="20"/>
                <w:highlight w:val="black"/>
              </w:rPr>
            </w:pPr>
            <w:r>
              <w:rPr>
                <w:rFonts w:ascii="Arial Narrow" w:hAnsi="Arial Narrow"/>
                <w:b/>
                <w:noProof/>
                <w:color w:val="000000"/>
                <w:sz w:val="20"/>
                <w:highlight w:val="black"/>
              </w:rPr>
              <w:t>''''''''''''''''</w:t>
            </w:r>
          </w:p>
        </w:tc>
        <w:tc>
          <w:tcPr>
            <w:tcW w:w="658" w:type="pct"/>
            <w:shd w:val="clear" w:color="auto" w:fill="auto"/>
            <w:noWrap/>
            <w:vAlign w:val="center"/>
          </w:tcPr>
          <w:p w:rsidR="00564DC5" w:rsidRPr="00B46366" w:rsidRDefault="00B46366" w:rsidP="00564DC5">
            <w:pPr>
              <w:jc w:val="center"/>
              <w:rPr>
                <w:rFonts w:ascii="Arial Narrow" w:hAnsi="Arial Narrow"/>
                <w:b/>
                <w:sz w:val="20"/>
                <w:highlight w:val="black"/>
              </w:rPr>
            </w:pPr>
            <w:r>
              <w:rPr>
                <w:rFonts w:ascii="Arial Narrow" w:hAnsi="Arial Narrow"/>
                <w:b/>
                <w:noProof/>
                <w:color w:val="000000"/>
                <w:sz w:val="20"/>
                <w:highlight w:val="black"/>
              </w:rPr>
              <w:t>'''''''''''''''</w:t>
            </w:r>
          </w:p>
        </w:tc>
        <w:tc>
          <w:tcPr>
            <w:tcW w:w="658" w:type="pct"/>
            <w:shd w:val="clear" w:color="auto" w:fill="auto"/>
            <w:noWrap/>
            <w:vAlign w:val="center"/>
          </w:tcPr>
          <w:p w:rsidR="00564DC5" w:rsidRPr="00B46366" w:rsidRDefault="00B46366" w:rsidP="00564DC5">
            <w:pPr>
              <w:jc w:val="center"/>
              <w:rPr>
                <w:rFonts w:ascii="Arial Narrow" w:hAnsi="Arial Narrow"/>
                <w:b/>
                <w:sz w:val="20"/>
                <w:highlight w:val="black"/>
              </w:rPr>
            </w:pPr>
            <w:r>
              <w:rPr>
                <w:rFonts w:ascii="Arial Narrow" w:hAnsi="Arial Narrow"/>
                <w:b/>
                <w:noProof/>
                <w:color w:val="000000"/>
                <w:sz w:val="20"/>
                <w:highlight w:val="black"/>
              </w:rPr>
              <w:t>''''''''''''''</w:t>
            </w:r>
          </w:p>
        </w:tc>
      </w:tr>
    </w:tbl>
    <w:p w:rsidR="00564DC5" w:rsidRPr="00C04677" w:rsidRDefault="00564DC5" w:rsidP="00076727">
      <w:pPr>
        <w:pStyle w:val="ListParagraph"/>
        <w:ind w:left="0"/>
        <w:rPr>
          <w:rFonts w:ascii="Arial Narrow" w:hAnsi="Arial Narrow"/>
          <w:sz w:val="18"/>
          <w:szCs w:val="18"/>
        </w:rPr>
      </w:pPr>
      <w:r w:rsidRPr="00C04677">
        <w:rPr>
          <w:rFonts w:ascii="Arial Narrow" w:hAnsi="Arial Narrow"/>
          <w:sz w:val="18"/>
          <w:szCs w:val="18"/>
        </w:rPr>
        <w:t>Abbreviations: DPMQ, dispensed price for maximum quantity; MS, multiple sclerosis; PBS, Pharmaceutical Benefits Scheme; RPBS Repatriation Pharmaceutical Benefits Scheme</w:t>
      </w:r>
    </w:p>
    <w:p w:rsidR="00564DC5" w:rsidRPr="00C04677" w:rsidRDefault="00564DC5" w:rsidP="00076727">
      <w:pPr>
        <w:pStyle w:val="COMBody"/>
        <w:rPr>
          <w:rFonts w:ascii="Arial Narrow" w:hAnsi="Arial Narrow"/>
          <w:sz w:val="18"/>
        </w:rPr>
      </w:pPr>
      <w:r w:rsidRPr="00C04677">
        <w:rPr>
          <w:rFonts w:ascii="Arial Narrow" w:hAnsi="Arial Narrow"/>
          <w:sz w:val="18"/>
        </w:rPr>
        <w:t xml:space="preserve">Source: </w:t>
      </w:r>
      <w:r w:rsidR="00FC2D36" w:rsidRPr="00C04677">
        <w:rPr>
          <w:rFonts w:ascii="Arial Narrow" w:hAnsi="Arial Narrow"/>
          <w:sz w:val="18"/>
        </w:rPr>
        <w:t>Original</w:t>
      </w:r>
      <w:r w:rsidR="00BC6DD7" w:rsidRPr="00C04677">
        <w:rPr>
          <w:rFonts w:ascii="Arial Narrow" w:hAnsi="Arial Narrow"/>
          <w:sz w:val="18"/>
        </w:rPr>
        <w:t xml:space="preserve"> July 2016</w:t>
      </w:r>
      <w:r w:rsidRPr="00C04677">
        <w:rPr>
          <w:rFonts w:ascii="Arial Narrow" w:hAnsi="Arial Narrow"/>
          <w:sz w:val="18"/>
        </w:rPr>
        <w:t xml:space="preserve"> submission</w:t>
      </w:r>
    </w:p>
    <w:p w:rsidR="00564DC5" w:rsidRPr="00C04677" w:rsidRDefault="00564DC5" w:rsidP="00076727">
      <w:pPr>
        <w:pStyle w:val="COMBody"/>
        <w:rPr>
          <w:rFonts w:ascii="Arial Narrow" w:hAnsi="Arial Narrow"/>
          <w:sz w:val="18"/>
        </w:rPr>
      </w:pPr>
      <w:r w:rsidRPr="00C04677">
        <w:rPr>
          <w:rFonts w:ascii="Arial Narrow" w:hAnsi="Arial Narrow"/>
          <w:sz w:val="18"/>
          <w:vertAlign w:val="superscript"/>
        </w:rPr>
        <w:t>a</w:t>
      </w:r>
      <w:r w:rsidRPr="00C04677">
        <w:rPr>
          <w:rFonts w:ascii="Arial Narrow" w:hAnsi="Arial Narrow"/>
          <w:sz w:val="18"/>
        </w:rPr>
        <w:t xml:space="preserve"> Uptake rates are the equivalent of 2%, 5%, 7%, 9% and 10% of the overall PBS market for MS therapies</w:t>
      </w:r>
    </w:p>
    <w:p w:rsidR="00564DC5" w:rsidRDefault="00564DC5" w:rsidP="00076727">
      <w:pPr>
        <w:pStyle w:val="COMBody"/>
        <w:rPr>
          <w:rFonts w:ascii="Arial Narrow" w:hAnsi="Arial Narrow"/>
          <w:sz w:val="18"/>
        </w:rPr>
      </w:pPr>
      <w:r w:rsidRPr="00C04677">
        <w:rPr>
          <w:rFonts w:ascii="Arial Narrow" w:hAnsi="Arial Narrow"/>
          <w:sz w:val="18"/>
          <w:vertAlign w:val="superscript"/>
        </w:rPr>
        <w:t>b</w:t>
      </w:r>
      <w:r w:rsidRPr="00C04677">
        <w:rPr>
          <w:rFonts w:ascii="Arial Narrow" w:hAnsi="Arial Narrow"/>
          <w:sz w:val="18"/>
        </w:rPr>
        <w:t xml:space="preserve"> Corrected estimate accounting for patient co-payments</w:t>
      </w:r>
    </w:p>
    <w:p w:rsidR="00A261CB" w:rsidRDefault="00A261CB" w:rsidP="00076727">
      <w:pPr>
        <w:pStyle w:val="COMBody"/>
        <w:rPr>
          <w:rFonts w:ascii="Arial Narrow" w:hAnsi="Arial Narrow"/>
          <w:sz w:val="18"/>
        </w:rPr>
      </w:pPr>
    </w:p>
    <w:p w:rsidR="00A261CB" w:rsidRPr="00B46366" w:rsidRDefault="00A261CB" w:rsidP="002F3D6E">
      <w:pPr>
        <w:spacing w:after="200" w:line="276" w:lineRule="auto"/>
      </w:pPr>
      <w:r w:rsidRPr="00A261CB">
        <w:t xml:space="preserve">The redacted table </w:t>
      </w:r>
      <w:r w:rsidR="00B65E96">
        <w:t xml:space="preserve">above </w:t>
      </w:r>
      <w:r w:rsidRPr="00A261CB">
        <w:t>shows that a</w:t>
      </w:r>
      <w:r>
        <w:t xml:space="preserve">t year 5, </w:t>
      </w:r>
      <w:r w:rsidRPr="00A261CB">
        <w:t>the net c</w:t>
      </w:r>
      <w:r>
        <w:t xml:space="preserve">ost to the PBS would be </w:t>
      </w:r>
      <w:r w:rsidRPr="00B65E96">
        <w:t>less than $10 million per year</w:t>
      </w:r>
      <w:r>
        <w:t>.</w:t>
      </w:r>
    </w:p>
    <w:p w:rsidR="00564DC5" w:rsidRPr="00C04677" w:rsidRDefault="00564DC5" w:rsidP="00564DC5">
      <w:pPr>
        <w:rPr>
          <w:szCs w:val="22"/>
        </w:rPr>
      </w:pPr>
    </w:p>
    <w:p w:rsidR="00282478" w:rsidRPr="00C04677" w:rsidRDefault="00564DC5" w:rsidP="00282478">
      <w:pPr>
        <w:pStyle w:val="ListParagraph"/>
        <w:numPr>
          <w:ilvl w:val="1"/>
          <w:numId w:val="5"/>
        </w:numPr>
        <w:rPr>
          <w:szCs w:val="22"/>
        </w:rPr>
      </w:pPr>
      <w:r w:rsidRPr="00C04677">
        <w:rPr>
          <w:szCs w:val="22"/>
        </w:rPr>
        <w:lastRenderedPageBreak/>
        <w:t>The evaluation considered the budget impact estimate uncertain due to the rapidly changing dynamics of the PBS MS market, the poorly justified assumption for the expected uptake of daclizumab, the unrealistic assumption that daclizumab will only replace fingolimod in practice and costs that are based on published rather than effective prices</w:t>
      </w:r>
      <w:r w:rsidR="00C04677">
        <w:rPr>
          <w:szCs w:val="22"/>
        </w:rPr>
        <w:t xml:space="preserve">. </w:t>
      </w:r>
      <w:r w:rsidRPr="00C04677">
        <w:rPr>
          <w:szCs w:val="22"/>
        </w:rPr>
        <w:t>The PBA</w:t>
      </w:r>
      <w:r w:rsidR="00282478" w:rsidRPr="00C04677">
        <w:rPr>
          <w:szCs w:val="22"/>
        </w:rPr>
        <w:t>C considered the financial estimates in the original submission were not reliable based on the initial uptake rate being based on the Peg</w:t>
      </w:r>
      <w:r w:rsidR="00282478" w:rsidRPr="00C04677">
        <w:rPr>
          <w:szCs w:val="22"/>
        </w:rPr>
        <w:noBreakHyphen/>
        <w:t>IFN β-1a market share, then arbitrary assumptions thereafter, including the assumption that daclizumab would only replace fingolimod.</w:t>
      </w:r>
    </w:p>
    <w:p w:rsidR="00564DC5" w:rsidRPr="00C04677" w:rsidRDefault="00564DC5" w:rsidP="00282478">
      <w:pPr>
        <w:rPr>
          <w:szCs w:val="22"/>
        </w:rPr>
      </w:pPr>
    </w:p>
    <w:p w:rsidR="00564DC5" w:rsidRPr="00C04677" w:rsidRDefault="00564DC5" w:rsidP="003221CF"/>
    <w:p w:rsidR="00564DC5" w:rsidRPr="00C04677" w:rsidRDefault="00564DC5" w:rsidP="00564DC5">
      <w:pPr>
        <w:pStyle w:val="ListParagraph"/>
        <w:widowControl/>
        <w:numPr>
          <w:ilvl w:val="1"/>
          <w:numId w:val="5"/>
        </w:numPr>
        <w:rPr>
          <w:szCs w:val="22"/>
        </w:rPr>
      </w:pPr>
      <w:r w:rsidRPr="00C04677">
        <w:rPr>
          <w:szCs w:val="22"/>
        </w:rPr>
        <w:t xml:space="preserve">The PSCR (p1) contended that daclizumab was unlikely to replace other injectable therapies for RRMS because it has superior efficacy compared to interferon beta-1a, and therefore it and other injectable therapies would not substitute for daclizumab. The ESC agreed with the PSCR, but considered that given the likely clinical place of daclizumab it would substitute </w:t>
      </w:r>
      <w:r w:rsidR="0024335A" w:rsidRPr="00C04677">
        <w:rPr>
          <w:szCs w:val="22"/>
        </w:rPr>
        <w:t xml:space="preserve">for </w:t>
      </w:r>
      <w:r w:rsidRPr="00C04677">
        <w:rPr>
          <w:szCs w:val="22"/>
        </w:rPr>
        <w:t>both DMF and fingolimod</w:t>
      </w:r>
      <w:r w:rsidR="00C04677">
        <w:rPr>
          <w:szCs w:val="22"/>
        </w:rPr>
        <w:t xml:space="preserve">. </w:t>
      </w:r>
      <w:r w:rsidRPr="00C04677">
        <w:rPr>
          <w:szCs w:val="22"/>
        </w:rPr>
        <w:t xml:space="preserve">The PBAC agreed with the ESC </w:t>
      </w:r>
      <w:r w:rsidR="00FC2D36" w:rsidRPr="00C04677">
        <w:rPr>
          <w:szCs w:val="22"/>
        </w:rPr>
        <w:t>but</w:t>
      </w:r>
      <w:r w:rsidRPr="00C04677">
        <w:rPr>
          <w:szCs w:val="22"/>
        </w:rPr>
        <w:t xml:space="preserve"> considered that the other injectable</w:t>
      </w:r>
      <w:r w:rsidR="00EF6D03" w:rsidRPr="00C04677">
        <w:rPr>
          <w:szCs w:val="22"/>
        </w:rPr>
        <w:t>s</w:t>
      </w:r>
      <w:r w:rsidRPr="00C04677">
        <w:rPr>
          <w:szCs w:val="22"/>
        </w:rPr>
        <w:t xml:space="preserve"> may also be substituted by daclizumab.</w:t>
      </w:r>
    </w:p>
    <w:p w:rsidR="00564DC5" w:rsidRPr="00C04677" w:rsidRDefault="00564DC5" w:rsidP="00564DC5">
      <w:pPr>
        <w:pStyle w:val="ListParagraph"/>
        <w:widowControl/>
        <w:rPr>
          <w:szCs w:val="22"/>
        </w:rPr>
      </w:pPr>
    </w:p>
    <w:p w:rsidR="00564DC5" w:rsidRPr="00C04677" w:rsidRDefault="00564DC5" w:rsidP="00564DC5">
      <w:pPr>
        <w:pStyle w:val="ListParagraph"/>
        <w:widowControl/>
        <w:numPr>
          <w:ilvl w:val="1"/>
          <w:numId w:val="5"/>
        </w:numPr>
        <w:rPr>
          <w:szCs w:val="22"/>
        </w:rPr>
      </w:pPr>
      <w:r w:rsidRPr="00C04677">
        <w:rPr>
          <w:szCs w:val="22"/>
        </w:rPr>
        <w:t>The PBAC considered in July 2016 that the assumption</w:t>
      </w:r>
      <w:r w:rsidR="0024335A" w:rsidRPr="00C04677">
        <w:rPr>
          <w:szCs w:val="22"/>
        </w:rPr>
        <w:t xml:space="preserve"> that</w:t>
      </w:r>
      <w:r w:rsidRPr="00C04677">
        <w:rPr>
          <w:szCs w:val="22"/>
        </w:rPr>
        <w:t xml:space="preserve"> daclizumab would only replace fingolimod </w:t>
      </w:r>
      <w:r w:rsidR="0024335A" w:rsidRPr="00C04677">
        <w:rPr>
          <w:szCs w:val="22"/>
        </w:rPr>
        <w:t xml:space="preserve">was </w:t>
      </w:r>
      <w:r w:rsidRPr="00C04677">
        <w:rPr>
          <w:szCs w:val="22"/>
        </w:rPr>
        <w:t xml:space="preserve">likely </w:t>
      </w:r>
      <w:r w:rsidR="0024335A" w:rsidRPr="00C04677">
        <w:rPr>
          <w:szCs w:val="22"/>
        </w:rPr>
        <w:t xml:space="preserve">to </w:t>
      </w:r>
      <w:r w:rsidRPr="00C04677">
        <w:rPr>
          <w:szCs w:val="22"/>
        </w:rPr>
        <w:t>substantially underestimat</w:t>
      </w:r>
      <w:r w:rsidR="00563C6A" w:rsidRPr="00C04677">
        <w:rPr>
          <w:szCs w:val="22"/>
        </w:rPr>
        <w:t>e</w:t>
      </w:r>
      <w:r w:rsidRPr="00C04677">
        <w:rPr>
          <w:szCs w:val="22"/>
        </w:rPr>
        <w:t xml:space="preserve"> the net cost to government.</w:t>
      </w:r>
    </w:p>
    <w:p w:rsidR="0076420C" w:rsidRPr="00C04677" w:rsidRDefault="0076420C" w:rsidP="00564DC5">
      <w:pPr>
        <w:rPr>
          <w:szCs w:val="22"/>
        </w:rPr>
      </w:pPr>
    </w:p>
    <w:p w:rsidR="0089104C" w:rsidRPr="00C04677" w:rsidRDefault="0089104C" w:rsidP="0089104C">
      <w:pPr>
        <w:ind w:firstLine="720"/>
        <w:rPr>
          <w:rFonts w:cs="Arial"/>
          <w:bCs/>
          <w:snapToGrid w:val="0"/>
          <w:szCs w:val="22"/>
        </w:rPr>
      </w:pPr>
      <w:r w:rsidRPr="00C04677">
        <w:rPr>
          <w:rFonts w:cs="Arial"/>
          <w:bCs/>
          <w:i/>
          <w:snapToGrid w:val="0"/>
          <w:szCs w:val="22"/>
        </w:rPr>
        <w:t>For more detail on PBAC’s view, see section 7 “PBAC outcome”</w:t>
      </w:r>
    </w:p>
    <w:p w:rsidR="000065FC" w:rsidRPr="00C04677" w:rsidRDefault="000065FC" w:rsidP="0089104C">
      <w:pPr>
        <w:rPr>
          <w:szCs w:val="22"/>
        </w:rPr>
      </w:pPr>
    </w:p>
    <w:p w:rsidR="000065FC" w:rsidRPr="00C04677" w:rsidRDefault="000065FC" w:rsidP="0089104C">
      <w:pPr>
        <w:rPr>
          <w:szCs w:val="22"/>
        </w:rPr>
      </w:pPr>
    </w:p>
    <w:p w:rsidR="0089104C" w:rsidRPr="00C04677" w:rsidRDefault="0089104C" w:rsidP="003221CF">
      <w:pPr>
        <w:widowControl w:val="0"/>
        <w:numPr>
          <w:ilvl w:val="0"/>
          <w:numId w:val="5"/>
        </w:numPr>
        <w:jc w:val="both"/>
        <w:outlineLvl w:val="0"/>
        <w:rPr>
          <w:rFonts w:cs="Arial"/>
          <w:b/>
          <w:bCs/>
          <w:snapToGrid w:val="0"/>
          <w:szCs w:val="20"/>
        </w:rPr>
      </w:pPr>
      <w:r w:rsidRPr="00C04677">
        <w:rPr>
          <w:rFonts w:cs="Arial"/>
          <w:b/>
          <w:bCs/>
          <w:snapToGrid w:val="0"/>
          <w:szCs w:val="20"/>
        </w:rPr>
        <w:t>PBAC Outcome</w:t>
      </w:r>
    </w:p>
    <w:p w:rsidR="0089104C" w:rsidRPr="00C04677" w:rsidRDefault="0089104C" w:rsidP="0089104C">
      <w:pPr>
        <w:widowControl w:val="0"/>
        <w:jc w:val="both"/>
        <w:rPr>
          <w:rFonts w:cs="Arial"/>
          <w:bCs/>
          <w:snapToGrid w:val="0"/>
          <w:szCs w:val="20"/>
        </w:rPr>
      </w:pPr>
    </w:p>
    <w:p w:rsidR="0089104C" w:rsidRPr="00C04677" w:rsidRDefault="0089104C" w:rsidP="00FA63BA">
      <w:pPr>
        <w:widowControl w:val="0"/>
        <w:numPr>
          <w:ilvl w:val="1"/>
          <w:numId w:val="5"/>
        </w:numPr>
        <w:jc w:val="both"/>
        <w:rPr>
          <w:rFonts w:cs="Arial"/>
          <w:bCs/>
          <w:snapToGrid w:val="0"/>
          <w:szCs w:val="20"/>
        </w:rPr>
      </w:pPr>
      <w:r w:rsidRPr="00C04677">
        <w:rPr>
          <w:rFonts w:cs="Arial"/>
          <w:bCs/>
          <w:snapToGrid w:val="0"/>
          <w:szCs w:val="20"/>
        </w:rPr>
        <w:t xml:space="preserve">The PBAC recommended the listing of </w:t>
      </w:r>
      <w:r w:rsidR="000065FC" w:rsidRPr="00C04677">
        <w:rPr>
          <w:rFonts w:cs="Arial"/>
          <w:bCs/>
          <w:snapToGrid w:val="0"/>
          <w:szCs w:val="20"/>
        </w:rPr>
        <w:t>daclizumab</w:t>
      </w:r>
      <w:r w:rsidRPr="00C04677">
        <w:rPr>
          <w:rFonts w:cs="Arial"/>
          <w:bCs/>
          <w:snapToGrid w:val="0"/>
          <w:szCs w:val="20"/>
        </w:rPr>
        <w:t xml:space="preserve"> </w:t>
      </w:r>
      <w:r w:rsidR="000065FC" w:rsidRPr="00C04677">
        <w:rPr>
          <w:rFonts w:cs="Arial"/>
          <w:bCs/>
          <w:snapToGrid w:val="0"/>
          <w:szCs w:val="20"/>
        </w:rPr>
        <w:t>on</w:t>
      </w:r>
      <w:r w:rsidR="00FB4B64" w:rsidRPr="00C04677">
        <w:rPr>
          <w:rFonts w:cs="Arial"/>
          <w:bCs/>
          <w:snapToGrid w:val="0"/>
          <w:szCs w:val="20"/>
        </w:rPr>
        <w:t xml:space="preserve"> the basis that the presented direct comparison of IM </w:t>
      </w:r>
      <w:r w:rsidR="00FB4B64" w:rsidRPr="00C04677">
        <w:rPr>
          <w:szCs w:val="22"/>
        </w:rPr>
        <w:t>IFN β-1a and indirect comparisons of daclizumab and fingolimod supported a conclusion that daclizumab is likely to be superior to IFN β-1a and may be non-inferior to fingolimod</w:t>
      </w:r>
      <w:r w:rsidR="00446E8F">
        <w:rPr>
          <w:szCs w:val="22"/>
        </w:rPr>
        <w:t>,</w:t>
      </w:r>
      <w:r w:rsidR="00FB4B64" w:rsidRPr="00C04677">
        <w:rPr>
          <w:szCs w:val="22"/>
        </w:rPr>
        <w:t xml:space="preserve"> with regards to comparative efficacy</w:t>
      </w:r>
      <w:r w:rsidR="00E31345" w:rsidRPr="00C04677">
        <w:rPr>
          <w:szCs w:val="22"/>
        </w:rPr>
        <w:t>, but</w:t>
      </w:r>
      <w:r w:rsidR="00FA63BA" w:rsidRPr="00C04677">
        <w:rPr>
          <w:szCs w:val="22"/>
        </w:rPr>
        <w:t xml:space="preserve"> </w:t>
      </w:r>
      <w:r w:rsidR="00446E8F">
        <w:rPr>
          <w:szCs w:val="22"/>
        </w:rPr>
        <w:t xml:space="preserve">may be </w:t>
      </w:r>
      <w:r w:rsidR="00FA63BA" w:rsidRPr="00C04677">
        <w:rPr>
          <w:szCs w:val="22"/>
        </w:rPr>
        <w:t xml:space="preserve">inferior </w:t>
      </w:r>
      <w:r w:rsidR="00446E8F">
        <w:rPr>
          <w:szCs w:val="22"/>
        </w:rPr>
        <w:t xml:space="preserve">to </w:t>
      </w:r>
      <w:r w:rsidR="00446E8F" w:rsidRPr="00C04677">
        <w:rPr>
          <w:szCs w:val="22"/>
        </w:rPr>
        <w:t xml:space="preserve">IFN β-1a </w:t>
      </w:r>
      <w:r w:rsidR="00FA63BA" w:rsidRPr="00C04677">
        <w:rPr>
          <w:szCs w:val="22"/>
        </w:rPr>
        <w:t>with reg</w:t>
      </w:r>
      <w:r w:rsidR="000C61BF">
        <w:rPr>
          <w:szCs w:val="22"/>
        </w:rPr>
        <w:t>ards to comparative safety</w:t>
      </w:r>
      <w:r w:rsidR="00C04677">
        <w:rPr>
          <w:szCs w:val="22"/>
        </w:rPr>
        <w:t xml:space="preserve">. </w:t>
      </w:r>
    </w:p>
    <w:p w:rsidR="00687E0C" w:rsidRPr="00C04677" w:rsidRDefault="00687E0C" w:rsidP="00687E0C">
      <w:pPr>
        <w:rPr>
          <w:snapToGrid w:val="0"/>
        </w:rPr>
      </w:pPr>
    </w:p>
    <w:p w:rsidR="00266C14" w:rsidRPr="00C04677" w:rsidRDefault="00687E0C" w:rsidP="0089104C">
      <w:pPr>
        <w:widowControl w:val="0"/>
        <w:numPr>
          <w:ilvl w:val="1"/>
          <w:numId w:val="5"/>
        </w:numPr>
        <w:jc w:val="both"/>
        <w:rPr>
          <w:rFonts w:cs="Arial"/>
          <w:bCs/>
          <w:snapToGrid w:val="0"/>
          <w:szCs w:val="20"/>
        </w:rPr>
      </w:pPr>
      <w:r w:rsidRPr="00C04677">
        <w:rPr>
          <w:rFonts w:cs="Arial"/>
          <w:bCs/>
          <w:snapToGrid w:val="0"/>
          <w:szCs w:val="20"/>
        </w:rPr>
        <w:t xml:space="preserve">The PBAC </w:t>
      </w:r>
      <w:r w:rsidRPr="00C04677">
        <w:rPr>
          <w:szCs w:val="22"/>
        </w:rPr>
        <w:t xml:space="preserve">considered there was substantial uncertainty </w:t>
      </w:r>
      <w:r w:rsidR="00446E8F">
        <w:rPr>
          <w:szCs w:val="22"/>
        </w:rPr>
        <w:t>about</w:t>
      </w:r>
      <w:r w:rsidR="00446E8F" w:rsidRPr="00C04677">
        <w:rPr>
          <w:szCs w:val="22"/>
        </w:rPr>
        <w:t xml:space="preserve"> </w:t>
      </w:r>
      <w:r w:rsidRPr="00C04677">
        <w:rPr>
          <w:szCs w:val="22"/>
        </w:rPr>
        <w:t xml:space="preserve">the indirect </w:t>
      </w:r>
      <w:r w:rsidR="00446E8F">
        <w:rPr>
          <w:szCs w:val="22"/>
        </w:rPr>
        <w:t>comparisons</w:t>
      </w:r>
      <w:r w:rsidRPr="00C04677">
        <w:rPr>
          <w:szCs w:val="22"/>
        </w:rPr>
        <w:t xml:space="preserve"> with fingolimod using placebo and IM IFN β-1a as common comparators (paragraphs 6.10, 6.14, 6.17 and 6.23 refer). The PBAC also</w:t>
      </w:r>
      <w:r w:rsidR="00026856" w:rsidRPr="00C04677">
        <w:rPr>
          <w:szCs w:val="22"/>
        </w:rPr>
        <w:t xml:space="preserve"> again</w:t>
      </w:r>
      <w:r w:rsidRPr="00C04677">
        <w:rPr>
          <w:szCs w:val="22"/>
        </w:rPr>
        <w:t xml:space="preserve"> considered it was unable to draw meaningful conclusions with regards to comparative safety from the indirect comparisons</w:t>
      </w:r>
      <w:r w:rsidR="00026856" w:rsidRPr="00C04677">
        <w:rPr>
          <w:szCs w:val="22"/>
        </w:rPr>
        <w:t xml:space="preserve"> with fingolimod</w:t>
      </w:r>
      <w:r w:rsidR="00D544A8" w:rsidRPr="00C04677">
        <w:rPr>
          <w:szCs w:val="22"/>
        </w:rPr>
        <w:t>, and further considered that daclizumab may have a worse safety profile than IFN β-1a</w:t>
      </w:r>
      <w:r w:rsidRPr="00C04677">
        <w:rPr>
          <w:szCs w:val="22"/>
        </w:rPr>
        <w:t xml:space="preserve">. As such, the PBAC recommended </w:t>
      </w:r>
      <w:r w:rsidR="00E31345" w:rsidRPr="00C04677">
        <w:rPr>
          <w:szCs w:val="22"/>
        </w:rPr>
        <w:t>that the superior comparative efficacy over IFN β-1a justified the cost of daclizumab per patient per course be</w:t>
      </w:r>
      <w:r w:rsidR="00C04677">
        <w:rPr>
          <w:szCs w:val="22"/>
        </w:rPr>
        <w:t>ing</w:t>
      </w:r>
      <w:r w:rsidR="00E31345" w:rsidRPr="00C04677">
        <w:rPr>
          <w:szCs w:val="22"/>
        </w:rPr>
        <w:t xml:space="preserve"> higher than IFN β-1a, however there was insufficient </w:t>
      </w:r>
      <w:r w:rsidR="00C04677">
        <w:rPr>
          <w:szCs w:val="22"/>
        </w:rPr>
        <w:t xml:space="preserve">grounds </w:t>
      </w:r>
      <w:r w:rsidR="00E31345" w:rsidRPr="00C04677">
        <w:rPr>
          <w:szCs w:val="22"/>
        </w:rPr>
        <w:t xml:space="preserve">for the cost per patient per course to be as high as </w:t>
      </w:r>
      <w:r w:rsidRPr="00C04677">
        <w:rPr>
          <w:szCs w:val="22"/>
        </w:rPr>
        <w:t>fingolimod</w:t>
      </w:r>
      <w:r w:rsidR="00026856" w:rsidRPr="00C04677">
        <w:rPr>
          <w:szCs w:val="22"/>
        </w:rPr>
        <w:t>.</w:t>
      </w:r>
    </w:p>
    <w:p w:rsidR="0089104C" w:rsidRPr="00C04677" w:rsidRDefault="0089104C" w:rsidP="0089104C">
      <w:pPr>
        <w:widowControl w:val="0"/>
        <w:jc w:val="both"/>
        <w:rPr>
          <w:rFonts w:cs="Arial"/>
          <w:bCs/>
          <w:snapToGrid w:val="0"/>
          <w:szCs w:val="20"/>
        </w:rPr>
      </w:pPr>
    </w:p>
    <w:p w:rsidR="00026856" w:rsidRPr="00C04677" w:rsidRDefault="00026856" w:rsidP="00026856">
      <w:pPr>
        <w:widowControl w:val="0"/>
        <w:numPr>
          <w:ilvl w:val="1"/>
          <w:numId w:val="5"/>
        </w:numPr>
        <w:jc w:val="both"/>
        <w:rPr>
          <w:rFonts w:cs="Arial"/>
          <w:bCs/>
          <w:snapToGrid w:val="0"/>
          <w:szCs w:val="20"/>
        </w:rPr>
      </w:pPr>
      <w:r w:rsidRPr="00C04677">
        <w:rPr>
          <w:szCs w:val="22"/>
        </w:rPr>
        <w:t xml:space="preserve">The PBAC </w:t>
      </w:r>
      <w:r w:rsidR="00E31345" w:rsidRPr="00C04677">
        <w:rPr>
          <w:szCs w:val="22"/>
        </w:rPr>
        <w:t xml:space="preserve">additionally </w:t>
      </w:r>
      <w:r w:rsidRPr="00C04677">
        <w:rPr>
          <w:szCs w:val="22"/>
        </w:rPr>
        <w:t xml:space="preserve">noted that a </w:t>
      </w:r>
      <w:r w:rsidR="00574BE5" w:rsidRPr="00C04677">
        <w:rPr>
          <w:szCs w:val="22"/>
        </w:rPr>
        <w:t xml:space="preserve">TGA </w:t>
      </w:r>
      <w:r w:rsidRPr="00C04677">
        <w:rPr>
          <w:szCs w:val="22"/>
        </w:rPr>
        <w:t xml:space="preserve">condition of </w:t>
      </w:r>
      <w:r w:rsidR="00574BE5" w:rsidRPr="00C04677">
        <w:rPr>
          <w:szCs w:val="22"/>
        </w:rPr>
        <w:t>registration</w:t>
      </w:r>
      <w:r w:rsidR="00E36E9B" w:rsidRPr="00C04677">
        <w:rPr>
          <w:szCs w:val="22"/>
        </w:rPr>
        <w:t xml:space="preserve"> would require that</w:t>
      </w:r>
      <w:r w:rsidRPr="00C04677">
        <w:rPr>
          <w:szCs w:val="22"/>
        </w:rPr>
        <w:t xml:space="preserve"> monthly liver function testing be conducted on patients</w:t>
      </w:r>
      <w:r w:rsidR="00E31345" w:rsidRPr="00C04677">
        <w:rPr>
          <w:szCs w:val="22"/>
        </w:rPr>
        <w:t>,</w:t>
      </w:r>
      <w:r w:rsidRPr="00C04677">
        <w:rPr>
          <w:szCs w:val="22"/>
        </w:rPr>
        <w:t xml:space="preserve"> and requested that the cost of this testing be accounted for in determining a price for daclizumab</w:t>
      </w:r>
      <w:r w:rsidR="0030503A" w:rsidRPr="00C04677">
        <w:rPr>
          <w:szCs w:val="22"/>
        </w:rPr>
        <w:t>.</w:t>
      </w:r>
    </w:p>
    <w:p w:rsidR="000065FC" w:rsidRPr="00C04677" w:rsidRDefault="000065FC" w:rsidP="00547D39">
      <w:pPr>
        <w:widowControl w:val="0"/>
        <w:jc w:val="both"/>
        <w:rPr>
          <w:rFonts w:cs="Arial"/>
          <w:bCs/>
          <w:snapToGrid w:val="0"/>
          <w:szCs w:val="20"/>
        </w:rPr>
      </w:pPr>
    </w:p>
    <w:p w:rsidR="0089104C" w:rsidRPr="00C04677" w:rsidRDefault="00547D39" w:rsidP="0089104C">
      <w:pPr>
        <w:widowControl w:val="0"/>
        <w:numPr>
          <w:ilvl w:val="1"/>
          <w:numId w:val="5"/>
        </w:numPr>
        <w:jc w:val="both"/>
        <w:rPr>
          <w:rFonts w:cs="Arial"/>
          <w:bCs/>
          <w:snapToGrid w:val="0"/>
          <w:szCs w:val="20"/>
        </w:rPr>
      </w:pPr>
      <w:r w:rsidRPr="00C04677">
        <w:rPr>
          <w:rFonts w:cs="Arial"/>
          <w:bCs/>
          <w:snapToGrid w:val="0"/>
          <w:szCs w:val="20"/>
        </w:rPr>
        <w:t xml:space="preserve">The PBAC agreed that </w:t>
      </w:r>
      <w:r w:rsidR="000D027A" w:rsidRPr="00C04677">
        <w:rPr>
          <w:rFonts w:cs="Arial"/>
          <w:bCs/>
          <w:snapToGrid w:val="0"/>
          <w:szCs w:val="20"/>
        </w:rPr>
        <w:t xml:space="preserve">consistent with </w:t>
      </w:r>
      <w:r w:rsidRPr="00C04677">
        <w:rPr>
          <w:rFonts w:cs="Arial"/>
          <w:bCs/>
          <w:snapToGrid w:val="0"/>
          <w:szCs w:val="20"/>
        </w:rPr>
        <w:t>the TGA registration, initiation of daclizumab should be restricted to neurologists.</w:t>
      </w:r>
    </w:p>
    <w:p w:rsidR="0089104C" w:rsidRPr="00C04677" w:rsidRDefault="0089104C" w:rsidP="0030503A">
      <w:pPr>
        <w:widowControl w:val="0"/>
        <w:jc w:val="both"/>
        <w:rPr>
          <w:rFonts w:cs="Arial"/>
          <w:bCs/>
          <w:snapToGrid w:val="0"/>
          <w:szCs w:val="20"/>
        </w:rPr>
      </w:pPr>
    </w:p>
    <w:p w:rsidR="0089104C" w:rsidRPr="00C04677" w:rsidRDefault="0089104C" w:rsidP="0089104C">
      <w:pPr>
        <w:widowControl w:val="0"/>
        <w:numPr>
          <w:ilvl w:val="1"/>
          <w:numId w:val="5"/>
        </w:numPr>
        <w:jc w:val="both"/>
        <w:rPr>
          <w:rFonts w:cs="Arial"/>
          <w:bCs/>
          <w:snapToGrid w:val="0"/>
          <w:szCs w:val="20"/>
        </w:rPr>
      </w:pPr>
      <w:r w:rsidRPr="00C04677">
        <w:rPr>
          <w:rFonts w:cs="Arial"/>
          <w:bCs/>
          <w:snapToGrid w:val="0"/>
          <w:szCs w:val="20"/>
        </w:rPr>
        <w:t xml:space="preserve">The PBAC recommended that </w:t>
      </w:r>
      <w:r w:rsidR="003817B3" w:rsidRPr="00C04677">
        <w:rPr>
          <w:rFonts w:cs="Arial"/>
          <w:bCs/>
          <w:snapToGrid w:val="0"/>
          <w:szCs w:val="20"/>
        </w:rPr>
        <w:t>daclizumab</w:t>
      </w:r>
      <w:r w:rsidRPr="00C04677">
        <w:rPr>
          <w:rFonts w:cs="Arial"/>
          <w:bCs/>
          <w:snapToGrid w:val="0"/>
          <w:szCs w:val="20"/>
        </w:rPr>
        <w:t xml:space="preserve"> should not be treated as interchangeable with any other drugs</w:t>
      </w:r>
      <w:r w:rsidR="009E530E" w:rsidRPr="00C04677">
        <w:rPr>
          <w:rFonts w:cs="Arial"/>
          <w:bCs/>
          <w:snapToGrid w:val="0"/>
          <w:szCs w:val="20"/>
        </w:rPr>
        <w:t>.</w:t>
      </w:r>
    </w:p>
    <w:p w:rsidR="0089104C" w:rsidRPr="00C04677" w:rsidRDefault="0089104C" w:rsidP="0089104C">
      <w:pPr>
        <w:widowControl w:val="0"/>
        <w:jc w:val="both"/>
        <w:rPr>
          <w:rFonts w:cs="Arial"/>
          <w:bCs/>
          <w:snapToGrid w:val="0"/>
          <w:szCs w:val="20"/>
        </w:rPr>
      </w:pPr>
    </w:p>
    <w:p w:rsidR="0089104C" w:rsidRPr="00C04677" w:rsidRDefault="0089104C" w:rsidP="0089104C">
      <w:pPr>
        <w:widowControl w:val="0"/>
        <w:numPr>
          <w:ilvl w:val="1"/>
          <w:numId w:val="5"/>
        </w:numPr>
        <w:jc w:val="both"/>
        <w:rPr>
          <w:rFonts w:cs="Arial"/>
          <w:bCs/>
          <w:snapToGrid w:val="0"/>
          <w:szCs w:val="20"/>
        </w:rPr>
      </w:pPr>
      <w:r w:rsidRPr="00C04677">
        <w:rPr>
          <w:rFonts w:cs="Arial"/>
          <w:bCs/>
          <w:snapToGrid w:val="0"/>
          <w:szCs w:val="20"/>
        </w:rPr>
        <w:t xml:space="preserve">The PBAC advised that </w:t>
      </w:r>
      <w:r w:rsidR="009E530E" w:rsidRPr="00C04677">
        <w:rPr>
          <w:rFonts w:cs="Arial"/>
          <w:bCs/>
          <w:snapToGrid w:val="0"/>
          <w:szCs w:val="20"/>
        </w:rPr>
        <w:t>daclizumab</w:t>
      </w:r>
      <w:r w:rsidRPr="00C04677">
        <w:rPr>
          <w:rFonts w:cs="Arial"/>
          <w:bCs/>
          <w:snapToGrid w:val="0"/>
          <w:szCs w:val="20"/>
        </w:rPr>
        <w:t xml:space="preserve"> is not suitable for prescribing by nurse practitioners</w:t>
      </w:r>
      <w:r w:rsidR="00C04677">
        <w:rPr>
          <w:rFonts w:cs="Arial"/>
          <w:bCs/>
          <w:snapToGrid w:val="0"/>
          <w:szCs w:val="20"/>
        </w:rPr>
        <w:t xml:space="preserve">. </w:t>
      </w:r>
    </w:p>
    <w:p w:rsidR="0089104C" w:rsidRPr="00C04677" w:rsidRDefault="0089104C" w:rsidP="0089104C">
      <w:pPr>
        <w:widowControl w:val="0"/>
        <w:jc w:val="both"/>
        <w:rPr>
          <w:rFonts w:cs="Arial"/>
          <w:bCs/>
          <w:snapToGrid w:val="0"/>
          <w:szCs w:val="20"/>
        </w:rPr>
      </w:pPr>
    </w:p>
    <w:p w:rsidR="0089104C" w:rsidRPr="00C04677" w:rsidRDefault="0089104C" w:rsidP="0089104C">
      <w:pPr>
        <w:widowControl w:val="0"/>
        <w:numPr>
          <w:ilvl w:val="1"/>
          <w:numId w:val="5"/>
        </w:numPr>
        <w:jc w:val="both"/>
        <w:rPr>
          <w:rFonts w:cs="Arial"/>
          <w:bCs/>
          <w:snapToGrid w:val="0"/>
          <w:szCs w:val="20"/>
        </w:rPr>
      </w:pPr>
      <w:r w:rsidRPr="00C04677">
        <w:rPr>
          <w:rFonts w:cs="Arial"/>
          <w:bCs/>
          <w:snapToGrid w:val="0"/>
          <w:szCs w:val="20"/>
        </w:rPr>
        <w:t xml:space="preserve">The PBAC recommended that the Early Supply Rule should apply. </w:t>
      </w:r>
    </w:p>
    <w:p w:rsidR="0089104C" w:rsidRPr="00C04677" w:rsidRDefault="0089104C" w:rsidP="0089104C">
      <w:pPr>
        <w:widowControl w:val="0"/>
        <w:jc w:val="both"/>
        <w:rPr>
          <w:rFonts w:cs="Arial"/>
          <w:bCs/>
          <w:snapToGrid w:val="0"/>
          <w:szCs w:val="20"/>
        </w:rPr>
      </w:pPr>
    </w:p>
    <w:p w:rsidR="0089104C" w:rsidRPr="00C04677" w:rsidRDefault="0089104C" w:rsidP="0089104C">
      <w:pPr>
        <w:widowControl w:val="0"/>
        <w:numPr>
          <w:ilvl w:val="1"/>
          <w:numId w:val="5"/>
        </w:numPr>
        <w:jc w:val="both"/>
        <w:rPr>
          <w:rFonts w:cs="Arial"/>
          <w:bCs/>
          <w:snapToGrid w:val="0"/>
          <w:szCs w:val="20"/>
        </w:rPr>
      </w:pPr>
      <w:r w:rsidRPr="00C04677">
        <w:rPr>
          <w:rFonts w:cs="Arial"/>
          <w:bCs/>
          <w:snapToGrid w:val="0"/>
          <w:szCs w:val="20"/>
        </w:rPr>
        <w:t>The PBAC noted that this submission is not eligible for an Independent Review</w:t>
      </w:r>
      <w:r w:rsidR="009E530E" w:rsidRPr="00C04677">
        <w:rPr>
          <w:rFonts w:cs="Arial"/>
          <w:bCs/>
          <w:snapToGrid w:val="0"/>
          <w:szCs w:val="20"/>
        </w:rPr>
        <w:t xml:space="preserve"> as it received a positive recommendation</w:t>
      </w:r>
      <w:r w:rsidRPr="00C04677">
        <w:rPr>
          <w:rFonts w:cs="Arial"/>
          <w:bCs/>
          <w:snapToGrid w:val="0"/>
          <w:szCs w:val="20"/>
        </w:rPr>
        <w:t>.</w:t>
      </w:r>
    </w:p>
    <w:p w:rsidR="0089104C" w:rsidRPr="00C04677" w:rsidRDefault="0089104C" w:rsidP="0089104C">
      <w:pPr>
        <w:widowControl w:val="0"/>
        <w:jc w:val="both"/>
        <w:rPr>
          <w:rFonts w:cs="Arial"/>
          <w:b/>
          <w:bCs/>
          <w:snapToGrid w:val="0"/>
          <w:szCs w:val="20"/>
        </w:rPr>
      </w:pPr>
    </w:p>
    <w:p w:rsidR="0089104C" w:rsidRPr="00C04677" w:rsidRDefault="0089104C" w:rsidP="0089104C">
      <w:pPr>
        <w:widowControl w:val="0"/>
        <w:jc w:val="both"/>
        <w:rPr>
          <w:rFonts w:cs="Arial"/>
          <w:b/>
          <w:bCs/>
          <w:snapToGrid w:val="0"/>
          <w:szCs w:val="20"/>
        </w:rPr>
      </w:pPr>
    </w:p>
    <w:p w:rsidR="0089104C" w:rsidRPr="00C04677" w:rsidRDefault="0089104C" w:rsidP="002B0FD5">
      <w:pPr>
        <w:widowControl w:val="0"/>
        <w:jc w:val="both"/>
        <w:rPr>
          <w:rFonts w:cs="Arial"/>
          <w:b/>
          <w:bCs/>
          <w:snapToGrid w:val="0"/>
          <w:szCs w:val="20"/>
        </w:rPr>
      </w:pPr>
      <w:r w:rsidRPr="00C04677">
        <w:rPr>
          <w:rFonts w:cs="Arial"/>
          <w:b/>
          <w:bCs/>
          <w:snapToGrid w:val="0"/>
          <w:szCs w:val="20"/>
        </w:rPr>
        <w:t>Outcome:</w:t>
      </w:r>
      <w:r w:rsidR="00377EB5" w:rsidRPr="00C04677">
        <w:rPr>
          <w:rFonts w:cs="Arial"/>
          <w:b/>
          <w:bCs/>
          <w:snapToGrid w:val="0"/>
          <w:szCs w:val="20"/>
        </w:rPr>
        <w:br/>
      </w:r>
      <w:r w:rsidRPr="00C04677">
        <w:rPr>
          <w:rFonts w:cs="Arial"/>
          <w:bCs/>
          <w:snapToGrid w:val="0"/>
          <w:szCs w:val="20"/>
        </w:rPr>
        <w:t>Recommended</w:t>
      </w:r>
    </w:p>
    <w:p w:rsidR="0030503A" w:rsidRPr="00C04677" w:rsidRDefault="0030503A" w:rsidP="0089104C">
      <w:pPr>
        <w:widowControl w:val="0"/>
        <w:jc w:val="both"/>
        <w:rPr>
          <w:rFonts w:cs="Arial"/>
          <w:bCs/>
          <w:snapToGrid w:val="0"/>
          <w:szCs w:val="20"/>
        </w:rPr>
      </w:pPr>
    </w:p>
    <w:p w:rsidR="0030503A" w:rsidRPr="00C04677" w:rsidRDefault="0030503A" w:rsidP="0089104C">
      <w:pPr>
        <w:widowControl w:val="0"/>
        <w:jc w:val="both"/>
        <w:rPr>
          <w:rFonts w:cs="Arial"/>
          <w:bCs/>
          <w:snapToGrid w:val="0"/>
          <w:szCs w:val="20"/>
        </w:rPr>
      </w:pPr>
    </w:p>
    <w:p w:rsidR="0089104C" w:rsidRPr="00C04677" w:rsidRDefault="0089104C" w:rsidP="009D39B9">
      <w:pPr>
        <w:widowControl w:val="0"/>
        <w:numPr>
          <w:ilvl w:val="0"/>
          <w:numId w:val="5"/>
        </w:numPr>
        <w:jc w:val="both"/>
        <w:outlineLvl w:val="0"/>
        <w:rPr>
          <w:rFonts w:cs="Arial"/>
          <w:b/>
          <w:bCs/>
          <w:i/>
          <w:snapToGrid w:val="0"/>
          <w:szCs w:val="20"/>
        </w:rPr>
      </w:pPr>
      <w:r w:rsidRPr="00C04677">
        <w:rPr>
          <w:rFonts w:cs="Arial"/>
          <w:b/>
          <w:bCs/>
          <w:snapToGrid w:val="0"/>
          <w:szCs w:val="20"/>
        </w:rPr>
        <w:t>Recommended listing</w:t>
      </w:r>
    </w:p>
    <w:p w:rsidR="0089104C" w:rsidRPr="00C04677" w:rsidRDefault="0089104C" w:rsidP="0089104C">
      <w:pPr>
        <w:widowControl w:val="0"/>
        <w:jc w:val="both"/>
        <w:rPr>
          <w:rFonts w:cs="Arial"/>
          <w:b/>
          <w:bCs/>
          <w:i/>
          <w:snapToGrid w:val="0"/>
          <w:szCs w:val="20"/>
        </w:rPr>
      </w:pPr>
    </w:p>
    <w:p w:rsidR="007C72F9" w:rsidRPr="00C04677" w:rsidRDefault="0089104C" w:rsidP="003221CF">
      <w:pPr>
        <w:widowControl w:val="0"/>
        <w:ind w:left="720"/>
        <w:jc w:val="both"/>
        <w:rPr>
          <w:rFonts w:cs="Arial"/>
          <w:bCs/>
          <w:snapToGrid w:val="0"/>
          <w:szCs w:val="20"/>
        </w:rPr>
      </w:pPr>
      <w:r w:rsidRPr="00C04677">
        <w:rPr>
          <w:rFonts w:cs="Arial"/>
          <w:bCs/>
          <w:snapToGrid w:val="0"/>
          <w:szCs w:val="20"/>
        </w:rPr>
        <w:t>Add new item:</w:t>
      </w:r>
      <w:r w:rsidR="00E04473" w:rsidRPr="00C04677">
        <w:rPr>
          <w:rFonts w:cs="Arial"/>
          <w:bCs/>
          <w:snapToGrid w:val="0"/>
          <w:szCs w:val="20"/>
        </w:rPr>
        <w:t xml:space="preserve"> </w:t>
      </w:r>
    </w:p>
    <w:p w:rsidR="008859C3" w:rsidRPr="00C04677" w:rsidRDefault="008859C3" w:rsidP="003221CF">
      <w:pPr>
        <w:widowControl w:val="0"/>
        <w:ind w:left="720"/>
        <w:jc w:val="both"/>
        <w:rPr>
          <w:rFonts w:cs="Arial"/>
          <w:bCs/>
          <w:snapToGrid w:val="0"/>
          <w:szCs w:val="20"/>
        </w:rPr>
      </w:pPr>
    </w:p>
    <w:tbl>
      <w:tblPr>
        <w:tblW w:w="4594" w:type="pct"/>
        <w:tblInd w:w="737" w:type="dxa"/>
        <w:tblCellMar>
          <w:left w:w="28" w:type="dxa"/>
          <w:right w:w="28" w:type="dxa"/>
        </w:tblCellMar>
        <w:tblLook w:val="0000" w:firstRow="0" w:lastRow="0" w:firstColumn="0" w:lastColumn="0" w:noHBand="0" w:noVBand="0"/>
      </w:tblPr>
      <w:tblGrid>
        <w:gridCol w:w="2410"/>
        <w:gridCol w:w="372"/>
        <w:gridCol w:w="598"/>
        <w:gridCol w:w="896"/>
        <w:gridCol w:w="1394"/>
        <w:gridCol w:w="2675"/>
      </w:tblGrid>
      <w:tr w:rsidR="008859C3" w:rsidRPr="00C04677" w:rsidTr="008859C3">
        <w:trPr>
          <w:cantSplit/>
          <w:trHeight w:val="471"/>
        </w:trPr>
        <w:tc>
          <w:tcPr>
            <w:tcW w:w="1667" w:type="pct"/>
            <w:gridSpan w:val="2"/>
            <w:tcBorders>
              <w:bottom w:val="single" w:sz="4" w:space="0" w:color="auto"/>
            </w:tcBorders>
          </w:tcPr>
          <w:p w:rsidR="008859C3" w:rsidRPr="00C04677" w:rsidRDefault="008859C3" w:rsidP="008859C3">
            <w:pPr>
              <w:keepNext/>
              <w:rPr>
                <w:rFonts w:ascii="Arial Narrow" w:hAnsi="Arial Narrow"/>
                <w:sz w:val="20"/>
              </w:rPr>
            </w:pPr>
            <w:r w:rsidRPr="00C04677">
              <w:rPr>
                <w:rFonts w:ascii="Arial Narrow" w:hAnsi="Arial Narrow"/>
                <w:sz w:val="20"/>
              </w:rPr>
              <w:t>Name, Restriction,</w:t>
            </w:r>
          </w:p>
          <w:p w:rsidR="008859C3" w:rsidRPr="00C04677" w:rsidRDefault="008859C3" w:rsidP="008859C3">
            <w:pPr>
              <w:keepNext/>
              <w:rPr>
                <w:rFonts w:ascii="Arial Narrow" w:hAnsi="Arial Narrow"/>
                <w:sz w:val="20"/>
              </w:rPr>
            </w:pPr>
            <w:r w:rsidRPr="00C04677">
              <w:rPr>
                <w:rFonts w:ascii="Arial Narrow" w:hAnsi="Arial Narrow"/>
                <w:sz w:val="20"/>
              </w:rPr>
              <w:t>Manner of administration and form</w:t>
            </w:r>
          </w:p>
        </w:tc>
        <w:tc>
          <w:tcPr>
            <w:tcW w:w="358" w:type="pct"/>
            <w:tcBorders>
              <w:bottom w:val="single" w:sz="4" w:space="0" w:color="auto"/>
            </w:tcBorders>
          </w:tcPr>
          <w:p w:rsidR="008859C3" w:rsidRPr="00C04677" w:rsidRDefault="008859C3" w:rsidP="008859C3">
            <w:pPr>
              <w:keepNext/>
              <w:jc w:val="center"/>
              <w:rPr>
                <w:rFonts w:ascii="Arial Narrow" w:hAnsi="Arial Narrow"/>
                <w:sz w:val="20"/>
              </w:rPr>
            </w:pPr>
            <w:r w:rsidRPr="00C04677">
              <w:rPr>
                <w:rFonts w:ascii="Arial Narrow" w:hAnsi="Arial Narrow"/>
                <w:sz w:val="20"/>
              </w:rPr>
              <w:t>Max.</w:t>
            </w:r>
          </w:p>
          <w:p w:rsidR="008859C3" w:rsidRPr="00C04677" w:rsidRDefault="008859C3" w:rsidP="008859C3">
            <w:pPr>
              <w:keepNext/>
              <w:jc w:val="center"/>
              <w:rPr>
                <w:rFonts w:ascii="Arial Narrow" w:hAnsi="Arial Narrow"/>
                <w:sz w:val="20"/>
              </w:rPr>
            </w:pPr>
            <w:r w:rsidRPr="00C04677">
              <w:rPr>
                <w:rFonts w:ascii="Arial Narrow" w:hAnsi="Arial Narrow"/>
                <w:sz w:val="20"/>
              </w:rPr>
              <w:t>Qty</w:t>
            </w:r>
          </w:p>
        </w:tc>
        <w:tc>
          <w:tcPr>
            <w:tcW w:w="537" w:type="pct"/>
            <w:tcBorders>
              <w:bottom w:val="single" w:sz="4" w:space="0" w:color="auto"/>
            </w:tcBorders>
          </w:tcPr>
          <w:p w:rsidR="008859C3" w:rsidRPr="00C04677" w:rsidRDefault="008859C3" w:rsidP="008859C3">
            <w:pPr>
              <w:keepNext/>
              <w:jc w:val="center"/>
              <w:rPr>
                <w:rFonts w:ascii="Arial Narrow" w:hAnsi="Arial Narrow"/>
                <w:sz w:val="20"/>
              </w:rPr>
            </w:pPr>
            <w:r w:rsidRPr="00C04677">
              <w:rPr>
                <w:rFonts w:ascii="Arial Narrow" w:hAnsi="Arial Narrow"/>
                <w:sz w:val="20"/>
              </w:rPr>
              <w:t>№.of</w:t>
            </w:r>
          </w:p>
          <w:p w:rsidR="008859C3" w:rsidRPr="00C04677" w:rsidRDefault="008859C3" w:rsidP="008859C3">
            <w:pPr>
              <w:keepNext/>
              <w:jc w:val="center"/>
              <w:rPr>
                <w:rFonts w:ascii="Arial Narrow" w:hAnsi="Arial Narrow"/>
                <w:sz w:val="20"/>
              </w:rPr>
            </w:pPr>
            <w:r w:rsidRPr="00C04677">
              <w:rPr>
                <w:rFonts w:ascii="Arial Narrow" w:hAnsi="Arial Narrow"/>
                <w:sz w:val="20"/>
              </w:rPr>
              <w:t>Rpts</w:t>
            </w:r>
          </w:p>
        </w:tc>
        <w:tc>
          <w:tcPr>
            <w:tcW w:w="2438" w:type="pct"/>
            <w:gridSpan w:val="2"/>
            <w:tcBorders>
              <w:bottom w:val="single" w:sz="4" w:space="0" w:color="auto"/>
            </w:tcBorders>
          </w:tcPr>
          <w:p w:rsidR="008859C3" w:rsidRPr="00C04677" w:rsidRDefault="008859C3" w:rsidP="008859C3">
            <w:pPr>
              <w:keepNext/>
              <w:jc w:val="center"/>
              <w:rPr>
                <w:rFonts w:ascii="Arial Narrow" w:hAnsi="Arial Narrow"/>
                <w:sz w:val="20"/>
              </w:rPr>
            </w:pPr>
            <w:r w:rsidRPr="00C04677">
              <w:rPr>
                <w:rFonts w:ascii="Arial Narrow" w:hAnsi="Arial Narrow"/>
                <w:sz w:val="20"/>
              </w:rPr>
              <w:t>Proprietary Name and Manufacturer</w:t>
            </w:r>
          </w:p>
        </w:tc>
      </w:tr>
      <w:tr w:rsidR="008859C3" w:rsidRPr="00C04677" w:rsidTr="008859C3">
        <w:trPr>
          <w:cantSplit/>
          <w:trHeight w:val="577"/>
        </w:trPr>
        <w:tc>
          <w:tcPr>
            <w:tcW w:w="1667" w:type="pct"/>
            <w:gridSpan w:val="2"/>
            <w:tcBorders>
              <w:bottom w:val="single" w:sz="4" w:space="0" w:color="auto"/>
            </w:tcBorders>
          </w:tcPr>
          <w:p w:rsidR="008859C3" w:rsidRPr="00C04677" w:rsidRDefault="008859C3" w:rsidP="008859C3">
            <w:pPr>
              <w:keepNext/>
              <w:rPr>
                <w:rFonts w:ascii="Arial Narrow" w:hAnsi="Arial Narrow"/>
                <w:sz w:val="20"/>
              </w:rPr>
            </w:pPr>
            <w:r w:rsidRPr="00C04677">
              <w:rPr>
                <w:rFonts w:ascii="Arial Narrow" w:hAnsi="Arial Narrow"/>
                <w:smallCaps/>
                <w:sz w:val="20"/>
              </w:rPr>
              <w:t>Daclizumab</w:t>
            </w:r>
          </w:p>
          <w:p w:rsidR="008859C3" w:rsidRPr="00C04677" w:rsidRDefault="008859C3" w:rsidP="008859C3">
            <w:pPr>
              <w:keepNext/>
              <w:rPr>
                <w:rFonts w:ascii="Arial Narrow" w:hAnsi="Arial Narrow"/>
                <w:sz w:val="20"/>
              </w:rPr>
            </w:pPr>
            <w:r w:rsidRPr="00C04677">
              <w:rPr>
                <w:rFonts w:ascii="Arial Narrow" w:hAnsi="Arial Narrow"/>
                <w:sz w:val="20"/>
              </w:rPr>
              <w:t>Injection 150 mg per 1.0 mL injection in pre-filled pen or syringe</w:t>
            </w:r>
          </w:p>
        </w:tc>
        <w:tc>
          <w:tcPr>
            <w:tcW w:w="358" w:type="pct"/>
            <w:tcBorders>
              <w:bottom w:val="single" w:sz="4" w:space="0" w:color="auto"/>
            </w:tcBorders>
          </w:tcPr>
          <w:p w:rsidR="008859C3" w:rsidRPr="00C04677" w:rsidRDefault="008859C3" w:rsidP="008859C3">
            <w:pPr>
              <w:keepNext/>
              <w:jc w:val="center"/>
              <w:rPr>
                <w:rFonts w:ascii="Arial Narrow" w:hAnsi="Arial Narrow"/>
                <w:sz w:val="20"/>
              </w:rPr>
            </w:pPr>
          </w:p>
          <w:p w:rsidR="008859C3" w:rsidRPr="00C04677" w:rsidRDefault="008859C3" w:rsidP="008859C3">
            <w:pPr>
              <w:keepNext/>
              <w:jc w:val="center"/>
              <w:rPr>
                <w:rFonts w:ascii="Arial Narrow" w:hAnsi="Arial Narrow"/>
                <w:sz w:val="20"/>
              </w:rPr>
            </w:pPr>
            <w:r w:rsidRPr="00C04677">
              <w:rPr>
                <w:rFonts w:ascii="Arial Narrow" w:hAnsi="Arial Narrow"/>
                <w:sz w:val="20"/>
              </w:rPr>
              <w:t>1</w:t>
            </w:r>
          </w:p>
        </w:tc>
        <w:tc>
          <w:tcPr>
            <w:tcW w:w="537" w:type="pct"/>
            <w:tcBorders>
              <w:bottom w:val="single" w:sz="4" w:space="0" w:color="auto"/>
            </w:tcBorders>
          </w:tcPr>
          <w:p w:rsidR="008859C3" w:rsidRPr="00C04677" w:rsidRDefault="008859C3" w:rsidP="008859C3">
            <w:pPr>
              <w:keepNext/>
              <w:jc w:val="center"/>
              <w:rPr>
                <w:rFonts w:ascii="Arial Narrow" w:hAnsi="Arial Narrow"/>
                <w:sz w:val="20"/>
              </w:rPr>
            </w:pPr>
          </w:p>
          <w:p w:rsidR="008859C3" w:rsidRPr="00C04677" w:rsidRDefault="008859C3" w:rsidP="008859C3">
            <w:pPr>
              <w:keepNext/>
              <w:jc w:val="center"/>
              <w:rPr>
                <w:rFonts w:ascii="Arial Narrow" w:hAnsi="Arial Narrow"/>
                <w:sz w:val="20"/>
              </w:rPr>
            </w:pPr>
            <w:r w:rsidRPr="00C04677">
              <w:rPr>
                <w:rFonts w:ascii="Arial Narrow" w:hAnsi="Arial Narrow"/>
                <w:sz w:val="20"/>
              </w:rPr>
              <w:t>5</w:t>
            </w:r>
          </w:p>
        </w:tc>
        <w:tc>
          <w:tcPr>
            <w:tcW w:w="835" w:type="pct"/>
            <w:tcBorders>
              <w:bottom w:val="single" w:sz="4" w:space="0" w:color="auto"/>
            </w:tcBorders>
          </w:tcPr>
          <w:p w:rsidR="008859C3" w:rsidRPr="00C04677" w:rsidRDefault="008859C3" w:rsidP="008859C3">
            <w:pPr>
              <w:keepNext/>
              <w:jc w:val="center"/>
              <w:rPr>
                <w:rFonts w:ascii="Arial Narrow" w:hAnsi="Arial Narrow"/>
                <w:sz w:val="20"/>
                <w:vertAlign w:val="superscript"/>
              </w:rPr>
            </w:pPr>
            <w:r w:rsidRPr="00C04677">
              <w:rPr>
                <w:rFonts w:ascii="Arial Narrow" w:hAnsi="Arial Narrow"/>
                <w:sz w:val="20"/>
              </w:rPr>
              <w:t>Zinbryta</w:t>
            </w:r>
            <w:r w:rsidRPr="00C04677">
              <w:rPr>
                <w:rFonts w:ascii="Arial Narrow" w:hAnsi="Arial Narrow"/>
                <w:sz w:val="20"/>
                <w:vertAlign w:val="superscript"/>
              </w:rPr>
              <w:t>®</w:t>
            </w:r>
          </w:p>
        </w:tc>
        <w:tc>
          <w:tcPr>
            <w:tcW w:w="1603" w:type="pct"/>
            <w:tcBorders>
              <w:bottom w:val="single" w:sz="4" w:space="0" w:color="auto"/>
            </w:tcBorders>
          </w:tcPr>
          <w:p w:rsidR="008859C3" w:rsidRPr="00C04677" w:rsidRDefault="008859C3" w:rsidP="008859C3">
            <w:pPr>
              <w:keepNext/>
              <w:jc w:val="center"/>
              <w:rPr>
                <w:rFonts w:ascii="Arial Narrow" w:hAnsi="Arial Narrow"/>
                <w:sz w:val="20"/>
              </w:rPr>
            </w:pPr>
            <w:r w:rsidRPr="00C04677">
              <w:rPr>
                <w:rFonts w:ascii="Arial Narrow" w:hAnsi="Arial Narrow"/>
                <w:sz w:val="20"/>
              </w:rPr>
              <w:t>Biogen Australia Pty Ltd</w:t>
            </w:r>
          </w:p>
        </w:tc>
      </w:tr>
      <w:tr w:rsidR="008859C3" w:rsidRPr="00C04677" w:rsidTr="008859C3">
        <w:trPr>
          <w:cantSplit/>
          <w:trHeight w:val="360"/>
        </w:trPr>
        <w:tc>
          <w:tcPr>
            <w:tcW w:w="1444"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 xml:space="preserve">Category / </w:t>
            </w:r>
          </w:p>
          <w:p w:rsidR="008859C3" w:rsidRPr="00C04677" w:rsidRDefault="008859C3" w:rsidP="008859C3">
            <w:pPr>
              <w:rPr>
                <w:rFonts w:ascii="Arial Narrow" w:hAnsi="Arial Narrow"/>
                <w:sz w:val="20"/>
              </w:rPr>
            </w:pPr>
            <w:r w:rsidRPr="00C04677">
              <w:rPr>
                <w:rFonts w:ascii="Arial Narrow" w:hAnsi="Arial Narrow"/>
                <w:b/>
                <w:sz w:val="20"/>
              </w:rPr>
              <w:t>Program</w:t>
            </w:r>
          </w:p>
        </w:tc>
        <w:tc>
          <w:tcPr>
            <w:tcW w:w="3556" w:type="pct"/>
            <w:gridSpan w:val="5"/>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 xml:space="preserve">GENERAL – General Schedule (Code GE)  </w:t>
            </w:r>
          </w:p>
        </w:tc>
      </w:tr>
      <w:tr w:rsidR="008859C3" w:rsidRPr="00C04677" w:rsidTr="008859C3">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Prescriber type:</w:t>
            </w:r>
          </w:p>
        </w:tc>
        <w:tc>
          <w:tcPr>
            <w:tcW w:w="3556" w:type="pct"/>
            <w:gridSpan w:val="5"/>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Check1"/>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Dental  </w:t>
            </w: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Medical Practitioners  </w:t>
            </w:r>
            <w:r w:rsidRPr="00C04677">
              <w:rPr>
                <w:rFonts w:ascii="Arial Narrow" w:hAnsi="Arial Narrow"/>
                <w:sz w:val="20"/>
              </w:rPr>
              <w:fldChar w:fldCharType="begin">
                <w:ffData>
                  <w:name w:val="Check3"/>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Nurse practitioners  </w:t>
            </w:r>
            <w:r w:rsidRPr="00C04677">
              <w:rPr>
                <w:rFonts w:ascii="Arial Narrow" w:hAnsi="Arial Narrow"/>
                <w:sz w:val="20"/>
              </w:rPr>
              <w:fldChar w:fldCharType="begin">
                <w:ffData>
                  <w:name w:val=""/>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Optometrists</w:t>
            </w:r>
          </w:p>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Check5"/>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Midwives</w:t>
            </w:r>
          </w:p>
        </w:tc>
      </w:tr>
      <w:tr w:rsidR="008859C3" w:rsidRPr="00C04677" w:rsidTr="008859C3">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Condition:</w:t>
            </w:r>
          </w:p>
        </w:tc>
        <w:tc>
          <w:tcPr>
            <w:tcW w:w="3556" w:type="pct"/>
            <w:gridSpan w:val="5"/>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Multiple sclerosis</w:t>
            </w:r>
          </w:p>
        </w:tc>
      </w:tr>
      <w:tr w:rsidR="008859C3" w:rsidRPr="00C04677" w:rsidTr="008859C3">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PBS Indication:</w:t>
            </w:r>
          </w:p>
        </w:tc>
        <w:tc>
          <w:tcPr>
            <w:tcW w:w="3556" w:type="pct"/>
            <w:gridSpan w:val="5"/>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Multiple sclerosis</w:t>
            </w:r>
          </w:p>
        </w:tc>
      </w:tr>
      <w:tr w:rsidR="008859C3" w:rsidRPr="00C04677" w:rsidTr="008859C3">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Treatment phase:</w:t>
            </w:r>
          </w:p>
        </w:tc>
        <w:tc>
          <w:tcPr>
            <w:tcW w:w="3556" w:type="pct"/>
            <w:gridSpan w:val="5"/>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Initial</w:t>
            </w:r>
          </w:p>
        </w:tc>
      </w:tr>
      <w:tr w:rsidR="008859C3" w:rsidRPr="00C04677" w:rsidTr="008859C3">
        <w:tblPrEx>
          <w:tblCellMar>
            <w:left w:w="108" w:type="dxa"/>
            <w:right w:w="108" w:type="dxa"/>
          </w:tblCellMar>
        </w:tblPrEx>
        <w:trPr>
          <w:cantSplit/>
          <w:trHeight w:val="360"/>
        </w:trPr>
        <w:tc>
          <w:tcPr>
            <w:tcW w:w="1444"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Restriction Level / Method:</w:t>
            </w:r>
          </w:p>
          <w:p w:rsidR="008859C3" w:rsidRPr="00C04677" w:rsidRDefault="008859C3" w:rsidP="008859C3">
            <w:pPr>
              <w:rPr>
                <w:rFonts w:ascii="Arial Narrow" w:hAnsi="Arial Narrow"/>
                <w:i/>
                <w:sz w:val="20"/>
              </w:rPr>
            </w:pPr>
          </w:p>
          <w:p w:rsidR="008859C3" w:rsidRPr="00C04677" w:rsidRDefault="008859C3" w:rsidP="008859C3">
            <w:pPr>
              <w:rPr>
                <w:rFonts w:ascii="Arial Narrow" w:hAnsi="Arial Narrow"/>
                <w:i/>
                <w:sz w:val="20"/>
              </w:rPr>
            </w:pPr>
          </w:p>
        </w:tc>
        <w:tc>
          <w:tcPr>
            <w:tcW w:w="3556" w:type="pct"/>
            <w:gridSpan w:val="5"/>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Check1"/>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Restricted benefit</w:t>
            </w:r>
          </w:p>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In Writing</w:t>
            </w:r>
          </w:p>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Check3"/>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Telephone</w:t>
            </w:r>
          </w:p>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Emergency</w:t>
            </w:r>
          </w:p>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Check5"/>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Electronic</w:t>
            </w:r>
          </w:p>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Check5"/>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Streamlined</w:t>
            </w:r>
          </w:p>
        </w:tc>
      </w:tr>
      <w:tr w:rsidR="008859C3" w:rsidRPr="00C04677" w:rsidTr="008859C3">
        <w:tblPrEx>
          <w:tblCellMar>
            <w:left w:w="108" w:type="dxa"/>
            <w:right w:w="108" w:type="dxa"/>
          </w:tblCellMar>
        </w:tblPrEx>
        <w:trPr>
          <w:cantSplit/>
          <w:trHeight w:val="360"/>
        </w:trPr>
        <w:tc>
          <w:tcPr>
            <w:tcW w:w="1444"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Treatment criteria:</w:t>
            </w:r>
          </w:p>
          <w:p w:rsidR="008859C3" w:rsidRPr="00C04677" w:rsidRDefault="008859C3" w:rsidP="008859C3">
            <w:pPr>
              <w:rPr>
                <w:rFonts w:ascii="Arial Narrow" w:hAnsi="Arial Narrow"/>
                <w:b/>
                <w:i/>
                <w:sz w:val="20"/>
              </w:rPr>
            </w:pPr>
          </w:p>
        </w:tc>
        <w:tc>
          <w:tcPr>
            <w:tcW w:w="3556" w:type="pct"/>
            <w:gridSpan w:val="5"/>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Must be treated by a neurologist</w:t>
            </w:r>
          </w:p>
          <w:p w:rsidR="008859C3" w:rsidRPr="00C04677" w:rsidRDefault="008859C3" w:rsidP="008859C3">
            <w:pPr>
              <w:rPr>
                <w:rFonts w:ascii="Arial Narrow" w:hAnsi="Arial Narrow"/>
                <w:i/>
                <w:sz w:val="20"/>
              </w:rPr>
            </w:pPr>
          </w:p>
        </w:tc>
      </w:tr>
      <w:tr w:rsidR="008859C3" w:rsidRPr="00C04677" w:rsidTr="008859C3">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lastRenderedPageBreak/>
              <w:t>Clinical criteria:</w:t>
            </w:r>
          </w:p>
          <w:p w:rsidR="008859C3" w:rsidRPr="00C04677" w:rsidRDefault="008859C3" w:rsidP="008859C3">
            <w:pPr>
              <w:rPr>
                <w:rFonts w:ascii="Arial Narrow" w:hAnsi="Arial Narrow"/>
                <w:i/>
                <w:sz w:val="20"/>
              </w:rPr>
            </w:pPr>
          </w:p>
          <w:p w:rsidR="008859C3" w:rsidRPr="00C04677" w:rsidRDefault="008859C3" w:rsidP="008859C3">
            <w:pPr>
              <w:rPr>
                <w:rFonts w:ascii="Arial Narrow" w:hAnsi="Arial Narrow"/>
                <w:sz w:val="20"/>
              </w:rPr>
            </w:pPr>
          </w:p>
        </w:tc>
        <w:tc>
          <w:tcPr>
            <w:tcW w:w="3556" w:type="pct"/>
            <w:gridSpan w:val="5"/>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The condition must be diagnosed as clinically definite relapsing-remitting multiple sclerosis by magnetic resonance imaging of the brain and/or spinal cord; OR</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The condition must be diagnosed as clinically definite relapsing-remitting multiple sclerosis by accompanying written certification provided by a radiologist that a magnetic resonance imaging scan is contraindicated because of the risk of physical (not psychological) injur</w:t>
            </w:r>
            <w:r w:rsidR="00210C95" w:rsidRPr="00C04677">
              <w:rPr>
                <w:rFonts w:ascii="Arial Narrow" w:hAnsi="Arial Narrow"/>
                <w:sz w:val="20"/>
              </w:rPr>
              <w:t>y to the patient,</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AND</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Patient must have experienced at least 2 documented attacks of neurological dysfunction, believed to be due to the multiple sclerosis, in the preceding 2 years</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AND</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The treatment must be as monotherapy,</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AND</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Patient must be ambulatory (without assistance or support)</w:t>
            </w:r>
            <w:r w:rsidR="00210C95" w:rsidRPr="00C04677">
              <w:rPr>
                <w:rFonts w:ascii="Arial Narrow" w:hAnsi="Arial Narrow"/>
                <w:sz w:val="20"/>
              </w:rPr>
              <w:t>.</w:t>
            </w:r>
          </w:p>
        </w:tc>
      </w:tr>
      <w:tr w:rsidR="008859C3" w:rsidRPr="00C04677" w:rsidTr="008859C3">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Prescriber Instructions</w:t>
            </w:r>
          </w:p>
        </w:tc>
        <w:tc>
          <w:tcPr>
            <w:tcW w:w="3556" w:type="pct"/>
            <w:gridSpan w:val="5"/>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Where applicable, the date of the magnetic resonance imaging scan must be provided with the authority application.</w:t>
            </w:r>
          </w:p>
        </w:tc>
      </w:tr>
      <w:tr w:rsidR="008859C3" w:rsidRPr="00C04677" w:rsidTr="008859C3">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i/>
                <w:sz w:val="20"/>
              </w:rPr>
            </w:pPr>
            <w:r w:rsidRPr="00C04677">
              <w:rPr>
                <w:rFonts w:ascii="Arial Narrow" w:hAnsi="Arial Narrow"/>
                <w:b/>
                <w:i/>
                <w:sz w:val="20"/>
              </w:rPr>
              <w:t>Prescriber Instructions</w:t>
            </w:r>
          </w:p>
        </w:tc>
        <w:tc>
          <w:tcPr>
            <w:tcW w:w="3556" w:type="pct"/>
            <w:gridSpan w:val="5"/>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Patient must undergo monthly liver function testing as described in item 66512 of the Medicare Benefits Schedule while being treated with this drug.</w:t>
            </w:r>
          </w:p>
        </w:tc>
      </w:tr>
      <w:tr w:rsidR="008859C3" w:rsidRPr="00C04677" w:rsidTr="008859C3">
        <w:tblPrEx>
          <w:tblCellMar>
            <w:left w:w="108" w:type="dxa"/>
            <w:right w:w="108" w:type="dxa"/>
          </w:tblCellMar>
        </w:tblPrEx>
        <w:trPr>
          <w:cantSplit/>
        </w:trPr>
        <w:tc>
          <w:tcPr>
            <w:tcW w:w="1444"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Administrative Advice</w:t>
            </w:r>
          </w:p>
        </w:tc>
        <w:tc>
          <w:tcPr>
            <w:tcW w:w="3556" w:type="pct"/>
            <w:gridSpan w:val="5"/>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No increase in the maximum quantity or number of units may be authorised.</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No increase in the maximum number of repeats may be authorised.</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Special Pricing Arrangements apply.</w:t>
            </w:r>
          </w:p>
        </w:tc>
      </w:tr>
    </w:tbl>
    <w:p w:rsidR="008859C3" w:rsidRPr="00C04677" w:rsidRDefault="008859C3" w:rsidP="008859C3">
      <w:pPr>
        <w:rPr>
          <w:rFonts w:cs="Arial"/>
          <w:snapToGrid w:val="0"/>
          <w:lang w:eastAsia="en-US"/>
        </w:rPr>
      </w:pPr>
    </w:p>
    <w:tbl>
      <w:tblPr>
        <w:tblW w:w="4558" w:type="pct"/>
        <w:tblInd w:w="817" w:type="dxa"/>
        <w:tblLook w:val="0000" w:firstRow="0" w:lastRow="0" w:firstColumn="0" w:lastColumn="0" w:noHBand="0" w:noVBand="0"/>
      </w:tblPr>
      <w:tblGrid>
        <w:gridCol w:w="2410"/>
        <w:gridCol w:w="6015"/>
      </w:tblGrid>
      <w:tr w:rsidR="008859C3" w:rsidRPr="00C04677" w:rsidTr="008859C3">
        <w:trPr>
          <w:cantSplit/>
        </w:trPr>
        <w:tc>
          <w:tcPr>
            <w:tcW w:w="143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keepNext/>
              <w:keepLines/>
              <w:rPr>
                <w:rFonts w:ascii="Arial Narrow" w:hAnsi="Arial Narrow"/>
                <w:b/>
                <w:sz w:val="20"/>
              </w:rPr>
            </w:pPr>
            <w:r w:rsidRPr="00C04677">
              <w:rPr>
                <w:rFonts w:ascii="Arial Narrow" w:hAnsi="Arial Narrow"/>
                <w:b/>
                <w:sz w:val="20"/>
              </w:rPr>
              <w:t>Category / Program</w:t>
            </w:r>
          </w:p>
        </w:tc>
        <w:tc>
          <w:tcPr>
            <w:tcW w:w="357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keepNext/>
              <w:keepLines/>
              <w:rPr>
                <w:rFonts w:ascii="Arial Narrow" w:hAnsi="Arial Narrow"/>
                <w:sz w:val="20"/>
              </w:rPr>
            </w:pPr>
            <w:r w:rsidRPr="00C04677">
              <w:rPr>
                <w:rFonts w:ascii="Arial Narrow" w:hAnsi="Arial Narrow"/>
                <w:sz w:val="20"/>
              </w:rPr>
              <w:t>GENERAL – General Schedule (Code GE)</w:t>
            </w:r>
          </w:p>
        </w:tc>
      </w:tr>
      <w:tr w:rsidR="008859C3" w:rsidRPr="00C04677" w:rsidTr="008859C3">
        <w:trPr>
          <w:cantSplit/>
        </w:trPr>
        <w:tc>
          <w:tcPr>
            <w:tcW w:w="143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keepNext/>
              <w:keepLines/>
              <w:rPr>
                <w:rFonts w:ascii="Arial Narrow" w:hAnsi="Arial Narrow"/>
                <w:b/>
                <w:sz w:val="20"/>
              </w:rPr>
            </w:pPr>
            <w:r w:rsidRPr="00C04677">
              <w:rPr>
                <w:rFonts w:ascii="Arial Narrow" w:hAnsi="Arial Narrow"/>
                <w:b/>
                <w:sz w:val="20"/>
              </w:rPr>
              <w:t>Prescriber type:</w:t>
            </w:r>
          </w:p>
        </w:tc>
        <w:tc>
          <w:tcPr>
            <w:tcW w:w="357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keepNext/>
              <w:keepLines/>
              <w:rPr>
                <w:rFonts w:ascii="Arial Narrow" w:hAnsi="Arial Narrow"/>
                <w:sz w:val="20"/>
              </w:rPr>
            </w:pPr>
            <w:r w:rsidRPr="00C04677">
              <w:rPr>
                <w:rFonts w:ascii="Arial Narrow" w:hAnsi="Arial Narrow"/>
                <w:sz w:val="20"/>
              </w:rPr>
              <w:fldChar w:fldCharType="begin">
                <w:ffData>
                  <w:name w:val="Check1"/>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Dental  </w:t>
            </w: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Medical Practitioners  </w:t>
            </w:r>
            <w:r w:rsidRPr="00C04677">
              <w:rPr>
                <w:rFonts w:ascii="Arial Narrow" w:hAnsi="Arial Narrow"/>
                <w:sz w:val="20"/>
              </w:rPr>
              <w:fldChar w:fldCharType="begin">
                <w:ffData>
                  <w:name w:val="Check3"/>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 xml:space="preserve">Nurse practitioners  </w:t>
            </w:r>
            <w:r w:rsidRPr="00C04677">
              <w:rPr>
                <w:rFonts w:ascii="Arial Narrow" w:hAnsi="Arial Narrow"/>
                <w:sz w:val="20"/>
              </w:rPr>
              <w:fldChar w:fldCharType="begin">
                <w:ffData>
                  <w:name w:val=""/>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Optometrists</w:t>
            </w:r>
          </w:p>
          <w:p w:rsidR="008859C3" w:rsidRPr="00C04677" w:rsidRDefault="008859C3" w:rsidP="008859C3">
            <w:pPr>
              <w:keepNext/>
              <w:keepLines/>
              <w:rPr>
                <w:rFonts w:ascii="Arial Narrow" w:hAnsi="Arial Narrow"/>
                <w:sz w:val="20"/>
              </w:rPr>
            </w:pPr>
            <w:r w:rsidRPr="00C04677">
              <w:rPr>
                <w:rFonts w:ascii="Arial Narrow" w:hAnsi="Arial Narrow"/>
                <w:sz w:val="20"/>
              </w:rPr>
              <w:fldChar w:fldCharType="begin">
                <w:ffData>
                  <w:name w:val="Check5"/>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Midwives</w:t>
            </w:r>
          </w:p>
        </w:tc>
      </w:tr>
      <w:tr w:rsidR="008859C3" w:rsidRPr="00C04677" w:rsidTr="008859C3">
        <w:trPr>
          <w:cantSplit/>
        </w:trPr>
        <w:tc>
          <w:tcPr>
            <w:tcW w:w="143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Condition:</w:t>
            </w:r>
          </w:p>
        </w:tc>
        <w:tc>
          <w:tcPr>
            <w:tcW w:w="357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Multiple sclerosis</w:t>
            </w:r>
          </w:p>
        </w:tc>
      </w:tr>
      <w:tr w:rsidR="008859C3" w:rsidRPr="00C04677" w:rsidTr="008859C3">
        <w:trPr>
          <w:cantSplit/>
        </w:trPr>
        <w:tc>
          <w:tcPr>
            <w:tcW w:w="143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PBS Indication:</w:t>
            </w:r>
          </w:p>
        </w:tc>
        <w:tc>
          <w:tcPr>
            <w:tcW w:w="357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Multiple sclerosis</w:t>
            </w:r>
          </w:p>
        </w:tc>
      </w:tr>
      <w:tr w:rsidR="008859C3" w:rsidRPr="00C04677" w:rsidTr="008859C3">
        <w:trPr>
          <w:cantSplit/>
        </w:trPr>
        <w:tc>
          <w:tcPr>
            <w:tcW w:w="143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Treatment phase:</w:t>
            </w:r>
          </w:p>
        </w:tc>
        <w:tc>
          <w:tcPr>
            <w:tcW w:w="357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Continuing</w:t>
            </w:r>
          </w:p>
        </w:tc>
      </w:tr>
      <w:tr w:rsidR="008859C3" w:rsidRPr="00C04677" w:rsidTr="008859C3">
        <w:trPr>
          <w:cantSplit/>
          <w:trHeight w:val="360"/>
        </w:trPr>
        <w:tc>
          <w:tcPr>
            <w:tcW w:w="143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Restriction Level / Method:</w:t>
            </w:r>
          </w:p>
          <w:p w:rsidR="008859C3" w:rsidRPr="00C04677" w:rsidRDefault="008859C3" w:rsidP="008859C3">
            <w:pPr>
              <w:rPr>
                <w:rFonts w:ascii="Arial Narrow" w:hAnsi="Arial Narrow"/>
                <w:i/>
                <w:sz w:val="20"/>
              </w:rPr>
            </w:pPr>
          </w:p>
          <w:p w:rsidR="008859C3" w:rsidRPr="00C04677" w:rsidRDefault="008859C3" w:rsidP="008859C3">
            <w:pPr>
              <w:rPr>
                <w:rFonts w:ascii="Arial Narrow" w:hAnsi="Arial Narrow"/>
                <w:i/>
                <w:sz w:val="20"/>
              </w:rPr>
            </w:pPr>
          </w:p>
        </w:tc>
        <w:tc>
          <w:tcPr>
            <w:tcW w:w="357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Check1"/>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Restricted benefit</w:t>
            </w:r>
          </w:p>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In Writing</w:t>
            </w:r>
          </w:p>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Telephone</w:t>
            </w:r>
          </w:p>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Emergency</w:t>
            </w:r>
          </w:p>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
                  <w:enabled/>
                  <w:calcOnExit w:val="0"/>
                  <w:checkBox>
                    <w:sizeAuto/>
                    <w:default w:val="1"/>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Authority Required - Electronic</w:t>
            </w:r>
          </w:p>
          <w:p w:rsidR="008859C3" w:rsidRPr="00C04677" w:rsidRDefault="008859C3" w:rsidP="008859C3">
            <w:pPr>
              <w:rPr>
                <w:rFonts w:ascii="Arial Narrow" w:hAnsi="Arial Narrow"/>
                <w:sz w:val="20"/>
              </w:rPr>
            </w:pPr>
            <w:r w:rsidRPr="00C04677">
              <w:rPr>
                <w:rFonts w:ascii="Arial Narrow" w:hAnsi="Arial Narrow"/>
                <w:sz w:val="20"/>
              </w:rPr>
              <w:fldChar w:fldCharType="begin">
                <w:ffData>
                  <w:name w:val="Check5"/>
                  <w:enabled/>
                  <w:calcOnExit w:val="0"/>
                  <w:checkBox>
                    <w:sizeAuto/>
                    <w:default w:val="0"/>
                  </w:checkBox>
                </w:ffData>
              </w:fldChar>
            </w:r>
            <w:r w:rsidRPr="00C04677">
              <w:rPr>
                <w:rFonts w:ascii="Arial Narrow" w:hAnsi="Arial Narrow"/>
                <w:sz w:val="20"/>
              </w:rPr>
              <w:instrText xml:space="preserve"> FORMCHECKBOX </w:instrText>
            </w:r>
            <w:r w:rsidR="006624CC">
              <w:rPr>
                <w:rFonts w:ascii="Arial Narrow" w:hAnsi="Arial Narrow"/>
                <w:sz w:val="20"/>
              </w:rPr>
            </w:r>
            <w:r w:rsidR="006624CC">
              <w:rPr>
                <w:rFonts w:ascii="Arial Narrow" w:hAnsi="Arial Narrow"/>
                <w:sz w:val="20"/>
              </w:rPr>
              <w:fldChar w:fldCharType="separate"/>
            </w:r>
            <w:r w:rsidRPr="00C04677">
              <w:rPr>
                <w:rFonts w:ascii="Arial Narrow" w:hAnsi="Arial Narrow"/>
                <w:sz w:val="20"/>
              </w:rPr>
              <w:fldChar w:fldCharType="end"/>
            </w:r>
            <w:r w:rsidRPr="00C04677">
              <w:rPr>
                <w:rFonts w:ascii="Arial Narrow" w:hAnsi="Arial Narrow"/>
                <w:sz w:val="20"/>
              </w:rPr>
              <w:t>Streamlined</w:t>
            </w:r>
          </w:p>
        </w:tc>
      </w:tr>
      <w:tr w:rsidR="008859C3" w:rsidRPr="00C04677" w:rsidTr="008859C3">
        <w:trPr>
          <w:cantSplit/>
        </w:trPr>
        <w:tc>
          <w:tcPr>
            <w:tcW w:w="143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lastRenderedPageBreak/>
              <w:t>Clinical criteria:</w:t>
            </w:r>
          </w:p>
        </w:tc>
        <w:tc>
          <w:tcPr>
            <w:tcW w:w="357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Patient must have previously been issued with an authority prescription for this drug for this condition,</w:t>
            </w:r>
          </w:p>
          <w:p w:rsidR="008859C3" w:rsidRPr="00C04677" w:rsidRDefault="008859C3" w:rsidP="008859C3">
            <w:pPr>
              <w:rPr>
                <w:rFonts w:ascii="Arial Narrow" w:hAnsi="Arial Narrow"/>
                <w:i/>
                <w:sz w:val="20"/>
              </w:rPr>
            </w:pPr>
          </w:p>
          <w:p w:rsidR="008859C3" w:rsidRPr="00C04677" w:rsidRDefault="008859C3" w:rsidP="008859C3">
            <w:pPr>
              <w:rPr>
                <w:rFonts w:ascii="Arial Narrow" w:hAnsi="Arial Narrow"/>
                <w:sz w:val="20"/>
              </w:rPr>
            </w:pPr>
            <w:r w:rsidRPr="00C04677">
              <w:rPr>
                <w:rFonts w:ascii="Arial Narrow" w:hAnsi="Arial Narrow"/>
                <w:sz w:val="20"/>
              </w:rPr>
              <w:t>AND</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Patient must not show continuing progression of disability while on treatment with this drug,</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AND</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The treatment must be as monotherapy,</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AND</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Patient must have demonstrated compliance with, and an ability to tolerate, this therapy.</w:t>
            </w:r>
          </w:p>
        </w:tc>
      </w:tr>
      <w:tr w:rsidR="008859C3" w:rsidRPr="00C04677" w:rsidTr="008859C3">
        <w:trPr>
          <w:cantSplit/>
        </w:trPr>
        <w:tc>
          <w:tcPr>
            <w:tcW w:w="143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i/>
                <w:sz w:val="20"/>
              </w:rPr>
            </w:pPr>
            <w:r w:rsidRPr="00C04677">
              <w:rPr>
                <w:rFonts w:ascii="Arial Narrow" w:hAnsi="Arial Narrow"/>
                <w:b/>
                <w:i/>
                <w:sz w:val="20"/>
              </w:rPr>
              <w:t>Prescriber Instructions</w:t>
            </w:r>
          </w:p>
        </w:tc>
        <w:tc>
          <w:tcPr>
            <w:tcW w:w="357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Patient must undergo monthly liver function testing as described in item 66512 of the Medicare Benefits Schedule while being treated with this drug.</w:t>
            </w:r>
          </w:p>
        </w:tc>
      </w:tr>
      <w:tr w:rsidR="008859C3" w:rsidRPr="00C04677" w:rsidTr="008859C3">
        <w:trPr>
          <w:cantSplit/>
        </w:trPr>
        <w:tc>
          <w:tcPr>
            <w:tcW w:w="143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b/>
                <w:sz w:val="20"/>
              </w:rPr>
            </w:pPr>
            <w:r w:rsidRPr="00C04677">
              <w:rPr>
                <w:rFonts w:ascii="Arial Narrow" w:hAnsi="Arial Narrow"/>
                <w:b/>
                <w:sz w:val="20"/>
              </w:rPr>
              <w:t>Administrative Advice</w:t>
            </w:r>
          </w:p>
        </w:tc>
        <w:tc>
          <w:tcPr>
            <w:tcW w:w="3570" w:type="pct"/>
            <w:tcBorders>
              <w:top w:val="single" w:sz="4" w:space="0" w:color="auto"/>
              <w:left w:val="single" w:sz="4" w:space="0" w:color="auto"/>
              <w:bottom w:val="single" w:sz="4" w:space="0" w:color="auto"/>
              <w:right w:val="single" w:sz="4" w:space="0" w:color="auto"/>
            </w:tcBorders>
          </w:tcPr>
          <w:p w:rsidR="008859C3" w:rsidRPr="00C04677" w:rsidRDefault="008859C3" w:rsidP="008859C3">
            <w:pPr>
              <w:rPr>
                <w:rFonts w:ascii="Arial Narrow" w:hAnsi="Arial Narrow"/>
                <w:sz w:val="20"/>
              </w:rPr>
            </w:pPr>
            <w:r w:rsidRPr="00C04677">
              <w:rPr>
                <w:rFonts w:ascii="Arial Narrow" w:hAnsi="Arial Narrow"/>
                <w:sz w:val="20"/>
              </w:rPr>
              <w:t>No increase in the maximum quantity or number of units may be authorised.</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No increase in the maximum number of repeats may be authorised.</w:t>
            </w:r>
          </w:p>
          <w:p w:rsidR="008859C3" w:rsidRPr="00C04677" w:rsidRDefault="008859C3" w:rsidP="008859C3">
            <w:pPr>
              <w:rPr>
                <w:rFonts w:ascii="Arial Narrow" w:hAnsi="Arial Narrow"/>
                <w:sz w:val="20"/>
              </w:rPr>
            </w:pPr>
          </w:p>
          <w:p w:rsidR="008859C3" w:rsidRPr="00C04677" w:rsidRDefault="008859C3" w:rsidP="008859C3">
            <w:pPr>
              <w:rPr>
                <w:rFonts w:ascii="Arial Narrow" w:hAnsi="Arial Narrow"/>
                <w:sz w:val="20"/>
              </w:rPr>
            </w:pPr>
            <w:r w:rsidRPr="00C04677">
              <w:rPr>
                <w:rFonts w:ascii="Arial Narrow" w:hAnsi="Arial Narrow"/>
                <w:sz w:val="20"/>
              </w:rPr>
              <w:t>Special Pricing Arrangements apply.</w:t>
            </w:r>
          </w:p>
        </w:tc>
      </w:tr>
    </w:tbl>
    <w:p w:rsidR="0089104C" w:rsidRDefault="0089104C" w:rsidP="0089104C">
      <w:pPr>
        <w:widowControl w:val="0"/>
        <w:jc w:val="both"/>
        <w:rPr>
          <w:rFonts w:cs="Arial"/>
          <w:snapToGrid w:val="0"/>
          <w:szCs w:val="20"/>
        </w:rPr>
      </w:pPr>
    </w:p>
    <w:p w:rsidR="00C8219B" w:rsidRPr="00C04677" w:rsidRDefault="00C8219B" w:rsidP="0089104C">
      <w:pPr>
        <w:widowControl w:val="0"/>
        <w:jc w:val="both"/>
        <w:rPr>
          <w:rFonts w:cs="Arial"/>
          <w:snapToGrid w:val="0"/>
          <w:szCs w:val="20"/>
        </w:rPr>
      </w:pPr>
    </w:p>
    <w:p w:rsidR="00C8219B" w:rsidRPr="00C8219B" w:rsidRDefault="00C8219B" w:rsidP="00F7008C">
      <w:pPr>
        <w:widowControl w:val="0"/>
        <w:numPr>
          <w:ilvl w:val="0"/>
          <w:numId w:val="5"/>
        </w:numPr>
        <w:ind w:left="426" w:hanging="426"/>
        <w:jc w:val="both"/>
        <w:outlineLvl w:val="0"/>
        <w:rPr>
          <w:rFonts w:cs="Arial"/>
          <w:b/>
          <w:bCs/>
          <w:snapToGrid w:val="0"/>
          <w:szCs w:val="20"/>
        </w:rPr>
      </w:pPr>
      <w:r w:rsidRPr="00C8219B">
        <w:rPr>
          <w:rFonts w:cs="Arial"/>
          <w:b/>
          <w:bCs/>
          <w:snapToGrid w:val="0"/>
          <w:szCs w:val="20"/>
        </w:rPr>
        <w:t>Context for Decision</w:t>
      </w:r>
    </w:p>
    <w:p w:rsidR="00C8219B" w:rsidRPr="00C8219B" w:rsidRDefault="00C8219B" w:rsidP="00C8219B">
      <w:pPr>
        <w:spacing w:line="276" w:lineRule="auto"/>
        <w:ind w:left="426"/>
        <w:jc w:val="both"/>
        <w:rPr>
          <w:rFonts w:eastAsiaTheme="minorHAnsi" w:cs="Arial"/>
          <w:szCs w:val="22"/>
          <w:lang w:eastAsia="en-US"/>
        </w:rPr>
      </w:pPr>
    </w:p>
    <w:p w:rsidR="00C8219B" w:rsidRPr="00B65E96" w:rsidRDefault="00C8219B" w:rsidP="00C8219B">
      <w:pPr>
        <w:spacing w:line="276" w:lineRule="auto"/>
        <w:ind w:left="426"/>
        <w:jc w:val="both"/>
        <w:rPr>
          <w:szCs w:val="22"/>
        </w:rPr>
      </w:pPr>
      <w:r w:rsidRPr="00B65E96">
        <w:rPr>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C8219B" w:rsidRPr="00C8219B" w:rsidRDefault="00C8219B" w:rsidP="00C8219B">
      <w:pPr>
        <w:spacing w:after="200" w:line="276" w:lineRule="auto"/>
        <w:ind w:left="426"/>
        <w:jc w:val="both"/>
        <w:rPr>
          <w:rFonts w:eastAsiaTheme="minorHAnsi" w:cs="Arial"/>
          <w:szCs w:val="22"/>
          <w:lang w:eastAsia="en-US"/>
        </w:rPr>
      </w:pPr>
    </w:p>
    <w:p w:rsidR="00C8219B" w:rsidRPr="00C8219B" w:rsidRDefault="00C8219B" w:rsidP="00F7008C">
      <w:pPr>
        <w:widowControl w:val="0"/>
        <w:numPr>
          <w:ilvl w:val="0"/>
          <w:numId w:val="5"/>
        </w:numPr>
        <w:ind w:left="426"/>
        <w:jc w:val="both"/>
        <w:outlineLvl w:val="0"/>
        <w:rPr>
          <w:rFonts w:cs="Arial"/>
          <w:b/>
          <w:snapToGrid w:val="0"/>
          <w:szCs w:val="20"/>
        </w:rPr>
      </w:pPr>
      <w:r w:rsidRPr="00C8219B">
        <w:rPr>
          <w:rFonts w:cs="Arial"/>
          <w:b/>
          <w:snapToGrid w:val="0"/>
          <w:szCs w:val="20"/>
        </w:rPr>
        <w:t>Sponsor’s Comment</w:t>
      </w:r>
    </w:p>
    <w:p w:rsidR="00C8219B" w:rsidRPr="00C8219B" w:rsidRDefault="00C8219B" w:rsidP="00C8219B">
      <w:pPr>
        <w:spacing w:line="276" w:lineRule="auto"/>
        <w:ind w:left="426"/>
        <w:jc w:val="both"/>
        <w:rPr>
          <w:rFonts w:eastAsiaTheme="minorHAnsi" w:cs="Arial"/>
          <w:bCs/>
          <w:szCs w:val="22"/>
          <w:highlight w:val="yellow"/>
          <w:lang w:val="en-GB" w:eastAsia="en-US"/>
        </w:rPr>
      </w:pPr>
    </w:p>
    <w:p w:rsidR="00C8219B" w:rsidRPr="00C8219B" w:rsidRDefault="00C8219B" w:rsidP="00C8219B">
      <w:pPr>
        <w:spacing w:after="120" w:line="276" w:lineRule="auto"/>
        <w:ind w:left="426"/>
        <w:jc w:val="both"/>
        <w:rPr>
          <w:rFonts w:eastAsiaTheme="minorHAnsi" w:cs="Arial"/>
          <w:bCs/>
          <w:szCs w:val="22"/>
          <w:lang w:eastAsia="en-US"/>
        </w:rPr>
      </w:pPr>
      <w:r w:rsidRPr="00C8219B">
        <w:rPr>
          <w:rFonts w:eastAsiaTheme="minorHAnsi" w:cs="Arial"/>
          <w:bCs/>
          <w:szCs w:val="22"/>
          <w:lang w:eastAsia="en-US"/>
        </w:rPr>
        <w:t>The sponsor had no comment.</w:t>
      </w:r>
    </w:p>
    <w:p w:rsidR="00F64CC1" w:rsidRPr="00C04677" w:rsidRDefault="00F64CC1" w:rsidP="00F64CC1">
      <w:pPr>
        <w:jc w:val="both"/>
        <w:rPr>
          <w:szCs w:val="22"/>
        </w:rPr>
      </w:pPr>
    </w:p>
    <w:sectPr w:rsidR="00F64CC1" w:rsidRPr="00C04677"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E8FE3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B04" w:rsidRDefault="00241B04">
      <w:r>
        <w:separator/>
      </w:r>
    </w:p>
    <w:p w:rsidR="00241B04" w:rsidRDefault="00241B04"/>
  </w:endnote>
  <w:endnote w:type="continuationSeparator" w:id="0">
    <w:p w:rsidR="00241B04" w:rsidRDefault="00241B04">
      <w:r>
        <w:continuationSeparator/>
      </w:r>
    </w:p>
    <w:p w:rsidR="00241B04" w:rsidRDefault="00241B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41B04" w:rsidTr="005A3173">
      <w:trPr>
        <w:trHeight w:val="151"/>
      </w:trPr>
      <w:tc>
        <w:tcPr>
          <w:tcW w:w="2250" w:type="pct"/>
          <w:tcBorders>
            <w:top w:val="nil"/>
            <w:left w:val="nil"/>
            <w:bottom w:val="single" w:sz="4" w:space="0" w:color="4F81BD"/>
            <w:right w:val="nil"/>
          </w:tcBorders>
        </w:tcPr>
        <w:p w:rsidR="00241B04" w:rsidRPr="005A3173" w:rsidRDefault="00241B0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41B04" w:rsidRPr="005A3173" w:rsidRDefault="00241B0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41B04" w:rsidRPr="005A3173" w:rsidRDefault="00241B04" w:rsidP="005A3173">
          <w:pPr>
            <w:pStyle w:val="Header"/>
            <w:spacing w:line="276" w:lineRule="auto"/>
            <w:rPr>
              <w:rFonts w:ascii="Calibri" w:eastAsia="MS Gothic" w:hAnsi="Calibri"/>
              <w:b/>
              <w:bCs/>
              <w:color w:val="4F81BD"/>
            </w:rPr>
          </w:pPr>
        </w:p>
      </w:tc>
    </w:tr>
    <w:tr w:rsidR="00241B04" w:rsidTr="005A3173">
      <w:trPr>
        <w:trHeight w:val="150"/>
      </w:trPr>
      <w:tc>
        <w:tcPr>
          <w:tcW w:w="2250" w:type="pct"/>
          <w:tcBorders>
            <w:top w:val="single" w:sz="4" w:space="0" w:color="4F81BD"/>
            <w:left w:val="nil"/>
            <w:bottom w:val="nil"/>
            <w:right w:val="nil"/>
          </w:tcBorders>
        </w:tcPr>
        <w:p w:rsidR="00241B04" w:rsidRPr="005A3173" w:rsidRDefault="00241B04" w:rsidP="005A3173">
          <w:pPr>
            <w:pStyle w:val="Header"/>
            <w:spacing w:line="276" w:lineRule="auto"/>
            <w:rPr>
              <w:rFonts w:ascii="Calibri" w:eastAsia="MS Gothic" w:hAnsi="Calibri"/>
              <w:b/>
              <w:bCs/>
              <w:color w:val="4F81BD"/>
            </w:rPr>
          </w:pPr>
        </w:p>
      </w:tc>
      <w:tc>
        <w:tcPr>
          <w:tcW w:w="0" w:type="auto"/>
          <w:vMerge/>
          <w:vAlign w:val="center"/>
          <w:hideMark/>
        </w:tcPr>
        <w:p w:rsidR="00241B04" w:rsidRPr="005A3173" w:rsidRDefault="00241B04" w:rsidP="005A3173">
          <w:pPr>
            <w:rPr>
              <w:rFonts w:ascii="Calibri" w:hAnsi="Calibri"/>
              <w:color w:val="365F91"/>
              <w:szCs w:val="22"/>
            </w:rPr>
          </w:pPr>
        </w:p>
      </w:tc>
      <w:tc>
        <w:tcPr>
          <w:tcW w:w="2250" w:type="pct"/>
          <w:tcBorders>
            <w:top w:val="single" w:sz="4" w:space="0" w:color="4F81BD"/>
            <w:left w:val="nil"/>
            <w:bottom w:val="nil"/>
            <w:right w:val="nil"/>
          </w:tcBorders>
        </w:tcPr>
        <w:p w:rsidR="00241B04" w:rsidRPr="005A3173" w:rsidRDefault="00241B04" w:rsidP="005A3173">
          <w:pPr>
            <w:pStyle w:val="Header"/>
            <w:spacing w:line="276" w:lineRule="auto"/>
            <w:rPr>
              <w:rFonts w:ascii="Calibri" w:eastAsia="MS Gothic" w:hAnsi="Calibri"/>
              <w:b/>
              <w:bCs/>
              <w:color w:val="4F81BD"/>
            </w:rPr>
          </w:pPr>
        </w:p>
      </w:tc>
    </w:tr>
  </w:tbl>
  <w:p w:rsidR="00241B04" w:rsidRDefault="00241B04"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B04" w:rsidRDefault="00241B04">
    <w:pPr>
      <w:pStyle w:val="Footer"/>
    </w:pPr>
  </w:p>
  <w:p w:rsidR="00241B04" w:rsidRDefault="00241B0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400030"/>
      <w:docPartObj>
        <w:docPartGallery w:val="Page Numbers (Bottom of Page)"/>
        <w:docPartUnique/>
      </w:docPartObj>
    </w:sdtPr>
    <w:sdtEndPr>
      <w:rPr>
        <w:noProof/>
      </w:rPr>
    </w:sdtEndPr>
    <w:sdtContent>
      <w:p w:rsidR="00241B04" w:rsidRDefault="00241B04">
        <w:pPr>
          <w:pStyle w:val="Footer"/>
          <w:jc w:val="center"/>
        </w:pPr>
        <w:r>
          <w:fldChar w:fldCharType="begin"/>
        </w:r>
        <w:r>
          <w:instrText xml:space="preserve"> PAGE   \* MERGEFORMAT </w:instrText>
        </w:r>
        <w:r>
          <w:fldChar w:fldCharType="separate"/>
        </w:r>
        <w:r w:rsidR="006624CC">
          <w:rPr>
            <w:noProof/>
          </w:rPr>
          <w:t>2</w:t>
        </w:r>
        <w:r>
          <w:rPr>
            <w:noProof/>
          </w:rPr>
          <w:fldChar w:fldCharType="end"/>
        </w:r>
      </w:p>
    </w:sdtContent>
  </w:sdt>
  <w:p w:rsidR="00241B04" w:rsidRDefault="00241B04" w:rsidP="00EF44A0">
    <w:pPr>
      <w:pStyle w:val="Footer"/>
      <w:jc w:val="center"/>
      <w:rPr>
        <w:rFonts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41B04" w:rsidTr="005A3173">
      <w:trPr>
        <w:trHeight w:val="151"/>
      </w:trPr>
      <w:tc>
        <w:tcPr>
          <w:tcW w:w="2250" w:type="pct"/>
          <w:tcBorders>
            <w:top w:val="nil"/>
            <w:left w:val="nil"/>
            <w:bottom w:val="single" w:sz="4" w:space="0" w:color="4F81BD"/>
            <w:right w:val="nil"/>
          </w:tcBorders>
        </w:tcPr>
        <w:p w:rsidR="00241B04" w:rsidRPr="005A3173" w:rsidRDefault="00241B0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41B04" w:rsidRPr="005A3173" w:rsidRDefault="00241B0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41B04" w:rsidRPr="005A3173" w:rsidRDefault="00241B04" w:rsidP="005A3173">
          <w:pPr>
            <w:pStyle w:val="Header"/>
            <w:spacing w:line="276" w:lineRule="auto"/>
            <w:rPr>
              <w:rFonts w:ascii="Calibri" w:eastAsia="MS Gothic" w:hAnsi="Calibri"/>
              <w:b/>
              <w:bCs/>
              <w:color w:val="4F81BD"/>
            </w:rPr>
          </w:pPr>
        </w:p>
      </w:tc>
    </w:tr>
    <w:tr w:rsidR="00241B04" w:rsidTr="005A3173">
      <w:trPr>
        <w:trHeight w:val="150"/>
      </w:trPr>
      <w:tc>
        <w:tcPr>
          <w:tcW w:w="2250" w:type="pct"/>
          <w:tcBorders>
            <w:top w:val="single" w:sz="4" w:space="0" w:color="4F81BD"/>
            <w:left w:val="nil"/>
            <w:bottom w:val="nil"/>
            <w:right w:val="nil"/>
          </w:tcBorders>
        </w:tcPr>
        <w:p w:rsidR="00241B04" w:rsidRPr="005A3173" w:rsidRDefault="00241B04" w:rsidP="005A3173">
          <w:pPr>
            <w:pStyle w:val="Header"/>
            <w:spacing w:line="276" w:lineRule="auto"/>
            <w:rPr>
              <w:rFonts w:ascii="Calibri" w:eastAsia="MS Gothic" w:hAnsi="Calibri"/>
              <w:b/>
              <w:bCs/>
              <w:color w:val="4F81BD"/>
            </w:rPr>
          </w:pPr>
        </w:p>
      </w:tc>
      <w:tc>
        <w:tcPr>
          <w:tcW w:w="0" w:type="auto"/>
          <w:vMerge/>
          <w:vAlign w:val="center"/>
          <w:hideMark/>
        </w:tcPr>
        <w:p w:rsidR="00241B04" w:rsidRPr="005A3173" w:rsidRDefault="00241B04" w:rsidP="005A3173">
          <w:pPr>
            <w:rPr>
              <w:rFonts w:ascii="Calibri" w:hAnsi="Calibri"/>
              <w:color w:val="365F91"/>
              <w:szCs w:val="22"/>
            </w:rPr>
          </w:pPr>
        </w:p>
      </w:tc>
      <w:tc>
        <w:tcPr>
          <w:tcW w:w="2250" w:type="pct"/>
          <w:tcBorders>
            <w:top w:val="single" w:sz="4" w:space="0" w:color="4F81BD"/>
            <w:left w:val="nil"/>
            <w:bottom w:val="nil"/>
            <w:right w:val="nil"/>
          </w:tcBorders>
        </w:tcPr>
        <w:p w:rsidR="00241B04" w:rsidRPr="005A3173" w:rsidRDefault="00241B04"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41B04" w:rsidTr="005A3173">
      <w:trPr>
        <w:trHeight w:val="151"/>
      </w:trPr>
      <w:tc>
        <w:tcPr>
          <w:tcW w:w="2250" w:type="pct"/>
          <w:tcBorders>
            <w:top w:val="nil"/>
            <w:left w:val="nil"/>
            <w:bottom w:val="single" w:sz="4" w:space="0" w:color="4F81BD"/>
            <w:right w:val="nil"/>
          </w:tcBorders>
        </w:tcPr>
        <w:p w:rsidR="00241B04" w:rsidRPr="005A3173" w:rsidRDefault="00241B04"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41B04" w:rsidRPr="005A3173" w:rsidRDefault="00241B04"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41B04" w:rsidRPr="005A3173" w:rsidRDefault="00241B04" w:rsidP="005A3173">
          <w:pPr>
            <w:pStyle w:val="Header"/>
            <w:spacing w:line="276" w:lineRule="auto"/>
            <w:rPr>
              <w:rFonts w:ascii="Calibri" w:eastAsia="MS Gothic" w:hAnsi="Calibri"/>
              <w:b/>
              <w:bCs/>
              <w:color w:val="4F81BD"/>
            </w:rPr>
          </w:pPr>
        </w:p>
      </w:tc>
    </w:tr>
    <w:tr w:rsidR="00241B04" w:rsidTr="005A3173">
      <w:trPr>
        <w:trHeight w:val="150"/>
      </w:trPr>
      <w:tc>
        <w:tcPr>
          <w:tcW w:w="2250" w:type="pct"/>
          <w:tcBorders>
            <w:top w:val="single" w:sz="4" w:space="0" w:color="4F81BD"/>
            <w:left w:val="nil"/>
            <w:bottom w:val="nil"/>
            <w:right w:val="nil"/>
          </w:tcBorders>
        </w:tcPr>
        <w:p w:rsidR="00241B04" w:rsidRPr="005A3173" w:rsidRDefault="00241B04" w:rsidP="005A3173">
          <w:pPr>
            <w:pStyle w:val="Header"/>
            <w:spacing w:line="276" w:lineRule="auto"/>
            <w:rPr>
              <w:rFonts w:ascii="Calibri" w:eastAsia="MS Gothic" w:hAnsi="Calibri"/>
              <w:b/>
              <w:bCs/>
              <w:color w:val="4F81BD"/>
            </w:rPr>
          </w:pPr>
        </w:p>
      </w:tc>
      <w:tc>
        <w:tcPr>
          <w:tcW w:w="0" w:type="auto"/>
          <w:vMerge/>
          <w:vAlign w:val="center"/>
          <w:hideMark/>
        </w:tcPr>
        <w:p w:rsidR="00241B04" w:rsidRPr="005A3173" w:rsidRDefault="00241B04" w:rsidP="005A3173">
          <w:pPr>
            <w:rPr>
              <w:rFonts w:ascii="Calibri" w:hAnsi="Calibri"/>
              <w:color w:val="365F91"/>
              <w:szCs w:val="22"/>
            </w:rPr>
          </w:pPr>
        </w:p>
      </w:tc>
      <w:tc>
        <w:tcPr>
          <w:tcW w:w="2250" w:type="pct"/>
          <w:tcBorders>
            <w:top w:val="single" w:sz="4" w:space="0" w:color="4F81BD"/>
            <w:left w:val="nil"/>
            <w:bottom w:val="nil"/>
            <w:right w:val="nil"/>
          </w:tcBorders>
        </w:tcPr>
        <w:p w:rsidR="00241B04" w:rsidRPr="005A3173" w:rsidRDefault="00241B04" w:rsidP="005A3173">
          <w:pPr>
            <w:pStyle w:val="Header"/>
            <w:spacing w:line="276" w:lineRule="auto"/>
            <w:rPr>
              <w:rFonts w:ascii="Calibri" w:eastAsia="MS Gothic" w:hAnsi="Calibri"/>
              <w:b/>
              <w:bCs/>
              <w:color w:val="4F81BD"/>
            </w:rPr>
          </w:pPr>
        </w:p>
      </w:tc>
    </w:tr>
  </w:tbl>
  <w:p w:rsidR="00241B04" w:rsidRPr="007C0F57" w:rsidRDefault="00241B04"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41B04" w:rsidRPr="007C0F57" w:rsidRDefault="00241B04" w:rsidP="007C0F57">
    <w:pPr>
      <w:pStyle w:val="Footer"/>
      <w:jc w:val="center"/>
      <w:rPr>
        <w:b/>
        <w:i/>
        <w:sz w:val="20"/>
        <w:szCs w:val="20"/>
      </w:rPr>
    </w:pPr>
    <w:r w:rsidRPr="007C0F57">
      <w:rPr>
        <w:b/>
        <w:i/>
        <w:sz w:val="20"/>
        <w:szCs w:val="20"/>
      </w:rPr>
      <w:t>Commercial-in-Confidence</w:t>
    </w:r>
  </w:p>
  <w:p w:rsidR="00241B04" w:rsidRDefault="00241B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B04" w:rsidRDefault="00241B04">
      <w:r>
        <w:separator/>
      </w:r>
    </w:p>
    <w:p w:rsidR="00241B04" w:rsidRDefault="00241B04"/>
  </w:footnote>
  <w:footnote w:type="continuationSeparator" w:id="0">
    <w:p w:rsidR="00241B04" w:rsidRDefault="00241B04">
      <w:r>
        <w:continuationSeparator/>
      </w:r>
    </w:p>
    <w:p w:rsidR="00241B04" w:rsidRDefault="00241B0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41B04" w:rsidRPr="008E0D90" w:rsidTr="00A06225">
      <w:trPr>
        <w:trHeight w:val="151"/>
      </w:trPr>
      <w:tc>
        <w:tcPr>
          <w:tcW w:w="2389" w:type="pct"/>
          <w:tcBorders>
            <w:top w:val="nil"/>
            <w:left w:val="nil"/>
            <w:bottom w:val="single" w:sz="4" w:space="0" w:color="4F81BD"/>
            <w:right w:val="nil"/>
          </w:tcBorders>
        </w:tcPr>
        <w:p w:rsidR="00241B04" w:rsidRPr="00A06225" w:rsidRDefault="00241B04">
          <w:pPr>
            <w:pStyle w:val="Header"/>
            <w:spacing w:line="276" w:lineRule="auto"/>
            <w:rPr>
              <w:rFonts w:ascii="Cambria" w:eastAsia="MS Gothic" w:hAnsi="Cambria"/>
              <w:b/>
              <w:bCs/>
              <w:color w:val="4F81BD"/>
            </w:rPr>
          </w:pPr>
        </w:p>
      </w:tc>
      <w:tc>
        <w:tcPr>
          <w:tcW w:w="333" w:type="pct"/>
          <w:vMerge w:val="restart"/>
          <w:noWrap/>
          <w:vAlign w:val="center"/>
          <w:hideMark/>
        </w:tcPr>
        <w:p w:rsidR="00241B04" w:rsidRPr="00A06225" w:rsidRDefault="00241B04"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41B04" w:rsidRPr="00A06225" w:rsidRDefault="00241B04">
          <w:pPr>
            <w:pStyle w:val="Header"/>
            <w:spacing w:line="276" w:lineRule="auto"/>
            <w:rPr>
              <w:rFonts w:ascii="Cambria" w:eastAsia="MS Gothic" w:hAnsi="Cambria"/>
              <w:b/>
              <w:bCs/>
              <w:color w:val="4F81BD"/>
            </w:rPr>
          </w:pPr>
        </w:p>
      </w:tc>
    </w:tr>
    <w:tr w:rsidR="00241B04" w:rsidRPr="008E0D90" w:rsidTr="00A06225">
      <w:trPr>
        <w:trHeight w:val="150"/>
      </w:trPr>
      <w:tc>
        <w:tcPr>
          <w:tcW w:w="2389" w:type="pct"/>
          <w:tcBorders>
            <w:top w:val="single" w:sz="4" w:space="0" w:color="4F81BD"/>
            <w:left w:val="nil"/>
            <w:bottom w:val="nil"/>
            <w:right w:val="nil"/>
          </w:tcBorders>
        </w:tcPr>
        <w:p w:rsidR="00241B04" w:rsidRPr="00A06225" w:rsidRDefault="00241B04">
          <w:pPr>
            <w:pStyle w:val="Header"/>
            <w:spacing w:line="276" w:lineRule="auto"/>
            <w:rPr>
              <w:rFonts w:ascii="Cambria" w:eastAsia="MS Gothic" w:hAnsi="Cambria"/>
              <w:b/>
              <w:bCs/>
              <w:color w:val="4F81BD"/>
            </w:rPr>
          </w:pPr>
        </w:p>
      </w:tc>
      <w:tc>
        <w:tcPr>
          <w:tcW w:w="0" w:type="auto"/>
          <w:vMerge/>
          <w:vAlign w:val="center"/>
          <w:hideMark/>
        </w:tcPr>
        <w:p w:rsidR="00241B04" w:rsidRPr="00A06225" w:rsidRDefault="00241B04">
          <w:pPr>
            <w:rPr>
              <w:rFonts w:ascii="Cambria" w:hAnsi="Cambria"/>
              <w:color w:val="4F81BD"/>
              <w:szCs w:val="22"/>
            </w:rPr>
          </w:pPr>
        </w:p>
      </w:tc>
      <w:tc>
        <w:tcPr>
          <w:tcW w:w="2278" w:type="pct"/>
          <w:tcBorders>
            <w:top w:val="single" w:sz="4" w:space="0" w:color="4F81BD"/>
            <w:left w:val="nil"/>
            <w:bottom w:val="nil"/>
            <w:right w:val="nil"/>
          </w:tcBorders>
        </w:tcPr>
        <w:p w:rsidR="00241B04" w:rsidRPr="00A06225" w:rsidRDefault="00241B04">
          <w:pPr>
            <w:pStyle w:val="Header"/>
            <w:spacing w:line="276" w:lineRule="auto"/>
            <w:rPr>
              <w:rFonts w:ascii="Cambria" w:eastAsia="MS Gothic" w:hAnsi="Cambria"/>
              <w:b/>
              <w:bCs/>
              <w:color w:val="4F81BD"/>
            </w:rPr>
          </w:pPr>
        </w:p>
      </w:tc>
    </w:tr>
  </w:tbl>
  <w:p w:rsidR="00241B04" w:rsidRDefault="00241B04">
    <w:pPr>
      <w:pStyle w:val="Header"/>
    </w:pPr>
  </w:p>
  <w:p w:rsidR="00241B04" w:rsidRDefault="00241B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04" w:rsidRPr="00DF217D" w:rsidRDefault="00241B04" w:rsidP="00972DBB">
    <w:pPr>
      <w:pStyle w:val="Header"/>
      <w:ind w:left="360"/>
      <w:jc w:val="center"/>
      <w:rPr>
        <w:rFonts w:cs="Arial"/>
        <w:i/>
        <w:color w:val="808080"/>
      </w:rPr>
    </w:pPr>
    <w:r>
      <w:rPr>
        <w:rFonts w:cs="Arial"/>
        <w:i/>
        <w:color w:val="808080"/>
      </w:rPr>
      <w:t xml:space="preserve">Public Summary Document </w:t>
    </w:r>
    <w:r w:rsidRPr="00DF217D">
      <w:rPr>
        <w:rFonts w:cs="Arial"/>
        <w:i/>
        <w:color w:val="808080"/>
      </w:rPr>
      <w:t xml:space="preserve">– </w:t>
    </w:r>
    <w:r>
      <w:rPr>
        <w:rFonts w:cs="Arial"/>
        <w:i/>
        <w:color w:val="808080"/>
      </w:rPr>
      <w:t xml:space="preserve">November 2016 </w:t>
    </w:r>
    <w:r w:rsidRPr="00DF217D">
      <w:rPr>
        <w:rFonts w:cs="Arial"/>
        <w:i/>
        <w:color w:val="808080"/>
      </w:rPr>
      <w:t>PBAC</w:t>
    </w:r>
    <w:r>
      <w:rPr>
        <w:rFonts w:cs="Arial"/>
        <w:i/>
        <w:color w:val="808080"/>
      </w:rPr>
      <w:t xml:space="preserve"> </w:t>
    </w:r>
    <w:r w:rsidRPr="00DF217D">
      <w:rPr>
        <w:rFonts w:cs="Arial"/>
        <w:i/>
        <w:color w:val="808080"/>
      </w:rPr>
      <w:t>Meeting</w:t>
    </w:r>
  </w:p>
  <w:p w:rsidR="00241B04" w:rsidRDefault="00241B04" w:rsidP="00C27B58">
    <w:pPr>
      <w:pStyle w:val="Header"/>
      <w:jc w:val="right"/>
      <w:rPr>
        <w:rFonts w:cs="Arial"/>
        <w:b/>
        <w:noProof/>
      </w:rPr>
    </w:pPr>
  </w:p>
  <w:p w:rsidR="00241B04" w:rsidRDefault="00241B04"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B04" w:rsidRDefault="00241B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pStyle w:val="Heading1"/>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3A54BD"/>
    <w:multiLevelType w:val="hybridMultilevel"/>
    <w:tmpl w:val="3B464536"/>
    <w:lvl w:ilvl="0" w:tplc="0C090001">
      <w:start w:val="1"/>
      <w:numFmt w:val="bullet"/>
      <w:lvlText w:val=""/>
      <w:lvlJc w:val="left"/>
      <w:pPr>
        <w:ind w:left="1028"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2030E"/>
    <w:multiLevelType w:val="hybridMultilevel"/>
    <w:tmpl w:val="AE3EF602"/>
    <w:lvl w:ilvl="0" w:tplc="4E3002CA">
      <w:start w:val="1"/>
      <w:numFmt w:val="decimal"/>
      <w:lvlText w:val="%1."/>
      <w:lvlJc w:val="left"/>
      <w:pPr>
        <w:ind w:left="720" w:hanging="360"/>
      </w:pPr>
      <w:rPr>
        <w:rFonts w:ascii="Times New Roman" w:hAnsi="Times New Roman" w:cs="Times New Roman" w:hint="default"/>
        <w:color w:val="auto"/>
        <w:sz w:val="24"/>
      </w:rPr>
    </w:lvl>
    <w:lvl w:ilvl="1" w:tplc="0C090019">
      <w:start w:val="1"/>
      <w:numFmt w:val="lowerLetter"/>
      <w:lvlText w:val="%2."/>
      <w:lvlJc w:val="left"/>
      <w:pPr>
        <w:ind w:left="1440" w:hanging="360"/>
      </w:pPr>
    </w:lvl>
    <w:lvl w:ilvl="2" w:tplc="0C09001B">
      <w:start w:val="1"/>
      <w:numFmt w:val="lowerRoman"/>
      <w:lvlText w:val="%3."/>
      <w:lvlJc w:val="right"/>
      <w:pPr>
        <w:ind w:left="174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6D174AA7"/>
    <w:multiLevelType w:val="hybridMultilevel"/>
    <w:tmpl w:val="5372D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FCD40F7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3"/>
  </w:num>
  <w:num w:numId="3">
    <w:abstractNumId w:val="6"/>
  </w:num>
  <w:num w:numId="4">
    <w:abstractNumId w:val="15"/>
  </w:num>
  <w:num w:numId="5">
    <w:abstractNumId w:val="19"/>
  </w:num>
  <w:num w:numId="6">
    <w:abstractNumId w:val="7"/>
  </w:num>
  <w:num w:numId="7">
    <w:abstractNumId w:val="14"/>
  </w:num>
  <w:num w:numId="8">
    <w:abstractNumId w:val="4"/>
  </w:num>
  <w:num w:numId="9">
    <w:abstractNumId w:val="13"/>
  </w:num>
  <w:num w:numId="10">
    <w:abstractNumId w:val="12"/>
  </w:num>
  <w:num w:numId="11">
    <w:abstractNumId w:val="11"/>
  </w:num>
  <w:num w:numId="12">
    <w:abstractNumId w:val="1"/>
  </w:num>
  <w:num w:numId="13">
    <w:abstractNumId w:val="0"/>
  </w:num>
  <w:num w:numId="14">
    <w:abstractNumId w:val="19"/>
  </w:num>
  <w:num w:numId="15">
    <w:abstractNumId w:val="18"/>
  </w:num>
  <w:num w:numId="16">
    <w:abstractNumId w:val="16"/>
  </w:num>
  <w:num w:numId="17">
    <w:abstractNumId w:val="5"/>
  </w:num>
  <w:num w:numId="18">
    <w:abstractNumId w:val="2"/>
  </w:num>
  <w:num w:numId="19">
    <w:abstractNumId w:val="10"/>
  </w:num>
  <w:num w:numId="20">
    <w:abstractNumId w:val="8"/>
  </w:num>
  <w:num w:numId="21">
    <w:abstractNumId w:val="17"/>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ristopher Etherton-Beer">
    <w15:presenceInfo w15:providerId="AD" w15:userId="S-1-5-21-905479342-1514983418-1536837410-193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65FC"/>
    <w:rsid w:val="0002464A"/>
    <w:rsid w:val="00026856"/>
    <w:rsid w:val="0003106B"/>
    <w:rsid w:val="00035BB4"/>
    <w:rsid w:val="000421A1"/>
    <w:rsid w:val="0004240E"/>
    <w:rsid w:val="00045E26"/>
    <w:rsid w:val="00047A44"/>
    <w:rsid w:val="000501CC"/>
    <w:rsid w:val="000514B5"/>
    <w:rsid w:val="00060E64"/>
    <w:rsid w:val="00066755"/>
    <w:rsid w:val="00076727"/>
    <w:rsid w:val="00077143"/>
    <w:rsid w:val="00083180"/>
    <w:rsid w:val="00083AC3"/>
    <w:rsid w:val="0008635A"/>
    <w:rsid w:val="000969AD"/>
    <w:rsid w:val="000A5F5D"/>
    <w:rsid w:val="000A65DD"/>
    <w:rsid w:val="000B558D"/>
    <w:rsid w:val="000B5A53"/>
    <w:rsid w:val="000C045F"/>
    <w:rsid w:val="000C270D"/>
    <w:rsid w:val="000C61BF"/>
    <w:rsid w:val="000C6996"/>
    <w:rsid w:val="000D027A"/>
    <w:rsid w:val="000D23BA"/>
    <w:rsid w:val="000E681E"/>
    <w:rsid w:val="000F4E6A"/>
    <w:rsid w:val="000F57D4"/>
    <w:rsid w:val="00100B7C"/>
    <w:rsid w:val="001107BF"/>
    <w:rsid w:val="00110C9D"/>
    <w:rsid w:val="00116240"/>
    <w:rsid w:val="0012417C"/>
    <w:rsid w:val="00124E74"/>
    <w:rsid w:val="00142395"/>
    <w:rsid w:val="00142714"/>
    <w:rsid w:val="001452ED"/>
    <w:rsid w:val="0016401E"/>
    <w:rsid w:val="00167C4F"/>
    <w:rsid w:val="001830CE"/>
    <w:rsid w:val="0018643B"/>
    <w:rsid w:val="00196307"/>
    <w:rsid w:val="001B017F"/>
    <w:rsid w:val="001B5129"/>
    <w:rsid w:val="001C1195"/>
    <w:rsid w:val="001C43A8"/>
    <w:rsid w:val="001E1292"/>
    <w:rsid w:val="00210C95"/>
    <w:rsid w:val="00213CFB"/>
    <w:rsid w:val="0023341F"/>
    <w:rsid w:val="00241B04"/>
    <w:rsid w:val="0024335A"/>
    <w:rsid w:val="0026219D"/>
    <w:rsid w:val="00266C14"/>
    <w:rsid w:val="00271BA1"/>
    <w:rsid w:val="00277505"/>
    <w:rsid w:val="00282478"/>
    <w:rsid w:val="00290221"/>
    <w:rsid w:val="00293DB8"/>
    <w:rsid w:val="0029458F"/>
    <w:rsid w:val="002A104C"/>
    <w:rsid w:val="002A4960"/>
    <w:rsid w:val="002B0FD5"/>
    <w:rsid w:val="002B1AE6"/>
    <w:rsid w:val="002B30F8"/>
    <w:rsid w:val="002C212F"/>
    <w:rsid w:val="002C46B6"/>
    <w:rsid w:val="002E0872"/>
    <w:rsid w:val="002E3153"/>
    <w:rsid w:val="002E4DD8"/>
    <w:rsid w:val="002E72CA"/>
    <w:rsid w:val="002F3D6E"/>
    <w:rsid w:val="00300AD6"/>
    <w:rsid w:val="0030503A"/>
    <w:rsid w:val="003221CF"/>
    <w:rsid w:val="00326E79"/>
    <w:rsid w:val="00333518"/>
    <w:rsid w:val="00334879"/>
    <w:rsid w:val="003367EF"/>
    <w:rsid w:val="00341AE4"/>
    <w:rsid w:val="00353008"/>
    <w:rsid w:val="003733CF"/>
    <w:rsid w:val="00377EB5"/>
    <w:rsid w:val="003817B3"/>
    <w:rsid w:val="003872CF"/>
    <w:rsid w:val="0039782C"/>
    <w:rsid w:val="003A1D25"/>
    <w:rsid w:val="003A5B4A"/>
    <w:rsid w:val="003B23C5"/>
    <w:rsid w:val="003B2A75"/>
    <w:rsid w:val="003D4AC4"/>
    <w:rsid w:val="003D63B7"/>
    <w:rsid w:val="003D759A"/>
    <w:rsid w:val="003E1911"/>
    <w:rsid w:val="003E468B"/>
    <w:rsid w:val="003F2AAA"/>
    <w:rsid w:val="003F5C8C"/>
    <w:rsid w:val="00401D96"/>
    <w:rsid w:val="00411FBA"/>
    <w:rsid w:val="00414E25"/>
    <w:rsid w:val="004465BD"/>
    <w:rsid w:val="00446E8F"/>
    <w:rsid w:val="00462335"/>
    <w:rsid w:val="00466ADA"/>
    <w:rsid w:val="00470C48"/>
    <w:rsid w:val="00476245"/>
    <w:rsid w:val="00485940"/>
    <w:rsid w:val="0049035F"/>
    <w:rsid w:val="004A2484"/>
    <w:rsid w:val="004A5A85"/>
    <w:rsid w:val="004B34E8"/>
    <w:rsid w:val="004B5640"/>
    <w:rsid w:val="004C1BD7"/>
    <w:rsid w:val="004C691D"/>
    <w:rsid w:val="004D61B7"/>
    <w:rsid w:val="004E692D"/>
    <w:rsid w:val="00501554"/>
    <w:rsid w:val="00514CD7"/>
    <w:rsid w:val="005319B2"/>
    <w:rsid w:val="00532C74"/>
    <w:rsid w:val="00534E2E"/>
    <w:rsid w:val="00544552"/>
    <w:rsid w:val="00546EE3"/>
    <w:rsid w:val="00547D39"/>
    <w:rsid w:val="00553B70"/>
    <w:rsid w:val="00563C6A"/>
    <w:rsid w:val="00564DC5"/>
    <w:rsid w:val="00574BE5"/>
    <w:rsid w:val="00581932"/>
    <w:rsid w:val="0059506D"/>
    <w:rsid w:val="005963BB"/>
    <w:rsid w:val="005A3173"/>
    <w:rsid w:val="005A3223"/>
    <w:rsid w:val="005A3DA3"/>
    <w:rsid w:val="005A52C4"/>
    <w:rsid w:val="005D03AB"/>
    <w:rsid w:val="005D5017"/>
    <w:rsid w:val="005E5F4D"/>
    <w:rsid w:val="005F15D8"/>
    <w:rsid w:val="00601A91"/>
    <w:rsid w:val="00602BA3"/>
    <w:rsid w:val="00612B65"/>
    <w:rsid w:val="00614159"/>
    <w:rsid w:val="00617C00"/>
    <w:rsid w:val="006263BF"/>
    <w:rsid w:val="0062748A"/>
    <w:rsid w:val="00630A2C"/>
    <w:rsid w:val="00651169"/>
    <w:rsid w:val="00653D69"/>
    <w:rsid w:val="006624CC"/>
    <w:rsid w:val="006629C5"/>
    <w:rsid w:val="00670A76"/>
    <w:rsid w:val="006711AA"/>
    <w:rsid w:val="00672B57"/>
    <w:rsid w:val="00675622"/>
    <w:rsid w:val="00681D34"/>
    <w:rsid w:val="00687E0C"/>
    <w:rsid w:val="006906DB"/>
    <w:rsid w:val="006A12A5"/>
    <w:rsid w:val="006B0D94"/>
    <w:rsid w:val="006B485D"/>
    <w:rsid w:val="006C708E"/>
    <w:rsid w:val="006D6EC7"/>
    <w:rsid w:val="006F1833"/>
    <w:rsid w:val="006F5125"/>
    <w:rsid w:val="007174BB"/>
    <w:rsid w:val="007541F0"/>
    <w:rsid w:val="0076420C"/>
    <w:rsid w:val="00764C98"/>
    <w:rsid w:val="0077258A"/>
    <w:rsid w:val="007753C2"/>
    <w:rsid w:val="007838B8"/>
    <w:rsid w:val="007A1604"/>
    <w:rsid w:val="007A71FE"/>
    <w:rsid w:val="007C0F57"/>
    <w:rsid w:val="007C40B6"/>
    <w:rsid w:val="007C729F"/>
    <w:rsid w:val="007C72F9"/>
    <w:rsid w:val="007E1D28"/>
    <w:rsid w:val="007F2641"/>
    <w:rsid w:val="007F7C36"/>
    <w:rsid w:val="00806796"/>
    <w:rsid w:val="008151D6"/>
    <w:rsid w:val="008202DE"/>
    <w:rsid w:val="00826F6D"/>
    <w:rsid w:val="008433D0"/>
    <w:rsid w:val="00854BFB"/>
    <w:rsid w:val="00856DDD"/>
    <w:rsid w:val="00863E68"/>
    <w:rsid w:val="00882085"/>
    <w:rsid w:val="00883188"/>
    <w:rsid w:val="008859C3"/>
    <w:rsid w:val="00887377"/>
    <w:rsid w:val="0089104C"/>
    <w:rsid w:val="00897D58"/>
    <w:rsid w:val="008A1956"/>
    <w:rsid w:val="008A4714"/>
    <w:rsid w:val="008A4937"/>
    <w:rsid w:val="008A50F1"/>
    <w:rsid w:val="008D16B9"/>
    <w:rsid w:val="008D1B5C"/>
    <w:rsid w:val="008D3C82"/>
    <w:rsid w:val="008D447E"/>
    <w:rsid w:val="008D7A41"/>
    <w:rsid w:val="008E3680"/>
    <w:rsid w:val="008E5870"/>
    <w:rsid w:val="008F1434"/>
    <w:rsid w:val="008F7355"/>
    <w:rsid w:val="009067B7"/>
    <w:rsid w:val="00911B0C"/>
    <w:rsid w:val="00920ADC"/>
    <w:rsid w:val="00930937"/>
    <w:rsid w:val="00933E6C"/>
    <w:rsid w:val="00942160"/>
    <w:rsid w:val="0094782C"/>
    <w:rsid w:val="0095146F"/>
    <w:rsid w:val="009602C5"/>
    <w:rsid w:val="00962223"/>
    <w:rsid w:val="00972DBB"/>
    <w:rsid w:val="00974C21"/>
    <w:rsid w:val="009B0F67"/>
    <w:rsid w:val="009C703C"/>
    <w:rsid w:val="009D0E51"/>
    <w:rsid w:val="009D39B9"/>
    <w:rsid w:val="009D3CAA"/>
    <w:rsid w:val="009E530E"/>
    <w:rsid w:val="009F1ECE"/>
    <w:rsid w:val="009F4E46"/>
    <w:rsid w:val="009F5B65"/>
    <w:rsid w:val="009F5F2E"/>
    <w:rsid w:val="00A06225"/>
    <w:rsid w:val="00A06959"/>
    <w:rsid w:val="00A128E6"/>
    <w:rsid w:val="00A261CB"/>
    <w:rsid w:val="00A37C8D"/>
    <w:rsid w:val="00A45D6B"/>
    <w:rsid w:val="00A5273B"/>
    <w:rsid w:val="00A53A9D"/>
    <w:rsid w:val="00A54BD8"/>
    <w:rsid w:val="00A55FEE"/>
    <w:rsid w:val="00A62C1A"/>
    <w:rsid w:val="00A6327D"/>
    <w:rsid w:val="00A6426D"/>
    <w:rsid w:val="00A70622"/>
    <w:rsid w:val="00A70977"/>
    <w:rsid w:val="00A77613"/>
    <w:rsid w:val="00A8390C"/>
    <w:rsid w:val="00A928BD"/>
    <w:rsid w:val="00A96300"/>
    <w:rsid w:val="00AA4D1C"/>
    <w:rsid w:val="00AB3A8C"/>
    <w:rsid w:val="00AC193C"/>
    <w:rsid w:val="00AC5206"/>
    <w:rsid w:val="00AE11A5"/>
    <w:rsid w:val="00AE13E2"/>
    <w:rsid w:val="00AF68CC"/>
    <w:rsid w:val="00B1059E"/>
    <w:rsid w:val="00B205AA"/>
    <w:rsid w:val="00B22E84"/>
    <w:rsid w:val="00B25F75"/>
    <w:rsid w:val="00B32733"/>
    <w:rsid w:val="00B43E90"/>
    <w:rsid w:val="00B46366"/>
    <w:rsid w:val="00B467DC"/>
    <w:rsid w:val="00B56118"/>
    <w:rsid w:val="00B65E96"/>
    <w:rsid w:val="00B6773F"/>
    <w:rsid w:val="00B801BA"/>
    <w:rsid w:val="00B8255C"/>
    <w:rsid w:val="00B9499D"/>
    <w:rsid w:val="00BB5FBF"/>
    <w:rsid w:val="00BB69F5"/>
    <w:rsid w:val="00BB7EC3"/>
    <w:rsid w:val="00BC4B9A"/>
    <w:rsid w:val="00BC6DD7"/>
    <w:rsid w:val="00BD031F"/>
    <w:rsid w:val="00BD0474"/>
    <w:rsid w:val="00BD784C"/>
    <w:rsid w:val="00BF1282"/>
    <w:rsid w:val="00BF4CB6"/>
    <w:rsid w:val="00C00DA7"/>
    <w:rsid w:val="00C04677"/>
    <w:rsid w:val="00C12768"/>
    <w:rsid w:val="00C27B58"/>
    <w:rsid w:val="00C35996"/>
    <w:rsid w:val="00C45640"/>
    <w:rsid w:val="00C469E8"/>
    <w:rsid w:val="00C50CE1"/>
    <w:rsid w:val="00C5342C"/>
    <w:rsid w:val="00C603D4"/>
    <w:rsid w:val="00C6256A"/>
    <w:rsid w:val="00C8219B"/>
    <w:rsid w:val="00C91449"/>
    <w:rsid w:val="00C92D10"/>
    <w:rsid w:val="00CE10C4"/>
    <w:rsid w:val="00CE27B5"/>
    <w:rsid w:val="00CE43D0"/>
    <w:rsid w:val="00D0321E"/>
    <w:rsid w:val="00D06D1C"/>
    <w:rsid w:val="00D1455A"/>
    <w:rsid w:val="00D15F42"/>
    <w:rsid w:val="00D26B04"/>
    <w:rsid w:val="00D3138B"/>
    <w:rsid w:val="00D3280C"/>
    <w:rsid w:val="00D3406A"/>
    <w:rsid w:val="00D40578"/>
    <w:rsid w:val="00D469B2"/>
    <w:rsid w:val="00D544A8"/>
    <w:rsid w:val="00D544C8"/>
    <w:rsid w:val="00D614E5"/>
    <w:rsid w:val="00D741EB"/>
    <w:rsid w:val="00D84934"/>
    <w:rsid w:val="00D91271"/>
    <w:rsid w:val="00DA2CB5"/>
    <w:rsid w:val="00DA4BAC"/>
    <w:rsid w:val="00DC671E"/>
    <w:rsid w:val="00DD79CB"/>
    <w:rsid w:val="00DE6D27"/>
    <w:rsid w:val="00DF19F0"/>
    <w:rsid w:val="00DF217D"/>
    <w:rsid w:val="00DF26A7"/>
    <w:rsid w:val="00DF5662"/>
    <w:rsid w:val="00E04473"/>
    <w:rsid w:val="00E15627"/>
    <w:rsid w:val="00E164B3"/>
    <w:rsid w:val="00E16910"/>
    <w:rsid w:val="00E31345"/>
    <w:rsid w:val="00E36E9B"/>
    <w:rsid w:val="00E42CD8"/>
    <w:rsid w:val="00E65E54"/>
    <w:rsid w:val="00E74D16"/>
    <w:rsid w:val="00E80155"/>
    <w:rsid w:val="00E848C0"/>
    <w:rsid w:val="00E91B96"/>
    <w:rsid w:val="00E941A1"/>
    <w:rsid w:val="00E95CE3"/>
    <w:rsid w:val="00EA2825"/>
    <w:rsid w:val="00EB5088"/>
    <w:rsid w:val="00EB53A3"/>
    <w:rsid w:val="00EB7961"/>
    <w:rsid w:val="00EC17A2"/>
    <w:rsid w:val="00EC2126"/>
    <w:rsid w:val="00ED1644"/>
    <w:rsid w:val="00ED2593"/>
    <w:rsid w:val="00ED4AD1"/>
    <w:rsid w:val="00EF44A0"/>
    <w:rsid w:val="00EF4FED"/>
    <w:rsid w:val="00EF6D03"/>
    <w:rsid w:val="00F050BD"/>
    <w:rsid w:val="00F05657"/>
    <w:rsid w:val="00F17BAC"/>
    <w:rsid w:val="00F25578"/>
    <w:rsid w:val="00F258E5"/>
    <w:rsid w:val="00F300BC"/>
    <w:rsid w:val="00F32BB2"/>
    <w:rsid w:val="00F3334E"/>
    <w:rsid w:val="00F50EC4"/>
    <w:rsid w:val="00F574D6"/>
    <w:rsid w:val="00F57A6D"/>
    <w:rsid w:val="00F62315"/>
    <w:rsid w:val="00F638CC"/>
    <w:rsid w:val="00F64CC1"/>
    <w:rsid w:val="00F7008C"/>
    <w:rsid w:val="00F713FB"/>
    <w:rsid w:val="00F8247A"/>
    <w:rsid w:val="00F9629A"/>
    <w:rsid w:val="00FA5883"/>
    <w:rsid w:val="00FA6055"/>
    <w:rsid w:val="00FA63BA"/>
    <w:rsid w:val="00FB0EE7"/>
    <w:rsid w:val="00FB322F"/>
    <w:rsid w:val="00FB442F"/>
    <w:rsid w:val="00FB4B64"/>
    <w:rsid w:val="00FC1929"/>
    <w:rsid w:val="00FC2D36"/>
    <w:rsid w:val="00FC5B46"/>
    <w:rsid w:val="00FD2E0E"/>
    <w:rsid w:val="00FE0E94"/>
    <w:rsid w:val="00FF00BD"/>
    <w:rsid w:val="00FF1ED4"/>
    <w:rsid w:val="00FF2801"/>
    <w:rsid w:val="00FF54E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469E8"/>
    <w:rPr>
      <w:rFonts w:ascii="Arial" w:hAnsi="Arial"/>
      <w:sz w:val="22"/>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b/>
      <w:i/>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link w:val="TableHeadingChar"/>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styleId="IntenseReference">
    <w:name w:val="Intense Reference"/>
    <w:basedOn w:val="DefaultParagraphFont"/>
    <w:uiPriority w:val="32"/>
    <w:rsid w:val="0089104C"/>
    <w:rPr>
      <w:b/>
      <w:bCs/>
      <w:smallCaps/>
      <w:color w:val="C0504D" w:themeColor="accent2"/>
      <w:spacing w:val="5"/>
      <w:u w:val="single"/>
    </w:rPr>
  </w:style>
  <w:style w:type="paragraph" w:customStyle="1" w:styleId="TableFooter">
    <w:name w:val="Table Footer"/>
    <w:basedOn w:val="Normal"/>
    <w:qFormat/>
    <w:rsid w:val="0059506D"/>
    <w:pPr>
      <w:widowControl w:val="0"/>
      <w:jc w:val="both"/>
    </w:pPr>
    <w:rPr>
      <w:rFonts w:ascii="Arial Narrow" w:hAnsi="Arial Narrow" w:cs="Arial"/>
      <w:snapToGrid w:val="0"/>
      <w:sz w:val="18"/>
      <w:szCs w:val="20"/>
      <w:lang w:eastAsia="en-US"/>
    </w:rPr>
  </w:style>
  <w:style w:type="paragraph" w:customStyle="1" w:styleId="TableText0">
    <w:name w:val="TableText"/>
    <w:basedOn w:val="Normal"/>
    <w:link w:val="TableTextChar"/>
    <w:rsid w:val="0059506D"/>
    <w:pPr>
      <w:keepNext/>
      <w:spacing w:before="40" w:after="40"/>
    </w:pPr>
    <w:rPr>
      <w:rFonts w:ascii="Arial Narrow" w:hAnsi="Arial Narrow" w:cs="Arial Narrow"/>
      <w:sz w:val="20"/>
      <w:szCs w:val="20"/>
      <w:lang w:eastAsia="en-US"/>
    </w:rPr>
  </w:style>
  <w:style w:type="character" w:customStyle="1" w:styleId="TableHeadingChar">
    <w:name w:val="TableHeading Char"/>
    <w:link w:val="TableHeading"/>
    <w:rsid w:val="0059506D"/>
    <w:rPr>
      <w:rFonts w:ascii="Arial Narrow" w:hAnsi="Arial Narrow" w:cs="Arial Narrow"/>
      <w:b/>
      <w:bCs/>
      <w:lang w:eastAsia="en-US"/>
    </w:rPr>
  </w:style>
  <w:style w:type="character" w:customStyle="1" w:styleId="TableTextChar">
    <w:name w:val="TableText Char"/>
    <w:link w:val="TableText0"/>
    <w:rsid w:val="0059506D"/>
    <w:rPr>
      <w:rFonts w:ascii="Arial Narrow" w:hAnsi="Arial Narrow" w:cs="Arial Narrow"/>
      <w:lang w:eastAsia="en-US"/>
    </w:rPr>
  </w:style>
  <w:style w:type="paragraph" w:styleId="Revision">
    <w:name w:val="Revision"/>
    <w:hidden/>
    <w:uiPriority w:val="71"/>
    <w:rsid w:val="007A71FE"/>
    <w:rPr>
      <w:rFonts w:ascii="Arial" w:hAnsi="Arial"/>
      <w:sz w:val="22"/>
      <w:szCs w:val="24"/>
    </w:rPr>
  </w:style>
  <w:style w:type="paragraph" w:styleId="Caption">
    <w:name w:val="caption"/>
    <w:basedOn w:val="Normal"/>
    <w:next w:val="Normal"/>
    <w:unhideWhenUsed/>
    <w:qFormat/>
    <w:rsid w:val="007A71FE"/>
    <w:rPr>
      <w:rFonts w:ascii="Arial Narrow" w:hAnsi="Arial Narrow"/>
      <w:b/>
      <w:bCs/>
      <w:sz w:val="20"/>
      <w:szCs w:val="18"/>
    </w:rPr>
  </w:style>
  <w:style w:type="paragraph" w:customStyle="1" w:styleId="COMBody">
    <w:name w:val="COMBody"/>
    <w:basedOn w:val="Normal"/>
    <w:link w:val="COMBodyChar"/>
    <w:qFormat/>
    <w:rsid w:val="00564DC5"/>
    <w:pPr>
      <w:widowControl w:val="0"/>
      <w:jc w:val="both"/>
    </w:pPr>
    <w:rPr>
      <w:rFonts w:cs="Arial"/>
      <w:snapToGrid w:val="0"/>
      <w:szCs w:val="20"/>
      <w:lang w:eastAsia="en-US"/>
    </w:rPr>
  </w:style>
  <w:style w:type="character" w:customStyle="1" w:styleId="COMBodyChar">
    <w:name w:val="COMBody Char"/>
    <w:basedOn w:val="DefaultParagraphFont"/>
    <w:link w:val="COMBody"/>
    <w:rsid w:val="00564DC5"/>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C469E8"/>
    <w:rPr>
      <w:rFonts w:ascii="Arial" w:hAnsi="Arial"/>
      <w:sz w:val="22"/>
      <w:szCs w:val="24"/>
    </w:rPr>
  </w:style>
  <w:style w:type="paragraph" w:styleId="Heading1">
    <w:name w:val="heading 1"/>
    <w:basedOn w:val="ListParagraph"/>
    <w:next w:val="Normal"/>
    <w:qFormat/>
    <w:rsid w:val="00C603D4"/>
    <w:pPr>
      <w:numPr>
        <w:numId w:val="13"/>
      </w:numPr>
      <w:tabs>
        <w:tab w:val="clear" w:pos="643"/>
      </w:tabs>
      <w:ind w:left="720" w:hanging="720"/>
      <w:outlineLvl w:val="0"/>
    </w:pPr>
    <w:rPr>
      <w:b/>
      <w:szCs w:val="22"/>
    </w:rPr>
  </w:style>
  <w:style w:type="paragraph" w:styleId="Heading2">
    <w:name w:val="heading 2"/>
    <w:basedOn w:val="Normal"/>
    <w:next w:val="Normal"/>
    <w:qFormat/>
    <w:rsid w:val="00B1059E"/>
    <w:pPr>
      <w:keepNext/>
      <w:outlineLvl w:val="1"/>
    </w:pPr>
    <w:rPr>
      <w:b/>
      <w:i/>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sz w:val="20"/>
      <w:szCs w:val="20"/>
      <w:lang w:eastAsia="en-US"/>
    </w:rPr>
  </w:style>
  <w:style w:type="paragraph" w:styleId="BodyText2">
    <w:name w:val="Body Text 2"/>
    <w:basedOn w:val="Normal"/>
    <w:link w:val="BodyText2Char"/>
    <w:pPr>
      <w:widowControl w:val="0"/>
      <w:jc w:val="both"/>
    </w:pPr>
    <w:rPr>
      <w:snapToGrid w:val="0"/>
      <w:sz w:val="20"/>
      <w:szCs w:val="20"/>
      <w:lang w:eastAsia="en-US"/>
    </w:rPr>
  </w:style>
  <w:style w:type="paragraph" w:customStyle="1" w:styleId="TableHeading">
    <w:name w:val="TableHeading"/>
    <w:basedOn w:val="Normal"/>
    <w:link w:val="TableHeadingChar"/>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cs="Arial"/>
      <w:snapToGrid w:val="0"/>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styleId="IntenseReference">
    <w:name w:val="Intense Reference"/>
    <w:basedOn w:val="DefaultParagraphFont"/>
    <w:uiPriority w:val="32"/>
    <w:rsid w:val="0089104C"/>
    <w:rPr>
      <w:b/>
      <w:bCs/>
      <w:smallCaps/>
      <w:color w:val="C0504D" w:themeColor="accent2"/>
      <w:spacing w:val="5"/>
      <w:u w:val="single"/>
    </w:rPr>
  </w:style>
  <w:style w:type="paragraph" w:customStyle="1" w:styleId="TableFooter">
    <w:name w:val="Table Footer"/>
    <w:basedOn w:val="Normal"/>
    <w:qFormat/>
    <w:rsid w:val="0059506D"/>
    <w:pPr>
      <w:widowControl w:val="0"/>
      <w:jc w:val="both"/>
    </w:pPr>
    <w:rPr>
      <w:rFonts w:ascii="Arial Narrow" w:hAnsi="Arial Narrow" w:cs="Arial"/>
      <w:snapToGrid w:val="0"/>
      <w:sz w:val="18"/>
      <w:szCs w:val="20"/>
      <w:lang w:eastAsia="en-US"/>
    </w:rPr>
  </w:style>
  <w:style w:type="paragraph" w:customStyle="1" w:styleId="TableText0">
    <w:name w:val="TableText"/>
    <w:basedOn w:val="Normal"/>
    <w:link w:val="TableTextChar"/>
    <w:rsid w:val="0059506D"/>
    <w:pPr>
      <w:keepNext/>
      <w:spacing w:before="40" w:after="40"/>
    </w:pPr>
    <w:rPr>
      <w:rFonts w:ascii="Arial Narrow" w:hAnsi="Arial Narrow" w:cs="Arial Narrow"/>
      <w:sz w:val="20"/>
      <w:szCs w:val="20"/>
      <w:lang w:eastAsia="en-US"/>
    </w:rPr>
  </w:style>
  <w:style w:type="character" w:customStyle="1" w:styleId="TableHeadingChar">
    <w:name w:val="TableHeading Char"/>
    <w:link w:val="TableHeading"/>
    <w:rsid w:val="0059506D"/>
    <w:rPr>
      <w:rFonts w:ascii="Arial Narrow" w:hAnsi="Arial Narrow" w:cs="Arial Narrow"/>
      <w:b/>
      <w:bCs/>
      <w:lang w:eastAsia="en-US"/>
    </w:rPr>
  </w:style>
  <w:style w:type="character" w:customStyle="1" w:styleId="TableTextChar">
    <w:name w:val="TableText Char"/>
    <w:link w:val="TableText0"/>
    <w:rsid w:val="0059506D"/>
    <w:rPr>
      <w:rFonts w:ascii="Arial Narrow" w:hAnsi="Arial Narrow" w:cs="Arial Narrow"/>
      <w:lang w:eastAsia="en-US"/>
    </w:rPr>
  </w:style>
  <w:style w:type="paragraph" w:styleId="Revision">
    <w:name w:val="Revision"/>
    <w:hidden/>
    <w:uiPriority w:val="71"/>
    <w:rsid w:val="007A71FE"/>
    <w:rPr>
      <w:rFonts w:ascii="Arial" w:hAnsi="Arial"/>
      <w:sz w:val="22"/>
      <w:szCs w:val="24"/>
    </w:rPr>
  </w:style>
  <w:style w:type="paragraph" w:styleId="Caption">
    <w:name w:val="caption"/>
    <w:basedOn w:val="Normal"/>
    <w:next w:val="Normal"/>
    <w:unhideWhenUsed/>
    <w:qFormat/>
    <w:rsid w:val="007A71FE"/>
    <w:rPr>
      <w:rFonts w:ascii="Arial Narrow" w:hAnsi="Arial Narrow"/>
      <w:b/>
      <w:bCs/>
      <w:sz w:val="20"/>
      <w:szCs w:val="18"/>
    </w:rPr>
  </w:style>
  <w:style w:type="paragraph" w:customStyle="1" w:styleId="COMBody">
    <w:name w:val="COMBody"/>
    <w:basedOn w:val="Normal"/>
    <w:link w:val="COMBodyChar"/>
    <w:qFormat/>
    <w:rsid w:val="00564DC5"/>
    <w:pPr>
      <w:widowControl w:val="0"/>
      <w:jc w:val="both"/>
    </w:pPr>
    <w:rPr>
      <w:rFonts w:cs="Arial"/>
      <w:snapToGrid w:val="0"/>
      <w:szCs w:val="20"/>
      <w:lang w:eastAsia="en-US"/>
    </w:rPr>
  </w:style>
  <w:style w:type="character" w:customStyle="1" w:styleId="COMBodyChar">
    <w:name w:val="COMBody Char"/>
    <w:basedOn w:val="DefaultParagraphFont"/>
    <w:link w:val="COMBody"/>
    <w:rsid w:val="00564DC5"/>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B7A959-798C-410F-8E1B-3C2A741D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5135</Words>
  <Characters>31732</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2017-02-06T03:47:00Z</dcterms:created>
  <dcterms:modified xsi:type="dcterms:W3CDTF">2017-02-20T22:10:00Z</dcterms:modified>
</cp:coreProperties>
</file>