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F6" w:rsidRPr="00A77CF6" w:rsidRDefault="00D174E5" w:rsidP="00A45B7B">
      <w:pPr>
        <w:pStyle w:val="Heading1"/>
        <w:numPr>
          <w:ilvl w:val="0"/>
          <w:numId w:val="0"/>
        </w:numPr>
        <w:ind w:left="709" w:hanging="709"/>
        <w:rPr>
          <w:rFonts w:ascii="Arial Bold" w:hAnsi="Arial Bold"/>
          <w:sz w:val="28"/>
          <w:szCs w:val="28"/>
        </w:rPr>
      </w:pPr>
      <w:bookmarkStart w:id="0" w:name="_GoBack"/>
      <w:bookmarkEnd w:id="0"/>
      <w:r w:rsidRPr="00A77CF6">
        <w:rPr>
          <w:rFonts w:ascii="Arial Bold" w:hAnsi="Arial Bold"/>
          <w:sz w:val="28"/>
          <w:szCs w:val="28"/>
        </w:rPr>
        <w:t>5.19</w:t>
      </w:r>
      <w:r w:rsidR="007C0F57" w:rsidRPr="00A77CF6">
        <w:rPr>
          <w:rFonts w:ascii="Arial Bold" w:hAnsi="Arial Bold"/>
          <w:sz w:val="28"/>
          <w:szCs w:val="28"/>
        </w:rPr>
        <w:tab/>
      </w:r>
      <w:r w:rsidRPr="00A77CF6">
        <w:rPr>
          <w:rFonts w:ascii="Arial Bold" w:hAnsi="Arial Bold"/>
          <w:sz w:val="28"/>
          <w:szCs w:val="28"/>
        </w:rPr>
        <w:t>EPOPROSTENOL</w:t>
      </w:r>
      <w:r w:rsidR="008A50F1" w:rsidRPr="00A77CF6">
        <w:rPr>
          <w:rFonts w:ascii="Arial Bold" w:hAnsi="Arial Bold"/>
          <w:sz w:val="28"/>
          <w:szCs w:val="28"/>
        </w:rPr>
        <w:t xml:space="preserve"> </w:t>
      </w:r>
      <w:r w:rsidR="008A50F1" w:rsidRPr="00A77CF6">
        <w:rPr>
          <w:rFonts w:ascii="Arial Bold" w:hAnsi="Arial Bold"/>
          <w:sz w:val="28"/>
          <w:szCs w:val="28"/>
        </w:rPr>
        <w:br/>
      </w:r>
      <w:r w:rsidR="008278F7" w:rsidRPr="00A77CF6">
        <w:rPr>
          <w:rFonts w:ascii="Arial Bold" w:hAnsi="Arial Bold"/>
          <w:sz w:val="28"/>
          <w:szCs w:val="28"/>
        </w:rPr>
        <w:t>Powder for I.V. infusion</w:t>
      </w:r>
      <w:r w:rsidRPr="00A77CF6">
        <w:rPr>
          <w:rFonts w:ascii="Arial Bold" w:hAnsi="Arial Bold"/>
          <w:sz w:val="28"/>
          <w:szCs w:val="28"/>
        </w:rPr>
        <w:t xml:space="preserve"> 500 microgram</w:t>
      </w:r>
      <w:r w:rsidR="00D32A49" w:rsidRPr="00A77CF6">
        <w:rPr>
          <w:rFonts w:ascii="Arial Bold" w:hAnsi="Arial Bold"/>
          <w:sz w:val="28"/>
          <w:szCs w:val="28"/>
        </w:rPr>
        <w:t>s (as sodium)</w:t>
      </w:r>
      <w:r w:rsidR="0004240E" w:rsidRPr="00A77CF6">
        <w:rPr>
          <w:rFonts w:ascii="Arial Bold" w:hAnsi="Arial Bold"/>
          <w:sz w:val="28"/>
          <w:szCs w:val="28"/>
        </w:rPr>
        <w:t>,</w:t>
      </w:r>
    </w:p>
    <w:p w:rsidR="00CE10C4" w:rsidRDefault="008278F7" w:rsidP="00A77CF6">
      <w:pPr>
        <w:ind w:left="709"/>
        <w:rPr>
          <w:rFonts w:ascii="Arial Bold" w:hAnsi="Arial Bold"/>
          <w:sz w:val="28"/>
          <w:szCs w:val="28"/>
        </w:rPr>
      </w:pPr>
      <w:r w:rsidRPr="00A77CF6">
        <w:rPr>
          <w:rFonts w:ascii="Arial Bold" w:hAnsi="Arial Bold"/>
          <w:sz w:val="28"/>
          <w:szCs w:val="28"/>
        </w:rPr>
        <w:t>Powder for I.V. infusion</w:t>
      </w:r>
      <w:r w:rsidR="00D174E5" w:rsidRPr="00A77CF6">
        <w:rPr>
          <w:rFonts w:ascii="Arial Bold" w:hAnsi="Arial Bold"/>
          <w:sz w:val="28"/>
          <w:szCs w:val="28"/>
        </w:rPr>
        <w:t xml:space="preserve"> 1.5 </w:t>
      </w:r>
      <w:r w:rsidR="00F50211" w:rsidRPr="00A77CF6">
        <w:rPr>
          <w:rFonts w:ascii="Arial Bold" w:hAnsi="Arial Bold"/>
          <w:sz w:val="28"/>
          <w:szCs w:val="28"/>
        </w:rPr>
        <w:t>mg</w:t>
      </w:r>
      <w:r w:rsidR="00D32A49" w:rsidRPr="00A77CF6">
        <w:rPr>
          <w:rFonts w:ascii="Arial Bold" w:hAnsi="Arial Bold"/>
          <w:sz w:val="28"/>
          <w:szCs w:val="28"/>
        </w:rPr>
        <w:t xml:space="preserve"> (as sodium),</w:t>
      </w:r>
      <w:r w:rsidR="00F50211" w:rsidRPr="00A77CF6">
        <w:rPr>
          <w:rFonts w:ascii="Arial Bold" w:hAnsi="Arial Bold"/>
          <w:sz w:val="28"/>
          <w:szCs w:val="28"/>
        </w:rPr>
        <w:t xml:space="preserve"> </w:t>
      </w:r>
      <w:r w:rsidR="008A50F1" w:rsidRPr="00A77CF6">
        <w:rPr>
          <w:rFonts w:ascii="Arial Bold" w:hAnsi="Arial Bold"/>
          <w:sz w:val="28"/>
          <w:szCs w:val="28"/>
        </w:rPr>
        <w:br/>
      </w:r>
      <w:r w:rsidR="00D174E5" w:rsidRPr="00A77CF6">
        <w:rPr>
          <w:rFonts w:ascii="Arial Bold" w:hAnsi="Arial Bold"/>
          <w:sz w:val="28"/>
          <w:szCs w:val="28"/>
        </w:rPr>
        <w:t>Flolan</w:t>
      </w:r>
      <w:r w:rsidR="0004240E" w:rsidRPr="00A77CF6">
        <w:rPr>
          <w:rFonts w:ascii="Arial Bold" w:hAnsi="Arial Bold"/>
          <w:sz w:val="28"/>
          <w:szCs w:val="28"/>
          <w:vertAlign w:val="superscript"/>
        </w:rPr>
        <w:t>®</w:t>
      </w:r>
      <w:r w:rsidR="00EF44A0" w:rsidRPr="00A77CF6">
        <w:rPr>
          <w:rFonts w:ascii="Arial Bold" w:hAnsi="Arial Bold"/>
          <w:sz w:val="28"/>
          <w:szCs w:val="28"/>
        </w:rPr>
        <w:t xml:space="preserve">, </w:t>
      </w:r>
      <w:r w:rsidR="000D3B91">
        <w:rPr>
          <w:rFonts w:ascii="Arial Bold" w:hAnsi="Arial Bold"/>
          <w:sz w:val="28"/>
          <w:szCs w:val="28"/>
        </w:rPr>
        <w:br/>
      </w:r>
      <w:r w:rsidR="00D174E5" w:rsidRPr="00A77CF6">
        <w:rPr>
          <w:rFonts w:ascii="Arial Bold" w:hAnsi="Arial Bold"/>
          <w:sz w:val="28"/>
          <w:szCs w:val="28"/>
        </w:rPr>
        <w:t>GlaxoSmithKline Australia Pty Ltd</w:t>
      </w:r>
      <w:r w:rsidR="000D3B91">
        <w:rPr>
          <w:rFonts w:ascii="Arial Bold" w:hAnsi="Arial Bold"/>
          <w:sz w:val="28"/>
          <w:szCs w:val="28"/>
        </w:rPr>
        <w:t>.</w:t>
      </w:r>
      <w:r w:rsidR="00D174E5" w:rsidRPr="00A77CF6">
        <w:rPr>
          <w:rFonts w:ascii="Arial Bold" w:hAnsi="Arial Bold"/>
          <w:sz w:val="28"/>
          <w:szCs w:val="28"/>
        </w:rPr>
        <w:t xml:space="preserve"> </w:t>
      </w:r>
    </w:p>
    <w:p w:rsidR="00001CA6" w:rsidRPr="00A77CF6" w:rsidRDefault="00001CA6" w:rsidP="00A77CF6">
      <w:pPr>
        <w:ind w:left="709"/>
        <w:rPr>
          <w:rFonts w:ascii="Arial Bold" w:hAnsi="Arial Bold"/>
          <w:sz w:val="28"/>
          <w:szCs w:val="28"/>
        </w:rPr>
      </w:pPr>
    </w:p>
    <w:p w:rsidR="00C27B58" w:rsidRDefault="00C27B58" w:rsidP="00C27B58">
      <w:pPr>
        <w:pStyle w:val="NoSpacing"/>
      </w:pPr>
    </w:p>
    <w:p w:rsidR="00E15627" w:rsidRDefault="00CE10C4" w:rsidP="00E15627">
      <w:pPr>
        <w:pStyle w:val="PBACHeading1"/>
      </w:pPr>
      <w:r w:rsidRPr="00C603D4">
        <w:t xml:space="preserve">Purpose of </w:t>
      </w:r>
      <w:r w:rsidR="0004240E" w:rsidRPr="00C603D4">
        <w:t>Application</w:t>
      </w:r>
    </w:p>
    <w:p w:rsidR="008A50F1" w:rsidRPr="00E15627" w:rsidRDefault="008A50F1" w:rsidP="00E15627"/>
    <w:p w:rsidR="00F9629A" w:rsidRPr="00F9629A" w:rsidRDefault="00EF44A0" w:rsidP="005479F3">
      <w:pPr>
        <w:pStyle w:val="ListParagraph"/>
        <w:numPr>
          <w:ilvl w:val="1"/>
          <w:numId w:val="5"/>
        </w:numPr>
      </w:pPr>
      <w:r w:rsidRPr="00E15627">
        <w:rPr>
          <w:szCs w:val="22"/>
        </w:rPr>
        <w:t xml:space="preserve">The </w:t>
      </w:r>
      <w:r w:rsidR="000A7CB4">
        <w:rPr>
          <w:szCs w:val="22"/>
        </w:rPr>
        <w:t>minor submission requested to remove the administration sets from the current listing of epoprostenol which</w:t>
      </w:r>
      <w:r w:rsidR="00FE03DE">
        <w:rPr>
          <w:szCs w:val="22"/>
        </w:rPr>
        <w:t>, in the relevant PBS Legislative Instrument,</w:t>
      </w:r>
      <w:r w:rsidR="000A7CB4">
        <w:rPr>
          <w:szCs w:val="22"/>
        </w:rPr>
        <w:t xml:space="preserve"> would result in</w:t>
      </w:r>
      <w:r w:rsidR="001B49CB">
        <w:rPr>
          <w:szCs w:val="22"/>
        </w:rPr>
        <w:t xml:space="preserve"> the removal of an existing form of</w:t>
      </w:r>
      <w:r w:rsidR="000A7CB4">
        <w:rPr>
          <w:szCs w:val="22"/>
        </w:rPr>
        <w:t xml:space="preserve"> </w:t>
      </w:r>
      <w:r w:rsidR="00FE03DE">
        <w:rPr>
          <w:szCs w:val="22"/>
        </w:rPr>
        <w:t>epoprostenol, and the</w:t>
      </w:r>
      <w:r w:rsidR="000A7CB4">
        <w:rPr>
          <w:szCs w:val="22"/>
        </w:rPr>
        <w:t xml:space="preserve"> </w:t>
      </w:r>
      <w:r w:rsidR="00FE03DE">
        <w:rPr>
          <w:szCs w:val="22"/>
        </w:rPr>
        <w:t xml:space="preserve">concurrent </w:t>
      </w:r>
      <w:r w:rsidR="000A7CB4">
        <w:rPr>
          <w:szCs w:val="22"/>
        </w:rPr>
        <w:t xml:space="preserve">listing </w:t>
      </w:r>
      <w:r w:rsidR="00A76F12">
        <w:rPr>
          <w:szCs w:val="22"/>
        </w:rPr>
        <w:t>of</w:t>
      </w:r>
      <w:r w:rsidR="000A7CB4">
        <w:rPr>
          <w:szCs w:val="22"/>
        </w:rPr>
        <w:t xml:space="preserve"> a new brand </w:t>
      </w:r>
      <w:r w:rsidR="00A76F12">
        <w:rPr>
          <w:szCs w:val="22"/>
        </w:rPr>
        <w:t>of</w:t>
      </w:r>
      <w:r w:rsidR="000A7CB4">
        <w:rPr>
          <w:szCs w:val="22"/>
        </w:rPr>
        <w:t xml:space="preserve"> an existing form</w:t>
      </w:r>
      <w:r w:rsidR="00281BE5" w:rsidRPr="00281BE5">
        <w:rPr>
          <w:szCs w:val="22"/>
        </w:rPr>
        <w:t xml:space="preserve"> </w:t>
      </w:r>
      <w:r w:rsidR="00281BE5">
        <w:rPr>
          <w:szCs w:val="22"/>
        </w:rPr>
        <w:t>of epoprostenol</w:t>
      </w:r>
      <w:r w:rsidR="000A7CB4">
        <w:rPr>
          <w:szCs w:val="22"/>
        </w:rPr>
        <w:t>. The sponsor also notified a change to the diluent formulation o</w:t>
      </w:r>
      <w:r w:rsidR="00B5261B">
        <w:rPr>
          <w:szCs w:val="22"/>
        </w:rPr>
        <w:t>f</w:t>
      </w:r>
      <w:r w:rsidR="000A7CB4">
        <w:rPr>
          <w:szCs w:val="22"/>
        </w:rPr>
        <w:t xml:space="preserve"> the </w:t>
      </w:r>
      <w:r w:rsidR="00FE03DE">
        <w:rPr>
          <w:szCs w:val="22"/>
        </w:rPr>
        <w:t>Flolan</w:t>
      </w:r>
      <w:r w:rsidR="000A7CB4">
        <w:rPr>
          <w:szCs w:val="22"/>
        </w:rPr>
        <w:t xml:space="preserve"> epoprostenol powder for infusion. </w:t>
      </w:r>
    </w:p>
    <w:p w:rsidR="00EF44A0" w:rsidRPr="00C27B58" w:rsidRDefault="00EF44A0" w:rsidP="00C27B58">
      <w:pPr>
        <w:pStyle w:val="NoSpacing"/>
      </w:pPr>
    </w:p>
    <w:p w:rsidR="00962223" w:rsidRPr="00962223" w:rsidRDefault="006A12A5" w:rsidP="008A50F1">
      <w:pPr>
        <w:pStyle w:val="PBACHeading1"/>
      </w:pPr>
      <w:r w:rsidRPr="004A2484">
        <w:t>Requested listing</w:t>
      </w:r>
    </w:p>
    <w:p w:rsidR="006A12A5" w:rsidRPr="00882085" w:rsidRDefault="006A12A5" w:rsidP="00882085">
      <w:pPr>
        <w:jc w:val="both"/>
        <w:rPr>
          <w:rFonts w:ascii="Arial" w:hAnsi="Arial"/>
          <w:b/>
          <w:sz w:val="22"/>
          <w:szCs w:val="22"/>
        </w:rPr>
      </w:pPr>
    </w:p>
    <w:p w:rsidR="00901D15" w:rsidRPr="00901D15" w:rsidRDefault="00EF44A0" w:rsidP="00452ECA">
      <w:pPr>
        <w:pStyle w:val="ListParagraph"/>
        <w:numPr>
          <w:ilvl w:val="1"/>
          <w:numId w:val="5"/>
        </w:numPr>
        <w:rPr>
          <w:szCs w:val="22"/>
        </w:rPr>
      </w:pPr>
      <w:r w:rsidRPr="00077143">
        <w:rPr>
          <w:szCs w:val="22"/>
        </w:rPr>
        <w:t xml:space="preserve">The </w:t>
      </w:r>
      <w:r w:rsidR="00ED08B3">
        <w:rPr>
          <w:szCs w:val="22"/>
        </w:rPr>
        <w:t xml:space="preserve">minor </w:t>
      </w:r>
      <w:r w:rsidRPr="00077143">
        <w:rPr>
          <w:szCs w:val="22"/>
        </w:rPr>
        <w:t xml:space="preserve">submission </w:t>
      </w:r>
      <w:r w:rsidR="00452ECA">
        <w:rPr>
          <w:szCs w:val="22"/>
        </w:rPr>
        <w:t>did not request any changes to the current listing</w:t>
      </w:r>
      <w:r w:rsidR="00FE03DE">
        <w:rPr>
          <w:szCs w:val="22"/>
        </w:rPr>
        <w:t>, as reflected in the PBS Schedule</w:t>
      </w:r>
      <w:r w:rsidR="00452ECA">
        <w:rPr>
          <w:szCs w:val="22"/>
        </w:rPr>
        <w:t>.</w:t>
      </w:r>
    </w:p>
    <w:p w:rsidR="00D1455A" w:rsidRPr="00452ECA" w:rsidRDefault="00D1455A" w:rsidP="00290CE8">
      <w:pPr>
        <w:pStyle w:val="ListParagraph"/>
        <w:ind w:left="0"/>
        <w:rPr>
          <w:b/>
          <w:i/>
          <w:szCs w:val="22"/>
        </w:rPr>
      </w:pPr>
    </w:p>
    <w:p w:rsidR="00A76F12" w:rsidRDefault="00A76F12" w:rsidP="005D35AA">
      <w:pPr>
        <w:pStyle w:val="ListParagraph"/>
        <w:jc w:val="left"/>
        <w:rPr>
          <w:i/>
          <w:szCs w:val="22"/>
        </w:rPr>
      </w:pPr>
      <w:r w:rsidRPr="005D35AA">
        <w:rPr>
          <w:i/>
          <w:szCs w:val="22"/>
        </w:rPr>
        <w:t>For more detail on PBAC’s view, see section 5 “PBAC outcome”</w:t>
      </w:r>
    </w:p>
    <w:p w:rsidR="00BB7EC3" w:rsidRPr="00882085" w:rsidRDefault="00BB7EC3" w:rsidP="00A76F12">
      <w:pPr>
        <w:tabs>
          <w:tab w:val="left" w:pos="1050"/>
        </w:tabs>
        <w:jc w:val="both"/>
        <w:rPr>
          <w:rFonts w:ascii="Arial" w:hAnsi="Arial"/>
          <w:b/>
          <w:sz w:val="22"/>
          <w:szCs w:val="22"/>
        </w:rPr>
      </w:pPr>
    </w:p>
    <w:p w:rsidR="00CE10C4" w:rsidRPr="00C603D4" w:rsidRDefault="00CE10C4" w:rsidP="008A50F1">
      <w:pPr>
        <w:pStyle w:val="PBACHeading1"/>
      </w:pPr>
      <w:r w:rsidRPr="00C603D4">
        <w:t>Background</w:t>
      </w:r>
    </w:p>
    <w:p w:rsidR="00C603D4" w:rsidRPr="00C603D4" w:rsidRDefault="00C603D4" w:rsidP="00C603D4">
      <w:pPr>
        <w:pStyle w:val="ListParagraph"/>
        <w:rPr>
          <w:i/>
          <w:szCs w:val="22"/>
        </w:rPr>
      </w:pPr>
    </w:p>
    <w:p w:rsidR="006B0D94" w:rsidRDefault="00F53D01" w:rsidP="00882085">
      <w:pPr>
        <w:pStyle w:val="ListParagraph"/>
        <w:numPr>
          <w:ilvl w:val="1"/>
          <w:numId w:val="5"/>
        </w:numPr>
        <w:rPr>
          <w:szCs w:val="22"/>
        </w:rPr>
      </w:pPr>
      <w:r>
        <w:rPr>
          <w:szCs w:val="22"/>
        </w:rPr>
        <w:t>Epoprostenol sodium</w:t>
      </w:r>
      <w:r w:rsidR="00476245" w:rsidRPr="00F569E7">
        <w:rPr>
          <w:szCs w:val="22"/>
        </w:rPr>
        <w:t xml:space="preserve"> is TGA registered for</w:t>
      </w:r>
      <w:r w:rsidR="00F569E7">
        <w:rPr>
          <w:szCs w:val="22"/>
        </w:rPr>
        <w:t xml:space="preserve"> the long-term treatment, via continuous intravenous infusion, in WHO functional Class II</w:t>
      </w:r>
      <w:r w:rsidR="00FA1C86">
        <w:rPr>
          <w:szCs w:val="22"/>
        </w:rPr>
        <w:t>I</w:t>
      </w:r>
      <w:r w:rsidR="00F569E7">
        <w:rPr>
          <w:szCs w:val="22"/>
        </w:rPr>
        <w:t xml:space="preserve"> or Class IV patients with:</w:t>
      </w:r>
    </w:p>
    <w:p w:rsidR="00F569E7" w:rsidRDefault="00281BE5" w:rsidP="00F569E7">
      <w:pPr>
        <w:pStyle w:val="ListParagraph"/>
        <w:numPr>
          <w:ilvl w:val="0"/>
          <w:numId w:val="15"/>
        </w:numPr>
        <w:rPr>
          <w:szCs w:val="22"/>
        </w:rPr>
      </w:pPr>
      <w:r>
        <w:rPr>
          <w:szCs w:val="22"/>
        </w:rPr>
        <w:t>i</w:t>
      </w:r>
      <w:r w:rsidR="00F569E7">
        <w:rPr>
          <w:szCs w:val="22"/>
        </w:rPr>
        <w:t>diopathic pulmonary arterial hypertension</w:t>
      </w:r>
      <w:r>
        <w:rPr>
          <w:szCs w:val="22"/>
        </w:rPr>
        <w:t>;</w:t>
      </w:r>
    </w:p>
    <w:p w:rsidR="00F569E7" w:rsidRDefault="00281BE5" w:rsidP="00F569E7">
      <w:pPr>
        <w:pStyle w:val="ListParagraph"/>
        <w:numPr>
          <w:ilvl w:val="0"/>
          <w:numId w:val="15"/>
        </w:numPr>
        <w:rPr>
          <w:szCs w:val="22"/>
        </w:rPr>
      </w:pPr>
      <w:r>
        <w:rPr>
          <w:szCs w:val="22"/>
        </w:rPr>
        <w:t>f</w:t>
      </w:r>
      <w:r w:rsidR="00F569E7">
        <w:rPr>
          <w:szCs w:val="22"/>
        </w:rPr>
        <w:t>amilial pulmonary arterial hypertension</w:t>
      </w:r>
      <w:r>
        <w:rPr>
          <w:szCs w:val="22"/>
        </w:rPr>
        <w:t>; and,</w:t>
      </w:r>
    </w:p>
    <w:p w:rsidR="00F569E7" w:rsidRPr="00452ECA" w:rsidRDefault="00281BE5" w:rsidP="00646891">
      <w:pPr>
        <w:pStyle w:val="ListParagraph"/>
        <w:numPr>
          <w:ilvl w:val="0"/>
          <w:numId w:val="15"/>
        </w:numPr>
        <w:rPr>
          <w:szCs w:val="22"/>
        </w:rPr>
      </w:pPr>
      <w:r>
        <w:rPr>
          <w:szCs w:val="22"/>
        </w:rPr>
        <w:t>p</w:t>
      </w:r>
      <w:r w:rsidR="00F569E7">
        <w:rPr>
          <w:szCs w:val="22"/>
        </w:rPr>
        <w:t>ulmonary arterial hypertension associated with the scleroderma spectrum of diseases</w:t>
      </w:r>
      <w:r>
        <w:rPr>
          <w:szCs w:val="22"/>
        </w:rPr>
        <w:t>.</w:t>
      </w:r>
    </w:p>
    <w:p w:rsidR="00F569E7" w:rsidRPr="00F569E7" w:rsidRDefault="00F569E7" w:rsidP="00F569E7">
      <w:pPr>
        <w:pStyle w:val="ListParagraph"/>
        <w:rPr>
          <w:szCs w:val="22"/>
        </w:rPr>
      </w:pPr>
    </w:p>
    <w:p w:rsidR="00326E79" w:rsidRDefault="00F53D01" w:rsidP="008A50F1">
      <w:pPr>
        <w:pStyle w:val="ListParagraph"/>
        <w:numPr>
          <w:ilvl w:val="1"/>
          <w:numId w:val="5"/>
        </w:numPr>
        <w:rPr>
          <w:szCs w:val="22"/>
        </w:rPr>
      </w:pPr>
      <w:r>
        <w:rPr>
          <w:szCs w:val="22"/>
        </w:rPr>
        <w:t xml:space="preserve">Epoprostenol sodium was recommended for listing </w:t>
      </w:r>
      <w:r w:rsidR="008B2142">
        <w:rPr>
          <w:szCs w:val="22"/>
        </w:rPr>
        <w:t xml:space="preserve">by the PBAC at the March 2006 meeting for the treatment of severe (Class III or IV) primary pulmonary hypertension (now </w:t>
      </w:r>
      <w:r w:rsidR="007F4274">
        <w:rPr>
          <w:szCs w:val="22"/>
        </w:rPr>
        <w:t>referred to</w:t>
      </w:r>
      <w:r w:rsidR="008B2142">
        <w:rPr>
          <w:szCs w:val="22"/>
        </w:rPr>
        <w:t xml:space="preserve"> as pulmonary arterial hypertension). </w:t>
      </w:r>
    </w:p>
    <w:p w:rsidR="008B2142" w:rsidRDefault="008B2142" w:rsidP="008B2142">
      <w:pPr>
        <w:pStyle w:val="ListParagraph"/>
        <w:rPr>
          <w:szCs w:val="22"/>
        </w:rPr>
      </w:pPr>
    </w:p>
    <w:p w:rsidR="005218F9" w:rsidRDefault="007F4274" w:rsidP="008A50F1">
      <w:pPr>
        <w:pStyle w:val="ListParagraph"/>
        <w:numPr>
          <w:ilvl w:val="1"/>
          <w:numId w:val="5"/>
        </w:numPr>
        <w:rPr>
          <w:szCs w:val="22"/>
        </w:rPr>
      </w:pPr>
      <w:r>
        <w:rPr>
          <w:szCs w:val="22"/>
        </w:rPr>
        <w:t xml:space="preserve">The TGA approved the new formulation </w:t>
      </w:r>
      <w:r w:rsidR="000B45D4">
        <w:rPr>
          <w:szCs w:val="22"/>
        </w:rPr>
        <w:t>of</w:t>
      </w:r>
      <w:r>
        <w:rPr>
          <w:szCs w:val="22"/>
        </w:rPr>
        <w:t xml:space="preserve"> the diluent </w:t>
      </w:r>
      <w:r w:rsidR="000B45D4">
        <w:rPr>
          <w:szCs w:val="22"/>
        </w:rPr>
        <w:t xml:space="preserve">for </w:t>
      </w:r>
      <w:r w:rsidR="00FE03DE">
        <w:rPr>
          <w:szCs w:val="22"/>
        </w:rPr>
        <w:t xml:space="preserve">the Flolan brand of </w:t>
      </w:r>
      <w:r w:rsidR="000B45D4">
        <w:rPr>
          <w:szCs w:val="22"/>
        </w:rPr>
        <w:t>epoprostenol sodium on 3 February 2016.</w:t>
      </w:r>
      <w:r w:rsidR="005218F9">
        <w:rPr>
          <w:szCs w:val="22"/>
        </w:rPr>
        <w:t xml:space="preserve"> </w:t>
      </w:r>
    </w:p>
    <w:p w:rsidR="005218F9" w:rsidRPr="005218F9" w:rsidRDefault="005218F9" w:rsidP="005218F9">
      <w:pPr>
        <w:pStyle w:val="ListParagraph"/>
        <w:rPr>
          <w:szCs w:val="22"/>
        </w:rPr>
      </w:pPr>
    </w:p>
    <w:p w:rsidR="004D3592" w:rsidRDefault="005218F9" w:rsidP="00853DC2">
      <w:pPr>
        <w:pStyle w:val="ListParagraph"/>
        <w:numPr>
          <w:ilvl w:val="1"/>
          <w:numId w:val="5"/>
        </w:numPr>
        <w:rPr>
          <w:szCs w:val="22"/>
        </w:rPr>
      </w:pPr>
      <w:r>
        <w:rPr>
          <w:szCs w:val="22"/>
        </w:rPr>
        <w:t xml:space="preserve">The new formulation of diluent contains an increased amount of sodium hydroxide (42.4 mg </w:t>
      </w:r>
      <w:r w:rsidR="00452ECA">
        <w:rPr>
          <w:szCs w:val="22"/>
        </w:rPr>
        <w:t xml:space="preserve">compared </w:t>
      </w:r>
      <w:r>
        <w:rPr>
          <w:szCs w:val="22"/>
        </w:rPr>
        <w:t>to 73.3 mg) to raise the final pH of the diluent from 10.5 to 12.</w:t>
      </w:r>
      <w:r w:rsidR="003A654A">
        <w:rPr>
          <w:szCs w:val="22"/>
        </w:rPr>
        <w:t xml:space="preserve"> The minor submission stated</w:t>
      </w:r>
      <w:r>
        <w:rPr>
          <w:szCs w:val="22"/>
        </w:rPr>
        <w:t xml:space="preserve"> that epoprostenol</w:t>
      </w:r>
      <w:r w:rsidR="003A654A">
        <w:rPr>
          <w:szCs w:val="22"/>
        </w:rPr>
        <w:t xml:space="preserve"> is more stable at a higher pH meaning an increased stability</w:t>
      </w:r>
      <w:r w:rsidR="00B76F91">
        <w:rPr>
          <w:szCs w:val="22"/>
        </w:rPr>
        <w:t xml:space="preserve"> of the reconstituted solution. The minor submission argued that </w:t>
      </w:r>
      <w:r w:rsidR="00452ECA">
        <w:rPr>
          <w:szCs w:val="22"/>
        </w:rPr>
        <w:t>al</w:t>
      </w:r>
      <w:r w:rsidR="00B76F91">
        <w:rPr>
          <w:szCs w:val="22"/>
        </w:rPr>
        <w:t>though the</w:t>
      </w:r>
      <w:r w:rsidR="007F6857">
        <w:rPr>
          <w:szCs w:val="22"/>
        </w:rPr>
        <w:t xml:space="preserve"> change is minor, the higher stability would mean a reduction in frequency of reconstitution and need for an icepack during patient administration under normal ambient conditions.</w:t>
      </w:r>
    </w:p>
    <w:p w:rsidR="004D3592" w:rsidRPr="004D3592" w:rsidRDefault="004D3592" w:rsidP="004D3592">
      <w:pPr>
        <w:pStyle w:val="ListParagraph"/>
        <w:rPr>
          <w:szCs w:val="22"/>
        </w:rPr>
      </w:pPr>
    </w:p>
    <w:p w:rsidR="00BB7EC3" w:rsidRPr="00A76F12" w:rsidRDefault="007F6857" w:rsidP="00940101">
      <w:pPr>
        <w:pStyle w:val="ListParagraph"/>
        <w:numPr>
          <w:ilvl w:val="1"/>
          <w:numId w:val="5"/>
        </w:numPr>
        <w:rPr>
          <w:b/>
        </w:rPr>
      </w:pPr>
      <w:r w:rsidRPr="00853DC2">
        <w:rPr>
          <w:szCs w:val="22"/>
        </w:rPr>
        <w:t xml:space="preserve"> </w:t>
      </w:r>
      <w:r w:rsidR="00853DC2" w:rsidRPr="00853DC2">
        <w:rPr>
          <w:szCs w:val="22"/>
        </w:rPr>
        <w:t>The minor submission proposed an alternative method</w:t>
      </w:r>
      <w:r w:rsidR="001E0032">
        <w:rPr>
          <w:szCs w:val="22"/>
        </w:rPr>
        <w:t xml:space="preserve"> </w:t>
      </w:r>
      <w:r w:rsidR="00853DC2" w:rsidRPr="00853DC2">
        <w:rPr>
          <w:szCs w:val="22"/>
        </w:rPr>
        <w:t xml:space="preserve">of supplying the </w:t>
      </w:r>
      <w:r w:rsidR="00853DC2">
        <w:rPr>
          <w:szCs w:val="22"/>
        </w:rPr>
        <w:lastRenderedPageBreak/>
        <w:t>administration sets</w:t>
      </w:r>
      <w:r w:rsidR="00646891">
        <w:rPr>
          <w:szCs w:val="22"/>
        </w:rPr>
        <w:t xml:space="preserve"> at no additional cost</w:t>
      </w:r>
      <w:r w:rsidR="00FA1C86">
        <w:rPr>
          <w:szCs w:val="22"/>
        </w:rPr>
        <w:t xml:space="preserve"> to</w:t>
      </w:r>
      <w:r w:rsidR="00646891">
        <w:rPr>
          <w:szCs w:val="22"/>
        </w:rPr>
        <w:t xml:space="preserve"> patients</w:t>
      </w:r>
      <w:r w:rsidR="00452ECA">
        <w:rPr>
          <w:szCs w:val="22"/>
        </w:rPr>
        <w:t xml:space="preserve">, on the basis </w:t>
      </w:r>
      <w:r w:rsidR="00853DC2">
        <w:rPr>
          <w:szCs w:val="22"/>
        </w:rPr>
        <w:t>that the supply of the sets with the PBS list</w:t>
      </w:r>
      <w:r w:rsidR="005C6573">
        <w:rPr>
          <w:szCs w:val="22"/>
        </w:rPr>
        <w:t>ing</w:t>
      </w:r>
      <w:r w:rsidR="00853DC2">
        <w:rPr>
          <w:szCs w:val="22"/>
        </w:rPr>
        <w:t xml:space="preserve"> for epoprost</w:t>
      </w:r>
      <w:r w:rsidR="005C6573">
        <w:rPr>
          <w:szCs w:val="22"/>
        </w:rPr>
        <w:t xml:space="preserve">enol sodium </w:t>
      </w:r>
      <w:r w:rsidR="00452ECA">
        <w:rPr>
          <w:szCs w:val="22"/>
        </w:rPr>
        <w:t xml:space="preserve">was </w:t>
      </w:r>
      <w:r w:rsidR="005C6573">
        <w:rPr>
          <w:szCs w:val="22"/>
        </w:rPr>
        <w:t>unsustainable. The minor submission noted that the sponsor of Veletri</w:t>
      </w:r>
      <w:r w:rsidR="005C6573" w:rsidRPr="005D35AA">
        <w:rPr>
          <w:szCs w:val="22"/>
          <w:vertAlign w:val="superscript"/>
        </w:rPr>
        <w:t>®</w:t>
      </w:r>
      <w:r w:rsidR="005C6573">
        <w:rPr>
          <w:szCs w:val="22"/>
        </w:rPr>
        <w:t xml:space="preserve"> (an alternative brand</w:t>
      </w:r>
      <w:r w:rsidR="00E60AFB">
        <w:rPr>
          <w:szCs w:val="22"/>
        </w:rPr>
        <w:t xml:space="preserve"> of</w:t>
      </w:r>
      <w:r w:rsidR="005C6573">
        <w:rPr>
          <w:szCs w:val="22"/>
        </w:rPr>
        <w:t xml:space="preserve"> epoprostenol sodium listed on the PBS) </w:t>
      </w:r>
      <w:r w:rsidR="00FE03DE">
        <w:rPr>
          <w:szCs w:val="22"/>
        </w:rPr>
        <w:t xml:space="preserve">currently </w:t>
      </w:r>
      <w:r w:rsidR="005C6573">
        <w:rPr>
          <w:szCs w:val="22"/>
        </w:rPr>
        <w:t>suppl</w:t>
      </w:r>
      <w:r w:rsidR="00452ECA">
        <w:rPr>
          <w:szCs w:val="22"/>
        </w:rPr>
        <w:t>ies</w:t>
      </w:r>
      <w:r w:rsidR="005C6573">
        <w:rPr>
          <w:szCs w:val="22"/>
        </w:rPr>
        <w:t xml:space="preserve"> infusion administration sets via an alternative method. </w:t>
      </w:r>
    </w:p>
    <w:p w:rsidR="00A76F12" w:rsidRPr="00A76F12" w:rsidRDefault="00A76F12" w:rsidP="00A76F12">
      <w:pPr>
        <w:pStyle w:val="ListParagraph"/>
        <w:rPr>
          <w:b/>
        </w:rPr>
      </w:pPr>
    </w:p>
    <w:p w:rsidR="00A76F12" w:rsidRDefault="00A76F12" w:rsidP="005D35AA">
      <w:pPr>
        <w:pStyle w:val="ListParagraph"/>
        <w:jc w:val="left"/>
        <w:rPr>
          <w:i/>
          <w:szCs w:val="22"/>
        </w:rPr>
      </w:pPr>
      <w:r w:rsidRPr="005D35AA">
        <w:rPr>
          <w:i/>
          <w:szCs w:val="22"/>
        </w:rPr>
        <w:t>For more detail on PBAC’s view, see section 5 “PBAC outcome”</w:t>
      </w:r>
    </w:p>
    <w:p w:rsidR="00A76F12" w:rsidRDefault="00A76F12" w:rsidP="00A76F12">
      <w:pPr>
        <w:pStyle w:val="ListParagraph"/>
        <w:rPr>
          <w:b/>
        </w:rPr>
      </w:pPr>
    </w:p>
    <w:p w:rsidR="008A1956" w:rsidRPr="00882085" w:rsidRDefault="008A1956" w:rsidP="00882085">
      <w:pPr>
        <w:jc w:val="both"/>
        <w:rPr>
          <w:rFonts w:ascii="Arial" w:hAnsi="Arial"/>
          <w:b/>
          <w:sz w:val="22"/>
          <w:szCs w:val="22"/>
        </w:rPr>
      </w:pPr>
    </w:p>
    <w:p w:rsidR="005A3173" w:rsidRDefault="00055F6C" w:rsidP="00290CE8">
      <w:pPr>
        <w:pStyle w:val="PBACHeading1"/>
      </w:pPr>
      <w:r>
        <w:t>Consideration of the evidence</w:t>
      </w:r>
    </w:p>
    <w:p w:rsidR="00051B54" w:rsidRDefault="00051B54" w:rsidP="00051B54"/>
    <w:p w:rsidR="00E80CB1" w:rsidRDefault="00E80CB1" w:rsidP="00E80CB1">
      <w:pPr>
        <w:pStyle w:val="Heading2"/>
      </w:pPr>
      <w:r>
        <w:t>Sponsor hearing</w:t>
      </w:r>
    </w:p>
    <w:p w:rsidR="00FE03DE" w:rsidRPr="00FE03DE" w:rsidRDefault="00FE03DE" w:rsidP="00FE03DE"/>
    <w:p w:rsidR="00E80CB1" w:rsidRPr="00051B54" w:rsidRDefault="00E80CB1" w:rsidP="00E80CB1">
      <w:pPr>
        <w:pStyle w:val="ListParagraph"/>
        <w:numPr>
          <w:ilvl w:val="1"/>
          <w:numId w:val="14"/>
        </w:numPr>
      </w:pPr>
      <w:r>
        <w:rPr>
          <w:szCs w:val="22"/>
        </w:rPr>
        <w:t>There was no hearing for this item as it was a minor submission.</w:t>
      </w:r>
    </w:p>
    <w:p w:rsidR="00051B54" w:rsidRDefault="00051B54" w:rsidP="00051B54">
      <w:pPr>
        <w:pStyle w:val="ListParagraph"/>
      </w:pPr>
    </w:p>
    <w:p w:rsidR="00051B54" w:rsidRDefault="00051B54" w:rsidP="00051B54">
      <w:pPr>
        <w:pStyle w:val="Heading2"/>
      </w:pPr>
      <w:r>
        <w:t>Consumer comments</w:t>
      </w:r>
    </w:p>
    <w:p w:rsidR="00FE03DE" w:rsidRPr="00FE03DE" w:rsidRDefault="00FE03DE" w:rsidP="00FE03DE"/>
    <w:p w:rsidR="00055F6C" w:rsidRPr="00051B54" w:rsidRDefault="00051B54" w:rsidP="00E80CB1">
      <w:pPr>
        <w:pStyle w:val="ListParagraph"/>
        <w:numPr>
          <w:ilvl w:val="1"/>
          <w:numId w:val="16"/>
        </w:numPr>
        <w:rPr>
          <w:szCs w:val="22"/>
        </w:rPr>
      </w:pPr>
      <w:r>
        <w:rPr>
          <w:szCs w:val="22"/>
        </w:rPr>
        <w:t xml:space="preserve">The PBAC noted that no consumer comments were received for this item. </w:t>
      </w:r>
    </w:p>
    <w:p w:rsidR="00F57A6D" w:rsidRPr="00882085" w:rsidRDefault="00F57A6D" w:rsidP="00882085">
      <w:pPr>
        <w:ind w:left="720" w:hanging="720"/>
        <w:jc w:val="both"/>
        <w:rPr>
          <w:rFonts w:ascii="Arial" w:hAnsi="Arial"/>
          <w:sz w:val="22"/>
          <w:szCs w:val="22"/>
        </w:rPr>
      </w:pPr>
    </w:p>
    <w:p w:rsidR="005A3173" w:rsidRPr="00882085" w:rsidRDefault="005A3173" w:rsidP="00B1059E">
      <w:pPr>
        <w:pStyle w:val="Heading2"/>
      </w:pPr>
      <w:r w:rsidRPr="00882085">
        <w:t>Economic analysis</w:t>
      </w:r>
    </w:p>
    <w:p w:rsidR="005A3173" w:rsidRPr="00882085" w:rsidRDefault="005A3173" w:rsidP="00D84934">
      <w:pPr>
        <w:pStyle w:val="NoSpacing"/>
      </w:pPr>
    </w:p>
    <w:p w:rsidR="005F7323" w:rsidRPr="00290CE8" w:rsidRDefault="00FF2801" w:rsidP="00E80CB1">
      <w:pPr>
        <w:pStyle w:val="ListParagraph"/>
        <w:numPr>
          <w:ilvl w:val="1"/>
          <w:numId w:val="14"/>
        </w:numPr>
        <w:rPr>
          <w:szCs w:val="22"/>
        </w:rPr>
      </w:pPr>
      <w:r w:rsidRPr="005F7323">
        <w:rPr>
          <w:szCs w:val="22"/>
        </w:rPr>
        <w:t>As a minor submission, there wa</w:t>
      </w:r>
      <w:r w:rsidR="009B0F67" w:rsidRPr="005F7323">
        <w:rPr>
          <w:szCs w:val="22"/>
        </w:rPr>
        <w:t>s no economic comparison presented</w:t>
      </w:r>
      <w:r w:rsidR="005F7323">
        <w:rPr>
          <w:szCs w:val="22"/>
        </w:rPr>
        <w:t>.</w:t>
      </w:r>
    </w:p>
    <w:p w:rsidR="00A55FEE" w:rsidRDefault="00A55FEE" w:rsidP="00A55FEE">
      <w:pPr>
        <w:ind w:left="720" w:hanging="720"/>
        <w:jc w:val="both"/>
        <w:rPr>
          <w:rFonts w:ascii="Arial" w:hAnsi="Arial"/>
          <w:b/>
          <w:i/>
          <w:sz w:val="22"/>
          <w:szCs w:val="22"/>
        </w:rPr>
      </w:pPr>
    </w:p>
    <w:p w:rsidR="005A3173" w:rsidRPr="00882085" w:rsidRDefault="005A3173" w:rsidP="00B1059E">
      <w:pPr>
        <w:pStyle w:val="Heading2"/>
      </w:pPr>
      <w:r w:rsidRPr="00882085">
        <w:t>Estimated PBS usage &amp; financial implications</w:t>
      </w:r>
    </w:p>
    <w:p w:rsidR="005A3173" w:rsidRPr="00882085" w:rsidRDefault="005A3173" w:rsidP="00882085">
      <w:pPr>
        <w:ind w:left="720" w:hanging="720"/>
        <w:jc w:val="both"/>
        <w:rPr>
          <w:rFonts w:ascii="Arial" w:hAnsi="Arial"/>
          <w:b/>
          <w:i/>
          <w:sz w:val="22"/>
          <w:szCs w:val="22"/>
        </w:rPr>
      </w:pPr>
    </w:p>
    <w:p w:rsidR="00BB7EC3" w:rsidRPr="00A76F12" w:rsidRDefault="00F506D6" w:rsidP="00E80CB1">
      <w:pPr>
        <w:pStyle w:val="ListParagraph"/>
        <w:numPr>
          <w:ilvl w:val="1"/>
          <w:numId w:val="14"/>
        </w:numPr>
        <w:rPr>
          <w:color w:val="FF00FF"/>
          <w:szCs w:val="22"/>
        </w:rPr>
      </w:pPr>
      <w:r>
        <w:rPr>
          <w:color w:val="000000" w:themeColor="text1"/>
          <w:szCs w:val="22"/>
        </w:rPr>
        <w:t xml:space="preserve">The </w:t>
      </w:r>
      <w:r w:rsidR="00281BE5">
        <w:rPr>
          <w:color w:val="000000" w:themeColor="text1"/>
          <w:szCs w:val="22"/>
        </w:rPr>
        <w:t>PBAC considered</w:t>
      </w:r>
      <w:r>
        <w:rPr>
          <w:color w:val="000000" w:themeColor="text1"/>
          <w:szCs w:val="22"/>
        </w:rPr>
        <w:t xml:space="preserve"> that there would be no additional financial impact to the government</w:t>
      </w:r>
      <w:r w:rsidR="00281BE5">
        <w:rPr>
          <w:color w:val="000000" w:themeColor="text1"/>
          <w:szCs w:val="22"/>
        </w:rPr>
        <w:t xml:space="preserve"> as </w:t>
      </w:r>
      <w:r w:rsidR="00FE03DE">
        <w:rPr>
          <w:color w:val="000000" w:themeColor="text1"/>
          <w:szCs w:val="22"/>
        </w:rPr>
        <w:t xml:space="preserve">the changes to supply the Flolan brand of </w:t>
      </w:r>
      <w:r w:rsidR="007D1191">
        <w:rPr>
          <w:color w:val="000000" w:themeColor="text1"/>
          <w:szCs w:val="22"/>
        </w:rPr>
        <w:t>epoprostenol sodium with the new diluent formulation</w:t>
      </w:r>
      <w:r w:rsidR="00281BE5">
        <w:rPr>
          <w:color w:val="000000" w:themeColor="text1"/>
          <w:szCs w:val="22"/>
        </w:rPr>
        <w:t xml:space="preserve"> and </w:t>
      </w:r>
      <w:r w:rsidR="00FE03DE">
        <w:rPr>
          <w:color w:val="000000" w:themeColor="text1"/>
          <w:szCs w:val="22"/>
        </w:rPr>
        <w:t>to remove the administration pack were</w:t>
      </w:r>
      <w:r w:rsidR="00281BE5">
        <w:rPr>
          <w:color w:val="000000" w:themeColor="text1"/>
          <w:szCs w:val="22"/>
        </w:rPr>
        <w:t xml:space="preserve"> proposed at the same price</w:t>
      </w:r>
      <w:r w:rsidR="00452ECA">
        <w:rPr>
          <w:color w:val="000000" w:themeColor="text1"/>
          <w:szCs w:val="22"/>
        </w:rPr>
        <w:t xml:space="preserve"> as for</w:t>
      </w:r>
      <w:r w:rsidR="007D1191">
        <w:rPr>
          <w:color w:val="000000" w:themeColor="text1"/>
          <w:szCs w:val="22"/>
        </w:rPr>
        <w:t xml:space="preserve"> the currently listed </w:t>
      </w:r>
      <w:r w:rsidR="00281BE5">
        <w:rPr>
          <w:color w:val="000000" w:themeColor="text1"/>
          <w:szCs w:val="22"/>
        </w:rPr>
        <w:t>form</w:t>
      </w:r>
      <w:r w:rsidR="00FE03DE">
        <w:rPr>
          <w:color w:val="000000" w:themeColor="text1"/>
          <w:szCs w:val="22"/>
        </w:rPr>
        <w:t>s of</w:t>
      </w:r>
      <w:r w:rsidR="00281BE5">
        <w:rPr>
          <w:color w:val="000000" w:themeColor="text1"/>
          <w:szCs w:val="22"/>
        </w:rPr>
        <w:t xml:space="preserve"> </w:t>
      </w:r>
      <w:r w:rsidR="007D1191">
        <w:rPr>
          <w:color w:val="000000" w:themeColor="text1"/>
          <w:szCs w:val="22"/>
        </w:rPr>
        <w:t xml:space="preserve">epoprostenol sodium. The </w:t>
      </w:r>
      <w:r w:rsidR="00281BE5">
        <w:rPr>
          <w:color w:val="000000" w:themeColor="text1"/>
          <w:szCs w:val="22"/>
        </w:rPr>
        <w:t xml:space="preserve">PBAC also noted that the </w:t>
      </w:r>
      <w:r w:rsidR="007D1191">
        <w:rPr>
          <w:color w:val="000000" w:themeColor="text1"/>
          <w:szCs w:val="22"/>
        </w:rPr>
        <w:t xml:space="preserve">sponsor also </w:t>
      </w:r>
      <w:r w:rsidR="00281BE5">
        <w:rPr>
          <w:color w:val="000000" w:themeColor="text1"/>
          <w:szCs w:val="22"/>
        </w:rPr>
        <w:t xml:space="preserve">confirmed </w:t>
      </w:r>
      <w:r w:rsidR="006D49FB">
        <w:rPr>
          <w:color w:val="000000" w:themeColor="text1"/>
          <w:szCs w:val="22"/>
        </w:rPr>
        <w:t>that they will bear the cost of supplying the administration sets</w:t>
      </w:r>
      <w:r w:rsidR="00281BE5">
        <w:rPr>
          <w:color w:val="000000" w:themeColor="text1"/>
          <w:szCs w:val="22"/>
        </w:rPr>
        <w:t>, and patients will not face any additional costs as a result of this change</w:t>
      </w:r>
      <w:r w:rsidR="006D49FB">
        <w:rPr>
          <w:color w:val="000000" w:themeColor="text1"/>
          <w:szCs w:val="22"/>
        </w:rPr>
        <w:t xml:space="preserve">. </w:t>
      </w:r>
    </w:p>
    <w:p w:rsidR="00A76F12" w:rsidRDefault="00A76F12" w:rsidP="00A76F12">
      <w:pPr>
        <w:pStyle w:val="ListParagraph"/>
        <w:rPr>
          <w:color w:val="000000" w:themeColor="text1"/>
          <w:szCs w:val="22"/>
        </w:rPr>
      </w:pPr>
    </w:p>
    <w:p w:rsidR="00051B54" w:rsidRDefault="00A76F12" w:rsidP="00856728">
      <w:pPr>
        <w:pStyle w:val="ListParagraph"/>
        <w:jc w:val="left"/>
        <w:rPr>
          <w:i/>
          <w:szCs w:val="22"/>
        </w:rPr>
      </w:pPr>
      <w:r w:rsidRPr="005D35AA">
        <w:rPr>
          <w:i/>
          <w:szCs w:val="22"/>
        </w:rPr>
        <w:t>For more detail on PBAC’s view, see section 5 “PBAC outcome”</w:t>
      </w:r>
    </w:p>
    <w:p w:rsidR="00CA3B96" w:rsidRPr="00856728" w:rsidRDefault="00CA3B96" w:rsidP="00856728">
      <w:pPr>
        <w:pStyle w:val="ListParagraph"/>
        <w:jc w:val="left"/>
        <w:rPr>
          <w:i/>
          <w:szCs w:val="22"/>
        </w:rPr>
      </w:pPr>
    </w:p>
    <w:p w:rsidR="00051B54" w:rsidRDefault="00051B54" w:rsidP="00051B54">
      <w:pPr>
        <w:pStyle w:val="PBACHeading1"/>
      </w:pPr>
      <w:r>
        <w:t>PBAC Outcome</w:t>
      </w:r>
    </w:p>
    <w:p w:rsidR="00AA6527" w:rsidRDefault="00AA6527" w:rsidP="00AA6527"/>
    <w:p w:rsidR="00AA6527" w:rsidRPr="00DD75F4" w:rsidRDefault="00E411AA" w:rsidP="00AA6527">
      <w:pPr>
        <w:pStyle w:val="ListParagraph"/>
        <w:numPr>
          <w:ilvl w:val="1"/>
          <w:numId w:val="5"/>
        </w:numPr>
        <w:rPr>
          <w:color w:val="FF00FF"/>
          <w:szCs w:val="22"/>
        </w:rPr>
      </w:pPr>
      <w:r>
        <w:rPr>
          <w:color w:val="000000" w:themeColor="text1"/>
          <w:szCs w:val="22"/>
        </w:rPr>
        <w:t>The PBAC recommended the listing of epoprostenol</w:t>
      </w:r>
      <w:r w:rsidR="00281BE5">
        <w:rPr>
          <w:color w:val="000000" w:themeColor="text1"/>
          <w:szCs w:val="22"/>
        </w:rPr>
        <w:t xml:space="preserve"> sodium (Flolan)</w:t>
      </w:r>
      <w:r>
        <w:rPr>
          <w:color w:val="000000" w:themeColor="text1"/>
          <w:szCs w:val="22"/>
        </w:rPr>
        <w:t xml:space="preserve"> without the administration set</w:t>
      </w:r>
      <w:r w:rsidR="00281BE5">
        <w:rPr>
          <w:color w:val="000000" w:themeColor="text1"/>
          <w:szCs w:val="22"/>
        </w:rPr>
        <w:t xml:space="preserve">, as a new brand of the currently listed </w:t>
      </w:r>
      <w:r w:rsidR="00FE03DE">
        <w:rPr>
          <w:color w:val="000000" w:themeColor="text1"/>
          <w:szCs w:val="22"/>
        </w:rPr>
        <w:t xml:space="preserve">drug </w:t>
      </w:r>
      <w:r w:rsidR="00281BE5">
        <w:rPr>
          <w:color w:val="000000" w:themeColor="text1"/>
          <w:szCs w:val="22"/>
        </w:rPr>
        <w:t xml:space="preserve">epoprostenol </w:t>
      </w:r>
      <w:r w:rsidR="00FE03DE">
        <w:rPr>
          <w:color w:val="000000" w:themeColor="text1"/>
          <w:szCs w:val="22"/>
        </w:rPr>
        <w:t xml:space="preserve">with the same form as the </w:t>
      </w:r>
      <w:r w:rsidR="00281BE5">
        <w:rPr>
          <w:szCs w:val="22"/>
        </w:rPr>
        <w:t>Veletri</w:t>
      </w:r>
      <w:r w:rsidR="00281BE5" w:rsidRPr="005448DB">
        <w:rPr>
          <w:szCs w:val="22"/>
          <w:vertAlign w:val="superscript"/>
        </w:rPr>
        <w:t>®</w:t>
      </w:r>
      <w:r w:rsidR="00FE03DE">
        <w:rPr>
          <w:szCs w:val="22"/>
          <w:vertAlign w:val="superscript"/>
        </w:rPr>
        <w:t xml:space="preserve"> </w:t>
      </w:r>
      <w:r w:rsidR="00FE03DE">
        <w:rPr>
          <w:szCs w:val="22"/>
        </w:rPr>
        <w:t>brand</w:t>
      </w:r>
      <w:r w:rsidR="00B5261B">
        <w:rPr>
          <w:color w:val="000000" w:themeColor="text1"/>
          <w:szCs w:val="22"/>
        </w:rPr>
        <w:t xml:space="preserve">. The PBAC also noted the change to the diluent formulation of the </w:t>
      </w:r>
      <w:r w:rsidR="00FE03DE">
        <w:rPr>
          <w:color w:val="000000" w:themeColor="text1"/>
          <w:szCs w:val="22"/>
        </w:rPr>
        <w:t>Flolan brand</w:t>
      </w:r>
      <w:r w:rsidR="00281BE5">
        <w:rPr>
          <w:color w:val="000000" w:themeColor="text1"/>
          <w:szCs w:val="22"/>
        </w:rPr>
        <w:t xml:space="preserve"> and that this may offer some advantages in terms of reconstitution and storage during infusion</w:t>
      </w:r>
      <w:r w:rsidR="00B5261B">
        <w:rPr>
          <w:color w:val="000000" w:themeColor="text1"/>
          <w:szCs w:val="22"/>
        </w:rPr>
        <w:t xml:space="preserve">. </w:t>
      </w:r>
    </w:p>
    <w:p w:rsidR="00DD75F4" w:rsidRPr="00DD75F4" w:rsidRDefault="00DD75F4" w:rsidP="00DD75F4">
      <w:pPr>
        <w:pStyle w:val="ListParagraph"/>
        <w:rPr>
          <w:color w:val="FF00FF"/>
          <w:szCs w:val="22"/>
        </w:rPr>
      </w:pPr>
    </w:p>
    <w:p w:rsidR="00DD75F4" w:rsidRPr="005D35AA" w:rsidRDefault="00DD75F4" w:rsidP="00AA6527">
      <w:pPr>
        <w:pStyle w:val="ListParagraph"/>
        <w:numPr>
          <w:ilvl w:val="1"/>
          <w:numId w:val="5"/>
        </w:numPr>
        <w:rPr>
          <w:color w:val="FF00FF"/>
          <w:szCs w:val="22"/>
        </w:rPr>
      </w:pPr>
      <w:r>
        <w:rPr>
          <w:color w:val="000000" w:themeColor="text1"/>
          <w:szCs w:val="22"/>
        </w:rPr>
        <w:t xml:space="preserve">In making this recommendation, </w:t>
      </w:r>
      <w:r w:rsidR="005C085C">
        <w:rPr>
          <w:color w:val="000000" w:themeColor="text1"/>
          <w:szCs w:val="22"/>
        </w:rPr>
        <w:t xml:space="preserve">the PBAC noted that </w:t>
      </w:r>
      <w:r w:rsidR="00281BE5">
        <w:rPr>
          <w:color w:val="000000" w:themeColor="text1"/>
          <w:szCs w:val="22"/>
        </w:rPr>
        <w:t xml:space="preserve">although the administration set was being removed from the pack supplied through the PBS, </w:t>
      </w:r>
      <w:r w:rsidR="005C085C">
        <w:rPr>
          <w:color w:val="000000" w:themeColor="text1"/>
          <w:szCs w:val="22"/>
        </w:rPr>
        <w:t xml:space="preserve">the sponsor </w:t>
      </w:r>
      <w:r w:rsidR="00FE03DE">
        <w:rPr>
          <w:color w:val="000000" w:themeColor="text1"/>
          <w:szCs w:val="22"/>
        </w:rPr>
        <w:t xml:space="preserve">had provide an assurance it </w:t>
      </w:r>
      <w:r w:rsidR="005C085C">
        <w:rPr>
          <w:color w:val="000000" w:themeColor="text1"/>
          <w:szCs w:val="22"/>
        </w:rPr>
        <w:t xml:space="preserve">would continue to provide the administration sets through an alternative method of supply at no </w:t>
      </w:r>
      <w:r w:rsidR="00281BE5">
        <w:rPr>
          <w:color w:val="000000" w:themeColor="text1"/>
          <w:szCs w:val="22"/>
        </w:rPr>
        <w:t xml:space="preserve">additional </w:t>
      </w:r>
      <w:r w:rsidR="005C085C">
        <w:rPr>
          <w:color w:val="000000" w:themeColor="text1"/>
          <w:szCs w:val="22"/>
        </w:rPr>
        <w:t xml:space="preserve">cost to the patient. </w:t>
      </w:r>
    </w:p>
    <w:p w:rsidR="00281BE5" w:rsidRDefault="00281BE5" w:rsidP="005D35AA">
      <w:pPr>
        <w:pStyle w:val="ListParagraph"/>
        <w:rPr>
          <w:szCs w:val="22"/>
        </w:rPr>
      </w:pPr>
    </w:p>
    <w:p w:rsidR="00A45B7B" w:rsidRPr="00266417" w:rsidRDefault="00A45B7B" w:rsidP="005D35AA">
      <w:pPr>
        <w:pStyle w:val="ListParagraph"/>
        <w:rPr>
          <w:szCs w:val="22"/>
        </w:rPr>
      </w:pPr>
    </w:p>
    <w:p w:rsidR="00281BE5" w:rsidRPr="00266417" w:rsidRDefault="00281BE5" w:rsidP="00AA6527">
      <w:pPr>
        <w:pStyle w:val="ListParagraph"/>
        <w:numPr>
          <w:ilvl w:val="1"/>
          <w:numId w:val="5"/>
        </w:numPr>
        <w:rPr>
          <w:szCs w:val="22"/>
        </w:rPr>
      </w:pPr>
      <w:r w:rsidRPr="00266417">
        <w:rPr>
          <w:szCs w:val="22"/>
        </w:rPr>
        <w:lastRenderedPageBreak/>
        <w:t>The PBAC recommended that the existing brand equivalence arrangements should still apply.</w:t>
      </w:r>
    </w:p>
    <w:p w:rsidR="00AA6527" w:rsidRDefault="00AA6527" w:rsidP="00AA6527"/>
    <w:p w:rsidR="00051B54" w:rsidRDefault="00051B54" w:rsidP="00051B54"/>
    <w:p w:rsidR="00051B54" w:rsidRPr="00051B54" w:rsidRDefault="00051B54" w:rsidP="00051B54">
      <w:pPr>
        <w:jc w:val="both"/>
        <w:rPr>
          <w:rFonts w:ascii="Arial" w:hAnsi="Arial" w:cs="Arial"/>
          <w:b/>
          <w:bCs/>
          <w:snapToGrid w:val="0"/>
          <w:sz w:val="22"/>
          <w:szCs w:val="22"/>
          <w:lang w:val="en-GB" w:eastAsia="en-US"/>
        </w:rPr>
      </w:pPr>
      <w:r w:rsidRPr="00051B54">
        <w:rPr>
          <w:rFonts w:ascii="Arial" w:hAnsi="Arial" w:cs="Arial"/>
          <w:b/>
          <w:bCs/>
          <w:snapToGrid w:val="0"/>
          <w:sz w:val="22"/>
          <w:szCs w:val="22"/>
          <w:lang w:val="en-GB" w:eastAsia="en-US"/>
        </w:rPr>
        <w:t>Outcome:</w:t>
      </w:r>
    </w:p>
    <w:p w:rsidR="00051B54" w:rsidRDefault="00051B54" w:rsidP="00051B54">
      <w:pPr>
        <w:rPr>
          <w:rFonts w:ascii="Arial" w:hAnsi="Arial" w:cs="Arial"/>
          <w:sz w:val="22"/>
          <w:lang w:val="en-GB"/>
        </w:rPr>
      </w:pPr>
      <w:r w:rsidRPr="00051B54">
        <w:rPr>
          <w:rFonts w:ascii="Arial" w:hAnsi="Arial" w:cs="Arial"/>
          <w:sz w:val="22"/>
          <w:lang w:val="en-GB"/>
        </w:rPr>
        <w:t>Recommended</w:t>
      </w:r>
    </w:p>
    <w:p w:rsidR="00051B54" w:rsidRDefault="00051B54" w:rsidP="00051B54">
      <w:pPr>
        <w:rPr>
          <w:rFonts w:ascii="Arial" w:hAnsi="Arial" w:cs="Arial"/>
          <w:sz w:val="22"/>
          <w:lang w:val="en-GB"/>
        </w:rPr>
      </w:pPr>
    </w:p>
    <w:p w:rsidR="001706A7" w:rsidRDefault="001706A7">
      <w:pPr>
        <w:rPr>
          <w:rFonts w:ascii="Arial" w:hAnsi="Arial"/>
          <w:sz w:val="22"/>
          <w:szCs w:val="22"/>
        </w:rPr>
      </w:pPr>
    </w:p>
    <w:p w:rsidR="001706A7" w:rsidRDefault="001706A7" w:rsidP="001706A7">
      <w:pPr>
        <w:pStyle w:val="PBACHeading1"/>
      </w:pPr>
      <w:r>
        <w:t>Recommended listing</w:t>
      </w:r>
    </w:p>
    <w:p w:rsidR="00EA0B3B" w:rsidRPr="00EA0B3B" w:rsidRDefault="00BE7441" w:rsidP="00EA0B3B">
      <w:pPr>
        <w:ind w:left="720"/>
        <w:rPr>
          <w:rFonts w:ascii="Arial" w:hAnsi="Arial"/>
          <w:sz w:val="22"/>
          <w:szCs w:val="22"/>
        </w:rPr>
      </w:pPr>
      <w:r>
        <w:rPr>
          <w:rFonts w:ascii="Arial" w:hAnsi="Arial"/>
          <w:sz w:val="22"/>
          <w:szCs w:val="22"/>
        </w:rPr>
        <w:t>Add new item:</w:t>
      </w:r>
    </w:p>
    <w:p w:rsidR="005D35AA" w:rsidRPr="00EA0B3B" w:rsidRDefault="005D35AA" w:rsidP="00EA0B3B">
      <w:pPr>
        <w:rPr>
          <w:rFonts w:ascii="Calibri" w:hAnsi="Calibri" w:cs="Calibri"/>
        </w:rPr>
      </w:pPr>
    </w:p>
    <w:tbl>
      <w:tblPr>
        <w:tblW w:w="8348" w:type="dxa"/>
        <w:tblInd w:w="817" w:type="dxa"/>
        <w:tblLayout w:type="fixed"/>
        <w:tblLook w:val="0000" w:firstRow="0" w:lastRow="0" w:firstColumn="0" w:lastColumn="0" w:noHBand="0" w:noVBand="0"/>
      </w:tblPr>
      <w:tblGrid>
        <w:gridCol w:w="1981"/>
        <w:gridCol w:w="1132"/>
        <w:gridCol w:w="848"/>
        <w:gridCol w:w="708"/>
        <w:gridCol w:w="1274"/>
        <w:gridCol w:w="2405"/>
      </w:tblGrid>
      <w:tr w:rsidR="00C07955" w:rsidRPr="0039782C" w:rsidTr="002437C5">
        <w:trPr>
          <w:trHeight w:val="98"/>
        </w:trPr>
        <w:tc>
          <w:tcPr>
            <w:tcW w:w="3113" w:type="dxa"/>
            <w:gridSpan w:val="2"/>
            <w:tcBorders>
              <w:bottom w:val="single" w:sz="4" w:space="0" w:color="auto"/>
            </w:tcBorders>
          </w:tcPr>
          <w:p w:rsidR="00C07955" w:rsidRPr="0039782C" w:rsidRDefault="00C07955" w:rsidP="00EA0B3B">
            <w:pPr>
              <w:widowControl w:val="0"/>
              <w:ind w:left="-108"/>
              <w:jc w:val="both"/>
              <w:rPr>
                <w:rFonts w:ascii="Arial Narrow" w:hAnsi="Arial Narrow" w:cs="Arial"/>
                <w:b/>
                <w:sz w:val="20"/>
                <w:szCs w:val="20"/>
              </w:rPr>
            </w:pPr>
            <w:r w:rsidRPr="0039782C">
              <w:rPr>
                <w:rFonts w:ascii="Arial Narrow" w:hAnsi="Arial Narrow" w:cs="Arial"/>
                <w:b/>
                <w:sz w:val="20"/>
                <w:szCs w:val="20"/>
              </w:rPr>
              <w:t>Name, Restriction,</w:t>
            </w:r>
          </w:p>
          <w:p w:rsidR="00C07955" w:rsidRPr="0039782C" w:rsidRDefault="00C07955" w:rsidP="00EA0B3B">
            <w:pPr>
              <w:widowControl w:val="0"/>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48" w:type="dxa"/>
            <w:tcBorders>
              <w:bottom w:val="single" w:sz="4" w:space="0" w:color="auto"/>
            </w:tcBorders>
          </w:tcPr>
          <w:p w:rsidR="00C07955" w:rsidRPr="0039782C" w:rsidRDefault="00C07955" w:rsidP="00EA0B3B">
            <w:pPr>
              <w:widowControl w:val="0"/>
              <w:ind w:left="-108"/>
              <w:jc w:val="both"/>
              <w:rPr>
                <w:rFonts w:ascii="Arial Narrow" w:hAnsi="Arial Narrow" w:cs="Arial"/>
                <w:b/>
                <w:sz w:val="20"/>
                <w:szCs w:val="20"/>
              </w:rPr>
            </w:pPr>
            <w:r w:rsidRPr="0039782C">
              <w:rPr>
                <w:rFonts w:ascii="Arial Narrow" w:hAnsi="Arial Narrow" w:cs="Arial"/>
                <w:b/>
                <w:sz w:val="20"/>
                <w:szCs w:val="20"/>
              </w:rPr>
              <w:t>Max.</w:t>
            </w:r>
          </w:p>
          <w:p w:rsidR="00C07955" w:rsidRPr="0039782C" w:rsidRDefault="00C07955" w:rsidP="00EA0B3B">
            <w:pPr>
              <w:widowControl w:val="0"/>
              <w:ind w:left="-108"/>
              <w:jc w:val="both"/>
              <w:rPr>
                <w:rFonts w:ascii="Arial Narrow" w:hAnsi="Arial Narrow" w:cs="Arial"/>
                <w:b/>
                <w:sz w:val="20"/>
                <w:szCs w:val="20"/>
              </w:rPr>
            </w:pPr>
            <w:r w:rsidRPr="0039782C">
              <w:rPr>
                <w:rFonts w:ascii="Arial Narrow" w:hAnsi="Arial Narrow" w:cs="Arial"/>
                <w:b/>
                <w:sz w:val="20"/>
                <w:szCs w:val="20"/>
              </w:rPr>
              <w:t>Qty</w:t>
            </w:r>
          </w:p>
        </w:tc>
        <w:tc>
          <w:tcPr>
            <w:tcW w:w="708" w:type="dxa"/>
            <w:tcBorders>
              <w:bottom w:val="single" w:sz="4" w:space="0" w:color="auto"/>
            </w:tcBorders>
          </w:tcPr>
          <w:p w:rsidR="00C07955" w:rsidRPr="0039782C" w:rsidRDefault="00C07955" w:rsidP="00EA0B3B">
            <w:pPr>
              <w:widowControl w:val="0"/>
              <w:ind w:left="-108"/>
              <w:jc w:val="both"/>
              <w:rPr>
                <w:rFonts w:ascii="Arial Narrow" w:hAnsi="Arial Narrow" w:cs="Arial"/>
                <w:b/>
                <w:sz w:val="20"/>
                <w:szCs w:val="20"/>
              </w:rPr>
            </w:pPr>
            <w:r w:rsidRPr="0039782C">
              <w:rPr>
                <w:rFonts w:ascii="Arial Narrow" w:hAnsi="Arial Narrow" w:cs="Arial"/>
                <w:b/>
                <w:sz w:val="20"/>
                <w:szCs w:val="20"/>
              </w:rPr>
              <w:t>№.of</w:t>
            </w:r>
          </w:p>
          <w:p w:rsidR="00C07955" w:rsidRPr="0039782C" w:rsidRDefault="00C07955" w:rsidP="00EA0B3B">
            <w:pPr>
              <w:widowControl w:val="0"/>
              <w:ind w:left="-108"/>
              <w:jc w:val="both"/>
              <w:rPr>
                <w:rFonts w:ascii="Arial Narrow" w:hAnsi="Arial Narrow" w:cs="Arial"/>
                <w:b/>
                <w:sz w:val="20"/>
                <w:szCs w:val="20"/>
              </w:rPr>
            </w:pPr>
            <w:r w:rsidRPr="0039782C">
              <w:rPr>
                <w:rFonts w:ascii="Arial Narrow" w:hAnsi="Arial Narrow" w:cs="Arial"/>
                <w:b/>
                <w:sz w:val="20"/>
                <w:szCs w:val="20"/>
              </w:rPr>
              <w:t>Rpts</w:t>
            </w:r>
          </w:p>
        </w:tc>
        <w:tc>
          <w:tcPr>
            <w:tcW w:w="3679" w:type="dxa"/>
            <w:gridSpan w:val="2"/>
            <w:tcBorders>
              <w:bottom w:val="single" w:sz="4" w:space="0" w:color="auto"/>
            </w:tcBorders>
          </w:tcPr>
          <w:p w:rsidR="00C07955" w:rsidRPr="0039782C" w:rsidRDefault="00C07955" w:rsidP="00EA0B3B">
            <w:pPr>
              <w:widowControl w:val="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C07955" w:rsidRPr="00260CE3" w:rsidTr="002437C5">
        <w:trPr>
          <w:trHeight w:val="120"/>
        </w:trPr>
        <w:tc>
          <w:tcPr>
            <w:tcW w:w="3113" w:type="dxa"/>
            <w:gridSpan w:val="2"/>
          </w:tcPr>
          <w:p w:rsidR="00C07955" w:rsidRPr="00260CE3" w:rsidRDefault="00C07955" w:rsidP="00EA0B3B">
            <w:pPr>
              <w:widowControl w:val="0"/>
              <w:ind w:left="-108"/>
              <w:jc w:val="both"/>
              <w:rPr>
                <w:rFonts w:ascii="Arial Narrow" w:hAnsi="Arial Narrow" w:cs="Arial"/>
                <w:sz w:val="20"/>
                <w:szCs w:val="20"/>
              </w:rPr>
            </w:pPr>
            <w:r>
              <w:rPr>
                <w:rFonts w:ascii="Arial Narrow" w:hAnsi="Arial Narrow" w:cs="Arial"/>
                <w:smallCaps/>
                <w:sz w:val="20"/>
                <w:szCs w:val="20"/>
              </w:rPr>
              <w:t>EPOPROSTENOL</w:t>
            </w:r>
          </w:p>
          <w:p w:rsidR="00C07955" w:rsidRDefault="00C07955" w:rsidP="00EA0B3B">
            <w:pPr>
              <w:widowControl w:val="0"/>
              <w:ind w:left="-108"/>
              <w:jc w:val="both"/>
              <w:rPr>
                <w:rFonts w:ascii="Arial Narrow" w:hAnsi="Arial Narrow" w:cs="Arial"/>
                <w:sz w:val="20"/>
                <w:szCs w:val="20"/>
              </w:rPr>
            </w:pPr>
            <w:r w:rsidRPr="0039008E">
              <w:rPr>
                <w:rFonts w:ascii="Arial Narrow" w:hAnsi="Arial Narrow" w:cs="Arial"/>
                <w:sz w:val="20"/>
                <w:szCs w:val="20"/>
              </w:rPr>
              <w:t xml:space="preserve">epoprostenol 500 microgram injection </w:t>
            </w:r>
          </w:p>
          <w:p w:rsidR="00C07955" w:rsidRDefault="00C07955" w:rsidP="00EA0B3B">
            <w:pPr>
              <w:widowControl w:val="0"/>
              <w:ind w:left="-108"/>
              <w:jc w:val="both"/>
              <w:rPr>
                <w:rFonts w:ascii="Arial Narrow" w:hAnsi="Arial Narrow" w:cs="Arial"/>
                <w:sz w:val="20"/>
                <w:szCs w:val="20"/>
              </w:rPr>
            </w:pPr>
            <w:r w:rsidRPr="0039008E">
              <w:rPr>
                <w:rFonts w:ascii="Arial Narrow" w:hAnsi="Arial Narrow" w:cs="Arial"/>
                <w:sz w:val="20"/>
                <w:szCs w:val="20"/>
              </w:rPr>
              <w:t xml:space="preserve">[1 vial] (&amp;) inert substance diluent </w:t>
            </w:r>
          </w:p>
          <w:p w:rsidR="00C07955" w:rsidRPr="00260CE3" w:rsidRDefault="00C07955" w:rsidP="00EA0B3B">
            <w:pPr>
              <w:widowControl w:val="0"/>
              <w:ind w:left="-108"/>
              <w:jc w:val="both"/>
              <w:rPr>
                <w:rFonts w:ascii="Arial Narrow" w:hAnsi="Arial Narrow" w:cs="Arial"/>
                <w:sz w:val="20"/>
                <w:szCs w:val="20"/>
              </w:rPr>
            </w:pPr>
            <w:r>
              <w:rPr>
                <w:rFonts w:ascii="Arial Narrow" w:hAnsi="Arial Narrow" w:cs="Arial"/>
                <w:sz w:val="20"/>
                <w:szCs w:val="20"/>
              </w:rPr>
              <w:t xml:space="preserve">[2 x 50 mL </w:t>
            </w:r>
            <w:r w:rsidRPr="0039008E">
              <w:rPr>
                <w:rFonts w:ascii="Arial Narrow" w:hAnsi="Arial Narrow" w:cs="Arial"/>
                <w:sz w:val="20"/>
                <w:szCs w:val="20"/>
              </w:rPr>
              <w:t>vials], 1 pack</w:t>
            </w:r>
          </w:p>
        </w:tc>
        <w:tc>
          <w:tcPr>
            <w:tcW w:w="848" w:type="dxa"/>
          </w:tcPr>
          <w:p w:rsidR="00C07955" w:rsidRPr="00260CE3" w:rsidRDefault="00C07955" w:rsidP="00EA0B3B">
            <w:pPr>
              <w:widowControl w:val="0"/>
              <w:ind w:left="-108"/>
              <w:jc w:val="both"/>
              <w:rPr>
                <w:rFonts w:ascii="Arial Narrow" w:hAnsi="Arial Narrow" w:cs="Arial"/>
                <w:sz w:val="20"/>
                <w:szCs w:val="20"/>
              </w:rPr>
            </w:pPr>
          </w:p>
          <w:p w:rsidR="00C07955" w:rsidRPr="00260CE3" w:rsidRDefault="00C07955" w:rsidP="00EA0B3B">
            <w:pPr>
              <w:widowControl w:val="0"/>
              <w:ind w:left="-108"/>
              <w:jc w:val="both"/>
              <w:rPr>
                <w:rFonts w:ascii="Arial Narrow" w:hAnsi="Arial Narrow" w:cs="Arial"/>
                <w:sz w:val="20"/>
                <w:szCs w:val="20"/>
              </w:rPr>
            </w:pPr>
            <w:r>
              <w:rPr>
                <w:rFonts w:ascii="Arial Narrow" w:hAnsi="Arial Narrow" w:cs="Arial"/>
                <w:sz w:val="20"/>
                <w:szCs w:val="20"/>
              </w:rPr>
              <w:t>1</w:t>
            </w:r>
          </w:p>
        </w:tc>
        <w:tc>
          <w:tcPr>
            <w:tcW w:w="708" w:type="dxa"/>
          </w:tcPr>
          <w:p w:rsidR="00C07955" w:rsidRPr="00260CE3" w:rsidRDefault="00C07955" w:rsidP="00EA0B3B">
            <w:pPr>
              <w:widowControl w:val="0"/>
              <w:ind w:left="-108"/>
              <w:jc w:val="both"/>
              <w:rPr>
                <w:rFonts w:ascii="Arial Narrow" w:hAnsi="Arial Narrow" w:cs="Arial"/>
                <w:sz w:val="20"/>
                <w:szCs w:val="20"/>
              </w:rPr>
            </w:pPr>
          </w:p>
          <w:p w:rsidR="00C07955" w:rsidRPr="00260CE3" w:rsidRDefault="00C07955" w:rsidP="00EA0B3B">
            <w:pPr>
              <w:widowControl w:val="0"/>
              <w:ind w:left="-108"/>
              <w:jc w:val="both"/>
              <w:rPr>
                <w:rFonts w:ascii="Arial Narrow" w:hAnsi="Arial Narrow" w:cs="Arial"/>
                <w:sz w:val="20"/>
                <w:szCs w:val="20"/>
              </w:rPr>
            </w:pPr>
            <w:r>
              <w:rPr>
                <w:rFonts w:ascii="Arial Narrow" w:hAnsi="Arial Narrow" w:cs="Arial"/>
                <w:sz w:val="20"/>
                <w:szCs w:val="20"/>
              </w:rPr>
              <w:t>1</w:t>
            </w:r>
          </w:p>
        </w:tc>
        <w:tc>
          <w:tcPr>
            <w:tcW w:w="1274" w:type="dxa"/>
          </w:tcPr>
          <w:p w:rsidR="00C07955" w:rsidRPr="00260CE3" w:rsidRDefault="00C07955" w:rsidP="00EA0B3B">
            <w:pPr>
              <w:widowControl w:val="0"/>
              <w:ind w:left="-108"/>
              <w:jc w:val="both"/>
              <w:rPr>
                <w:rFonts w:ascii="Arial Narrow" w:hAnsi="Arial Narrow" w:cs="Arial"/>
                <w:sz w:val="20"/>
                <w:szCs w:val="20"/>
              </w:rPr>
            </w:pPr>
          </w:p>
          <w:p w:rsidR="00C07955" w:rsidRPr="00260CE3" w:rsidRDefault="00C07955" w:rsidP="00EA0B3B">
            <w:pPr>
              <w:widowControl w:val="0"/>
              <w:ind w:left="-108"/>
              <w:jc w:val="both"/>
              <w:rPr>
                <w:rFonts w:ascii="Arial Narrow" w:hAnsi="Arial Narrow" w:cs="Arial"/>
                <w:sz w:val="20"/>
                <w:szCs w:val="20"/>
              </w:rPr>
            </w:pPr>
            <w:r w:rsidRPr="00E62763">
              <w:rPr>
                <w:rFonts w:ascii="Arial Narrow" w:hAnsi="Arial Narrow" w:cs="Arial"/>
                <w:sz w:val="20"/>
                <w:szCs w:val="20"/>
              </w:rPr>
              <w:t>Flolan®</w:t>
            </w:r>
          </w:p>
        </w:tc>
        <w:tc>
          <w:tcPr>
            <w:tcW w:w="2405" w:type="dxa"/>
          </w:tcPr>
          <w:p w:rsidR="00C07955" w:rsidRDefault="00C07955" w:rsidP="00EA0B3B">
            <w:pPr>
              <w:widowControl w:val="0"/>
              <w:jc w:val="both"/>
              <w:rPr>
                <w:rFonts w:ascii="Arial Narrow" w:hAnsi="Arial Narrow" w:cs="Arial"/>
                <w:sz w:val="20"/>
                <w:szCs w:val="20"/>
              </w:rPr>
            </w:pPr>
          </w:p>
          <w:p w:rsidR="00C07955" w:rsidRPr="00260CE3" w:rsidRDefault="00C07955" w:rsidP="00EA0B3B">
            <w:pPr>
              <w:widowControl w:val="0"/>
              <w:jc w:val="both"/>
              <w:rPr>
                <w:rFonts w:ascii="Arial Narrow" w:hAnsi="Arial Narrow" w:cs="Arial"/>
                <w:sz w:val="20"/>
                <w:szCs w:val="20"/>
              </w:rPr>
            </w:pPr>
            <w:r>
              <w:rPr>
                <w:rFonts w:ascii="Arial Narrow" w:hAnsi="Arial Narrow" w:cs="Arial"/>
                <w:sz w:val="20"/>
                <w:szCs w:val="20"/>
              </w:rPr>
              <w:t>GlaxoSmithKline Australia Pty Ltd</w:t>
            </w:r>
          </w:p>
        </w:tc>
      </w:tr>
      <w:tr w:rsidR="00C07955" w:rsidRPr="00260CE3" w:rsidTr="002437C5">
        <w:trPr>
          <w:trHeight w:val="75"/>
        </w:trPr>
        <w:tc>
          <w:tcPr>
            <w:tcW w:w="8348" w:type="dxa"/>
            <w:gridSpan w:val="6"/>
            <w:tcBorders>
              <w:bottom w:val="single" w:sz="4" w:space="0" w:color="auto"/>
            </w:tcBorders>
          </w:tcPr>
          <w:p w:rsidR="00C07955" w:rsidRPr="00260CE3" w:rsidRDefault="00C07955" w:rsidP="00EA0B3B">
            <w:pPr>
              <w:widowControl w:val="0"/>
              <w:jc w:val="both"/>
              <w:rPr>
                <w:rFonts w:ascii="Arial Narrow" w:hAnsi="Arial Narrow" w:cs="Arial"/>
                <w:sz w:val="20"/>
                <w:szCs w:val="20"/>
              </w:rPr>
            </w:pPr>
          </w:p>
        </w:tc>
      </w:tr>
      <w:tr w:rsidR="00C07955" w:rsidRPr="00260CE3" w:rsidTr="002437C5">
        <w:trPr>
          <w:trHeight w:val="75"/>
        </w:trPr>
        <w:tc>
          <w:tcPr>
            <w:tcW w:w="1981" w:type="dxa"/>
            <w:tcBorders>
              <w:top w:val="single" w:sz="4" w:space="0" w:color="auto"/>
              <w:left w:val="single" w:sz="4" w:space="0" w:color="auto"/>
              <w:bottom w:val="single" w:sz="4" w:space="0" w:color="auto"/>
              <w:right w:val="single" w:sz="4" w:space="0" w:color="auto"/>
            </w:tcBorders>
          </w:tcPr>
          <w:p w:rsidR="00C07955" w:rsidRPr="00260CE3" w:rsidRDefault="00C07955" w:rsidP="00EA0B3B">
            <w:pPr>
              <w:widowControl w:val="0"/>
              <w:jc w:val="both"/>
              <w:rPr>
                <w:rFonts w:ascii="Arial Narrow" w:hAnsi="Arial Narrow" w:cs="Arial"/>
                <w:b/>
                <w:sz w:val="20"/>
                <w:szCs w:val="20"/>
              </w:rPr>
            </w:pPr>
            <w:r w:rsidRPr="00260CE3">
              <w:rPr>
                <w:rFonts w:ascii="Arial Narrow" w:hAnsi="Arial Narrow" w:cs="Arial"/>
                <w:b/>
                <w:sz w:val="20"/>
                <w:szCs w:val="20"/>
              </w:rPr>
              <w:t xml:space="preserve">Category / </w:t>
            </w:r>
          </w:p>
          <w:p w:rsidR="00C07955" w:rsidRPr="00260CE3" w:rsidRDefault="00C07955" w:rsidP="00EA0B3B">
            <w:pPr>
              <w:widowControl w:val="0"/>
              <w:jc w:val="both"/>
              <w:rPr>
                <w:rFonts w:ascii="Arial Narrow" w:hAnsi="Arial Narrow" w:cs="Arial"/>
                <w:b/>
                <w:sz w:val="20"/>
                <w:szCs w:val="20"/>
              </w:rPr>
            </w:pPr>
            <w:r w:rsidRPr="00260CE3">
              <w:rPr>
                <w:rFonts w:ascii="Arial Narrow" w:hAnsi="Arial Narrow" w:cs="Arial"/>
                <w:b/>
                <w:sz w:val="20"/>
                <w:szCs w:val="20"/>
              </w:rPr>
              <w:t>Program</w:t>
            </w:r>
          </w:p>
        </w:tc>
        <w:tc>
          <w:tcPr>
            <w:tcW w:w="6367" w:type="dxa"/>
            <w:gridSpan w:val="5"/>
            <w:tcBorders>
              <w:top w:val="single" w:sz="4" w:space="0" w:color="auto"/>
              <w:left w:val="single" w:sz="4" w:space="0" w:color="auto"/>
              <w:bottom w:val="single" w:sz="4" w:space="0" w:color="auto"/>
              <w:right w:val="single" w:sz="4" w:space="0" w:color="auto"/>
            </w:tcBorders>
          </w:tcPr>
          <w:p w:rsidR="00C07955" w:rsidRPr="00260CE3" w:rsidRDefault="00C07955" w:rsidP="00EA0B3B">
            <w:pPr>
              <w:widowControl w:val="0"/>
              <w:rPr>
                <w:rFonts w:ascii="Arial Narrow" w:hAnsi="Arial Narrow" w:cs="Arial"/>
                <w:sz w:val="20"/>
                <w:szCs w:val="20"/>
              </w:rPr>
            </w:pPr>
            <w:r w:rsidRPr="00260CE3">
              <w:rPr>
                <w:rFonts w:ascii="Arial Narrow" w:hAnsi="Arial Narrow" w:cs="Arial"/>
                <w:sz w:val="20"/>
                <w:szCs w:val="20"/>
              </w:rPr>
              <w:t>Section 100 – Highly Specialised Drugs Program</w:t>
            </w:r>
          </w:p>
          <w:p w:rsidR="00C07955" w:rsidRPr="00260CE3" w:rsidRDefault="00C07955" w:rsidP="00EA0B3B">
            <w:pPr>
              <w:widowControl w:val="0"/>
              <w:rPr>
                <w:rFonts w:ascii="Arial Narrow" w:hAnsi="Arial Narrow" w:cs="Arial"/>
                <w:sz w:val="20"/>
                <w:szCs w:val="20"/>
              </w:rPr>
            </w:pPr>
          </w:p>
        </w:tc>
      </w:tr>
      <w:tr w:rsidR="00C07955" w:rsidRPr="00260CE3" w:rsidTr="002437C5">
        <w:trPr>
          <w:trHeight w:val="75"/>
        </w:trPr>
        <w:tc>
          <w:tcPr>
            <w:tcW w:w="1981" w:type="dxa"/>
            <w:tcBorders>
              <w:top w:val="single" w:sz="4" w:space="0" w:color="auto"/>
              <w:left w:val="single" w:sz="4" w:space="0" w:color="auto"/>
              <w:bottom w:val="single" w:sz="4" w:space="0" w:color="auto"/>
              <w:right w:val="single" w:sz="4" w:space="0" w:color="auto"/>
            </w:tcBorders>
          </w:tcPr>
          <w:p w:rsidR="00C07955" w:rsidRPr="00260CE3" w:rsidRDefault="00C07955" w:rsidP="00EA0B3B">
            <w:pPr>
              <w:widowControl w:val="0"/>
              <w:jc w:val="both"/>
              <w:rPr>
                <w:rFonts w:ascii="Arial Narrow" w:hAnsi="Arial Narrow" w:cs="Arial"/>
                <w:b/>
                <w:sz w:val="20"/>
                <w:szCs w:val="20"/>
              </w:rPr>
            </w:pPr>
            <w:r w:rsidRPr="00260CE3">
              <w:rPr>
                <w:rFonts w:ascii="Arial Narrow" w:hAnsi="Arial Narrow" w:cs="Arial"/>
                <w:b/>
                <w:sz w:val="20"/>
                <w:szCs w:val="20"/>
              </w:rPr>
              <w:t>Prescriber type:</w:t>
            </w:r>
          </w:p>
        </w:tc>
        <w:tc>
          <w:tcPr>
            <w:tcW w:w="6367" w:type="dxa"/>
            <w:gridSpan w:val="5"/>
            <w:tcBorders>
              <w:top w:val="single" w:sz="4" w:space="0" w:color="auto"/>
              <w:left w:val="single" w:sz="4" w:space="0" w:color="auto"/>
              <w:bottom w:val="single" w:sz="4" w:space="0" w:color="auto"/>
              <w:right w:val="single" w:sz="4" w:space="0" w:color="auto"/>
            </w:tcBorders>
          </w:tcPr>
          <w:p w:rsidR="00C07955" w:rsidRPr="00260CE3" w:rsidRDefault="00C07955" w:rsidP="00EA0B3B">
            <w:pPr>
              <w:widowControl w:val="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DB7DF6">
              <w:rPr>
                <w:rFonts w:ascii="Arial Narrow" w:hAnsi="Arial Narrow" w:cs="Arial"/>
                <w:sz w:val="20"/>
                <w:szCs w:val="20"/>
              </w:rPr>
              <w:fldChar w:fldCharType="begin">
                <w:ffData>
                  <w:name w:val=""/>
                  <w:enabled/>
                  <w:calcOnExit w:val="0"/>
                  <w:checkBox>
                    <w:sizeAuto/>
                    <w:default w:val="1"/>
                  </w:checkBox>
                </w:ffData>
              </w:fldChar>
            </w:r>
            <w:r w:rsidR="00DB7DF6">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00DB7DF6">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C07955" w:rsidRPr="00260CE3" w:rsidRDefault="00C07955" w:rsidP="00EA0B3B">
            <w:pPr>
              <w:widowControl w:val="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C07955" w:rsidRPr="00260CE3" w:rsidTr="002437C5">
        <w:trPr>
          <w:trHeight w:val="75"/>
        </w:trPr>
        <w:tc>
          <w:tcPr>
            <w:tcW w:w="1981" w:type="dxa"/>
            <w:tcBorders>
              <w:top w:val="single" w:sz="4" w:space="0" w:color="auto"/>
              <w:left w:val="single" w:sz="4" w:space="0" w:color="auto"/>
              <w:bottom w:val="single" w:sz="4" w:space="0" w:color="auto"/>
              <w:right w:val="single" w:sz="4" w:space="0" w:color="auto"/>
            </w:tcBorders>
          </w:tcPr>
          <w:p w:rsidR="00C07955" w:rsidRPr="00260CE3" w:rsidRDefault="00C07955" w:rsidP="00EA0B3B">
            <w:pPr>
              <w:widowControl w:val="0"/>
              <w:jc w:val="both"/>
              <w:rPr>
                <w:rFonts w:ascii="Arial Narrow" w:hAnsi="Arial Narrow" w:cs="Arial"/>
                <w:b/>
                <w:sz w:val="20"/>
                <w:szCs w:val="20"/>
              </w:rPr>
            </w:pPr>
            <w:r w:rsidRPr="00260CE3">
              <w:rPr>
                <w:rFonts w:ascii="Arial Narrow" w:hAnsi="Arial Narrow" w:cs="Arial"/>
                <w:b/>
                <w:sz w:val="20"/>
                <w:szCs w:val="20"/>
              </w:rPr>
              <w:t>PBS Indication:</w:t>
            </w:r>
          </w:p>
        </w:tc>
        <w:tc>
          <w:tcPr>
            <w:tcW w:w="6367" w:type="dxa"/>
            <w:gridSpan w:val="5"/>
            <w:tcBorders>
              <w:top w:val="single" w:sz="4" w:space="0" w:color="auto"/>
              <w:left w:val="single" w:sz="4" w:space="0" w:color="auto"/>
              <w:bottom w:val="single" w:sz="4" w:space="0" w:color="auto"/>
              <w:right w:val="single" w:sz="4" w:space="0" w:color="auto"/>
            </w:tcBorders>
          </w:tcPr>
          <w:p w:rsidR="00C07955" w:rsidRPr="00260CE3" w:rsidRDefault="000B7B05" w:rsidP="00EA0B3B">
            <w:pPr>
              <w:widowControl w:val="0"/>
              <w:rPr>
                <w:rFonts w:ascii="Arial Narrow" w:hAnsi="Arial Narrow" w:cs="Arial"/>
                <w:sz w:val="20"/>
                <w:szCs w:val="20"/>
              </w:rPr>
            </w:pPr>
            <w:r>
              <w:rPr>
                <w:rFonts w:ascii="Arial Narrow" w:hAnsi="Arial Narrow" w:cs="Arial"/>
                <w:sz w:val="20"/>
                <w:szCs w:val="20"/>
              </w:rPr>
              <w:t>Pulmonary arterial hypertension (PAH)</w:t>
            </w:r>
          </w:p>
        </w:tc>
      </w:tr>
      <w:tr w:rsidR="00C07955" w:rsidRPr="00260CE3" w:rsidTr="002437C5">
        <w:trPr>
          <w:trHeight w:val="75"/>
        </w:trPr>
        <w:tc>
          <w:tcPr>
            <w:tcW w:w="1981" w:type="dxa"/>
            <w:tcBorders>
              <w:top w:val="single" w:sz="4" w:space="0" w:color="auto"/>
              <w:left w:val="single" w:sz="4" w:space="0" w:color="auto"/>
              <w:bottom w:val="single" w:sz="4" w:space="0" w:color="auto"/>
              <w:right w:val="single" w:sz="4" w:space="0" w:color="auto"/>
            </w:tcBorders>
          </w:tcPr>
          <w:p w:rsidR="00C07955" w:rsidRPr="000B7B05" w:rsidRDefault="00C07955" w:rsidP="00EA0B3B">
            <w:pPr>
              <w:widowControl w:val="0"/>
              <w:jc w:val="both"/>
              <w:rPr>
                <w:rFonts w:ascii="Arial Narrow" w:hAnsi="Arial Narrow" w:cs="Arial"/>
                <w:b/>
                <w:sz w:val="20"/>
                <w:szCs w:val="20"/>
              </w:rPr>
            </w:pPr>
            <w:r w:rsidRPr="00260CE3">
              <w:rPr>
                <w:rFonts w:ascii="Arial Narrow" w:hAnsi="Arial Narrow" w:cs="Arial"/>
                <w:b/>
                <w:sz w:val="20"/>
                <w:szCs w:val="20"/>
              </w:rPr>
              <w:t>Treatment phase:</w:t>
            </w:r>
          </w:p>
        </w:tc>
        <w:tc>
          <w:tcPr>
            <w:tcW w:w="6367" w:type="dxa"/>
            <w:gridSpan w:val="5"/>
            <w:tcBorders>
              <w:top w:val="single" w:sz="4" w:space="0" w:color="auto"/>
              <w:left w:val="single" w:sz="4" w:space="0" w:color="auto"/>
              <w:bottom w:val="single" w:sz="4" w:space="0" w:color="auto"/>
              <w:right w:val="single" w:sz="4" w:space="0" w:color="auto"/>
            </w:tcBorders>
          </w:tcPr>
          <w:p w:rsidR="00C07955" w:rsidRPr="00260CE3" w:rsidRDefault="000B7B05" w:rsidP="00EA0B3B">
            <w:pPr>
              <w:widowControl w:val="0"/>
              <w:rPr>
                <w:rFonts w:ascii="Arial Narrow" w:hAnsi="Arial Narrow" w:cs="Arial"/>
                <w:sz w:val="20"/>
                <w:szCs w:val="20"/>
              </w:rPr>
            </w:pPr>
            <w:r>
              <w:rPr>
                <w:rFonts w:ascii="Arial Narrow" w:hAnsi="Arial Narrow" w:cs="Arial"/>
                <w:sz w:val="20"/>
                <w:szCs w:val="20"/>
              </w:rPr>
              <w:t xml:space="preserve">Initial 1 (new patients) </w:t>
            </w:r>
          </w:p>
        </w:tc>
      </w:tr>
      <w:tr w:rsidR="00C07955" w:rsidRPr="00260CE3" w:rsidTr="002437C5">
        <w:trPr>
          <w:trHeight w:val="75"/>
        </w:trPr>
        <w:tc>
          <w:tcPr>
            <w:tcW w:w="1981" w:type="dxa"/>
            <w:tcBorders>
              <w:top w:val="single" w:sz="4" w:space="0" w:color="auto"/>
              <w:left w:val="single" w:sz="4" w:space="0" w:color="auto"/>
              <w:bottom w:val="single" w:sz="4" w:space="0" w:color="auto"/>
              <w:right w:val="single" w:sz="4" w:space="0" w:color="auto"/>
            </w:tcBorders>
          </w:tcPr>
          <w:p w:rsidR="00C07955" w:rsidRPr="00260CE3" w:rsidRDefault="00C07955" w:rsidP="00EA0B3B">
            <w:pPr>
              <w:widowControl w:val="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C07955" w:rsidRPr="00260CE3" w:rsidRDefault="00C07955" w:rsidP="00EA0B3B">
            <w:pPr>
              <w:widowControl w:val="0"/>
              <w:rPr>
                <w:rFonts w:ascii="Arial Narrow" w:hAnsi="Arial Narrow" w:cs="Arial"/>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C07955" w:rsidRPr="00106BCF" w:rsidRDefault="00C07955" w:rsidP="00EA0B3B">
            <w:pPr>
              <w:widowControl w:val="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C07955" w:rsidRPr="00106BCF" w:rsidRDefault="000B7B05" w:rsidP="00EA0B3B">
            <w:pPr>
              <w:widowControl w:val="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Pr>
                <w:rFonts w:ascii="Arial Narrow" w:hAnsi="Arial Narrow" w:cs="Arial"/>
                <w:sz w:val="20"/>
                <w:szCs w:val="20"/>
              </w:rPr>
              <w:fldChar w:fldCharType="end"/>
            </w:r>
            <w:r w:rsidR="00C07955" w:rsidRPr="00106BCF">
              <w:rPr>
                <w:rFonts w:ascii="Arial Narrow" w:hAnsi="Arial Narrow" w:cs="Arial"/>
                <w:sz w:val="20"/>
                <w:szCs w:val="20"/>
              </w:rPr>
              <w:t>Authority Required - In Writing</w:t>
            </w:r>
          </w:p>
          <w:p w:rsidR="00C07955" w:rsidRPr="00106BCF" w:rsidRDefault="00C07955" w:rsidP="00EA0B3B">
            <w:pPr>
              <w:widowControl w:val="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C07955" w:rsidRPr="00106BCF" w:rsidRDefault="00C07955" w:rsidP="00EA0B3B">
            <w:pPr>
              <w:widowControl w:val="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C07955" w:rsidRPr="00106BCF" w:rsidRDefault="00C07955" w:rsidP="00EA0B3B">
            <w:pPr>
              <w:widowControl w:val="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C07955" w:rsidRPr="00260CE3" w:rsidRDefault="00C07955" w:rsidP="00EA0B3B">
            <w:pPr>
              <w:widowControl w:val="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C07955" w:rsidRPr="00260CE3" w:rsidTr="002437C5">
        <w:trPr>
          <w:trHeight w:val="1888"/>
        </w:trPr>
        <w:tc>
          <w:tcPr>
            <w:tcW w:w="1981" w:type="dxa"/>
            <w:tcBorders>
              <w:top w:val="single" w:sz="4" w:space="0" w:color="auto"/>
              <w:left w:val="single" w:sz="4" w:space="0" w:color="auto"/>
              <w:bottom w:val="single" w:sz="4" w:space="0" w:color="auto"/>
              <w:right w:val="single" w:sz="4" w:space="0" w:color="auto"/>
            </w:tcBorders>
          </w:tcPr>
          <w:p w:rsidR="00C07955" w:rsidRPr="00260CE3" w:rsidRDefault="00C07955" w:rsidP="00EA0B3B">
            <w:pPr>
              <w:widowControl w:val="0"/>
              <w:jc w:val="both"/>
              <w:rPr>
                <w:rFonts w:ascii="Arial Narrow" w:hAnsi="Arial Narrow" w:cs="Arial"/>
                <w:b/>
                <w:sz w:val="20"/>
                <w:szCs w:val="20"/>
              </w:rPr>
            </w:pPr>
            <w:r w:rsidRPr="00260CE3">
              <w:rPr>
                <w:rFonts w:ascii="Arial Narrow" w:hAnsi="Arial Narrow" w:cs="Arial"/>
                <w:b/>
                <w:sz w:val="20"/>
                <w:szCs w:val="20"/>
              </w:rPr>
              <w:t>Clinical criteria:</w:t>
            </w:r>
          </w:p>
          <w:p w:rsidR="00C07955" w:rsidRPr="00260CE3" w:rsidRDefault="00C07955" w:rsidP="00EA0B3B">
            <w:pPr>
              <w:widowControl w:val="0"/>
              <w:jc w:val="both"/>
              <w:rPr>
                <w:rFonts w:ascii="Arial Narrow" w:hAnsi="Arial Narrow" w:cs="Arial"/>
                <w:i/>
                <w:sz w:val="20"/>
                <w:szCs w:val="20"/>
              </w:rPr>
            </w:pPr>
          </w:p>
          <w:p w:rsidR="00C07955" w:rsidRPr="00260CE3" w:rsidRDefault="00C07955" w:rsidP="00EA0B3B">
            <w:pPr>
              <w:widowControl w:val="0"/>
              <w:jc w:val="both"/>
              <w:rPr>
                <w:rFonts w:ascii="Arial Narrow" w:hAnsi="Arial Narrow" w:cs="Arial"/>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C07955" w:rsidRDefault="00083609" w:rsidP="00EA0B3B">
            <w:pPr>
              <w:widowControl w:val="0"/>
              <w:rPr>
                <w:rFonts w:ascii="Arial Narrow" w:hAnsi="Arial Narrow" w:cs="Arial"/>
                <w:sz w:val="20"/>
                <w:szCs w:val="20"/>
              </w:rPr>
            </w:pPr>
            <w:r w:rsidRPr="00083609">
              <w:rPr>
                <w:rFonts w:ascii="Arial Narrow" w:hAnsi="Arial Narrow" w:cs="Arial"/>
                <w:sz w:val="20"/>
                <w:szCs w:val="20"/>
              </w:rPr>
              <w:t>Patient must not have received prior PBS-subsidised treatment with a pulmonary ar</w:t>
            </w:r>
            <w:r>
              <w:rPr>
                <w:rFonts w:ascii="Arial Narrow" w:hAnsi="Arial Narrow" w:cs="Arial"/>
                <w:sz w:val="20"/>
                <w:szCs w:val="20"/>
              </w:rPr>
              <w:t>terial hypertension (PAH) agent;</w:t>
            </w:r>
          </w:p>
          <w:p w:rsidR="00083609" w:rsidRDefault="00083609" w:rsidP="00EA0B3B">
            <w:pPr>
              <w:widowControl w:val="0"/>
              <w:rPr>
                <w:rFonts w:ascii="Arial Narrow" w:hAnsi="Arial Narrow" w:cs="Arial"/>
                <w:sz w:val="20"/>
                <w:szCs w:val="20"/>
              </w:rPr>
            </w:pPr>
          </w:p>
          <w:p w:rsidR="00083609" w:rsidRDefault="00083609" w:rsidP="00EA0B3B">
            <w:pPr>
              <w:widowControl w:val="0"/>
              <w:rPr>
                <w:rFonts w:ascii="Arial Narrow" w:hAnsi="Arial Narrow" w:cs="Arial"/>
                <w:sz w:val="20"/>
                <w:szCs w:val="20"/>
              </w:rPr>
            </w:pPr>
            <w:r>
              <w:rPr>
                <w:rFonts w:ascii="Arial Narrow" w:hAnsi="Arial Narrow" w:cs="Arial"/>
                <w:sz w:val="20"/>
                <w:szCs w:val="20"/>
              </w:rPr>
              <w:t>AND</w:t>
            </w:r>
          </w:p>
          <w:p w:rsidR="00083609" w:rsidRPr="00260CE3" w:rsidRDefault="00083609" w:rsidP="00EA0B3B">
            <w:pPr>
              <w:widowControl w:val="0"/>
              <w:rPr>
                <w:rFonts w:ascii="Arial Narrow" w:hAnsi="Arial Narrow" w:cs="Arial"/>
                <w:sz w:val="20"/>
                <w:szCs w:val="20"/>
              </w:rPr>
            </w:pPr>
          </w:p>
          <w:p w:rsidR="00C07955" w:rsidRDefault="00083609" w:rsidP="00EA0B3B">
            <w:pPr>
              <w:widowControl w:val="0"/>
              <w:rPr>
                <w:rFonts w:ascii="Arial Narrow" w:hAnsi="Arial Narrow" w:cs="Arial"/>
                <w:sz w:val="20"/>
                <w:szCs w:val="20"/>
              </w:rPr>
            </w:pPr>
            <w:r w:rsidRPr="00083609">
              <w:rPr>
                <w:rFonts w:ascii="Arial Narrow" w:hAnsi="Arial Narrow" w:cs="Arial"/>
                <w:sz w:val="20"/>
                <w:szCs w:val="20"/>
              </w:rPr>
              <w:t>Patient must have been assessed by a physician at a designated hospi</w:t>
            </w:r>
            <w:r>
              <w:rPr>
                <w:rFonts w:ascii="Arial Narrow" w:hAnsi="Arial Narrow" w:cs="Arial"/>
                <w:sz w:val="20"/>
                <w:szCs w:val="20"/>
              </w:rPr>
              <w:t>tal;</w:t>
            </w:r>
          </w:p>
          <w:p w:rsidR="00083609" w:rsidRDefault="00083609" w:rsidP="00EA0B3B">
            <w:pPr>
              <w:widowControl w:val="0"/>
              <w:rPr>
                <w:rFonts w:ascii="Arial Narrow" w:hAnsi="Arial Narrow" w:cs="Arial"/>
                <w:sz w:val="20"/>
                <w:szCs w:val="20"/>
              </w:rPr>
            </w:pPr>
          </w:p>
          <w:p w:rsidR="00083609" w:rsidRPr="00260CE3" w:rsidRDefault="00083609" w:rsidP="00EA0B3B">
            <w:pPr>
              <w:widowControl w:val="0"/>
              <w:rPr>
                <w:rFonts w:ascii="Arial Narrow" w:hAnsi="Arial Narrow" w:cs="Arial"/>
                <w:sz w:val="20"/>
                <w:szCs w:val="20"/>
              </w:rPr>
            </w:pPr>
            <w:r>
              <w:rPr>
                <w:rFonts w:ascii="Arial Narrow" w:hAnsi="Arial Narrow" w:cs="Arial"/>
                <w:sz w:val="20"/>
                <w:szCs w:val="20"/>
              </w:rPr>
              <w:t>AND</w:t>
            </w:r>
          </w:p>
          <w:p w:rsidR="00C07955" w:rsidRPr="00260CE3" w:rsidRDefault="00C07955" w:rsidP="00EA0B3B">
            <w:pPr>
              <w:widowControl w:val="0"/>
              <w:rPr>
                <w:rFonts w:ascii="Arial Narrow" w:hAnsi="Arial Narrow" w:cs="Arial"/>
                <w:sz w:val="20"/>
                <w:szCs w:val="20"/>
              </w:rPr>
            </w:pPr>
          </w:p>
          <w:p w:rsidR="00083609" w:rsidRDefault="00083609" w:rsidP="00EA0B3B">
            <w:pPr>
              <w:widowControl w:val="0"/>
              <w:jc w:val="both"/>
              <w:rPr>
                <w:rFonts w:ascii="Arial Narrow" w:hAnsi="Arial Narrow" w:cs="Arial"/>
                <w:sz w:val="20"/>
                <w:szCs w:val="20"/>
              </w:rPr>
            </w:pPr>
            <w:r w:rsidRPr="00083609">
              <w:rPr>
                <w:rFonts w:ascii="Arial Narrow" w:hAnsi="Arial Narrow" w:cs="Arial"/>
                <w:sz w:val="20"/>
                <w:szCs w:val="20"/>
              </w:rPr>
              <w:t xml:space="preserve">Patient must have WHO Functional Class IV idiopathic pulmonary arterial hypertension (iPAH), or anorexigen-induced PAH or hereditable PAH; </w:t>
            </w:r>
          </w:p>
          <w:p w:rsidR="00083609" w:rsidRDefault="00083609" w:rsidP="00EA0B3B">
            <w:pPr>
              <w:widowControl w:val="0"/>
              <w:jc w:val="both"/>
              <w:rPr>
                <w:rFonts w:ascii="Arial Narrow" w:hAnsi="Arial Narrow" w:cs="Arial"/>
                <w:sz w:val="20"/>
                <w:szCs w:val="20"/>
              </w:rPr>
            </w:pPr>
          </w:p>
          <w:p w:rsidR="00083609" w:rsidRDefault="00083609" w:rsidP="00EA0B3B">
            <w:pPr>
              <w:widowControl w:val="0"/>
              <w:jc w:val="both"/>
              <w:rPr>
                <w:rFonts w:ascii="Arial Narrow" w:hAnsi="Arial Narrow" w:cs="Arial"/>
                <w:sz w:val="20"/>
                <w:szCs w:val="20"/>
              </w:rPr>
            </w:pPr>
            <w:r w:rsidRPr="00083609">
              <w:rPr>
                <w:rFonts w:ascii="Arial Narrow" w:hAnsi="Arial Narrow" w:cs="Arial"/>
                <w:sz w:val="20"/>
                <w:szCs w:val="20"/>
              </w:rPr>
              <w:t>OR</w:t>
            </w:r>
          </w:p>
          <w:p w:rsidR="00083609" w:rsidRPr="00083609" w:rsidRDefault="00083609" w:rsidP="00EA0B3B">
            <w:pPr>
              <w:widowControl w:val="0"/>
              <w:jc w:val="both"/>
              <w:rPr>
                <w:rFonts w:ascii="Arial Narrow" w:hAnsi="Arial Narrow" w:cs="Arial"/>
                <w:sz w:val="20"/>
                <w:szCs w:val="20"/>
              </w:rPr>
            </w:pPr>
          </w:p>
          <w:p w:rsidR="00C07955" w:rsidRDefault="00083609" w:rsidP="00EA0B3B">
            <w:pPr>
              <w:widowControl w:val="0"/>
              <w:jc w:val="both"/>
              <w:rPr>
                <w:rFonts w:ascii="Arial Narrow" w:hAnsi="Arial Narrow" w:cs="Arial"/>
                <w:sz w:val="20"/>
                <w:szCs w:val="20"/>
              </w:rPr>
            </w:pPr>
            <w:r w:rsidRPr="00083609">
              <w:rPr>
                <w:rFonts w:ascii="Arial Narrow" w:hAnsi="Arial Narrow" w:cs="Arial"/>
                <w:sz w:val="20"/>
                <w:szCs w:val="20"/>
              </w:rPr>
              <w:t>Patient must have WHO Functional Class IV pulmonary arterial hypertension secondary to connective tissue diseas</w:t>
            </w:r>
            <w:r>
              <w:rPr>
                <w:rFonts w:ascii="Arial Narrow" w:hAnsi="Arial Narrow" w:cs="Arial"/>
                <w:sz w:val="20"/>
                <w:szCs w:val="20"/>
              </w:rPr>
              <w:t>e;</w:t>
            </w:r>
          </w:p>
          <w:p w:rsidR="00083609" w:rsidRDefault="00083609" w:rsidP="00EA0B3B">
            <w:pPr>
              <w:widowControl w:val="0"/>
              <w:jc w:val="both"/>
              <w:rPr>
                <w:rFonts w:ascii="Arial Narrow" w:hAnsi="Arial Narrow" w:cs="Arial"/>
                <w:sz w:val="20"/>
                <w:szCs w:val="20"/>
              </w:rPr>
            </w:pPr>
          </w:p>
          <w:p w:rsidR="00083609" w:rsidRDefault="00083609" w:rsidP="00EA0B3B">
            <w:pPr>
              <w:widowControl w:val="0"/>
              <w:jc w:val="both"/>
              <w:rPr>
                <w:rFonts w:ascii="Arial Narrow" w:hAnsi="Arial Narrow" w:cs="Arial"/>
                <w:sz w:val="20"/>
                <w:szCs w:val="20"/>
              </w:rPr>
            </w:pPr>
            <w:r>
              <w:rPr>
                <w:rFonts w:ascii="Arial Narrow" w:hAnsi="Arial Narrow" w:cs="Arial"/>
                <w:sz w:val="20"/>
                <w:szCs w:val="20"/>
              </w:rPr>
              <w:t>AND</w:t>
            </w:r>
          </w:p>
          <w:p w:rsidR="00083609" w:rsidRDefault="00083609" w:rsidP="00EA0B3B">
            <w:pPr>
              <w:widowControl w:val="0"/>
              <w:jc w:val="both"/>
              <w:rPr>
                <w:rFonts w:ascii="Arial Narrow" w:hAnsi="Arial Narrow" w:cs="Arial"/>
                <w:sz w:val="20"/>
                <w:szCs w:val="20"/>
              </w:rPr>
            </w:pPr>
          </w:p>
          <w:p w:rsidR="00083609" w:rsidRPr="00260CE3" w:rsidRDefault="00083609" w:rsidP="00EA0B3B">
            <w:pPr>
              <w:widowControl w:val="0"/>
              <w:jc w:val="both"/>
              <w:rPr>
                <w:rFonts w:ascii="Arial Narrow" w:hAnsi="Arial Narrow" w:cs="Arial"/>
                <w:sz w:val="20"/>
                <w:szCs w:val="20"/>
              </w:rPr>
            </w:pPr>
            <w:r w:rsidRPr="00083609">
              <w:rPr>
                <w:rFonts w:ascii="Arial Narrow" w:hAnsi="Arial Narrow" w:cs="Arial"/>
                <w:sz w:val="20"/>
                <w:szCs w:val="20"/>
              </w:rPr>
              <w:t>The treatment must be the sole PBS-subsidised PAH agent for this condition</w:t>
            </w:r>
            <w:r>
              <w:rPr>
                <w:rFonts w:ascii="Arial Narrow" w:hAnsi="Arial Narrow" w:cs="Arial"/>
                <w:sz w:val="20"/>
                <w:szCs w:val="20"/>
              </w:rPr>
              <w:t>.</w:t>
            </w:r>
          </w:p>
          <w:p w:rsidR="00C07955" w:rsidRPr="00260CE3" w:rsidRDefault="00C07955" w:rsidP="00EA0B3B">
            <w:pPr>
              <w:widowControl w:val="0"/>
              <w:jc w:val="both"/>
              <w:rPr>
                <w:rFonts w:ascii="Arial Narrow" w:hAnsi="Arial Narrow" w:cs="Arial"/>
                <w:sz w:val="20"/>
                <w:szCs w:val="20"/>
              </w:rPr>
            </w:pPr>
          </w:p>
        </w:tc>
      </w:tr>
      <w:tr w:rsidR="00C07955" w:rsidRPr="00260CE3" w:rsidTr="005800ED">
        <w:trPr>
          <w:trHeight w:val="70"/>
        </w:trPr>
        <w:tc>
          <w:tcPr>
            <w:tcW w:w="1981" w:type="dxa"/>
            <w:tcBorders>
              <w:top w:val="single" w:sz="4" w:space="0" w:color="auto"/>
              <w:left w:val="single" w:sz="4" w:space="0" w:color="auto"/>
              <w:bottom w:val="single" w:sz="4" w:space="0" w:color="auto"/>
              <w:right w:val="single" w:sz="4" w:space="0" w:color="auto"/>
            </w:tcBorders>
          </w:tcPr>
          <w:p w:rsidR="00C07955" w:rsidRPr="00260CE3" w:rsidRDefault="00C07955" w:rsidP="00EA0B3B">
            <w:pPr>
              <w:widowControl w:val="0"/>
              <w:jc w:val="both"/>
              <w:rPr>
                <w:rFonts w:ascii="Arial Narrow" w:hAnsi="Arial Narrow" w:cs="Arial"/>
                <w:b/>
                <w:sz w:val="20"/>
                <w:szCs w:val="20"/>
              </w:rPr>
            </w:pPr>
            <w:r w:rsidRPr="00260CE3">
              <w:rPr>
                <w:rFonts w:ascii="Arial Narrow" w:hAnsi="Arial Narrow" w:cs="Arial"/>
                <w:b/>
                <w:sz w:val="20"/>
                <w:szCs w:val="20"/>
              </w:rPr>
              <w:t xml:space="preserve">Prescriber </w:t>
            </w:r>
            <w:r w:rsidRPr="00260CE3">
              <w:rPr>
                <w:rFonts w:ascii="Arial Narrow" w:hAnsi="Arial Narrow" w:cs="Arial"/>
                <w:b/>
                <w:sz w:val="20"/>
                <w:szCs w:val="20"/>
              </w:rPr>
              <w:lastRenderedPageBreak/>
              <w:t>Instructions</w:t>
            </w:r>
          </w:p>
          <w:p w:rsidR="00C07955" w:rsidRPr="00260CE3" w:rsidRDefault="00C07955" w:rsidP="00EA0B3B">
            <w:pPr>
              <w:widowControl w:val="0"/>
              <w:jc w:val="both"/>
              <w:rPr>
                <w:rFonts w:ascii="Arial Narrow" w:hAnsi="Arial Narrow" w:cs="Arial"/>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lastRenderedPageBreak/>
              <w:t>Applications for authorisation must be in writing and must include:</w:t>
            </w: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lastRenderedPageBreak/>
              <w:t>(1) a completed authority prescription form; and</w:t>
            </w: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(2) a completed Pulmonary Arterial Hypertension PBS Authority Application - Supporting Information form which includes results from the three tests below, where available:</w:t>
            </w: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(i) RHC composite assessment; and</w:t>
            </w: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(ii) ECHO composite assessment; and</w:t>
            </w: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(iii) 6 Minute Walk Test (6MWT); and</w:t>
            </w:r>
          </w:p>
          <w:p w:rsidR="00C07955" w:rsidRDefault="00083609" w:rsidP="00EA0B3B">
            <w:pPr>
              <w:widowControl w:val="0"/>
              <w:rPr>
                <w:rFonts w:ascii="Arial Narrow" w:hAnsi="Arial Narrow" w:cs="Arial"/>
                <w:sz w:val="20"/>
                <w:szCs w:val="20"/>
              </w:rPr>
            </w:pPr>
            <w:r w:rsidRPr="00083609">
              <w:rPr>
                <w:rFonts w:ascii="Arial Narrow" w:hAnsi="Arial Narrow" w:cs="Arial"/>
                <w:sz w:val="20"/>
                <w:szCs w:val="20"/>
              </w:rPr>
              <w:t>(3) a signed patient acknowledgement.</w:t>
            </w:r>
          </w:p>
          <w:p w:rsidR="00083609" w:rsidRDefault="00083609" w:rsidP="00EA0B3B">
            <w:pPr>
              <w:widowControl w:val="0"/>
              <w:rPr>
                <w:rFonts w:ascii="Arial Narrow" w:hAnsi="Arial Narrow" w:cs="Arial"/>
                <w:sz w:val="20"/>
                <w:szCs w:val="20"/>
              </w:rPr>
            </w:pP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Idiopathic pulmonary arterial hypertension, anorexigen-induced pulmonary arterial hypertension, hereditable pulmonary arterial hypertension, drug-induced pulmonary arterial hypertension, pulmonary arterial hypertension secondary to connective tissue disease including scleroderma, or pulmonary arterial hypertension associated with a congenital systemic-to-pulmonary shunt (including Eisenmenger's physiology) are defined as follows:</w:t>
            </w: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(i) mean pulmonary artery pressure (mPAP) greater than 25 mmHg at rest and pulmonary artery wedge pressure (PAWP) less than 15 mmHg; or</w:t>
            </w:r>
          </w:p>
          <w:p w:rsidR="00083609" w:rsidRDefault="00083609" w:rsidP="00EA0B3B">
            <w:pPr>
              <w:widowControl w:val="0"/>
              <w:rPr>
                <w:rFonts w:ascii="Arial Narrow" w:hAnsi="Arial Narrow" w:cs="Arial"/>
                <w:sz w:val="20"/>
                <w:szCs w:val="20"/>
              </w:rPr>
            </w:pPr>
            <w:r w:rsidRPr="00083609">
              <w:rPr>
                <w:rFonts w:ascii="Arial Narrow" w:hAnsi="Arial Narrow" w:cs="Arial"/>
                <w:sz w:val="20"/>
                <w:szCs w:val="20"/>
              </w:rPr>
              <w:t>(ii) where a right heart catheter (RHC) cannot be performed on clinical grounds, right ventricular systolic pressure (RVSP), assessed by echocardiography (ECHO), greater than 40 mmHg, with normal left ventricular function.</w:t>
            </w:r>
          </w:p>
          <w:p w:rsidR="00083609" w:rsidRDefault="00083609" w:rsidP="00EA0B3B">
            <w:pPr>
              <w:widowControl w:val="0"/>
              <w:rPr>
                <w:rFonts w:ascii="Arial Narrow" w:hAnsi="Arial Narrow" w:cs="Arial"/>
                <w:sz w:val="20"/>
                <w:szCs w:val="20"/>
              </w:rPr>
            </w:pP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Test requirements to establish baseline for initiation of treatment are as follows:</w:t>
            </w: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The first written application for PBS-subsidised treatment with the first PAH agent should be accompanied by the results of a right heart catheter (RHC) composite assessment plus an echocardiograph (ECHO) composite assessment, plus a 6 minute walk test (6MWT) to establish the patient's baseline measurements.</w:t>
            </w: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Where it is not possible to perform all 3 tests above on clinical grounds, the following list outlines the preferred test combination, in descending order, for the purposes of initiation of PBS-subsidised treatment:</w:t>
            </w: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(1) RHC plus ECHO composite assessments;</w:t>
            </w: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(2) RHC composite assessment plus 6MWT;</w:t>
            </w: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(3) RHC composite assessment only.</w:t>
            </w: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In circumstances where a RHC cannot be performed on clinical grounds, applications may be submitted for consideration based on the results of the following test combinations, which are listed in descending order of preference:</w:t>
            </w: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(1) ECHO composite assessment plus 6MWT;</w:t>
            </w: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(2) ECHO composite assessment only.</w:t>
            </w: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Where fewer than 3 tests are able to be performed on clinical grounds, a patient specific reason outlining why the particular test(s) could not be conducted must be provided with the authority application.</w:t>
            </w:r>
          </w:p>
          <w:p w:rsidR="00083609" w:rsidRDefault="00083609" w:rsidP="00EA0B3B">
            <w:pPr>
              <w:widowControl w:val="0"/>
              <w:rPr>
                <w:rFonts w:ascii="Arial Narrow" w:hAnsi="Arial Narrow" w:cs="Arial"/>
                <w:sz w:val="20"/>
                <w:szCs w:val="20"/>
              </w:rPr>
            </w:pPr>
            <w:r w:rsidRPr="00083609">
              <w:rPr>
                <w:rFonts w:ascii="Arial Narrow" w:hAnsi="Arial Narrow" w:cs="Arial"/>
                <w:sz w:val="20"/>
                <w:szCs w:val="20"/>
              </w:rPr>
              <w:t>The test results provided must not be more than 2 months old at the time of application.</w:t>
            </w:r>
          </w:p>
          <w:p w:rsidR="00083609" w:rsidRDefault="00083609" w:rsidP="00EA0B3B">
            <w:pPr>
              <w:widowControl w:val="0"/>
              <w:rPr>
                <w:rFonts w:ascii="Arial Narrow" w:hAnsi="Arial Narrow" w:cs="Arial"/>
                <w:sz w:val="20"/>
                <w:szCs w:val="20"/>
              </w:rPr>
            </w:pPr>
          </w:p>
          <w:p w:rsidR="00083609" w:rsidRPr="00083609" w:rsidRDefault="00083609" w:rsidP="00EA0B3B">
            <w:pPr>
              <w:widowControl w:val="0"/>
              <w:rPr>
                <w:rFonts w:ascii="Arial Narrow" w:hAnsi="Arial Narrow" w:cs="Arial"/>
                <w:sz w:val="20"/>
                <w:szCs w:val="20"/>
              </w:rPr>
            </w:pPr>
            <w:r w:rsidRPr="00083609">
              <w:rPr>
                <w:rFonts w:ascii="Arial Narrow" w:hAnsi="Arial Narrow" w:cs="Arial"/>
                <w:sz w:val="20"/>
                <w:szCs w:val="20"/>
              </w:rPr>
              <w:t>The maximum quantity authorised will be limited to provide sufficient supply for 1 month of treatment, based on the dosage recommendations in the Therapeutic Goods Administration (TGA) approved Product Information.</w:t>
            </w:r>
          </w:p>
          <w:p w:rsidR="00083609" w:rsidRDefault="00083609" w:rsidP="00EA0B3B">
            <w:pPr>
              <w:widowControl w:val="0"/>
              <w:rPr>
                <w:rFonts w:ascii="Arial Narrow" w:hAnsi="Arial Narrow" w:cs="Arial"/>
                <w:sz w:val="20"/>
                <w:szCs w:val="20"/>
              </w:rPr>
            </w:pPr>
            <w:r w:rsidRPr="00083609">
              <w:rPr>
                <w:rFonts w:ascii="Arial Narrow" w:hAnsi="Arial Narrow" w:cs="Arial"/>
                <w:sz w:val="20"/>
                <w:szCs w:val="20"/>
              </w:rPr>
              <w:t>A maximum of 5 repeats may be requested.</w:t>
            </w:r>
          </w:p>
          <w:p w:rsidR="00083609" w:rsidRDefault="00083609" w:rsidP="00EA0B3B">
            <w:pPr>
              <w:widowControl w:val="0"/>
              <w:rPr>
                <w:rFonts w:ascii="Arial Narrow" w:hAnsi="Arial Narrow" w:cs="Arial"/>
                <w:sz w:val="20"/>
                <w:szCs w:val="20"/>
              </w:rPr>
            </w:pPr>
          </w:p>
          <w:p w:rsidR="00360224" w:rsidRDefault="00083609" w:rsidP="00EA0B3B">
            <w:pPr>
              <w:widowControl w:val="0"/>
            </w:pPr>
            <w:r w:rsidRPr="00083609">
              <w:rPr>
                <w:rFonts w:ascii="Arial Narrow" w:hAnsi="Arial Narrow" w:cs="Arial"/>
                <w:sz w:val="20"/>
                <w:szCs w:val="20"/>
              </w:rPr>
              <w:t>The assessment of the patient's response to the initial 6 month course of treatment should be made following the preceding 5 months of treatment, in order to allow sufficient time for a response to be demonstrated.</w:t>
            </w:r>
            <w:r w:rsidR="00360224">
              <w:t xml:space="preserve"> </w:t>
            </w:r>
          </w:p>
          <w:p w:rsidR="00360224" w:rsidRDefault="00360224" w:rsidP="00EA0B3B">
            <w:pPr>
              <w:widowControl w:val="0"/>
            </w:pPr>
          </w:p>
          <w:p w:rsidR="00083609" w:rsidRDefault="00360224" w:rsidP="00EA0B3B">
            <w:pPr>
              <w:widowControl w:val="0"/>
              <w:rPr>
                <w:rFonts w:ascii="Arial Narrow" w:hAnsi="Arial Narrow" w:cs="Arial"/>
                <w:sz w:val="20"/>
                <w:szCs w:val="20"/>
              </w:rPr>
            </w:pPr>
            <w:r w:rsidRPr="00360224">
              <w:rPr>
                <w:rFonts w:ascii="Arial Narrow" w:hAnsi="Arial Narrow" w:cs="Arial"/>
                <w:sz w:val="20"/>
                <w:szCs w:val="20"/>
              </w:rPr>
              <w:t xml:space="preserve">Patients who fail to demonstrate a response to PBS-subsidised treatment with this agent at the time where an assessment is required must cease PBS-subsidised </w:t>
            </w:r>
            <w:r w:rsidRPr="00360224">
              <w:rPr>
                <w:rFonts w:ascii="Arial Narrow" w:hAnsi="Arial Narrow" w:cs="Arial"/>
                <w:sz w:val="20"/>
                <w:szCs w:val="20"/>
              </w:rPr>
              <w:lastRenderedPageBreak/>
              <w:t>therapy with this agent.</w:t>
            </w:r>
          </w:p>
          <w:p w:rsidR="00360224" w:rsidRDefault="00360224" w:rsidP="00EA0B3B">
            <w:pPr>
              <w:widowControl w:val="0"/>
              <w:rPr>
                <w:rFonts w:ascii="Arial Narrow" w:hAnsi="Arial Narrow" w:cs="Arial"/>
                <w:sz w:val="20"/>
                <w:szCs w:val="20"/>
              </w:rPr>
            </w:pPr>
          </w:p>
          <w:p w:rsidR="00360224" w:rsidRDefault="005800ED" w:rsidP="00EA0B3B">
            <w:pPr>
              <w:widowControl w:val="0"/>
              <w:rPr>
                <w:rFonts w:ascii="Arial Narrow" w:hAnsi="Arial Narrow" w:cs="Arial"/>
                <w:sz w:val="20"/>
                <w:szCs w:val="20"/>
              </w:rPr>
            </w:pPr>
            <w:r w:rsidRPr="005800ED">
              <w:rPr>
                <w:rFonts w:ascii="Arial Narrow" w:hAnsi="Arial Narrow" w:cs="Arial"/>
                <w:sz w:val="20"/>
                <w:szCs w:val="20"/>
              </w:rPr>
              <w:t>The term 'PAH agents' refers to bosentan monohydrate, iloprost trometamol, epoprostenol sodium, sildenafil citrate, ambrisentan, tadalafil, and macitentan.</w:t>
            </w:r>
          </w:p>
          <w:p w:rsidR="00360224" w:rsidRDefault="00360224" w:rsidP="00EA0B3B">
            <w:pPr>
              <w:widowControl w:val="0"/>
              <w:rPr>
                <w:rFonts w:ascii="Arial Narrow" w:hAnsi="Arial Narrow" w:cs="Arial"/>
                <w:sz w:val="20"/>
                <w:szCs w:val="20"/>
              </w:rPr>
            </w:pPr>
          </w:p>
          <w:p w:rsidR="00083609" w:rsidRDefault="005800ED" w:rsidP="00EA0B3B">
            <w:pPr>
              <w:widowControl w:val="0"/>
              <w:rPr>
                <w:rFonts w:ascii="Arial Narrow" w:hAnsi="Arial Narrow" w:cs="Arial"/>
                <w:sz w:val="20"/>
                <w:szCs w:val="20"/>
              </w:rPr>
            </w:pPr>
            <w:r w:rsidRPr="005800ED">
              <w:rPr>
                <w:rFonts w:ascii="Arial Narrow" w:hAnsi="Arial Narrow" w:cs="Arial"/>
                <w:sz w:val="20"/>
                <w:szCs w:val="20"/>
              </w:rPr>
              <w:t>PAH agents are not PBS-subsidised for patients with pulmonary hypertension secondary to interstitial lung disease associated with connective tissue disease, where the total lung capacit</w:t>
            </w:r>
            <w:r w:rsidR="00CD7723">
              <w:rPr>
                <w:rFonts w:ascii="Arial Narrow" w:hAnsi="Arial Narrow" w:cs="Arial"/>
                <w:sz w:val="20"/>
                <w:szCs w:val="20"/>
              </w:rPr>
              <w:t>y is less than 70% of predicted</w:t>
            </w:r>
            <w:r w:rsidR="00FA1C86">
              <w:rPr>
                <w:rFonts w:ascii="Arial Narrow" w:hAnsi="Arial Narrow" w:cs="Arial"/>
                <w:sz w:val="20"/>
                <w:szCs w:val="20"/>
              </w:rPr>
              <w:t>.</w:t>
            </w:r>
          </w:p>
          <w:p w:rsidR="00083609" w:rsidRPr="00260CE3" w:rsidRDefault="00083609" w:rsidP="00EA0B3B">
            <w:pPr>
              <w:widowControl w:val="0"/>
              <w:rPr>
                <w:rFonts w:ascii="Arial Narrow" w:hAnsi="Arial Narrow" w:cs="Arial"/>
                <w:sz w:val="20"/>
                <w:szCs w:val="20"/>
              </w:rPr>
            </w:pPr>
          </w:p>
        </w:tc>
      </w:tr>
      <w:tr w:rsidR="00C07955" w:rsidRPr="00260CE3" w:rsidTr="002437C5">
        <w:trPr>
          <w:trHeight w:val="75"/>
        </w:trPr>
        <w:tc>
          <w:tcPr>
            <w:tcW w:w="1981" w:type="dxa"/>
            <w:tcBorders>
              <w:top w:val="single" w:sz="4" w:space="0" w:color="auto"/>
              <w:left w:val="single" w:sz="4" w:space="0" w:color="auto"/>
              <w:bottom w:val="single" w:sz="4" w:space="0" w:color="auto"/>
              <w:right w:val="single" w:sz="4" w:space="0" w:color="auto"/>
            </w:tcBorders>
          </w:tcPr>
          <w:p w:rsidR="00C07955" w:rsidRPr="00260CE3" w:rsidRDefault="00C07955" w:rsidP="00EA0B3B">
            <w:pPr>
              <w:widowControl w:val="0"/>
              <w:jc w:val="both"/>
              <w:rPr>
                <w:rFonts w:ascii="Arial Narrow" w:hAnsi="Arial Narrow" w:cs="Arial"/>
                <w:b/>
                <w:sz w:val="20"/>
                <w:szCs w:val="20"/>
              </w:rPr>
            </w:pPr>
            <w:r w:rsidRPr="00260CE3">
              <w:rPr>
                <w:rFonts w:ascii="Arial Narrow" w:hAnsi="Arial Narrow" w:cs="Arial"/>
                <w:b/>
                <w:sz w:val="20"/>
                <w:szCs w:val="20"/>
              </w:rPr>
              <w:lastRenderedPageBreak/>
              <w:t>Administrative Advice</w:t>
            </w:r>
          </w:p>
          <w:p w:rsidR="00C07955" w:rsidRPr="00260CE3" w:rsidRDefault="00C07955" w:rsidP="00EA0B3B">
            <w:pPr>
              <w:widowControl w:val="0"/>
              <w:jc w:val="both"/>
              <w:rPr>
                <w:rFonts w:ascii="Arial Narrow" w:hAnsi="Arial Narrow" w:cs="Arial"/>
                <w:i/>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5800ED" w:rsidRPr="005800ED" w:rsidRDefault="005800ED" w:rsidP="00EA0B3B">
            <w:pPr>
              <w:widowControl w:val="0"/>
              <w:rPr>
                <w:rFonts w:ascii="Arial Narrow" w:hAnsi="Arial Narrow" w:cs="Arial"/>
                <w:sz w:val="20"/>
                <w:szCs w:val="20"/>
              </w:rPr>
            </w:pPr>
            <w:r w:rsidRPr="005800ED">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5800ED" w:rsidRPr="005800ED" w:rsidRDefault="005800ED" w:rsidP="00EA0B3B">
            <w:pPr>
              <w:widowControl w:val="0"/>
              <w:rPr>
                <w:rFonts w:ascii="Arial Narrow" w:hAnsi="Arial Narrow" w:cs="Arial"/>
                <w:sz w:val="20"/>
                <w:szCs w:val="20"/>
              </w:rPr>
            </w:pPr>
            <w:r w:rsidRPr="005800ED">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5800ED" w:rsidRPr="005800ED" w:rsidRDefault="005800ED" w:rsidP="00EA0B3B">
            <w:pPr>
              <w:widowControl w:val="0"/>
              <w:rPr>
                <w:rFonts w:ascii="Arial Narrow" w:hAnsi="Arial Narrow" w:cs="Arial"/>
                <w:sz w:val="20"/>
                <w:szCs w:val="20"/>
              </w:rPr>
            </w:pPr>
            <w:r w:rsidRPr="005800ED">
              <w:rPr>
                <w:rFonts w:ascii="Arial Narrow" w:hAnsi="Arial Narrow" w:cs="Arial"/>
                <w:sz w:val="20"/>
                <w:szCs w:val="20"/>
              </w:rPr>
              <w:t>Applications for authority to prescribe should be forwarded to:</w:t>
            </w:r>
          </w:p>
          <w:p w:rsidR="005800ED" w:rsidRPr="005800ED" w:rsidRDefault="005800ED" w:rsidP="00EA0B3B">
            <w:pPr>
              <w:widowControl w:val="0"/>
              <w:rPr>
                <w:rFonts w:ascii="Arial Narrow" w:hAnsi="Arial Narrow" w:cs="Arial"/>
                <w:sz w:val="20"/>
                <w:szCs w:val="20"/>
              </w:rPr>
            </w:pPr>
            <w:r w:rsidRPr="005800ED">
              <w:rPr>
                <w:rFonts w:ascii="Arial Narrow" w:hAnsi="Arial Narrow" w:cs="Arial"/>
                <w:sz w:val="20"/>
                <w:szCs w:val="20"/>
              </w:rPr>
              <w:t>Department of Human Services</w:t>
            </w:r>
          </w:p>
          <w:p w:rsidR="005800ED" w:rsidRPr="005800ED" w:rsidRDefault="005800ED" w:rsidP="00EA0B3B">
            <w:pPr>
              <w:widowControl w:val="0"/>
              <w:rPr>
                <w:rFonts w:ascii="Arial Narrow" w:hAnsi="Arial Narrow" w:cs="Arial"/>
                <w:sz w:val="20"/>
                <w:szCs w:val="20"/>
              </w:rPr>
            </w:pPr>
            <w:r w:rsidRPr="005800ED">
              <w:rPr>
                <w:rFonts w:ascii="Arial Narrow" w:hAnsi="Arial Narrow" w:cs="Arial"/>
                <w:sz w:val="20"/>
                <w:szCs w:val="20"/>
              </w:rPr>
              <w:t>Complex Drugs</w:t>
            </w:r>
          </w:p>
          <w:p w:rsidR="005800ED" w:rsidRPr="005800ED" w:rsidRDefault="005800ED" w:rsidP="00EA0B3B">
            <w:pPr>
              <w:widowControl w:val="0"/>
              <w:rPr>
                <w:rFonts w:ascii="Arial Narrow" w:hAnsi="Arial Narrow" w:cs="Arial"/>
                <w:sz w:val="20"/>
                <w:szCs w:val="20"/>
              </w:rPr>
            </w:pPr>
            <w:r w:rsidRPr="005800ED">
              <w:rPr>
                <w:rFonts w:ascii="Arial Narrow" w:hAnsi="Arial Narrow" w:cs="Arial"/>
                <w:sz w:val="20"/>
                <w:szCs w:val="20"/>
              </w:rPr>
              <w:t>Reply Paid 9826</w:t>
            </w:r>
          </w:p>
          <w:p w:rsidR="00C07955" w:rsidRDefault="005800ED" w:rsidP="00EA0B3B">
            <w:pPr>
              <w:widowControl w:val="0"/>
              <w:rPr>
                <w:rFonts w:ascii="Arial Narrow" w:hAnsi="Arial Narrow" w:cs="Arial"/>
                <w:sz w:val="20"/>
                <w:szCs w:val="20"/>
              </w:rPr>
            </w:pPr>
            <w:r w:rsidRPr="005800ED">
              <w:rPr>
                <w:rFonts w:ascii="Arial Narrow" w:hAnsi="Arial Narrow" w:cs="Arial"/>
                <w:sz w:val="20"/>
                <w:szCs w:val="20"/>
              </w:rPr>
              <w:t>HOBART TAS 7001</w:t>
            </w:r>
          </w:p>
          <w:p w:rsidR="00CD7723" w:rsidRDefault="00CD7723" w:rsidP="00EA0B3B">
            <w:pPr>
              <w:widowControl w:val="0"/>
              <w:rPr>
                <w:rFonts w:ascii="Arial Narrow" w:hAnsi="Arial Narrow" w:cs="Arial"/>
                <w:sz w:val="20"/>
                <w:szCs w:val="20"/>
              </w:rPr>
            </w:pPr>
          </w:p>
          <w:p w:rsidR="00CD7723" w:rsidRDefault="00CD7723" w:rsidP="00EA0B3B">
            <w:pPr>
              <w:widowControl w:val="0"/>
              <w:rPr>
                <w:rFonts w:ascii="Arial Narrow" w:hAnsi="Arial Narrow" w:cs="Arial"/>
                <w:sz w:val="20"/>
                <w:szCs w:val="20"/>
              </w:rPr>
            </w:pPr>
            <w:r w:rsidRPr="00CD7723">
              <w:rPr>
                <w:rFonts w:ascii="Arial Narrow" w:hAnsi="Arial Narrow" w:cs="Arial"/>
                <w:sz w:val="20"/>
                <w:szCs w:val="20"/>
              </w:rPr>
              <w:t>Refer to the Department of Human Services website at www.humanservices.gov.au for a list of designated hospitals.</w:t>
            </w:r>
          </w:p>
          <w:p w:rsidR="00CD7723" w:rsidRDefault="00CD7723" w:rsidP="00EA0B3B">
            <w:pPr>
              <w:widowControl w:val="0"/>
              <w:rPr>
                <w:rFonts w:ascii="Arial Narrow" w:hAnsi="Arial Narrow" w:cs="Arial"/>
                <w:sz w:val="20"/>
                <w:szCs w:val="20"/>
              </w:rPr>
            </w:pPr>
          </w:p>
          <w:p w:rsidR="00CD7723" w:rsidRDefault="00CD7723" w:rsidP="00EA0B3B">
            <w:pPr>
              <w:widowControl w:val="0"/>
              <w:rPr>
                <w:rFonts w:ascii="Arial Narrow" w:hAnsi="Arial Narrow" w:cs="Arial"/>
                <w:sz w:val="20"/>
                <w:szCs w:val="20"/>
              </w:rPr>
            </w:pPr>
            <w:r w:rsidRPr="00CD7723">
              <w:rPr>
                <w:rFonts w:ascii="Arial Narrow" w:hAnsi="Arial Narrow" w:cs="Arial"/>
                <w:sz w:val="20"/>
                <w:szCs w:val="20"/>
              </w:rPr>
              <w:t>Pharmaceutical benefits that have the form epoprostenol sodium powder for I.V. infusion 1.5 mg (base) infusion administration set and pharmaceutical benefits that have the form epoprostenol 1.5 mg injection vial are equivalent for the purposes of substitution.</w:t>
            </w:r>
          </w:p>
          <w:p w:rsidR="00CD7723" w:rsidRDefault="00CD7723" w:rsidP="00EA0B3B">
            <w:pPr>
              <w:widowControl w:val="0"/>
              <w:rPr>
                <w:rFonts w:ascii="Arial Narrow" w:hAnsi="Arial Narrow" w:cs="Arial"/>
                <w:sz w:val="20"/>
                <w:szCs w:val="20"/>
              </w:rPr>
            </w:pPr>
          </w:p>
          <w:p w:rsidR="00CD7723" w:rsidRPr="00260CE3" w:rsidRDefault="00CD7723" w:rsidP="00EA0B3B">
            <w:pPr>
              <w:widowControl w:val="0"/>
              <w:rPr>
                <w:rFonts w:ascii="Arial Narrow" w:hAnsi="Arial Narrow" w:cs="Arial"/>
                <w:sz w:val="20"/>
                <w:szCs w:val="20"/>
              </w:rPr>
            </w:pPr>
            <w:r w:rsidRPr="00CD7723">
              <w:rPr>
                <w:rFonts w:ascii="Arial Narrow" w:hAnsi="Arial Narrow" w:cs="Arial"/>
                <w:sz w:val="20"/>
                <w:szCs w:val="20"/>
              </w:rPr>
              <w:t>Pharmaceutical benefits that have the form epoprostenol sodium powder for I.V. infusion 500 micrograms (base) infusion administration set and pharmaceutical benefits that have the form epoprostenol 500 microgram injection vial are equivalent for the purposes of substitution.</w:t>
            </w:r>
          </w:p>
        </w:tc>
      </w:tr>
    </w:tbl>
    <w:p w:rsidR="00C07955" w:rsidRDefault="00C07955" w:rsidP="005A1F2D">
      <w:pPr>
        <w:ind w:left="360"/>
        <w:contextualSpacing/>
        <w:rPr>
          <w:rFonts w:ascii="Calibri" w:hAnsi="Calibri" w:cs="Calibri"/>
        </w:rPr>
      </w:pPr>
    </w:p>
    <w:p w:rsidR="005B655D" w:rsidRDefault="005B655D" w:rsidP="005A1F2D">
      <w:pPr>
        <w:ind w:left="360"/>
        <w:contextualSpacing/>
        <w:rPr>
          <w:rFonts w:ascii="Calibri" w:hAnsi="Calibri" w:cs="Calibri"/>
        </w:rPr>
      </w:pPr>
    </w:p>
    <w:tbl>
      <w:tblPr>
        <w:tblW w:w="8348" w:type="dxa"/>
        <w:tblInd w:w="817" w:type="dxa"/>
        <w:tblLayout w:type="fixed"/>
        <w:tblLook w:val="0000" w:firstRow="0" w:lastRow="0" w:firstColumn="0" w:lastColumn="0" w:noHBand="0" w:noVBand="0"/>
      </w:tblPr>
      <w:tblGrid>
        <w:gridCol w:w="1981"/>
        <w:gridCol w:w="1132"/>
        <w:gridCol w:w="848"/>
        <w:gridCol w:w="708"/>
        <w:gridCol w:w="1274"/>
        <w:gridCol w:w="2405"/>
      </w:tblGrid>
      <w:tr w:rsidR="00CD7723" w:rsidRPr="0039782C" w:rsidTr="006D3844">
        <w:trPr>
          <w:trHeight w:val="98"/>
        </w:trPr>
        <w:tc>
          <w:tcPr>
            <w:tcW w:w="3113" w:type="dxa"/>
            <w:gridSpan w:val="2"/>
            <w:tcBorders>
              <w:bottom w:val="single" w:sz="4" w:space="0" w:color="auto"/>
            </w:tcBorders>
          </w:tcPr>
          <w:p w:rsidR="00CD7723" w:rsidRPr="0039782C" w:rsidRDefault="00CD7723" w:rsidP="00EA0B3B">
            <w:pPr>
              <w:widowControl w:val="0"/>
              <w:ind w:left="-108"/>
              <w:jc w:val="both"/>
              <w:rPr>
                <w:rFonts w:ascii="Arial Narrow" w:hAnsi="Arial Narrow" w:cs="Arial"/>
                <w:b/>
                <w:sz w:val="20"/>
                <w:szCs w:val="20"/>
              </w:rPr>
            </w:pPr>
            <w:r w:rsidRPr="0039782C">
              <w:rPr>
                <w:rFonts w:ascii="Arial Narrow" w:hAnsi="Arial Narrow" w:cs="Arial"/>
                <w:b/>
                <w:sz w:val="20"/>
                <w:szCs w:val="20"/>
              </w:rPr>
              <w:t>Name, Restriction,</w:t>
            </w:r>
          </w:p>
          <w:p w:rsidR="00CD7723" w:rsidRPr="0039782C" w:rsidRDefault="00CD7723" w:rsidP="00EA0B3B">
            <w:pPr>
              <w:widowControl w:val="0"/>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48" w:type="dxa"/>
            <w:tcBorders>
              <w:bottom w:val="single" w:sz="4" w:space="0" w:color="auto"/>
            </w:tcBorders>
          </w:tcPr>
          <w:p w:rsidR="00CD7723" w:rsidRPr="0039782C" w:rsidRDefault="00CD7723" w:rsidP="00EA0B3B">
            <w:pPr>
              <w:widowControl w:val="0"/>
              <w:ind w:left="-108"/>
              <w:jc w:val="both"/>
              <w:rPr>
                <w:rFonts w:ascii="Arial Narrow" w:hAnsi="Arial Narrow" w:cs="Arial"/>
                <w:b/>
                <w:sz w:val="20"/>
                <w:szCs w:val="20"/>
              </w:rPr>
            </w:pPr>
            <w:r w:rsidRPr="0039782C">
              <w:rPr>
                <w:rFonts w:ascii="Arial Narrow" w:hAnsi="Arial Narrow" w:cs="Arial"/>
                <w:b/>
                <w:sz w:val="20"/>
                <w:szCs w:val="20"/>
              </w:rPr>
              <w:t>Max.</w:t>
            </w:r>
          </w:p>
          <w:p w:rsidR="00CD7723" w:rsidRPr="0039782C" w:rsidRDefault="00CD7723" w:rsidP="00EA0B3B">
            <w:pPr>
              <w:widowControl w:val="0"/>
              <w:ind w:left="-108"/>
              <w:jc w:val="both"/>
              <w:rPr>
                <w:rFonts w:ascii="Arial Narrow" w:hAnsi="Arial Narrow" w:cs="Arial"/>
                <w:b/>
                <w:sz w:val="20"/>
                <w:szCs w:val="20"/>
              </w:rPr>
            </w:pPr>
            <w:r w:rsidRPr="0039782C">
              <w:rPr>
                <w:rFonts w:ascii="Arial Narrow" w:hAnsi="Arial Narrow" w:cs="Arial"/>
                <w:b/>
                <w:sz w:val="20"/>
                <w:szCs w:val="20"/>
              </w:rPr>
              <w:t>Qty</w:t>
            </w:r>
          </w:p>
        </w:tc>
        <w:tc>
          <w:tcPr>
            <w:tcW w:w="708" w:type="dxa"/>
            <w:tcBorders>
              <w:bottom w:val="single" w:sz="4" w:space="0" w:color="auto"/>
            </w:tcBorders>
          </w:tcPr>
          <w:p w:rsidR="00CD7723" w:rsidRPr="0039782C" w:rsidRDefault="00CD7723" w:rsidP="00EA0B3B">
            <w:pPr>
              <w:widowControl w:val="0"/>
              <w:ind w:left="-108"/>
              <w:jc w:val="both"/>
              <w:rPr>
                <w:rFonts w:ascii="Arial Narrow" w:hAnsi="Arial Narrow" w:cs="Arial"/>
                <w:b/>
                <w:sz w:val="20"/>
                <w:szCs w:val="20"/>
              </w:rPr>
            </w:pPr>
            <w:r w:rsidRPr="0039782C">
              <w:rPr>
                <w:rFonts w:ascii="Arial Narrow" w:hAnsi="Arial Narrow" w:cs="Arial"/>
                <w:b/>
                <w:sz w:val="20"/>
                <w:szCs w:val="20"/>
              </w:rPr>
              <w:t>№.of</w:t>
            </w:r>
          </w:p>
          <w:p w:rsidR="00CD7723" w:rsidRPr="0039782C" w:rsidRDefault="00CD7723" w:rsidP="00EA0B3B">
            <w:pPr>
              <w:widowControl w:val="0"/>
              <w:ind w:left="-108"/>
              <w:jc w:val="both"/>
              <w:rPr>
                <w:rFonts w:ascii="Arial Narrow" w:hAnsi="Arial Narrow" w:cs="Arial"/>
                <w:b/>
                <w:sz w:val="20"/>
                <w:szCs w:val="20"/>
              </w:rPr>
            </w:pPr>
            <w:r w:rsidRPr="0039782C">
              <w:rPr>
                <w:rFonts w:ascii="Arial Narrow" w:hAnsi="Arial Narrow" w:cs="Arial"/>
                <w:b/>
                <w:sz w:val="20"/>
                <w:szCs w:val="20"/>
              </w:rPr>
              <w:t>Rpts</w:t>
            </w:r>
          </w:p>
        </w:tc>
        <w:tc>
          <w:tcPr>
            <w:tcW w:w="3679" w:type="dxa"/>
            <w:gridSpan w:val="2"/>
            <w:tcBorders>
              <w:bottom w:val="single" w:sz="4" w:space="0" w:color="auto"/>
            </w:tcBorders>
          </w:tcPr>
          <w:p w:rsidR="00CD7723" w:rsidRPr="0039782C" w:rsidRDefault="00CD7723" w:rsidP="00EA0B3B">
            <w:pPr>
              <w:widowControl w:val="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CD7723" w:rsidRPr="00260CE3" w:rsidTr="006D3844">
        <w:trPr>
          <w:trHeight w:val="120"/>
        </w:trPr>
        <w:tc>
          <w:tcPr>
            <w:tcW w:w="3113" w:type="dxa"/>
            <w:gridSpan w:val="2"/>
          </w:tcPr>
          <w:p w:rsidR="00CD7723" w:rsidRPr="00260CE3" w:rsidRDefault="00CD7723" w:rsidP="00EA0B3B">
            <w:pPr>
              <w:widowControl w:val="0"/>
              <w:ind w:left="-108"/>
              <w:jc w:val="both"/>
              <w:rPr>
                <w:rFonts w:ascii="Arial Narrow" w:hAnsi="Arial Narrow" w:cs="Arial"/>
                <w:sz w:val="20"/>
                <w:szCs w:val="20"/>
              </w:rPr>
            </w:pPr>
            <w:r>
              <w:rPr>
                <w:rFonts w:ascii="Arial Narrow" w:hAnsi="Arial Narrow" w:cs="Arial"/>
                <w:smallCaps/>
                <w:sz w:val="20"/>
                <w:szCs w:val="20"/>
              </w:rPr>
              <w:t>EPOPROSTENOL</w:t>
            </w:r>
          </w:p>
          <w:p w:rsidR="00CD7723" w:rsidRDefault="00CD7723" w:rsidP="00EA0B3B">
            <w:pPr>
              <w:widowControl w:val="0"/>
              <w:ind w:left="-108"/>
              <w:jc w:val="both"/>
              <w:rPr>
                <w:rFonts w:ascii="Arial Narrow" w:hAnsi="Arial Narrow" w:cs="Arial"/>
                <w:sz w:val="20"/>
                <w:szCs w:val="20"/>
              </w:rPr>
            </w:pPr>
            <w:r w:rsidRPr="0039008E">
              <w:rPr>
                <w:rFonts w:ascii="Arial Narrow" w:hAnsi="Arial Narrow" w:cs="Arial"/>
                <w:sz w:val="20"/>
                <w:szCs w:val="20"/>
              </w:rPr>
              <w:t xml:space="preserve">epoprostenol 500 microgram injection </w:t>
            </w:r>
          </w:p>
          <w:p w:rsidR="00CD7723" w:rsidRDefault="00CD7723" w:rsidP="00EA0B3B">
            <w:pPr>
              <w:widowControl w:val="0"/>
              <w:ind w:left="-108"/>
              <w:jc w:val="both"/>
              <w:rPr>
                <w:rFonts w:ascii="Arial Narrow" w:hAnsi="Arial Narrow" w:cs="Arial"/>
                <w:sz w:val="20"/>
                <w:szCs w:val="20"/>
              </w:rPr>
            </w:pPr>
            <w:r w:rsidRPr="0039008E">
              <w:rPr>
                <w:rFonts w:ascii="Arial Narrow" w:hAnsi="Arial Narrow" w:cs="Arial"/>
                <w:sz w:val="20"/>
                <w:szCs w:val="20"/>
              </w:rPr>
              <w:t xml:space="preserve">[1 vial] (&amp;) inert substance diluent </w:t>
            </w:r>
          </w:p>
          <w:p w:rsidR="00CD7723" w:rsidRPr="00260CE3" w:rsidRDefault="00CD7723" w:rsidP="00EA0B3B">
            <w:pPr>
              <w:widowControl w:val="0"/>
              <w:ind w:left="-108"/>
              <w:jc w:val="both"/>
              <w:rPr>
                <w:rFonts w:ascii="Arial Narrow" w:hAnsi="Arial Narrow" w:cs="Arial"/>
                <w:sz w:val="20"/>
                <w:szCs w:val="20"/>
              </w:rPr>
            </w:pPr>
            <w:r>
              <w:rPr>
                <w:rFonts w:ascii="Arial Narrow" w:hAnsi="Arial Narrow" w:cs="Arial"/>
                <w:sz w:val="20"/>
                <w:szCs w:val="20"/>
              </w:rPr>
              <w:t xml:space="preserve">[2 x 50 mL </w:t>
            </w:r>
            <w:r w:rsidRPr="0039008E">
              <w:rPr>
                <w:rFonts w:ascii="Arial Narrow" w:hAnsi="Arial Narrow" w:cs="Arial"/>
                <w:sz w:val="20"/>
                <w:szCs w:val="20"/>
              </w:rPr>
              <w:t>vials], 1 pack</w:t>
            </w:r>
          </w:p>
        </w:tc>
        <w:tc>
          <w:tcPr>
            <w:tcW w:w="848" w:type="dxa"/>
          </w:tcPr>
          <w:p w:rsidR="00CD7723" w:rsidRPr="00260CE3" w:rsidRDefault="00CD7723" w:rsidP="00EA0B3B">
            <w:pPr>
              <w:widowControl w:val="0"/>
              <w:ind w:left="-108"/>
              <w:jc w:val="both"/>
              <w:rPr>
                <w:rFonts w:ascii="Arial Narrow" w:hAnsi="Arial Narrow" w:cs="Arial"/>
                <w:sz w:val="20"/>
                <w:szCs w:val="20"/>
              </w:rPr>
            </w:pPr>
          </w:p>
          <w:p w:rsidR="00CD7723" w:rsidRPr="00260CE3" w:rsidRDefault="00CD7723" w:rsidP="00EA0B3B">
            <w:pPr>
              <w:widowControl w:val="0"/>
              <w:ind w:left="-108"/>
              <w:jc w:val="both"/>
              <w:rPr>
                <w:rFonts w:ascii="Arial Narrow" w:hAnsi="Arial Narrow" w:cs="Arial"/>
                <w:sz w:val="20"/>
                <w:szCs w:val="20"/>
              </w:rPr>
            </w:pPr>
            <w:r>
              <w:rPr>
                <w:rFonts w:ascii="Arial Narrow" w:hAnsi="Arial Narrow" w:cs="Arial"/>
                <w:sz w:val="20"/>
                <w:szCs w:val="20"/>
              </w:rPr>
              <w:t>1</w:t>
            </w:r>
          </w:p>
        </w:tc>
        <w:tc>
          <w:tcPr>
            <w:tcW w:w="708" w:type="dxa"/>
          </w:tcPr>
          <w:p w:rsidR="00CD7723" w:rsidRPr="00260CE3" w:rsidRDefault="00CD7723" w:rsidP="00EA0B3B">
            <w:pPr>
              <w:widowControl w:val="0"/>
              <w:ind w:left="-108"/>
              <w:jc w:val="both"/>
              <w:rPr>
                <w:rFonts w:ascii="Arial Narrow" w:hAnsi="Arial Narrow" w:cs="Arial"/>
                <w:sz w:val="20"/>
                <w:szCs w:val="20"/>
              </w:rPr>
            </w:pPr>
          </w:p>
          <w:p w:rsidR="00CD7723" w:rsidRPr="00260CE3" w:rsidRDefault="00CD7723" w:rsidP="00EA0B3B">
            <w:pPr>
              <w:widowControl w:val="0"/>
              <w:ind w:left="-108"/>
              <w:jc w:val="both"/>
              <w:rPr>
                <w:rFonts w:ascii="Arial Narrow" w:hAnsi="Arial Narrow" w:cs="Arial"/>
                <w:sz w:val="20"/>
                <w:szCs w:val="20"/>
              </w:rPr>
            </w:pPr>
            <w:r>
              <w:rPr>
                <w:rFonts w:ascii="Arial Narrow" w:hAnsi="Arial Narrow" w:cs="Arial"/>
                <w:sz w:val="20"/>
                <w:szCs w:val="20"/>
              </w:rPr>
              <w:t>1</w:t>
            </w:r>
          </w:p>
        </w:tc>
        <w:tc>
          <w:tcPr>
            <w:tcW w:w="1274" w:type="dxa"/>
          </w:tcPr>
          <w:p w:rsidR="00CD7723" w:rsidRPr="00260CE3" w:rsidRDefault="00CD7723" w:rsidP="00EA0B3B">
            <w:pPr>
              <w:widowControl w:val="0"/>
              <w:ind w:left="-108"/>
              <w:jc w:val="both"/>
              <w:rPr>
                <w:rFonts w:ascii="Arial Narrow" w:hAnsi="Arial Narrow" w:cs="Arial"/>
                <w:sz w:val="20"/>
                <w:szCs w:val="20"/>
              </w:rPr>
            </w:pPr>
          </w:p>
          <w:p w:rsidR="00CD7723" w:rsidRPr="00260CE3" w:rsidRDefault="00CD7723" w:rsidP="00EA0B3B">
            <w:pPr>
              <w:widowControl w:val="0"/>
              <w:ind w:left="-108"/>
              <w:jc w:val="both"/>
              <w:rPr>
                <w:rFonts w:ascii="Arial Narrow" w:hAnsi="Arial Narrow" w:cs="Arial"/>
                <w:sz w:val="20"/>
                <w:szCs w:val="20"/>
              </w:rPr>
            </w:pPr>
            <w:r w:rsidRPr="00E62763">
              <w:rPr>
                <w:rFonts w:ascii="Arial Narrow" w:hAnsi="Arial Narrow" w:cs="Arial"/>
                <w:sz w:val="20"/>
                <w:szCs w:val="20"/>
              </w:rPr>
              <w:t>Flolan®</w:t>
            </w:r>
          </w:p>
        </w:tc>
        <w:tc>
          <w:tcPr>
            <w:tcW w:w="2405" w:type="dxa"/>
          </w:tcPr>
          <w:p w:rsidR="00CD7723" w:rsidRDefault="00CD7723" w:rsidP="00EA0B3B">
            <w:pPr>
              <w:widowControl w:val="0"/>
              <w:jc w:val="both"/>
              <w:rPr>
                <w:rFonts w:ascii="Arial Narrow" w:hAnsi="Arial Narrow" w:cs="Arial"/>
                <w:sz w:val="20"/>
                <w:szCs w:val="20"/>
              </w:rPr>
            </w:pPr>
          </w:p>
          <w:p w:rsidR="00CD7723" w:rsidRPr="00260CE3" w:rsidRDefault="00CD7723" w:rsidP="00EA0B3B">
            <w:pPr>
              <w:widowControl w:val="0"/>
              <w:jc w:val="both"/>
              <w:rPr>
                <w:rFonts w:ascii="Arial Narrow" w:hAnsi="Arial Narrow" w:cs="Arial"/>
                <w:sz w:val="20"/>
                <w:szCs w:val="20"/>
              </w:rPr>
            </w:pPr>
            <w:r>
              <w:rPr>
                <w:rFonts w:ascii="Arial Narrow" w:hAnsi="Arial Narrow" w:cs="Arial"/>
                <w:sz w:val="20"/>
                <w:szCs w:val="20"/>
              </w:rPr>
              <w:t>GlaxoSmithKline Australia Pty Ltd</w:t>
            </w:r>
          </w:p>
        </w:tc>
      </w:tr>
      <w:tr w:rsidR="00CD7723" w:rsidRPr="00260CE3" w:rsidTr="006D3844">
        <w:trPr>
          <w:trHeight w:val="75"/>
        </w:trPr>
        <w:tc>
          <w:tcPr>
            <w:tcW w:w="8348" w:type="dxa"/>
            <w:gridSpan w:val="6"/>
            <w:tcBorders>
              <w:bottom w:val="single" w:sz="4" w:space="0" w:color="auto"/>
            </w:tcBorders>
          </w:tcPr>
          <w:p w:rsidR="00CD7723" w:rsidRPr="00260CE3" w:rsidRDefault="00CD7723" w:rsidP="00EA0B3B">
            <w:pPr>
              <w:widowControl w:val="0"/>
              <w:jc w:val="both"/>
              <w:rPr>
                <w:rFonts w:ascii="Arial Narrow" w:hAnsi="Arial Narrow" w:cs="Arial"/>
                <w:sz w:val="20"/>
                <w:szCs w:val="20"/>
              </w:rPr>
            </w:pPr>
          </w:p>
        </w:tc>
      </w:tr>
      <w:tr w:rsidR="00CD7723" w:rsidRPr="00260CE3" w:rsidTr="006D3844">
        <w:trPr>
          <w:trHeight w:val="75"/>
        </w:trPr>
        <w:tc>
          <w:tcPr>
            <w:tcW w:w="1981" w:type="dxa"/>
            <w:tcBorders>
              <w:top w:val="single" w:sz="4" w:space="0" w:color="auto"/>
              <w:left w:val="single" w:sz="4" w:space="0" w:color="auto"/>
              <w:bottom w:val="single" w:sz="4" w:space="0" w:color="auto"/>
              <w:right w:val="single" w:sz="4" w:space="0" w:color="auto"/>
            </w:tcBorders>
          </w:tcPr>
          <w:p w:rsidR="00CD7723" w:rsidRPr="00260CE3" w:rsidRDefault="00CD7723" w:rsidP="00EA0B3B">
            <w:pPr>
              <w:widowControl w:val="0"/>
              <w:jc w:val="both"/>
              <w:rPr>
                <w:rFonts w:ascii="Arial Narrow" w:hAnsi="Arial Narrow" w:cs="Arial"/>
                <w:b/>
                <w:sz w:val="20"/>
                <w:szCs w:val="20"/>
              </w:rPr>
            </w:pPr>
            <w:r w:rsidRPr="00260CE3">
              <w:rPr>
                <w:rFonts w:ascii="Arial Narrow" w:hAnsi="Arial Narrow" w:cs="Arial"/>
                <w:b/>
                <w:sz w:val="20"/>
                <w:szCs w:val="20"/>
              </w:rPr>
              <w:t xml:space="preserve">Category / </w:t>
            </w:r>
          </w:p>
          <w:p w:rsidR="00CD7723" w:rsidRPr="00260CE3" w:rsidRDefault="00CD7723" w:rsidP="00EA0B3B">
            <w:pPr>
              <w:widowControl w:val="0"/>
              <w:jc w:val="both"/>
              <w:rPr>
                <w:rFonts w:ascii="Arial Narrow" w:hAnsi="Arial Narrow" w:cs="Arial"/>
                <w:b/>
                <w:sz w:val="20"/>
                <w:szCs w:val="20"/>
              </w:rPr>
            </w:pPr>
            <w:r w:rsidRPr="00260CE3">
              <w:rPr>
                <w:rFonts w:ascii="Arial Narrow" w:hAnsi="Arial Narrow" w:cs="Arial"/>
                <w:b/>
                <w:sz w:val="20"/>
                <w:szCs w:val="20"/>
              </w:rPr>
              <w:t>Program</w:t>
            </w:r>
          </w:p>
        </w:tc>
        <w:tc>
          <w:tcPr>
            <w:tcW w:w="6367" w:type="dxa"/>
            <w:gridSpan w:val="5"/>
            <w:tcBorders>
              <w:top w:val="single" w:sz="4" w:space="0" w:color="auto"/>
              <w:left w:val="single" w:sz="4" w:space="0" w:color="auto"/>
              <w:bottom w:val="single" w:sz="4" w:space="0" w:color="auto"/>
              <w:right w:val="single" w:sz="4" w:space="0" w:color="auto"/>
            </w:tcBorders>
          </w:tcPr>
          <w:p w:rsidR="00CD7723" w:rsidRPr="00260CE3" w:rsidRDefault="00CD7723" w:rsidP="00EA0B3B">
            <w:pPr>
              <w:widowControl w:val="0"/>
              <w:rPr>
                <w:rFonts w:ascii="Arial Narrow" w:hAnsi="Arial Narrow" w:cs="Arial"/>
                <w:sz w:val="20"/>
                <w:szCs w:val="20"/>
              </w:rPr>
            </w:pPr>
            <w:r w:rsidRPr="00260CE3">
              <w:rPr>
                <w:rFonts w:ascii="Arial Narrow" w:hAnsi="Arial Narrow" w:cs="Arial"/>
                <w:sz w:val="20"/>
                <w:szCs w:val="20"/>
              </w:rPr>
              <w:t>Section 100 – Highly Specialised Drugs Program</w:t>
            </w:r>
          </w:p>
          <w:p w:rsidR="00CD7723" w:rsidRPr="00260CE3" w:rsidRDefault="00CD7723" w:rsidP="00EA0B3B">
            <w:pPr>
              <w:widowControl w:val="0"/>
              <w:rPr>
                <w:rFonts w:ascii="Arial Narrow" w:hAnsi="Arial Narrow" w:cs="Arial"/>
                <w:sz w:val="20"/>
                <w:szCs w:val="20"/>
              </w:rPr>
            </w:pPr>
          </w:p>
        </w:tc>
      </w:tr>
      <w:tr w:rsidR="00CD7723" w:rsidRPr="00260CE3" w:rsidTr="006D3844">
        <w:trPr>
          <w:trHeight w:val="75"/>
        </w:trPr>
        <w:tc>
          <w:tcPr>
            <w:tcW w:w="1981" w:type="dxa"/>
            <w:tcBorders>
              <w:top w:val="single" w:sz="4" w:space="0" w:color="auto"/>
              <w:left w:val="single" w:sz="4" w:space="0" w:color="auto"/>
              <w:bottom w:val="single" w:sz="4" w:space="0" w:color="auto"/>
              <w:right w:val="single" w:sz="4" w:space="0" w:color="auto"/>
            </w:tcBorders>
          </w:tcPr>
          <w:p w:rsidR="00CD7723" w:rsidRPr="00260CE3" w:rsidRDefault="00CD7723" w:rsidP="00EA0B3B">
            <w:pPr>
              <w:widowControl w:val="0"/>
              <w:jc w:val="both"/>
              <w:rPr>
                <w:rFonts w:ascii="Arial Narrow" w:hAnsi="Arial Narrow" w:cs="Arial"/>
                <w:b/>
                <w:sz w:val="20"/>
                <w:szCs w:val="20"/>
              </w:rPr>
            </w:pPr>
            <w:r w:rsidRPr="00260CE3">
              <w:rPr>
                <w:rFonts w:ascii="Arial Narrow" w:hAnsi="Arial Narrow" w:cs="Arial"/>
                <w:b/>
                <w:sz w:val="20"/>
                <w:szCs w:val="20"/>
              </w:rPr>
              <w:t>Prescriber type:</w:t>
            </w:r>
          </w:p>
        </w:tc>
        <w:tc>
          <w:tcPr>
            <w:tcW w:w="6367" w:type="dxa"/>
            <w:gridSpan w:val="5"/>
            <w:tcBorders>
              <w:top w:val="single" w:sz="4" w:space="0" w:color="auto"/>
              <w:left w:val="single" w:sz="4" w:space="0" w:color="auto"/>
              <w:bottom w:val="single" w:sz="4" w:space="0" w:color="auto"/>
              <w:right w:val="single" w:sz="4" w:space="0" w:color="auto"/>
            </w:tcBorders>
          </w:tcPr>
          <w:p w:rsidR="00CD7723" w:rsidRPr="00260CE3" w:rsidRDefault="00CD7723" w:rsidP="00EA0B3B">
            <w:pPr>
              <w:widowControl w:val="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CD7723" w:rsidRPr="00260CE3" w:rsidRDefault="00CD7723" w:rsidP="00EA0B3B">
            <w:pPr>
              <w:widowControl w:val="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CD7723" w:rsidRPr="00260CE3" w:rsidTr="006D3844">
        <w:trPr>
          <w:trHeight w:val="75"/>
        </w:trPr>
        <w:tc>
          <w:tcPr>
            <w:tcW w:w="1981" w:type="dxa"/>
            <w:tcBorders>
              <w:top w:val="single" w:sz="4" w:space="0" w:color="auto"/>
              <w:left w:val="single" w:sz="4" w:space="0" w:color="auto"/>
              <w:bottom w:val="single" w:sz="4" w:space="0" w:color="auto"/>
              <w:right w:val="single" w:sz="4" w:space="0" w:color="auto"/>
            </w:tcBorders>
          </w:tcPr>
          <w:p w:rsidR="00CD7723" w:rsidRPr="00260CE3" w:rsidRDefault="00CD7723" w:rsidP="00EA0B3B">
            <w:pPr>
              <w:widowControl w:val="0"/>
              <w:jc w:val="both"/>
              <w:rPr>
                <w:rFonts w:ascii="Arial Narrow" w:hAnsi="Arial Narrow" w:cs="Arial"/>
                <w:b/>
                <w:sz w:val="20"/>
                <w:szCs w:val="20"/>
              </w:rPr>
            </w:pPr>
            <w:r w:rsidRPr="00260CE3">
              <w:rPr>
                <w:rFonts w:ascii="Arial Narrow" w:hAnsi="Arial Narrow" w:cs="Arial"/>
                <w:b/>
                <w:sz w:val="20"/>
                <w:szCs w:val="20"/>
              </w:rPr>
              <w:t>PBS Indication:</w:t>
            </w:r>
          </w:p>
        </w:tc>
        <w:tc>
          <w:tcPr>
            <w:tcW w:w="6367" w:type="dxa"/>
            <w:gridSpan w:val="5"/>
            <w:tcBorders>
              <w:top w:val="single" w:sz="4" w:space="0" w:color="auto"/>
              <w:left w:val="single" w:sz="4" w:space="0" w:color="auto"/>
              <w:bottom w:val="single" w:sz="4" w:space="0" w:color="auto"/>
              <w:right w:val="single" w:sz="4" w:space="0" w:color="auto"/>
            </w:tcBorders>
          </w:tcPr>
          <w:p w:rsidR="00CD7723" w:rsidRPr="00260CE3" w:rsidRDefault="00CD7723" w:rsidP="00EA0B3B">
            <w:pPr>
              <w:widowControl w:val="0"/>
              <w:rPr>
                <w:rFonts w:ascii="Arial Narrow" w:hAnsi="Arial Narrow" w:cs="Arial"/>
                <w:sz w:val="20"/>
                <w:szCs w:val="20"/>
              </w:rPr>
            </w:pPr>
            <w:r>
              <w:rPr>
                <w:rFonts w:ascii="Arial Narrow" w:hAnsi="Arial Narrow" w:cs="Arial"/>
                <w:sz w:val="20"/>
                <w:szCs w:val="20"/>
              </w:rPr>
              <w:t>Pulmonary arterial hypertension (PAH)</w:t>
            </w:r>
          </w:p>
        </w:tc>
      </w:tr>
      <w:tr w:rsidR="00CD7723" w:rsidRPr="00260CE3" w:rsidTr="006D3844">
        <w:trPr>
          <w:trHeight w:val="75"/>
        </w:trPr>
        <w:tc>
          <w:tcPr>
            <w:tcW w:w="1981" w:type="dxa"/>
            <w:tcBorders>
              <w:top w:val="single" w:sz="4" w:space="0" w:color="auto"/>
              <w:left w:val="single" w:sz="4" w:space="0" w:color="auto"/>
              <w:bottom w:val="single" w:sz="4" w:space="0" w:color="auto"/>
              <w:right w:val="single" w:sz="4" w:space="0" w:color="auto"/>
            </w:tcBorders>
          </w:tcPr>
          <w:p w:rsidR="00CD7723" w:rsidRPr="000B7B05" w:rsidRDefault="00CD7723" w:rsidP="00EA0B3B">
            <w:pPr>
              <w:widowControl w:val="0"/>
              <w:jc w:val="both"/>
              <w:rPr>
                <w:rFonts w:ascii="Arial Narrow" w:hAnsi="Arial Narrow" w:cs="Arial"/>
                <w:b/>
                <w:sz w:val="20"/>
                <w:szCs w:val="20"/>
              </w:rPr>
            </w:pPr>
            <w:r w:rsidRPr="00260CE3">
              <w:rPr>
                <w:rFonts w:ascii="Arial Narrow" w:hAnsi="Arial Narrow" w:cs="Arial"/>
                <w:b/>
                <w:sz w:val="20"/>
                <w:szCs w:val="20"/>
              </w:rPr>
              <w:t>Treatment phase:</w:t>
            </w:r>
          </w:p>
        </w:tc>
        <w:tc>
          <w:tcPr>
            <w:tcW w:w="6367" w:type="dxa"/>
            <w:gridSpan w:val="5"/>
            <w:tcBorders>
              <w:top w:val="single" w:sz="4" w:space="0" w:color="auto"/>
              <w:left w:val="single" w:sz="4" w:space="0" w:color="auto"/>
              <w:bottom w:val="single" w:sz="4" w:space="0" w:color="auto"/>
              <w:right w:val="single" w:sz="4" w:space="0" w:color="auto"/>
            </w:tcBorders>
          </w:tcPr>
          <w:p w:rsidR="00CD7723" w:rsidRPr="00260CE3" w:rsidRDefault="00CD7723" w:rsidP="00EA0B3B">
            <w:pPr>
              <w:widowControl w:val="0"/>
              <w:rPr>
                <w:rFonts w:ascii="Arial Narrow" w:hAnsi="Arial Narrow" w:cs="Arial"/>
                <w:sz w:val="20"/>
                <w:szCs w:val="20"/>
              </w:rPr>
            </w:pPr>
            <w:r>
              <w:rPr>
                <w:rFonts w:ascii="Arial Narrow" w:hAnsi="Arial Narrow" w:cs="Arial"/>
                <w:sz w:val="20"/>
                <w:szCs w:val="20"/>
              </w:rPr>
              <w:t>Initial 2 (change or re-commencement of therapy for all patients)</w:t>
            </w:r>
          </w:p>
        </w:tc>
      </w:tr>
      <w:tr w:rsidR="00CD7723" w:rsidRPr="00260CE3" w:rsidTr="006D3844">
        <w:trPr>
          <w:trHeight w:val="75"/>
        </w:trPr>
        <w:tc>
          <w:tcPr>
            <w:tcW w:w="1981" w:type="dxa"/>
            <w:tcBorders>
              <w:top w:val="single" w:sz="4" w:space="0" w:color="auto"/>
              <w:left w:val="single" w:sz="4" w:space="0" w:color="auto"/>
              <w:bottom w:val="single" w:sz="4" w:space="0" w:color="auto"/>
              <w:right w:val="single" w:sz="4" w:space="0" w:color="auto"/>
            </w:tcBorders>
          </w:tcPr>
          <w:p w:rsidR="00CD7723" w:rsidRPr="00260CE3" w:rsidRDefault="00CD7723" w:rsidP="00EA0B3B">
            <w:pPr>
              <w:widowControl w:val="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CD7723" w:rsidRPr="00260CE3" w:rsidRDefault="00CD7723" w:rsidP="00EA0B3B">
            <w:pPr>
              <w:widowControl w:val="0"/>
              <w:rPr>
                <w:rFonts w:ascii="Arial Narrow" w:hAnsi="Arial Narrow" w:cs="Arial"/>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CD7723" w:rsidRPr="00106BCF" w:rsidRDefault="00CD7723" w:rsidP="00EA0B3B">
            <w:pPr>
              <w:widowControl w:val="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CD7723" w:rsidRPr="00106BCF" w:rsidRDefault="00CD7723" w:rsidP="00EA0B3B">
            <w:pPr>
              <w:widowControl w:val="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CD7723" w:rsidRPr="00106BCF" w:rsidRDefault="00CD7723" w:rsidP="00EA0B3B">
            <w:pPr>
              <w:widowControl w:val="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CD7723" w:rsidRPr="00106BCF" w:rsidRDefault="00CD7723" w:rsidP="00EA0B3B">
            <w:pPr>
              <w:widowControl w:val="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CD7723" w:rsidRPr="00106BCF" w:rsidRDefault="00CD7723" w:rsidP="00EA0B3B">
            <w:pPr>
              <w:widowControl w:val="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CD7723" w:rsidRPr="00260CE3" w:rsidRDefault="00CD7723" w:rsidP="00EA0B3B">
            <w:pPr>
              <w:widowControl w:val="0"/>
              <w:rPr>
                <w:rFonts w:ascii="Arial Narrow" w:hAnsi="Arial Narrow" w:cs="Arial"/>
                <w:sz w:val="20"/>
                <w:szCs w:val="20"/>
              </w:rPr>
            </w:pPr>
            <w:r w:rsidRPr="00106BCF">
              <w:rPr>
                <w:rFonts w:ascii="Arial Narrow" w:hAnsi="Arial Narrow" w:cs="Arial"/>
                <w:sz w:val="20"/>
                <w:szCs w:val="20"/>
              </w:rPr>
              <w:lastRenderedPageBreak/>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CD7723" w:rsidRPr="00260CE3" w:rsidTr="006D3844">
        <w:trPr>
          <w:trHeight w:val="1888"/>
        </w:trPr>
        <w:tc>
          <w:tcPr>
            <w:tcW w:w="1981" w:type="dxa"/>
            <w:tcBorders>
              <w:top w:val="single" w:sz="4" w:space="0" w:color="auto"/>
              <w:left w:val="single" w:sz="4" w:space="0" w:color="auto"/>
              <w:bottom w:val="single" w:sz="4" w:space="0" w:color="auto"/>
              <w:right w:val="single" w:sz="4" w:space="0" w:color="auto"/>
            </w:tcBorders>
          </w:tcPr>
          <w:p w:rsidR="00CD7723" w:rsidRPr="00260CE3" w:rsidRDefault="00CD7723" w:rsidP="00EA0B3B">
            <w:pPr>
              <w:widowControl w:val="0"/>
              <w:jc w:val="both"/>
              <w:rPr>
                <w:rFonts w:ascii="Arial Narrow" w:hAnsi="Arial Narrow" w:cs="Arial"/>
                <w:b/>
                <w:sz w:val="20"/>
                <w:szCs w:val="20"/>
              </w:rPr>
            </w:pPr>
            <w:r w:rsidRPr="00260CE3">
              <w:rPr>
                <w:rFonts w:ascii="Arial Narrow" w:hAnsi="Arial Narrow" w:cs="Arial"/>
                <w:b/>
                <w:sz w:val="20"/>
                <w:szCs w:val="20"/>
              </w:rPr>
              <w:lastRenderedPageBreak/>
              <w:t>Clinical criteria:</w:t>
            </w:r>
          </w:p>
          <w:p w:rsidR="00CD7723" w:rsidRPr="00260CE3" w:rsidRDefault="00CD7723" w:rsidP="00EA0B3B">
            <w:pPr>
              <w:widowControl w:val="0"/>
              <w:jc w:val="both"/>
              <w:rPr>
                <w:rFonts w:ascii="Arial Narrow" w:hAnsi="Arial Narrow" w:cs="Arial"/>
                <w:i/>
                <w:sz w:val="20"/>
                <w:szCs w:val="20"/>
              </w:rPr>
            </w:pPr>
          </w:p>
          <w:p w:rsidR="00CD7723" w:rsidRPr="00260CE3" w:rsidRDefault="00CD7723" w:rsidP="00EA0B3B">
            <w:pPr>
              <w:widowControl w:val="0"/>
              <w:jc w:val="both"/>
              <w:rPr>
                <w:rFonts w:ascii="Arial Narrow" w:hAnsi="Arial Narrow" w:cs="Arial"/>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CD7723" w:rsidRDefault="00CD7723" w:rsidP="00EA0B3B">
            <w:pPr>
              <w:widowControl w:val="0"/>
              <w:jc w:val="both"/>
              <w:rPr>
                <w:rFonts w:ascii="Arial Narrow" w:hAnsi="Arial Narrow" w:cs="Arial"/>
                <w:sz w:val="20"/>
                <w:szCs w:val="20"/>
              </w:rPr>
            </w:pPr>
            <w:r w:rsidRPr="00CD7723">
              <w:rPr>
                <w:rFonts w:ascii="Arial Narrow" w:hAnsi="Arial Narrow" w:cs="Arial"/>
                <w:sz w:val="20"/>
                <w:szCs w:val="20"/>
              </w:rPr>
              <w:t xml:space="preserve">Patient must have idiopathic pulmonary arterial hypertension (iPAH) or anorexigen-induced PAH or hereditable PAH or PAH secondary to connective tissue disease and must wish to re-commence PBS-subsidised therapy with this agent after a break in therapy and must have demonstrated a response to their most recent course of PBS-subsidised treatment with this agent; </w:t>
            </w:r>
          </w:p>
          <w:p w:rsidR="00CD7723" w:rsidRDefault="00CD7723" w:rsidP="00EA0B3B">
            <w:pPr>
              <w:widowControl w:val="0"/>
              <w:jc w:val="both"/>
              <w:rPr>
                <w:rFonts w:ascii="Arial Narrow" w:hAnsi="Arial Narrow" w:cs="Arial"/>
                <w:sz w:val="20"/>
                <w:szCs w:val="20"/>
              </w:rPr>
            </w:pPr>
          </w:p>
          <w:p w:rsidR="00CD7723" w:rsidRDefault="00CD7723" w:rsidP="00EA0B3B">
            <w:pPr>
              <w:widowControl w:val="0"/>
              <w:jc w:val="both"/>
              <w:rPr>
                <w:rFonts w:ascii="Arial Narrow" w:hAnsi="Arial Narrow" w:cs="Arial"/>
                <w:sz w:val="20"/>
                <w:szCs w:val="20"/>
              </w:rPr>
            </w:pPr>
            <w:r w:rsidRPr="00CD7723">
              <w:rPr>
                <w:rFonts w:ascii="Arial Narrow" w:hAnsi="Arial Narrow" w:cs="Arial"/>
                <w:sz w:val="20"/>
                <w:szCs w:val="20"/>
              </w:rPr>
              <w:t>OR</w:t>
            </w:r>
          </w:p>
          <w:p w:rsidR="00CD7723" w:rsidRDefault="00CD7723" w:rsidP="00EA0B3B">
            <w:pPr>
              <w:widowControl w:val="0"/>
              <w:jc w:val="both"/>
              <w:rPr>
                <w:rFonts w:ascii="Arial Narrow" w:hAnsi="Arial Narrow" w:cs="Arial"/>
                <w:sz w:val="20"/>
                <w:szCs w:val="20"/>
              </w:rPr>
            </w:pPr>
          </w:p>
          <w:p w:rsidR="00CD7723" w:rsidRDefault="00CD7723" w:rsidP="00EA0B3B">
            <w:pPr>
              <w:widowControl w:val="0"/>
              <w:jc w:val="both"/>
              <w:rPr>
                <w:rFonts w:ascii="Arial Narrow" w:hAnsi="Arial Narrow" w:cs="Arial"/>
                <w:sz w:val="20"/>
                <w:szCs w:val="20"/>
              </w:rPr>
            </w:pPr>
            <w:r w:rsidRPr="00CD7723">
              <w:rPr>
                <w:rFonts w:ascii="Arial Narrow" w:hAnsi="Arial Narrow" w:cs="Arial"/>
                <w:sz w:val="20"/>
                <w:szCs w:val="20"/>
              </w:rPr>
              <w:t xml:space="preserve">Patient must have WHO Functional Class IV idiopathic pulmonary arterial hypertension (iPAH) or anorexigen-induced PAH or hereditable PAH or PAH secondary to connective tissue disease and must have received prior treatment with a PBS-subsidised PAH agent other than this agent; </w:t>
            </w:r>
          </w:p>
          <w:p w:rsidR="00CD7723" w:rsidRDefault="00CD7723" w:rsidP="00EA0B3B">
            <w:pPr>
              <w:widowControl w:val="0"/>
              <w:jc w:val="both"/>
              <w:rPr>
                <w:rFonts w:ascii="Arial Narrow" w:hAnsi="Arial Narrow" w:cs="Arial"/>
                <w:sz w:val="20"/>
                <w:szCs w:val="20"/>
              </w:rPr>
            </w:pPr>
          </w:p>
          <w:p w:rsidR="00CD7723" w:rsidRDefault="00CD7723" w:rsidP="00EA0B3B">
            <w:pPr>
              <w:widowControl w:val="0"/>
              <w:jc w:val="both"/>
              <w:rPr>
                <w:rFonts w:ascii="Arial Narrow" w:hAnsi="Arial Narrow" w:cs="Arial"/>
                <w:sz w:val="20"/>
                <w:szCs w:val="20"/>
              </w:rPr>
            </w:pPr>
            <w:r w:rsidRPr="00CD7723">
              <w:rPr>
                <w:rFonts w:ascii="Arial Narrow" w:hAnsi="Arial Narrow" w:cs="Arial"/>
                <w:sz w:val="20"/>
                <w:szCs w:val="20"/>
              </w:rPr>
              <w:t>OR</w:t>
            </w:r>
          </w:p>
          <w:p w:rsidR="00CD7723" w:rsidRDefault="00CD7723" w:rsidP="00EA0B3B">
            <w:pPr>
              <w:widowControl w:val="0"/>
              <w:jc w:val="both"/>
              <w:rPr>
                <w:rFonts w:ascii="Arial Narrow" w:hAnsi="Arial Narrow" w:cs="Arial"/>
                <w:sz w:val="20"/>
                <w:szCs w:val="20"/>
              </w:rPr>
            </w:pPr>
          </w:p>
          <w:p w:rsidR="00CD7723" w:rsidRDefault="00CD7723" w:rsidP="00EA0B3B">
            <w:pPr>
              <w:widowControl w:val="0"/>
              <w:jc w:val="both"/>
              <w:rPr>
                <w:rFonts w:ascii="Arial Narrow" w:hAnsi="Arial Narrow" w:cs="Arial"/>
                <w:sz w:val="20"/>
                <w:szCs w:val="20"/>
              </w:rPr>
            </w:pPr>
            <w:r w:rsidRPr="00CD7723">
              <w:rPr>
                <w:rFonts w:ascii="Arial Narrow" w:hAnsi="Arial Narrow" w:cs="Arial"/>
                <w:sz w:val="20"/>
                <w:szCs w:val="20"/>
              </w:rPr>
              <w:t>Patient must have WHO Functional Class III idiopathic pulmonary arterial hypertension (iPAH) or anorexigen-induced PAH or hereditable PAH or PAH secondary to connective tissue disease and must have failed to respond to a prior PBS-subsidised PAH agent</w:t>
            </w:r>
            <w:r>
              <w:rPr>
                <w:rFonts w:ascii="Arial Narrow" w:hAnsi="Arial Narrow" w:cs="Arial"/>
                <w:sz w:val="20"/>
                <w:szCs w:val="20"/>
              </w:rPr>
              <w:t>;</w:t>
            </w:r>
          </w:p>
          <w:p w:rsidR="00CD7723" w:rsidRDefault="00CD7723" w:rsidP="00EA0B3B">
            <w:pPr>
              <w:widowControl w:val="0"/>
              <w:jc w:val="both"/>
              <w:rPr>
                <w:rFonts w:ascii="Arial Narrow" w:hAnsi="Arial Narrow" w:cs="Arial"/>
                <w:sz w:val="20"/>
                <w:szCs w:val="20"/>
              </w:rPr>
            </w:pPr>
          </w:p>
          <w:p w:rsidR="00CD7723" w:rsidRDefault="00CD7723" w:rsidP="00EA0B3B">
            <w:pPr>
              <w:widowControl w:val="0"/>
              <w:jc w:val="both"/>
              <w:rPr>
                <w:rFonts w:ascii="Arial Narrow" w:hAnsi="Arial Narrow" w:cs="Arial"/>
                <w:sz w:val="20"/>
                <w:szCs w:val="20"/>
              </w:rPr>
            </w:pPr>
            <w:r>
              <w:rPr>
                <w:rFonts w:ascii="Arial Narrow" w:hAnsi="Arial Narrow" w:cs="Arial"/>
                <w:sz w:val="20"/>
                <w:szCs w:val="20"/>
              </w:rPr>
              <w:t>AND</w:t>
            </w:r>
          </w:p>
          <w:p w:rsidR="00CD7723" w:rsidRDefault="00CD7723" w:rsidP="00EA0B3B">
            <w:pPr>
              <w:widowControl w:val="0"/>
              <w:jc w:val="both"/>
              <w:rPr>
                <w:rFonts w:ascii="Arial Narrow" w:hAnsi="Arial Narrow" w:cs="Arial"/>
                <w:sz w:val="20"/>
                <w:szCs w:val="20"/>
              </w:rPr>
            </w:pPr>
          </w:p>
          <w:p w:rsidR="00CD7723" w:rsidRPr="00260CE3" w:rsidRDefault="00CD7723" w:rsidP="00EA0B3B">
            <w:pPr>
              <w:widowControl w:val="0"/>
              <w:jc w:val="both"/>
              <w:rPr>
                <w:rFonts w:ascii="Arial Narrow" w:hAnsi="Arial Narrow" w:cs="Arial"/>
                <w:sz w:val="20"/>
                <w:szCs w:val="20"/>
              </w:rPr>
            </w:pPr>
            <w:r w:rsidRPr="00CD7723">
              <w:rPr>
                <w:rFonts w:ascii="Arial Narrow" w:hAnsi="Arial Narrow" w:cs="Arial"/>
                <w:sz w:val="20"/>
                <w:szCs w:val="20"/>
              </w:rPr>
              <w:t>The treatment must be the sole PBS-subsidised PAH agent for this condition.</w:t>
            </w:r>
          </w:p>
        </w:tc>
      </w:tr>
      <w:tr w:rsidR="00CD7723" w:rsidRPr="00260CE3" w:rsidTr="006D3844">
        <w:trPr>
          <w:trHeight w:val="70"/>
        </w:trPr>
        <w:tc>
          <w:tcPr>
            <w:tcW w:w="1981" w:type="dxa"/>
            <w:tcBorders>
              <w:top w:val="single" w:sz="4" w:space="0" w:color="auto"/>
              <w:left w:val="single" w:sz="4" w:space="0" w:color="auto"/>
              <w:bottom w:val="single" w:sz="4" w:space="0" w:color="auto"/>
              <w:right w:val="single" w:sz="4" w:space="0" w:color="auto"/>
            </w:tcBorders>
          </w:tcPr>
          <w:p w:rsidR="00CD7723" w:rsidRPr="00260CE3" w:rsidRDefault="00CD7723" w:rsidP="00EA0B3B">
            <w:pPr>
              <w:widowControl w:val="0"/>
              <w:jc w:val="both"/>
              <w:rPr>
                <w:rFonts w:ascii="Arial Narrow" w:hAnsi="Arial Narrow" w:cs="Arial"/>
                <w:b/>
                <w:sz w:val="20"/>
                <w:szCs w:val="20"/>
              </w:rPr>
            </w:pPr>
            <w:r w:rsidRPr="00260CE3">
              <w:rPr>
                <w:rFonts w:ascii="Arial Narrow" w:hAnsi="Arial Narrow" w:cs="Arial"/>
                <w:b/>
                <w:sz w:val="20"/>
                <w:szCs w:val="20"/>
              </w:rPr>
              <w:t>Prescriber Instructions</w:t>
            </w:r>
          </w:p>
          <w:p w:rsidR="00CD7723" w:rsidRPr="00260CE3" w:rsidRDefault="00CD7723" w:rsidP="00EA0B3B">
            <w:pPr>
              <w:widowControl w:val="0"/>
              <w:jc w:val="both"/>
              <w:rPr>
                <w:rFonts w:ascii="Arial Narrow" w:hAnsi="Arial Narrow" w:cs="Arial"/>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Applications for authorisation must be in writing and must include:</w:t>
            </w: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(1) a completed authority prescription form; and</w:t>
            </w: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(2) a completed Pulmonary Arterial Hypertension PBS Authority Application - Supporting Information form; and</w:t>
            </w: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(3) the results of the patient's response to treatment with their last course of PBS-subsidised PAH agent; and</w:t>
            </w: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(4) for WHO Functional Class III patients, where this is the first application for this agent, assessment details of the PBS-subsidised PAH agent they have failed to respond to.</w:t>
            </w: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Where fewer than 3 tests are able to be performed on clinical grounds, a patient specific reason outlining why the particular test(s) could not be conducted must be provided with the authority application.</w:t>
            </w:r>
          </w:p>
          <w:p w:rsidR="00CD7723" w:rsidRDefault="006D3844" w:rsidP="00EA0B3B">
            <w:pPr>
              <w:widowControl w:val="0"/>
              <w:rPr>
                <w:rFonts w:ascii="Arial Narrow" w:hAnsi="Arial Narrow" w:cs="Arial"/>
                <w:sz w:val="20"/>
                <w:szCs w:val="20"/>
              </w:rPr>
            </w:pPr>
            <w:r w:rsidRPr="006D3844">
              <w:rPr>
                <w:rFonts w:ascii="Arial Narrow" w:hAnsi="Arial Narrow" w:cs="Arial"/>
                <w:sz w:val="20"/>
                <w:szCs w:val="20"/>
              </w:rPr>
              <w:t>The test results provided must not be more than 2 months old at the time of application.</w:t>
            </w:r>
          </w:p>
          <w:p w:rsidR="006D3844" w:rsidRDefault="006D3844" w:rsidP="00EA0B3B">
            <w:pPr>
              <w:widowControl w:val="0"/>
              <w:rPr>
                <w:rFonts w:ascii="Arial Narrow" w:hAnsi="Arial Narrow" w:cs="Arial"/>
                <w:sz w:val="20"/>
                <w:szCs w:val="20"/>
              </w:rPr>
            </w:pP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Response to a PAH agent is defined as follows:</w:t>
            </w: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For patients with two or more baseline tests, response to treatment is defined as two or more tests demonstrating stability or improvement of disease, as assessed by a physician from a designated hospital.</w:t>
            </w: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For patients with a RHC composite assessment alone at baseline, response to treatment is defined as a RHC result demonstrating stability or improvement of disease, as assessed by a physician from a designated hospital.</w:t>
            </w: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For patients with an ECHO composite assessment alone at baseline, response to treatment is defined as an ECHO result demonstrating stability or improvement of disease, as assessed by a physician from a designated hospital.</w:t>
            </w:r>
          </w:p>
          <w:p w:rsidR="006D3844" w:rsidRDefault="006D3844" w:rsidP="00EA0B3B">
            <w:pPr>
              <w:widowControl w:val="0"/>
              <w:rPr>
                <w:rFonts w:ascii="Arial Narrow" w:hAnsi="Arial Narrow" w:cs="Arial"/>
                <w:sz w:val="20"/>
                <w:szCs w:val="20"/>
              </w:rPr>
            </w:pPr>
            <w:r w:rsidRPr="006D3844">
              <w:rPr>
                <w:rFonts w:ascii="Arial Narrow" w:hAnsi="Arial Narrow" w:cs="Arial"/>
                <w:sz w:val="20"/>
                <w:szCs w:val="20"/>
              </w:rPr>
              <w:t>For patients aged less than 18 years, response to treatment is defined as at least one of the baseline tests demonstrating stability or improvement of disease, as assessed by a physician from a designated hospital.</w:t>
            </w:r>
          </w:p>
          <w:p w:rsidR="006D3844" w:rsidRDefault="006D3844" w:rsidP="00EA0B3B">
            <w:pPr>
              <w:widowControl w:val="0"/>
              <w:rPr>
                <w:rFonts w:ascii="Arial Narrow" w:hAnsi="Arial Narrow" w:cs="Arial"/>
                <w:sz w:val="20"/>
                <w:szCs w:val="20"/>
              </w:rPr>
            </w:pP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 xml:space="preserve">The maximum quantity authorised will be limited to provide sufficient supply for 1 </w:t>
            </w:r>
            <w:r w:rsidRPr="006D3844">
              <w:rPr>
                <w:rFonts w:ascii="Arial Narrow" w:hAnsi="Arial Narrow" w:cs="Arial"/>
                <w:sz w:val="20"/>
                <w:szCs w:val="20"/>
              </w:rPr>
              <w:lastRenderedPageBreak/>
              <w:t>month of treatment, based on the dosage recommendations in the Therapeutic Goods Administration (TGA) approved Product Information.</w:t>
            </w:r>
          </w:p>
          <w:p w:rsidR="006D3844" w:rsidRDefault="006D3844" w:rsidP="00EA0B3B">
            <w:pPr>
              <w:widowControl w:val="0"/>
              <w:rPr>
                <w:rFonts w:ascii="Arial Narrow" w:hAnsi="Arial Narrow" w:cs="Arial"/>
                <w:sz w:val="20"/>
                <w:szCs w:val="20"/>
              </w:rPr>
            </w:pPr>
            <w:r w:rsidRPr="006D3844">
              <w:rPr>
                <w:rFonts w:ascii="Arial Narrow" w:hAnsi="Arial Narrow" w:cs="Arial"/>
                <w:sz w:val="20"/>
                <w:szCs w:val="20"/>
              </w:rPr>
              <w:t>A maximum of 5 repeats may be requested.</w:t>
            </w:r>
          </w:p>
          <w:p w:rsidR="006D3844" w:rsidRDefault="006D3844" w:rsidP="00EA0B3B">
            <w:pPr>
              <w:widowControl w:val="0"/>
              <w:rPr>
                <w:rFonts w:ascii="Arial Narrow" w:hAnsi="Arial Narrow" w:cs="Arial"/>
                <w:sz w:val="20"/>
                <w:szCs w:val="20"/>
              </w:rPr>
            </w:pPr>
          </w:p>
          <w:p w:rsidR="006D3844" w:rsidRDefault="006D3844" w:rsidP="00EA0B3B">
            <w:pPr>
              <w:widowControl w:val="0"/>
              <w:rPr>
                <w:rFonts w:ascii="Arial Narrow" w:hAnsi="Arial Narrow" w:cs="Arial"/>
                <w:sz w:val="20"/>
                <w:szCs w:val="20"/>
              </w:rPr>
            </w:pPr>
            <w:r w:rsidRPr="006D3844">
              <w:rPr>
                <w:rFonts w:ascii="Arial Narrow" w:hAnsi="Arial Narrow" w:cs="Arial"/>
                <w:sz w:val="20"/>
                <w:szCs w:val="20"/>
              </w:rPr>
              <w:t>The assessment of the patient's response to the initial 6 month course of treatment should be made following the preceding 5 months of treatment, in order to allow sufficient time for a response to be demonstrated.</w:t>
            </w:r>
          </w:p>
          <w:p w:rsidR="006D3844" w:rsidRDefault="006D3844" w:rsidP="00EA0B3B">
            <w:pPr>
              <w:widowControl w:val="0"/>
              <w:rPr>
                <w:rFonts w:ascii="Arial Narrow" w:hAnsi="Arial Narrow" w:cs="Arial"/>
                <w:sz w:val="20"/>
                <w:szCs w:val="20"/>
              </w:rPr>
            </w:pPr>
          </w:p>
          <w:p w:rsidR="006D3844" w:rsidRDefault="006D3844" w:rsidP="00EA0B3B">
            <w:pPr>
              <w:widowControl w:val="0"/>
              <w:rPr>
                <w:rFonts w:ascii="Arial Narrow" w:hAnsi="Arial Narrow" w:cs="Arial"/>
                <w:sz w:val="20"/>
                <w:szCs w:val="20"/>
              </w:rPr>
            </w:pPr>
            <w:r w:rsidRPr="006D3844">
              <w:rPr>
                <w:rFonts w:ascii="Arial Narrow" w:hAnsi="Arial Narrow" w:cs="Arial"/>
                <w:sz w:val="20"/>
                <w:szCs w:val="20"/>
              </w:rPr>
              <w:t>Patients who fail to demonstrate a response to PBS-subsidised treatment with this agent at the time where an assessment is required must cease PBS-subsidised therapy with this agent.</w:t>
            </w:r>
          </w:p>
          <w:p w:rsidR="006D3844" w:rsidRDefault="006D3844" w:rsidP="00EA0B3B">
            <w:pPr>
              <w:widowControl w:val="0"/>
              <w:rPr>
                <w:rFonts w:ascii="Arial Narrow" w:hAnsi="Arial Narrow" w:cs="Arial"/>
                <w:sz w:val="20"/>
                <w:szCs w:val="20"/>
              </w:rPr>
            </w:pPr>
          </w:p>
          <w:p w:rsidR="006D3844" w:rsidRDefault="006D3844" w:rsidP="00EA0B3B">
            <w:pPr>
              <w:widowControl w:val="0"/>
              <w:rPr>
                <w:rFonts w:ascii="Arial Narrow" w:hAnsi="Arial Narrow" w:cs="Arial"/>
                <w:sz w:val="20"/>
                <w:szCs w:val="20"/>
              </w:rPr>
            </w:pPr>
            <w:r w:rsidRPr="006D3844">
              <w:rPr>
                <w:rFonts w:ascii="Arial Narrow" w:hAnsi="Arial Narrow" w:cs="Arial"/>
                <w:sz w:val="20"/>
                <w:szCs w:val="20"/>
              </w:rPr>
              <w:t>The term 'PAH agents' refers to bosentan monohydrate, iloprost trometamol, epoprostenol sodium, sildenafil citrate, ambrisentan, tadalafil, and macitentan.</w:t>
            </w:r>
          </w:p>
          <w:p w:rsidR="006D3844" w:rsidRDefault="006D3844" w:rsidP="00EA0B3B">
            <w:pPr>
              <w:widowControl w:val="0"/>
              <w:rPr>
                <w:rFonts w:ascii="Arial Narrow" w:hAnsi="Arial Narrow" w:cs="Arial"/>
                <w:sz w:val="20"/>
                <w:szCs w:val="20"/>
              </w:rPr>
            </w:pPr>
          </w:p>
          <w:p w:rsidR="006D3844" w:rsidRDefault="006D3844" w:rsidP="00EA0B3B">
            <w:pPr>
              <w:widowControl w:val="0"/>
              <w:rPr>
                <w:rFonts w:ascii="Arial Narrow" w:hAnsi="Arial Narrow" w:cs="Arial"/>
                <w:sz w:val="20"/>
                <w:szCs w:val="20"/>
              </w:rPr>
            </w:pPr>
            <w:r w:rsidRPr="006D3844">
              <w:rPr>
                <w:rFonts w:ascii="Arial Narrow" w:hAnsi="Arial Narrow" w:cs="Arial"/>
                <w:sz w:val="20"/>
                <w:szCs w:val="20"/>
              </w:rPr>
              <w:t>PAH agents are not PBS-subsidised for patients with pulmonary hypertension secondary to interstitial lung disease associated with connective tissue disease, where the total lung capacity is less than 70% of predicted.</w:t>
            </w:r>
          </w:p>
          <w:p w:rsidR="006D3844" w:rsidRDefault="006D3844" w:rsidP="00EA0B3B">
            <w:pPr>
              <w:widowControl w:val="0"/>
              <w:rPr>
                <w:rFonts w:ascii="Arial Narrow" w:hAnsi="Arial Narrow" w:cs="Arial"/>
                <w:sz w:val="20"/>
                <w:szCs w:val="20"/>
              </w:rPr>
            </w:pP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Swapping between PAH agents:</w:t>
            </w:r>
          </w:p>
          <w:p w:rsidR="006D3844" w:rsidRDefault="006D3844" w:rsidP="00EA0B3B">
            <w:pPr>
              <w:widowControl w:val="0"/>
              <w:rPr>
                <w:rFonts w:ascii="Arial Narrow" w:hAnsi="Arial Narrow" w:cs="Arial"/>
                <w:sz w:val="20"/>
                <w:szCs w:val="20"/>
              </w:rPr>
            </w:pPr>
            <w:r w:rsidRPr="006D3844">
              <w:rPr>
                <w:rFonts w:ascii="Arial Narrow" w:hAnsi="Arial Narrow" w:cs="Arial"/>
                <w:sz w:val="20"/>
                <w:szCs w:val="20"/>
              </w:rPr>
              <w:t>Patients can access PAH agents through the PBS according to the relevant restrictions. Once these patients are approved initial treatment with 1 of these 7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 It also means that no new baseline measurements will be necessary. New baselines may be submitted where the patient has failed to respond to their current treatment.</w:t>
            </w:r>
          </w:p>
          <w:p w:rsidR="006D3844" w:rsidRDefault="006D3844" w:rsidP="00EA0B3B">
            <w:pPr>
              <w:widowControl w:val="0"/>
              <w:rPr>
                <w:rFonts w:ascii="Arial Narrow" w:hAnsi="Arial Narrow" w:cs="Arial"/>
                <w:sz w:val="20"/>
                <w:szCs w:val="20"/>
              </w:rPr>
            </w:pPr>
          </w:p>
          <w:p w:rsidR="006D3844" w:rsidRDefault="006D3844" w:rsidP="00EA0B3B">
            <w:pPr>
              <w:widowControl w:val="0"/>
              <w:rPr>
                <w:rFonts w:ascii="Arial Narrow" w:hAnsi="Arial Narrow" w:cs="Arial"/>
                <w:sz w:val="20"/>
                <w:szCs w:val="20"/>
              </w:rPr>
            </w:pPr>
            <w:r w:rsidRPr="006D3844">
              <w:rPr>
                <w:rFonts w:ascii="Arial Narrow" w:hAnsi="Arial Narrow" w:cs="Arial"/>
                <w:sz w:val="20"/>
                <w:szCs w:val="20"/>
              </w:rPr>
              <w:t>Eligible patients may only swap between PAH agents if they have not failed prior PBS-subsidised treatment with that agent.</w:t>
            </w:r>
          </w:p>
          <w:p w:rsidR="006D3844" w:rsidRDefault="006D3844" w:rsidP="00EA0B3B">
            <w:pPr>
              <w:widowControl w:val="0"/>
              <w:rPr>
                <w:rFonts w:ascii="Arial Narrow" w:hAnsi="Arial Narrow" w:cs="Arial"/>
                <w:sz w:val="20"/>
                <w:szCs w:val="20"/>
              </w:rPr>
            </w:pPr>
          </w:p>
          <w:p w:rsidR="006D3844" w:rsidRDefault="006D3844" w:rsidP="00EA0B3B">
            <w:pPr>
              <w:widowControl w:val="0"/>
              <w:rPr>
                <w:rFonts w:ascii="Arial Narrow" w:hAnsi="Arial Narrow" w:cs="Arial"/>
                <w:sz w:val="20"/>
                <w:szCs w:val="20"/>
              </w:rPr>
            </w:pPr>
            <w:r w:rsidRPr="006D3844">
              <w:rPr>
                <w:rFonts w:ascii="Arial Narrow" w:hAnsi="Arial Narrow" w:cs="Arial"/>
                <w:sz w:val="20"/>
                <w:szCs w:val="20"/>
              </w:rPr>
              <w:t>For eligible patients, applications to swap between the 7 PAH agents must be made under the relevant initial treatment restriction. Patients should be assessed for response to the treatment they are ceasing at the time the application to swap therapy is being made. Patients who fail to demonstrate a response or for whom no assessment results are submitted with the application to swap therapy may not re-commence PBS-subsidised treatment with the drug they are ceasing.</w:t>
            </w:r>
          </w:p>
          <w:p w:rsidR="006D3844" w:rsidRPr="00260CE3" w:rsidRDefault="006D3844" w:rsidP="00EA0B3B">
            <w:pPr>
              <w:widowControl w:val="0"/>
              <w:rPr>
                <w:rFonts w:ascii="Arial Narrow" w:hAnsi="Arial Narrow" w:cs="Arial"/>
                <w:sz w:val="20"/>
                <w:szCs w:val="20"/>
              </w:rPr>
            </w:pPr>
          </w:p>
        </w:tc>
      </w:tr>
      <w:tr w:rsidR="00CD7723" w:rsidRPr="00260CE3" w:rsidTr="006D3844">
        <w:trPr>
          <w:trHeight w:val="75"/>
        </w:trPr>
        <w:tc>
          <w:tcPr>
            <w:tcW w:w="1981" w:type="dxa"/>
            <w:tcBorders>
              <w:top w:val="single" w:sz="4" w:space="0" w:color="auto"/>
              <w:left w:val="single" w:sz="4" w:space="0" w:color="auto"/>
              <w:bottom w:val="single" w:sz="4" w:space="0" w:color="auto"/>
              <w:right w:val="single" w:sz="4" w:space="0" w:color="auto"/>
            </w:tcBorders>
          </w:tcPr>
          <w:p w:rsidR="00CD7723" w:rsidRPr="00260CE3" w:rsidRDefault="00CD7723" w:rsidP="00EA0B3B">
            <w:pPr>
              <w:widowControl w:val="0"/>
              <w:jc w:val="both"/>
              <w:rPr>
                <w:rFonts w:ascii="Arial Narrow" w:hAnsi="Arial Narrow" w:cs="Arial"/>
                <w:b/>
                <w:sz w:val="20"/>
                <w:szCs w:val="20"/>
              </w:rPr>
            </w:pPr>
            <w:r w:rsidRPr="00260CE3">
              <w:rPr>
                <w:rFonts w:ascii="Arial Narrow" w:hAnsi="Arial Narrow" w:cs="Arial"/>
                <w:b/>
                <w:sz w:val="20"/>
                <w:szCs w:val="20"/>
              </w:rPr>
              <w:lastRenderedPageBreak/>
              <w:t>Administrative Advice</w:t>
            </w:r>
          </w:p>
          <w:p w:rsidR="00CD7723" w:rsidRPr="00260CE3" w:rsidRDefault="00CD7723" w:rsidP="00EA0B3B">
            <w:pPr>
              <w:widowControl w:val="0"/>
              <w:jc w:val="both"/>
              <w:rPr>
                <w:rFonts w:ascii="Arial Narrow" w:hAnsi="Arial Narrow" w:cs="Arial"/>
                <w:i/>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CD7723" w:rsidRDefault="006D3844" w:rsidP="00EA0B3B">
            <w:pPr>
              <w:widowControl w:val="0"/>
              <w:rPr>
                <w:rFonts w:ascii="Arial Narrow" w:hAnsi="Arial Narrow" w:cs="Arial"/>
                <w:sz w:val="20"/>
                <w:szCs w:val="20"/>
              </w:rPr>
            </w:pPr>
            <w:r w:rsidRPr="006D3844">
              <w:rPr>
                <w:rFonts w:ascii="Arial Narrow" w:hAnsi="Arial Narrow" w:cs="Arial"/>
                <w:sz w:val="20"/>
                <w:szCs w:val="20"/>
              </w:rPr>
              <w:t>Applications for patients who wish to swap to an alternate PAH agent should be accompanied by the previously approved authority prescription, or remaining repeats, for the treatment the patient is ceasing.</w:t>
            </w:r>
          </w:p>
          <w:p w:rsidR="006D3844" w:rsidRDefault="006D3844" w:rsidP="00EA0B3B">
            <w:pPr>
              <w:widowControl w:val="0"/>
              <w:rPr>
                <w:rFonts w:ascii="Arial Narrow" w:hAnsi="Arial Narrow" w:cs="Arial"/>
                <w:sz w:val="20"/>
                <w:szCs w:val="20"/>
              </w:rPr>
            </w:pP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Applications for authority to prescribe should be forwarded to:</w:t>
            </w: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Department of Human Services</w:t>
            </w: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Complex Drugs</w:t>
            </w:r>
          </w:p>
          <w:p w:rsidR="006D3844" w:rsidRPr="006D3844" w:rsidRDefault="006D3844" w:rsidP="00EA0B3B">
            <w:pPr>
              <w:widowControl w:val="0"/>
              <w:rPr>
                <w:rFonts w:ascii="Arial Narrow" w:hAnsi="Arial Narrow" w:cs="Arial"/>
                <w:sz w:val="20"/>
                <w:szCs w:val="20"/>
              </w:rPr>
            </w:pPr>
            <w:r w:rsidRPr="006D3844">
              <w:rPr>
                <w:rFonts w:ascii="Arial Narrow" w:hAnsi="Arial Narrow" w:cs="Arial"/>
                <w:sz w:val="20"/>
                <w:szCs w:val="20"/>
              </w:rPr>
              <w:t>Reply Paid 9826</w:t>
            </w:r>
          </w:p>
          <w:p w:rsidR="006D3844" w:rsidRDefault="006D3844" w:rsidP="00EA0B3B">
            <w:pPr>
              <w:widowControl w:val="0"/>
              <w:rPr>
                <w:rFonts w:ascii="Arial Narrow" w:hAnsi="Arial Narrow" w:cs="Arial"/>
                <w:sz w:val="20"/>
                <w:szCs w:val="20"/>
              </w:rPr>
            </w:pPr>
            <w:r w:rsidRPr="006D3844">
              <w:rPr>
                <w:rFonts w:ascii="Arial Narrow" w:hAnsi="Arial Narrow" w:cs="Arial"/>
                <w:sz w:val="20"/>
                <w:szCs w:val="20"/>
              </w:rPr>
              <w:t>HOBART TAS 7001</w:t>
            </w:r>
          </w:p>
          <w:p w:rsidR="006D3844" w:rsidRDefault="006D3844" w:rsidP="00EA0B3B">
            <w:pPr>
              <w:widowControl w:val="0"/>
              <w:rPr>
                <w:rFonts w:ascii="Arial Narrow" w:hAnsi="Arial Narrow" w:cs="Arial"/>
                <w:sz w:val="20"/>
                <w:szCs w:val="20"/>
              </w:rPr>
            </w:pPr>
          </w:p>
          <w:p w:rsidR="006D3844" w:rsidRDefault="006D3844" w:rsidP="00EA0B3B">
            <w:pPr>
              <w:widowControl w:val="0"/>
              <w:rPr>
                <w:rFonts w:ascii="Arial Narrow" w:hAnsi="Arial Narrow" w:cs="Arial"/>
                <w:sz w:val="20"/>
                <w:szCs w:val="20"/>
              </w:rPr>
            </w:pPr>
            <w:r w:rsidRPr="006D3844">
              <w:rPr>
                <w:rFonts w:ascii="Arial Narrow" w:hAnsi="Arial Narrow" w:cs="Arial"/>
                <w:sz w:val="20"/>
                <w:szCs w:val="20"/>
              </w:rPr>
              <w:t>Refer to the Department of Human Services website at www.humanservices.gov.au for a list of designated hospitals.</w:t>
            </w:r>
          </w:p>
          <w:p w:rsidR="006D3844" w:rsidRDefault="006D3844" w:rsidP="00EA0B3B">
            <w:pPr>
              <w:widowControl w:val="0"/>
              <w:rPr>
                <w:rFonts w:ascii="Arial Narrow" w:hAnsi="Arial Narrow" w:cs="Arial"/>
                <w:sz w:val="20"/>
                <w:szCs w:val="20"/>
              </w:rPr>
            </w:pPr>
          </w:p>
          <w:p w:rsidR="006D3844" w:rsidRDefault="006D3844" w:rsidP="00EA0B3B">
            <w:pPr>
              <w:widowControl w:val="0"/>
              <w:rPr>
                <w:rFonts w:ascii="Arial Narrow" w:hAnsi="Arial Narrow" w:cs="Arial"/>
                <w:sz w:val="20"/>
                <w:szCs w:val="20"/>
              </w:rPr>
            </w:pPr>
            <w:r w:rsidRPr="006D3844">
              <w:rPr>
                <w:rFonts w:ascii="Arial Narrow" w:hAnsi="Arial Narrow" w:cs="Arial"/>
                <w:sz w:val="20"/>
                <w:szCs w:val="20"/>
              </w:rPr>
              <w:t>Pharmaceutical benefits that have the form epoprostenol sodium powder for I.V. infusion 1.5 mg (base) infusion administration set and pharmaceutical benefits that have the form epoprostenol 1.5 mg injection vial are equivalent for the purposes of substitution.</w:t>
            </w:r>
          </w:p>
          <w:p w:rsidR="006D3844" w:rsidRDefault="006D3844" w:rsidP="00EA0B3B">
            <w:pPr>
              <w:widowControl w:val="0"/>
              <w:rPr>
                <w:rFonts w:ascii="Arial Narrow" w:hAnsi="Arial Narrow" w:cs="Arial"/>
                <w:sz w:val="20"/>
                <w:szCs w:val="20"/>
              </w:rPr>
            </w:pPr>
          </w:p>
          <w:p w:rsidR="006D3844" w:rsidRPr="00260CE3" w:rsidRDefault="006D3844" w:rsidP="00EA0B3B">
            <w:pPr>
              <w:widowControl w:val="0"/>
              <w:rPr>
                <w:rFonts w:ascii="Arial Narrow" w:hAnsi="Arial Narrow" w:cs="Arial"/>
                <w:sz w:val="20"/>
                <w:szCs w:val="20"/>
              </w:rPr>
            </w:pPr>
            <w:r w:rsidRPr="006D3844">
              <w:rPr>
                <w:rFonts w:ascii="Arial Narrow" w:hAnsi="Arial Narrow" w:cs="Arial"/>
                <w:sz w:val="20"/>
                <w:szCs w:val="20"/>
              </w:rPr>
              <w:t>Pharmaceutical benefits that have the form epoprostenol sodium powder for I.V. infusion 500 micrograms (base) infusion administration set and pharmaceutical benefits that have the form epoprostenol 500 microgram injection vial are equivalent for the purposes of substitution.</w:t>
            </w:r>
          </w:p>
        </w:tc>
      </w:tr>
    </w:tbl>
    <w:p w:rsidR="00C07955" w:rsidRDefault="00C07955" w:rsidP="005A1F2D">
      <w:pPr>
        <w:ind w:left="360"/>
        <w:contextualSpacing/>
        <w:rPr>
          <w:rFonts w:ascii="Calibri" w:hAnsi="Calibri" w:cs="Calibri"/>
        </w:rPr>
      </w:pPr>
    </w:p>
    <w:tbl>
      <w:tblPr>
        <w:tblW w:w="8348" w:type="dxa"/>
        <w:tblInd w:w="817" w:type="dxa"/>
        <w:tblLayout w:type="fixed"/>
        <w:tblLook w:val="0000" w:firstRow="0" w:lastRow="0" w:firstColumn="0" w:lastColumn="0" w:noHBand="0" w:noVBand="0"/>
      </w:tblPr>
      <w:tblGrid>
        <w:gridCol w:w="1981"/>
        <w:gridCol w:w="1132"/>
        <w:gridCol w:w="848"/>
        <w:gridCol w:w="708"/>
        <w:gridCol w:w="1274"/>
        <w:gridCol w:w="2405"/>
      </w:tblGrid>
      <w:tr w:rsidR="006D3844" w:rsidRPr="0039782C" w:rsidTr="006D3844">
        <w:trPr>
          <w:trHeight w:val="98"/>
        </w:trPr>
        <w:tc>
          <w:tcPr>
            <w:tcW w:w="3113" w:type="dxa"/>
            <w:gridSpan w:val="2"/>
            <w:tcBorders>
              <w:bottom w:val="single" w:sz="4" w:space="0" w:color="auto"/>
            </w:tcBorders>
          </w:tcPr>
          <w:p w:rsidR="006D3844" w:rsidRPr="0039782C" w:rsidRDefault="006D3844" w:rsidP="006D3844">
            <w:pPr>
              <w:keepNext/>
              <w:keepLines/>
              <w:widowControl w:val="0"/>
              <w:ind w:left="-108"/>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6D3844" w:rsidRPr="0039782C" w:rsidRDefault="006D3844" w:rsidP="006D3844">
            <w:pPr>
              <w:keepNext/>
              <w:keepLines/>
              <w:widowControl w:val="0"/>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48" w:type="dxa"/>
            <w:tcBorders>
              <w:bottom w:val="single" w:sz="4" w:space="0" w:color="auto"/>
            </w:tcBorders>
          </w:tcPr>
          <w:p w:rsidR="006D3844" w:rsidRPr="0039782C" w:rsidRDefault="006D3844" w:rsidP="006D3844">
            <w:pPr>
              <w:keepNext/>
              <w:keepLines/>
              <w:widowControl w:val="0"/>
              <w:ind w:left="-108"/>
              <w:jc w:val="both"/>
              <w:rPr>
                <w:rFonts w:ascii="Arial Narrow" w:hAnsi="Arial Narrow" w:cs="Arial"/>
                <w:b/>
                <w:sz w:val="20"/>
                <w:szCs w:val="20"/>
              </w:rPr>
            </w:pPr>
            <w:r w:rsidRPr="0039782C">
              <w:rPr>
                <w:rFonts w:ascii="Arial Narrow" w:hAnsi="Arial Narrow" w:cs="Arial"/>
                <w:b/>
                <w:sz w:val="20"/>
                <w:szCs w:val="20"/>
              </w:rPr>
              <w:t>Max.</w:t>
            </w:r>
          </w:p>
          <w:p w:rsidR="006D3844" w:rsidRPr="0039782C" w:rsidRDefault="006D3844" w:rsidP="006D3844">
            <w:pPr>
              <w:keepNext/>
              <w:keepLines/>
              <w:widowControl w:val="0"/>
              <w:ind w:left="-108"/>
              <w:jc w:val="both"/>
              <w:rPr>
                <w:rFonts w:ascii="Arial Narrow" w:hAnsi="Arial Narrow" w:cs="Arial"/>
                <w:b/>
                <w:sz w:val="20"/>
                <w:szCs w:val="20"/>
              </w:rPr>
            </w:pPr>
            <w:r w:rsidRPr="0039782C">
              <w:rPr>
                <w:rFonts w:ascii="Arial Narrow" w:hAnsi="Arial Narrow" w:cs="Arial"/>
                <w:b/>
                <w:sz w:val="20"/>
                <w:szCs w:val="20"/>
              </w:rPr>
              <w:t>Qty</w:t>
            </w:r>
          </w:p>
        </w:tc>
        <w:tc>
          <w:tcPr>
            <w:tcW w:w="708" w:type="dxa"/>
            <w:tcBorders>
              <w:bottom w:val="single" w:sz="4" w:space="0" w:color="auto"/>
            </w:tcBorders>
          </w:tcPr>
          <w:p w:rsidR="006D3844" w:rsidRPr="0039782C" w:rsidRDefault="006D3844" w:rsidP="006D3844">
            <w:pPr>
              <w:keepNext/>
              <w:keepLines/>
              <w:widowControl w:val="0"/>
              <w:ind w:left="-108"/>
              <w:jc w:val="both"/>
              <w:rPr>
                <w:rFonts w:ascii="Arial Narrow" w:hAnsi="Arial Narrow" w:cs="Arial"/>
                <w:b/>
                <w:sz w:val="20"/>
                <w:szCs w:val="20"/>
              </w:rPr>
            </w:pPr>
            <w:r w:rsidRPr="0039782C">
              <w:rPr>
                <w:rFonts w:ascii="Arial Narrow" w:hAnsi="Arial Narrow" w:cs="Arial"/>
                <w:b/>
                <w:sz w:val="20"/>
                <w:szCs w:val="20"/>
              </w:rPr>
              <w:t>№.of</w:t>
            </w:r>
          </w:p>
          <w:p w:rsidR="006D3844" w:rsidRPr="0039782C" w:rsidRDefault="006D3844" w:rsidP="006D3844">
            <w:pPr>
              <w:keepNext/>
              <w:keepLines/>
              <w:widowControl w:val="0"/>
              <w:ind w:left="-108"/>
              <w:jc w:val="both"/>
              <w:rPr>
                <w:rFonts w:ascii="Arial Narrow" w:hAnsi="Arial Narrow" w:cs="Arial"/>
                <w:b/>
                <w:sz w:val="20"/>
                <w:szCs w:val="20"/>
              </w:rPr>
            </w:pPr>
            <w:r w:rsidRPr="0039782C">
              <w:rPr>
                <w:rFonts w:ascii="Arial Narrow" w:hAnsi="Arial Narrow" w:cs="Arial"/>
                <w:b/>
                <w:sz w:val="20"/>
                <w:szCs w:val="20"/>
              </w:rPr>
              <w:t>Rpts</w:t>
            </w:r>
          </w:p>
        </w:tc>
        <w:tc>
          <w:tcPr>
            <w:tcW w:w="3679" w:type="dxa"/>
            <w:gridSpan w:val="2"/>
            <w:tcBorders>
              <w:bottom w:val="single" w:sz="4" w:space="0" w:color="auto"/>
            </w:tcBorders>
          </w:tcPr>
          <w:p w:rsidR="006D3844" w:rsidRPr="0039782C" w:rsidRDefault="006D3844" w:rsidP="006D3844">
            <w:pPr>
              <w:keepNext/>
              <w:keepLines/>
              <w:widowControl w:val="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6D3844" w:rsidRPr="00260CE3" w:rsidTr="006D3844">
        <w:trPr>
          <w:trHeight w:val="120"/>
        </w:trPr>
        <w:tc>
          <w:tcPr>
            <w:tcW w:w="3113" w:type="dxa"/>
            <w:gridSpan w:val="2"/>
          </w:tcPr>
          <w:p w:rsidR="006D3844" w:rsidRPr="00260CE3" w:rsidRDefault="006D3844" w:rsidP="006D3844">
            <w:pPr>
              <w:keepNext/>
              <w:keepLines/>
              <w:widowControl w:val="0"/>
              <w:ind w:left="-108"/>
              <w:jc w:val="both"/>
              <w:rPr>
                <w:rFonts w:ascii="Arial Narrow" w:hAnsi="Arial Narrow" w:cs="Arial"/>
                <w:sz w:val="20"/>
                <w:szCs w:val="20"/>
              </w:rPr>
            </w:pPr>
            <w:r>
              <w:rPr>
                <w:rFonts w:ascii="Arial Narrow" w:hAnsi="Arial Narrow" w:cs="Arial"/>
                <w:smallCaps/>
                <w:sz w:val="20"/>
                <w:szCs w:val="20"/>
              </w:rPr>
              <w:t>EPOPROSTENOL</w:t>
            </w:r>
          </w:p>
          <w:p w:rsidR="006D3844" w:rsidRDefault="006D3844" w:rsidP="006D3844">
            <w:pPr>
              <w:keepNext/>
              <w:keepLines/>
              <w:widowControl w:val="0"/>
              <w:ind w:left="-108"/>
              <w:jc w:val="both"/>
              <w:rPr>
                <w:rFonts w:ascii="Arial Narrow" w:hAnsi="Arial Narrow" w:cs="Arial"/>
                <w:sz w:val="20"/>
                <w:szCs w:val="20"/>
              </w:rPr>
            </w:pPr>
            <w:r w:rsidRPr="0039008E">
              <w:rPr>
                <w:rFonts w:ascii="Arial Narrow" w:hAnsi="Arial Narrow" w:cs="Arial"/>
                <w:sz w:val="20"/>
                <w:szCs w:val="20"/>
              </w:rPr>
              <w:t xml:space="preserve">epoprostenol 500 microgram injection </w:t>
            </w:r>
          </w:p>
          <w:p w:rsidR="006D3844" w:rsidRDefault="006D3844" w:rsidP="006D3844">
            <w:pPr>
              <w:keepNext/>
              <w:keepLines/>
              <w:widowControl w:val="0"/>
              <w:ind w:left="-108"/>
              <w:jc w:val="both"/>
              <w:rPr>
                <w:rFonts w:ascii="Arial Narrow" w:hAnsi="Arial Narrow" w:cs="Arial"/>
                <w:sz w:val="20"/>
                <w:szCs w:val="20"/>
              </w:rPr>
            </w:pPr>
            <w:r w:rsidRPr="0039008E">
              <w:rPr>
                <w:rFonts w:ascii="Arial Narrow" w:hAnsi="Arial Narrow" w:cs="Arial"/>
                <w:sz w:val="20"/>
                <w:szCs w:val="20"/>
              </w:rPr>
              <w:t xml:space="preserve">[1 vial] (&amp;) inert substance diluent </w:t>
            </w:r>
          </w:p>
          <w:p w:rsidR="006D3844" w:rsidRPr="00260CE3" w:rsidRDefault="006D3844" w:rsidP="006D3844">
            <w:pPr>
              <w:keepNext/>
              <w:keepLines/>
              <w:widowControl w:val="0"/>
              <w:ind w:left="-108"/>
              <w:jc w:val="both"/>
              <w:rPr>
                <w:rFonts w:ascii="Arial Narrow" w:hAnsi="Arial Narrow" w:cs="Arial"/>
                <w:sz w:val="20"/>
                <w:szCs w:val="20"/>
              </w:rPr>
            </w:pPr>
            <w:r>
              <w:rPr>
                <w:rFonts w:ascii="Arial Narrow" w:hAnsi="Arial Narrow" w:cs="Arial"/>
                <w:sz w:val="20"/>
                <w:szCs w:val="20"/>
              </w:rPr>
              <w:t xml:space="preserve">[2 x 50 mL </w:t>
            </w:r>
            <w:r w:rsidRPr="0039008E">
              <w:rPr>
                <w:rFonts w:ascii="Arial Narrow" w:hAnsi="Arial Narrow" w:cs="Arial"/>
                <w:sz w:val="20"/>
                <w:szCs w:val="20"/>
              </w:rPr>
              <w:t>vials], 1 pack</w:t>
            </w:r>
          </w:p>
        </w:tc>
        <w:tc>
          <w:tcPr>
            <w:tcW w:w="848" w:type="dxa"/>
          </w:tcPr>
          <w:p w:rsidR="006D3844" w:rsidRPr="00260CE3" w:rsidRDefault="006D3844" w:rsidP="006D3844">
            <w:pPr>
              <w:keepNext/>
              <w:keepLines/>
              <w:widowControl w:val="0"/>
              <w:ind w:left="-108"/>
              <w:jc w:val="both"/>
              <w:rPr>
                <w:rFonts w:ascii="Arial Narrow" w:hAnsi="Arial Narrow" w:cs="Arial"/>
                <w:sz w:val="20"/>
                <w:szCs w:val="20"/>
              </w:rPr>
            </w:pPr>
          </w:p>
          <w:p w:rsidR="006D3844" w:rsidRPr="00260CE3" w:rsidRDefault="006D3844" w:rsidP="006D3844">
            <w:pPr>
              <w:keepNext/>
              <w:keepLines/>
              <w:widowControl w:val="0"/>
              <w:ind w:left="-108"/>
              <w:jc w:val="both"/>
              <w:rPr>
                <w:rFonts w:ascii="Arial Narrow" w:hAnsi="Arial Narrow" w:cs="Arial"/>
                <w:sz w:val="20"/>
                <w:szCs w:val="20"/>
              </w:rPr>
            </w:pPr>
            <w:r>
              <w:rPr>
                <w:rFonts w:ascii="Arial Narrow" w:hAnsi="Arial Narrow" w:cs="Arial"/>
                <w:sz w:val="20"/>
                <w:szCs w:val="20"/>
              </w:rPr>
              <w:t>1</w:t>
            </w:r>
          </w:p>
        </w:tc>
        <w:tc>
          <w:tcPr>
            <w:tcW w:w="708" w:type="dxa"/>
          </w:tcPr>
          <w:p w:rsidR="006D3844" w:rsidRPr="00260CE3" w:rsidRDefault="006D3844" w:rsidP="006D3844">
            <w:pPr>
              <w:keepNext/>
              <w:keepLines/>
              <w:widowControl w:val="0"/>
              <w:ind w:left="-108"/>
              <w:jc w:val="both"/>
              <w:rPr>
                <w:rFonts w:ascii="Arial Narrow" w:hAnsi="Arial Narrow" w:cs="Arial"/>
                <w:sz w:val="20"/>
                <w:szCs w:val="20"/>
              </w:rPr>
            </w:pPr>
          </w:p>
          <w:p w:rsidR="006D3844" w:rsidRPr="00260CE3" w:rsidRDefault="006D3844" w:rsidP="006D3844">
            <w:pPr>
              <w:keepNext/>
              <w:keepLines/>
              <w:widowControl w:val="0"/>
              <w:ind w:left="-108"/>
              <w:jc w:val="both"/>
              <w:rPr>
                <w:rFonts w:ascii="Arial Narrow" w:hAnsi="Arial Narrow" w:cs="Arial"/>
                <w:sz w:val="20"/>
                <w:szCs w:val="20"/>
              </w:rPr>
            </w:pPr>
            <w:r>
              <w:rPr>
                <w:rFonts w:ascii="Arial Narrow" w:hAnsi="Arial Narrow" w:cs="Arial"/>
                <w:sz w:val="20"/>
                <w:szCs w:val="20"/>
              </w:rPr>
              <w:t>1</w:t>
            </w:r>
          </w:p>
        </w:tc>
        <w:tc>
          <w:tcPr>
            <w:tcW w:w="1274" w:type="dxa"/>
          </w:tcPr>
          <w:p w:rsidR="006D3844" w:rsidRPr="00260CE3" w:rsidRDefault="006D3844" w:rsidP="006D3844">
            <w:pPr>
              <w:keepNext/>
              <w:keepLines/>
              <w:widowControl w:val="0"/>
              <w:ind w:left="-108"/>
              <w:jc w:val="both"/>
              <w:rPr>
                <w:rFonts w:ascii="Arial Narrow" w:hAnsi="Arial Narrow" w:cs="Arial"/>
                <w:sz w:val="20"/>
                <w:szCs w:val="20"/>
              </w:rPr>
            </w:pPr>
          </w:p>
          <w:p w:rsidR="006D3844" w:rsidRPr="00260CE3" w:rsidRDefault="006D3844" w:rsidP="006D3844">
            <w:pPr>
              <w:keepNext/>
              <w:keepLines/>
              <w:widowControl w:val="0"/>
              <w:ind w:left="-108"/>
              <w:jc w:val="both"/>
              <w:rPr>
                <w:rFonts w:ascii="Arial Narrow" w:hAnsi="Arial Narrow" w:cs="Arial"/>
                <w:sz w:val="20"/>
                <w:szCs w:val="20"/>
              </w:rPr>
            </w:pPr>
            <w:r w:rsidRPr="00E62763">
              <w:rPr>
                <w:rFonts w:ascii="Arial Narrow" w:hAnsi="Arial Narrow" w:cs="Arial"/>
                <w:sz w:val="20"/>
                <w:szCs w:val="20"/>
              </w:rPr>
              <w:t>Flolan®</w:t>
            </w:r>
          </w:p>
        </w:tc>
        <w:tc>
          <w:tcPr>
            <w:tcW w:w="2405" w:type="dxa"/>
          </w:tcPr>
          <w:p w:rsidR="006D3844" w:rsidRDefault="006D3844" w:rsidP="006D3844">
            <w:pPr>
              <w:keepNext/>
              <w:keepLines/>
              <w:widowControl w:val="0"/>
              <w:jc w:val="both"/>
              <w:rPr>
                <w:rFonts w:ascii="Arial Narrow" w:hAnsi="Arial Narrow" w:cs="Arial"/>
                <w:sz w:val="20"/>
                <w:szCs w:val="20"/>
              </w:rPr>
            </w:pPr>
          </w:p>
          <w:p w:rsidR="006D3844" w:rsidRPr="00260CE3" w:rsidRDefault="006D3844" w:rsidP="006D3844">
            <w:pPr>
              <w:keepNext/>
              <w:keepLines/>
              <w:widowControl w:val="0"/>
              <w:jc w:val="both"/>
              <w:rPr>
                <w:rFonts w:ascii="Arial Narrow" w:hAnsi="Arial Narrow" w:cs="Arial"/>
                <w:sz w:val="20"/>
                <w:szCs w:val="20"/>
              </w:rPr>
            </w:pPr>
            <w:r>
              <w:rPr>
                <w:rFonts w:ascii="Arial Narrow" w:hAnsi="Arial Narrow" w:cs="Arial"/>
                <w:sz w:val="20"/>
                <w:szCs w:val="20"/>
              </w:rPr>
              <w:t>GlaxoSmithKline Australia Pty Ltd</w:t>
            </w:r>
          </w:p>
        </w:tc>
      </w:tr>
      <w:tr w:rsidR="006D3844" w:rsidRPr="00260CE3" w:rsidTr="006D3844">
        <w:trPr>
          <w:trHeight w:val="75"/>
        </w:trPr>
        <w:tc>
          <w:tcPr>
            <w:tcW w:w="8348" w:type="dxa"/>
            <w:gridSpan w:val="6"/>
            <w:tcBorders>
              <w:bottom w:val="single" w:sz="4" w:space="0" w:color="auto"/>
            </w:tcBorders>
          </w:tcPr>
          <w:p w:rsidR="006D3844" w:rsidRPr="00260CE3" w:rsidRDefault="006D3844" w:rsidP="006D3844">
            <w:pPr>
              <w:keepNext/>
              <w:keepLines/>
              <w:widowControl w:val="0"/>
              <w:jc w:val="both"/>
              <w:rPr>
                <w:rFonts w:ascii="Arial Narrow" w:hAnsi="Arial Narrow" w:cs="Arial"/>
                <w:sz w:val="20"/>
                <w:szCs w:val="20"/>
              </w:rPr>
            </w:pPr>
          </w:p>
        </w:tc>
      </w:tr>
      <w:tr w:rsidR="006D3844" w:rsidRPr="00260CE3" w:rsidTr="006D3844">
        <w:trPr>
          <w:trHeight w:val="75"/>
        </w:trPr>
        <w:tc>
          <w:tcPr>
            <w:tcW w:w="1981" w:type="dxa"/>
            <w:tcBorders>
              <w:top w:val="single" w:sz="4" w:space="0" w:color="auto"/>
              <w:left w:val="single" w:sz="4" w:space="0" w:color="auto"/>
              <w:bottom w:val="single" w:sz="4" w:space="0" w:color="auto"/>
              <w:right w:val="single" w:sz="4" w:space="0" w:color="auto"/>
            </w:tcBorders>
          </w:tcPr>
          <w:p w:rsidR="006D3844" w:rsidRPr="00260CE3" w:rsidRDefault="006D3844" w:rsidP="006D3844">
            <w:pPr>
              <w:keepNext/>
              <w:keepLines/>
              <w:widowControl w:val="0"/>
              <w:jc w:val="both"/>
              <w:rPr>
                <w:rFonts w:ascii="Arial Narrow" w:hAnsi="Arial Narrow" w:cs="Arial"/>
                <w:b/>
                <w:sz w:val="20"/>
                <w:szCs w:val="20"/>
              </w:rPr>
            </w:pPr>
            <w:r w:rsidRPr="00260CE3">
              <w:rPr>
                <w:rFonts w:ascii="Arial Narrow" w:hAnsi="Arial Narrow" w:cs="Arial"/>
                <w:b/>
                <w:sz w:val="20"/>
                <w:szCs w:val="20"/>
              </w:rPr>
              <w:t xml:space="preserve">Category / </w:t>
            </w:r>
          </w:p>
          <w:p w:rsidR="006D3844" w:rsidRPr="00260CE3" w:rsidRDefault="006D3844" w:rsidP="006D3844">
            <w:pPr>
              <w:keepNext/>
              <w:keepLines/>
              <w:widowControl w:val="0"/>
              <w:jc w:val="both"/>
              <w:rPr>
                <w:rFonts w:ascii="Arial Narrow" w:hAnsi="Arial Narrow" w:cs="Arial"/>
                <w:b/>
                <w:sz w:val="20"/>
                <w:szCs w:val="20"/>
              </w:rPr>
            </w:pPr>
            <w:r w:rsidRPr="00260CE3">
              <w:rPr>
                <w:rFonts w:ascii="Arial Narrow" w:hAnsi="Arial Narrow" w:cs="Arial"/>
                <w:b/>
                <w:sz w:val="20"/>
                <w:szCs w:val="20"/>
              </w:rPr>
              <w:t>Program</w:t>
            </w:r>
          </w:p>
        </w:tc>
        <w:tc>
          <w:tcPr>
            <w:tcW w:w="6367" w:type="dxa"/>
            <w:gridSpan w:val="5"/>
            <w:tcBorders>
              <w:top w:val="single" w:sz="4" w:space="0" w:color="auto"/>
              <w:left w:val="single" w:sz="4" w:space="0" w:color="auto"/>
              <w:bottom w:val="single" w:sz="4" w:space="0" w:color="auto"/>
              <w:right w:val="single" w:sz="4" w:space="0" w:color="auto"/>
            </w:tcBorders>
          </w:tcPr>
          <w:p w:rsidR="006D3844" w:rsidRPr="00260CE3" w:rsidRDefault="006D3844" w:rsidP="006D3844">
            <w:pPr>
              <w:keepNext/>
              <w:keepLines/>
              <w:widowControl w:val="0"/>
              <w:rPr>
                <w:rFonts w:ascii="Arial Narrow" w:hAnsi="Arial Narrow" w:cs="Arial"/>
                <w:sz w:val="20"/>
                <w:szCs w:val="20"/>
              </w:rPr>
            </w:pPr>
            <w:r w:rsidRPr="00260CE3">
              <w:rPr>
                <w:rFonts w:ascii="Arial Narrow" w:hAnsi="Arial Narrow" w:cs="Arial"/>
                <w:sz w:val="20"/>
                <w:szCs w:val="20"/>
              </w:rPr>
              <w:t>Section 100 – Highly Specialised Drugs Program</w:t>
            </w:r>
          </w:p>
          <w:p w:rsidR="006D3844" w:rsidRPr="00260CE3" w:rsidRDefault="006D3844" w:rsidP="006D3844">
            <w:pPr>
              <w:keepNext/>
              <w:keepLines/>
              <w:widowControl w:val="0"/>
              <w:rPr>
                <w:rFonts w:ascii="Arial Narrow" w:hAnsi="Arial Narrow" w:cs="Arial"/>
                <w:sz w:val="20"/>
                <w:szCs w:val="20"/>
              </w:rPr>
            </w:pPr>
          </w:p>
        </w:tc>
      </w:tr>
      <w:tr w:rsidR="006D3844" w:rsidRPr="00260CE3" w:rsidTr="006D3844">
        <w:trPr>
          <w:trHeight w:val="75"/>
        </w:trPr>
        <w:tc>
          <w:tcPr>
            <w:tcW w:w="1981" w:type="dxa"/>
            <w:tcBorders>
              <w:top w:val="single" w:sz="4" w:space="0" w:color="auto"/>
              <w:left w:val="single" w:sz="4" w:space="0" w:color="auto"/>
              <w:bottom w:val="single" w:sz="4" w:space="0" w:color="auto"/>
              <w:right w:val="single" w:sz="4" w:space="0" w:color="auto"/>
            </w:tcBorders>
          </w:tcPr>
          <w:p w:rsidR="006D3844" w:rsidRPr="00260CE3" w:rsidRDefault="006D3844" w:rsidP="006D3844">
            <w:pPr>
              <w:keepNext/>
              <w:keepLines/>
              <w:widowControl w:val="0"/>
              <w:jc w:val="both"/>
              <w:rPr>
                <w:rFonts w:ascii="Arial Narrow" w:hAnsi="Arial Narrow" w:cs="Arial"/>
                <w:b/>
                <w:sz w:val="20"/>
                <w:szCs w:val="20"/>
              </w:rPr>
            </w:pPr>
            <w:r w:rsidRPr="00260CE3">
              <w:rPr>
                <w:rFonts w:ascii="Arial Narrow" w:hAnsi="Arial Narrow" w:cs="Arial"/>
                <w:b/>
                <w:sz w:val="20"/>
                <w:szCs w:val="20"/>
              </w:rPr>
              <w:t>Prescriber type:</w:t>
            </w:r>
          </w:p>
        </w:tc>
        <w:tc>
          <w:tcPr>
            <w:tcW w:w="6367" w:type="dxa"/>
            <w:gridSpan w:val="5"/>
            <w:tcBorders>
              <w:top w:val="single" w:sz="4" w:space="0" w:color="auto"/>
              <w:left w:val="single" w:sz="4" w:space="0" w:color="auto"/>
              <w:bottom w:val="single" w:sz="4" w:space="0" w:color="auto"/>
              <w:right w:val="single" w:sz="4" w:space="0" w:color="auto"/>
            </w:tcBorders>
          </w:tcPr>
          <w:p w:rsidR="006D3844" w:rsidRPr="00260CE3" w:rsidRDefault="006D3844" w:rsidP="006D3844">
            <w:pPr>
              <w:keepNext/>
              <w:keepLines/>
              <w:widowControl w:val="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D3844" w:rsidRPr="00260CE3" w:rsidRDefault="006D3844" w:rsidP="006D3844">
            <w:pPr>
              <w:keepNext/>
              <w:keepLines/>
              <w:widowControl w:val="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D3844" w:rsidRPr="00260CE3" w:rsidTr="006D3844">
        <w:trPr>
          <w:trHeight w:val="75"/>
        </w:trPr>
        <w:tc>
          <w:tcPr>
            <w:tcW w:w="1981" w:type="dxa"/>
            <w:tcBorders>
              <w:top w:val="single" w:sz="4" w:space="0" w:color="auto"/>
              <w:left w:val="single" w:sz="4" w:space="0" w:color="auto"/>
              <w:bottom w:val="single" w:sz="4" w:space="0" w:color="auto"/>
              <w:right w:val="single" w:sz="4" w:space="0" w:color="auto"/>
            </w:tcBorders>
          </w:tcPr>
          <w:p w:rsidR="006D3844" w:rsidRPr="00260CE3" w:rsidRDefault="006D3844" w:rsidP="006D3844">
            <w:pPr>
              <w:keepNext/>
              <w:keepLines/>
              <w:widowControl w:val="0"/>
              <w:jc w:val="both"/>
              <w:rPr>
                <w:rFonts w:ascii="Arial Narrow" w:hAnsi="Arial Narrow" w:cs="Arial"/>
                <w:b/>
                <w:sz w:val="20"/>
                <w:szCs w:val="20"/>
              </w:rPr>
            </w:pPr>
            <w:r w:rsidRPr="00260CE3">
              <w:rPr>
                <w:rFonts w:ascii="Arial Narrow" w:hAnsi="Arial Narrow" w:cs="Arial"/>
                <w:b/>
                <w:sz w:val="20"/>
                <w:szCs w:val="20"/>
              </w:rPr>
              <w:t>PBS Indication:</w:t>
            </w:r>
          </w:p>
        </w:tc>
        <w:tc>
          <w:tcPr>
            <w:tcW w:w="6367" w:type="dxa"/>
            <w:gridSpan w:val="5"/>
            <w:tcBorders>
              <w:top w:val="single" w:sz="4" w:space="0" w:color="auto"/>
              <w:left w:val="single" w:sz="4" w:space="0" w:color="auto"/>
              <w:bottom w:val="single" w:sz="4" w:space="0" w:color="auto"/>
              <w:right w:val="single" w:sz="4" w:space="0" w:color="auto"/>
            </w:tcBorders>
          </w:tcPr>
          <w:p w:rsidR="006D3844" w:rsidRPr="00260CE3" w:rsidRDefault="006D3844" w:rsidP="006D3844">
            <w:pPr>
              <w:keepNext/>
              <w:keepLines/>
              <w:widowControl w:val="0"/>
              <w:rPr>
                <w:rFonts w:ascii="Arial Narrow" w:hAnsi="Arial Narrow" w:cs="Arial"/>
                <w:sz w:val="20"/>
                <w:szCs w:val="20"/>
              </w:rPr>
            </w:pPr>
            <w:r>
              <w:rPr>
                <w:rFonts w:ascii="Arial Narrow" w:hAnsi="Arial Narrow" w:cs="Arial"/>
                <w:sz w:val="20"/>
                <w:szCs w:val="20"/>
              </w:rPr>
              <w:t>Pulmonary arterial hypertension (PAH)</w:t>
            </w:r>
          </w:p>
        </w:tc>
      </w:tr>
      <w:tr w:rsidR="006D3844" w:rsidRPr="00260CE3" w:rsidTr="006D3844">
        <w:trPr>
          <w:trHeight w:val="75"/>
        </w:trPr>
        <w:tc>
          <w:tcPr>
            <w:tcW w:w="1981" w:type="dxa"/>
            <w:tcBorders>
              <w:top w:val="single" w:sz="4" w:space="0" w:color="auto"/>
              <w:left w:val="single" w:sz="4" w:space="0" w:color="auto"/>
              <w:bottom w:val="single" w:sz="4" w:space="0" w:color="auto"/>
              <w:right w:val="single" w:sz="4" w:space="0" w:color="auto"/>
            </w:tcBorders>
          </w:tcPr>
          <w:p w:rsidR="006D3844" w:rsidRPr="000B7B05" w:rsidRDefault="006D3844" w:rsidP="006D3844">
            <w:pPr>
              <w:keepNext/>
              <w:keepLines/>
              <w:widowControl w:val="0"/>
              <w:jc w:val="both"/>
              <w:rPr>
                <w:rFonts w:ascii="Arial Narrow" w:hAnsi="Arial Narrow" w:cs="Arial"/>
                <w:b/>
                <w:sz w:val="20"/>
                <w:szCs w:val="20"/>
              </w:rPr>
            </w:pPr>
            <w:r w:rsidRPr="00260CE3">
              <w:rPr>
                <w:rFonts w:ascii="Arial Narrow" w:hAnsi="Arial Narrow" w:cs="Arial"/>
                <w:b/>
                <w:sz w:val="20"/>
                <w:szCs w:val="20"/>
              </w:rPr>
              <w:t>Treatment phase:</w:t>
            </w:r>
          </w:p>
        </w:tc>
        <w:tc>
          <w:tcPr>
            <w:tcW w:w="6367" w:type="dxa"/>
            <w:gridSpan w:val="5"/>
            <w:tcBorders>
              <w:top w:val="single" w:sz="4" w:space="0" w:color="auto"/>
              <w:left w:val="single" w:sz="4" w:space="0" w:color="auto"/>
              <w:bottom w:val="single" w:sz="4" w:space="0" w:color="auto"/>
              <w:right w:val="single" w:sz="4" w:space="0" w:color="auto"/>
            </w:tcBorders>
          </w:tcPr>
          <w:p w:rsidR="006D3844" w:rsidRPr="00260CE3" w:rsidRDefault="006D3844" w:rsidP="006D3844">
            <w:pPr>
              <w:keepNext/>
              <w:keepLines/>
              <w:widowControl w:val="0"/>
              <w:rPr>
                <w:rFonts w:ascii="Arial Narrow" w:hAnsi="Arial Narrow" w:cs="Arial"/>
                <w:sz w:val="20"/>
                <w:szCs w:val="20"/>
              </w:rPr>
            </w:pPr>
            <w:r w:rsidRPr="006D3844">
              <w:rPr>
                <w:rFonts w:ascii="Arial Narrow" w:hAnsi="Arial Narrow" w:cs="Arial"/>
                <w:sz w:val="20"/>
                <w:szCs w:val="20"/>
              </w:rPr>
              <w:t>Initial 1 (new patients) or Initial 2 (change or re-commencement of therapy for all patients) or First Continuing treatment - Balance of supply</w:t>
            </w:r>
          </w:p>
        </w:tc>
      </w:tr>
      <w:tr w:rsidR="006D3844" w:rsidRPr="00260CE3" w:rsidTr="006D3844">
        <w:trPr>
          <w:trHeight w:val="75"/>
        </w:trPr>
        <w:tc>
          <w:tcPr>
            <w:tcW w:w="1981" w:type="dxa"/>
            <w:tcBorders>
              <w:top w:val="single" w:sz="4" w:space="0" w:color="auto"/>
              <w:left w:val="single" w:sz="4" w:space="0" w:color="auto"/>
              <w:bottom w:val="single" w:sz="4" w:space="0" w:color="auto"/>
              <w:right w:val="single" w:sz="4" w:space="0" w:color="auto"/>
            </w:tcBorders>
          </w:tcPr>
          <w:p w:rsidR="006D3844" w:rsidRPr="00260CE3" w:rsidRDefault="006D3844" w:rsidP="006D3844">
            <w:pPr>
              <w:keepNext/>
              <w:keepLines/>
              <w:widowControl w:val="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6D3844" w:rsidRPr="00260CE3" w:rsidRDefault="006D3844" w:rsidP="006D3844">
            <w:pPr>
              <w:keepNext/>
              <w:keepLines/>
              <w:widowControl w:val="0"/>
              <w:rPr>
                <w:rFonts w:ascii="Arial Narrow" w:hAnsi="Arial Narrow" w:cs="Arial"/>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6D3844" w:rsidRPr="00106BCF" w:rsidRDefault="006D3844" w:rsidP="006D3844">
            <w:pPr>
              <w:keepNext/>
              <w:keepLines/>
              <w:widowControl w:val="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6D3844" w:rsidRPr="00106BCF" w:rsidRDefault="006D3844" w:rsidP="006D3844">
            <w:pPr>
              <w:keepNext/>
              <w:keepLines/>
              <w:widowControl w:val="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6D3844" w:rsidRPr="00106BCF" w:rsidRDefault="00F31C3D" w:rsidP="006D3844">
            <w:pPr>
              <w:keepNext/>
              <w:keepLines/>
              <w:widowControl w:val="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Pr>
                <w:rFonts w:ascii="Arial Narrow" w:hAnsi="Arial Narrow" w:cs="Arial"/>
                <w:sz w:val="20"/>
                <w:szCs w:val="20"/>
              </w:rPr>
              <w:fldChar w:fldCharType="end"/>
            </w:r>
            <w:r w:rsidR="006D3844" w:rsidRPr="00106BCF">
              <w:rPr>
                <w:rFonts w:ascii="Arial Narrow" w:hAnsi="Arial Narrow" w:cs="Arial"/>
                <w:sz w:val="20"/>
                <w:szCs w:val="20"/>
              </w:rPr>
              <w:t>Authority Required - Telephone</w:t>
            </w:r>
          </w:p>
          <w:p w:rsidR="006D3844" w:rsidRPr="00106BCF" w:rsidRDefault="006D3844" w:rsidP="006D3844">
            <w:pPr>
              <w:keepNext/>
              <w:keepLines/>
              <w:widowControl w:val="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6D3844" w:rsidRPr="00106BCF" w:rsidRDefault="006D3844" w:rsidP="006D3844">
            <w:pPr>
              <w:keepNext/>
              <w:keepLines/>
              <w:widowControl w:val="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6D3844" w:rsidRPr="00260CE3" w:rsidRDefault="006D3844" w:rsidP="006D3844">
            <w:pPr>
              <w:keepNext/>
              <w:keepLines/>
              <w:widowControl w:val="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6D3844" w:rsidRPr="00260CE3" w:rsidTr="006D3844">
        <w:trPr>
          <w:trHeight w:val="1888"/>
        </w:trPr>
        <w:tc>
          <w:tcPr>
            <w:tcW w:w="1981" w:type="dxa"/>
            <w:tcBorders>
              <w:top w:val="single" w:sz="4" w:space="0" w:color="auto"/>
              <w:left w:val="single" w:sz="4" w:space="0" w:color="auto"/>
              <w:bottom w:val="single" w:sz="4" w:space="0" w:color="auto"/>
              <w:right w:val="single" w:sz="4" w:space="0" w:color="auto"/>
            </w:tcBorders>
          </w:tcPr>
          <w:p w:rsidR="006D3844" w:rsidRPr="00260CE3" w:rsidRDefault="006D3844" w:rsidP="006D3844">
            <w:pPr>
              <w:keepNext/>
              <w:keepLines/>
              <w:jc w:val="both"/>
              <w:rPr>
                <w:rFonts w:ascii="Arial Narrow" w:hAnsi="Arial Narrow" w:cs="Arial"/>
                <w:b/>
                <w:sz w:val="20"/>
                <w:szCs w:val="20"/>
              </w:rPr>
            </w:pPr>
            <w:r w:rsidRPr="00260CE3">
              <w:rPr>
                <w:rFonts w:ascii="Arial Narrow" w:hAnsi="Arial Narrow" w:cs="Arial"/>
                <w:b/>
                <w:sz w:val="20"/>
                <w:szCs w:val="20"/>
              </w:rPr>
              <w:t>Clinical criteria:</w:t>
            </w:r>
          </w:p>
          <w:p w:rsidR="006D3844" w:rsidRPr="00260CE3" w:rsidRDefault="006D3844" w:rsidP="006D3844">
            <w:pPr>
              <w:keepNext/>
              <w:keepLines/>
              <w:jc w:val="both"/>
              <w:rPr>
                <w:rFonts w:ascii="Arial Narrow" w:hAnsi="Arial Narrow" w:cs="Arial"/>
                <w:i/>
                <w:sz w:val="20"/>
                <w:szCs w:val="20"/>
              </w:rPr>
            </w:pPr>
          </w:p>
          <w:p w:rsidR="006D3844" w:rsidRPr="00260CE3" w:rsidRDefault="006D3844" w:rsidP="006D3844">
            <w:pPr>
              <w:keepNext/>
              <w:keepLines/>
              <w:jc w:val="both"/>
              <w:rPr>
                <w:rFonts w:ascii="Arial Narrow" w:hAnsi="Arial Narrow" w:cs="Arial"/>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6D3844" w:rsidRDefault="006D3844" w:rsidP="006D3844">
            <w:pPr>
              <w:keepNext/>
              <w:keepLines/>
              <w:jc w:val="both"/>
              <w:rPr>
                <w:rFonts w:ascii="Arial Narrow" w:hAnsi="Arial Narrow" w:cs="Arial"/>
                <w:sz w:val="20"/>
                <w:szCs w:val="20"/>
              </w:rPr>
            </w:pPr>
            <w:r w:rsidRPr="006D3844">
              <w:rPr>
                <w:rFonts w:ascii="Arial Narrow" w:hAnsi="Arial Narrow" w:cs="Arial"/>
                <w:sz w:val="20"/>
                <w:szCs w:val="20"/>
              </w:rPr>
              <w:t>Patient must have received insufficient therapy with this agent under the Initial 1 (new patients) restriction to complete a maximu</w:t>
            </w:r>
            <w:r w:rsidR="006527E4">
              <w:rPr>
                <w:rFonts w:ascii="Arial Narrow" w:hAnsi="Arial Narrow" w:cs="Arial"/>
                <w:sz w:val="20"/>
                <w:szCs w:val="20"/>
              </w:rPr>
              <w:t xml:space="preserve">m of six months of treatment; </w:t>
            </w:r>
          </w:p>
          <w:p w:rsidR="006527E4" w:rsidRDefault="006527E4" w:rsidP="006D3844">
            <w:pPr>
              <w:keepNext/>
              <w:keepLines/>
              <w:jc w:val="both"/>
              <w:rPr>
                <w:rFonts w:ascii="Arial Narrow" w:hAnsi="Arial Narrow" w:cs="Arial"/>
                <w:sz w:val="20"/>
                <w:szCs w:val="20"/>
              </w:rPr>
            </w:pPr>
          </w:p>
          <w:p w:rsidR="006D3844" w:rsidRDefault="006D3844" w:rsidP="006D3844">
            <w:pPr>
              <w:keepNext/>
              <w:keepLines/>
              <w:jc w:val="both"/>
              <w:rPr>
                <w:rFonts w:ascii="Arial Narrow" w:hAnsi="Arial Narrow" w:cs="Arial"/>
                <w:sz w:val="20"/>
                <w:szCs w:val="20"/>
              </w:rPr>
            </w:pPr>
            <w:r w:rsidRPr="00CD7723">
              <w:rPr>
                <w:rFonts w:ascii="Arial Narrow" w:hAnsi="Arial Narrow" w:cs="Arial"/>
                <w:sz w:val="20"/>
                <w:szCs w:val="20"/>
              </w:rPr>
              <w:t>OR</w:t>
            </w:r>
          </w:p>
          <w:p w:rsidR="006D3844" w:rsidRDefault="006D3844" w:rsidP="006D3844">
            <w:pPr>
              <w:keepNext/>
              <w:keepLines/>
              <w:jc w:val="both"/>
              <w:rPr>
                <w:rFonts w:ascii="Arial Narrow" w:hAnsi="Arial Narrow" w:cs="Arial"/>
                <w:sz w:val="20"/>
                <w:szCs w:val="20"/>
              </w:rPr>
            </w:pPr>
          </w:p>
          <w:p w:rsidR="006D3844" w:rsidRDefault="006527E4" w:rsidP="006D3844">
            <w:pPr>
              <w:keepNext/>
              <w:keepLines/>
              <w:jc w:val="both"/>
              <w:rPr>
                <w:rFonts w:ascii="Arial Narrow" w:hAnsi="Arial Narrow" w:cs="Arial"/>
                <w:sz w:val="20"/>
                <w:szCs w:val="20"/>
              </w:rPr>
            </w:pPr>
            <w:r w:rsidRPr="006527E4">
              <w:rPr>
                <w:rFonts w:ascii="Arial Narrow" w:hAnsi="Arial Narrow" w:cs="Arial"/>
                <w:sz w:val="20"/>
                <w:szCs w:val="20"/>
              </w:rPr>
              <w:t>Patient must have received insufficient therapy with this agent under the Initial 2 (change or re-commencement of therapy for all patients) restriction to complete a maximu</w:t>
            </w:r>
            <w:r>
              <w:rPr>
                <w:rFonts w:ascii="Arial Narrow" w:hAnsi="Arial Narrow" w:cs="Arial"/>
                <w:sz w:val="20"/>
                <w:szCs w:val="20"/>
              </w:rPr>
              <w:t xml:space="preserve">m of six months of treatment; </w:t>
            </w:r>
          </w:p>
          <w:p w:rsidR="006527E4" w:rsidRDefault="006527E4" w:rsidP="006D3844">
            <w:pPr>
              <w:keepNext/>
              <w:keepLines/>
              <w:jc w:val="both"/>
              <w:rPr>
                <w:rFonts w:ascii="Arial Narrow" w:hAnsi="Arial Narrow" w:cs="Arial"/>
                <w:sz w:val="20"/>
                <w:szCs w:val="20"/>
              </w:rPr>
            </w:pPr>
          </w:p>
          <w:p w:rsidR="006D3844" w:rsidRDefault="006D3844" w:rsidP="006D3844">
            <w:pPr>
              <w:keepNext/>
              <w:keepLines/>
              <w:jc w:val="both"/>
              <w:rPr>
                <w:rFonts w:ascii="Arial Narrow" w:hAnsi="Arial Narrow" w:cs="Arial"/>
                <w:sz w:val="20"/>
                <w:szCs w:val="20"/>
              </w:rPr>
            </w:pPr>
            <w:r w:rsidRPr="00CD7723">
              <w:rPr>
                <w:rFonts w:ascii="Arial Narrow" w:hAnsi="Arial Narrow" w:cs="Arial"/>
                <w:sz w:val="20"/>
                <w:szCs w:val="20"/>
              </w:rPr>
              <w:t>OR</w:t>
            </w:r>
          </w:p>
          <w:p w:rsidR="006D3844" w:rsidRDefault="006D3844" w:rsidP="006D3844">
            <w:pPr>
              <w:keepNext/>
              <w:keepLines/>
              <w:jc w:val="both"/>
              <w:rPr>
                <w:rFonts w:ascii="Arial Narrow" w:hAnsi="Arial Narrow" w:cs="Arial"/>
                <w:sz w:val="20"/>
                <w:szCs w:val="20"/>
              </w:rPr>
            </w:pPr>
          </w:p>
          <w:p w:rsidR="006D3844" w:rsidRDefault="006527E4" w:rsidP="006D3844">
            <w:pPr>
              <w:keepNext/>
              <w:keepLines/>
              <w:jc w:val="both"/>
              <w:rPr>
                <w:rFonts w:ascii="Arial Narrow" w:hAnsi="Arial Narrow" w:cs="Arial"/>
                <w:sz w:val="20"/>
                <w:szCs w:val="20"/>
              </w:rPr>
            </w:pPr>
            <w:r w:rsidRPr="006527E4">
              <w:rPr>
                <w:rFonts w:ascii="Arial Narrow" w:hAnsi="Arial Narrow" w:cs="Arial"/>
                <w:sz w:val="20"/>
                <w:szCs w:val="20"/>
              </w:rPr>
              <w:t>Patient must have received insufficient therapy with this agent under the First Continuing treatment restriction to complete a max</w:t>
            </w:r>
            <w:r>
              <w:rPr>
                <w:rFonts w:ascii="Arial Narrow" w:hAnsi="Arial Narrow" w:cs="Arial"/>
                <w:sz w:val="20"/>
                <w:szCs w:val="20"/>
              </w:rPr>
              <w:t>imum of six months of treatment;</w:t>
            </w:r>
          </w:p>
          <w:p w:rsidR="006527E4" w:rsidRDefault="006527E4" w:rsidP="006D3844">
            <w:pPr>
              <w:keepNext/>
              <w:keepLines/>
              <w:jc w:val="both"/>
              <w:rPr>
                <w:rFonts w:ascii="Arial Narrow" w:hAnsi="Arial Narrow" w:cs="Arial"/>
                <w:sz w:val="20"/>
                <w:szCs w:val="20"/>
              </w:rPr>
            </w:pPr>
          </w:p>
          <w:p w:rsidR="006D3844" w:rsidRDefault="006D3844" w:rsidP="006D3844">
            <w:pPr>
              <w:keepNext/>
              <w:keepLines/>
              <w:jc w:val="both"/>
              <w:rPr>
                <w:rFonts w:ascii="Arial Narrow" w:hAnsi="Arial Narrow" w:cs="Arial"/>
                <w:sz w:val="20"/>
                <w:szCs w:val="20"/>
              </w:rPr>
            </w:pPr>
            <w:r>
              <w:rPr>
                <w:rFonts w:ascii="Arial Narrow" w:hAnsi="Arial Narrow" w:cs="Arial"/>
                <w:sz w:val="20"/>
                <w:szCs w:val="20"/>
              </w:rPr>
              <w:t>AND</w:t>
            </w:r>
          </w:p>
          <w:p w:rsidR="006D3844" w:rsidRDefault="006D3844" w:rsidP="006D3844">
            <w:pPr>
              <w:keepNext/>
              <w:keepLines/>
              <w:jc w:val="both"/>
              <w:rPr>
                <w:rFonts w:ascii="Arial Narrow" w:hAnsi="Arial Narrow" w:cs="Arial"/>
                <w:sz w:val="20"/>
                <w:szCs w:val="20"/>
              </w:rPr>
            </w:pPr>
          </w:p>
          <w:p w:rsidR="006D3844" w:rsidRDefault="006D3844" w:rsidP="006D3844">
            <w:pPr>
              <w:keepNext/>
              <w:keepLines/>
              <w:jc w:val="both"/>
              <w:rPr>
                <w:rFonts w:ascii="Arial Narrow" w:hAnsi="Arial Narrow" w:cs="Arial"/>
                <w:sz w:val="20"/>
                <w:szCs w:val="20"/>
              </w:rPr>
            </w:pPr>
            <w:r w:rsidRPr="00CD7723">
              <w:rPr>
                <w:rFonts w:ascii="Arial Narrow" w:hAnsi="Arial Narrow" w:cs="Arial"/>
                <w:sz w:val="20"/>
                <w:szCs w:val="20"/>
              </w:rPr>
              <w:t>The treatment must be the sole PBS-subsidised PAH agent for this condition</w:t>
            </w:r>
            <w:r w:rsidR="006527E4">
              <w:rPr>
                <w:rFonts w:ascii="Arial Narrow" w:hAnsi="Arial Narrow" w:cs="Arial"/>
                <w:sz w:val="20"/>
                <w:szCs w:val="20"/>
              </w:rPr>
              <w:t>;</w:t>
            </w:r>
          </w:p>
          <w:p w:rsidR="006527E4" w:rsidRDefault="006527E4" w:rsidP="006D3844">
            <w:pPr>
              <w:keepNext/>
              <w:keepLines/>
              <w:jc w:val="both"/>
              <w:rPr>
                <w:rFonts w:ascii="Arial Narrow" w:hAnsi="Arial Narrow" w:cs="Arial"/>
                <w:sz w:val="20"/>
                <w:szCs w:val="20"/>
              </w:rPr>
            </w:pPr>
          </w:p>
          <w:p w:rsidR="006527E4" w:rsidRDefault="006527E4" w:rsidP="006D3844">
            <w:pPr>
              <w:keepNext/>
              <w:keepLines/>
              <w:jc w:val="both"/>
              <w:rPr>
                <w:rFonts w:ascii="Arial Narrow" w:hAnsi="Arial Narrow" w:cs="Arial"/>
                <w:sz w:val="20"/>
                <w:szCs w:val="20"/>
              </w:rPr>
            </w:pPr>
            <w:r>
              <w:rPr>
                <w:rFonts w:ascii="Arial Narrow" w:hAnsi="Arial Narrow" w:cs="Arial"/>
                <w:sz w:val="20"/>
                <w:szCs w:val="20"/>
              </w:rPr>
              <w:t>AND</w:t>
            </w:r>
          </w:p>
          <w:p w:rsidR="006527E4" w:rsidRDefault="006527E4" w:rsidP="006D3844">
            <w:pPr>
              <w:keepNext/>
              <w:keepLines/>
              <w:jc w:val="both"/>
              <w:rPr>
                <w:rFonts w:ascii="Arial Narrow" w:hAnsi="Arial Narrow" w:cs="Arial"/>
                <w:sz w:val="20"/>
                <w:szCs w:val="20"/>
              </w:rPr>
            </w:pPr>
          </w:p>
          <w:p w:rsidR="006527E4" w:rsidRDefault="006527E4" w:rsidP="006D3844">
            <w:pPr>
              <w:keepNext/>
              <w:keepLines/>
              <w:jc w:val="both"/>
              <w:rPr>
                <w:rFonts w:ascii="Arial Narrow" w:hAnsi="Arial Narrow" w:cs="Arial"/>
                <w:sz w:val="20"/>
                <w:szCs w:val="20"/>
              </w:rPr>
            </w:pPr>
            <w:r w:rsidRPr="006527E4">
              <w:rPr>
                <w:rFonts w:ascii="Arial Narrow" w:hAnsi="Arial Narrow" w:cs="Arial"/>
                <w:sz w:val="20"/>
                <w:szCs w:val="20"/>
              </w:rPr>
              <w:t>The treatment must provide no more than the balance of up to six months treatment available under one of the above restrictions.</w:t>
            </w:r>
          </w:p>
          <w:p w:rsidR="006527E4" w:rsidRPr="00260CE3" w:rsidRDefault="006527E4" w:rsidP="006D3844">
            <w:pPr>
              <w:keepNext/>
              <w:keepLines/>
              <w:jc w:val="both"/>
              <w:rPr>
                <w:rFonts w:ascii="Arial Narrow" w:hAnsi="Arial Narrow" w:cs="Arial"/>
                <w:sz w:val="20"/>
                <w:szCs w:val="20"/>
              </w:rPr>
            </w:pPr>
          </w:p>
        </w:tc>
      </w:tr>
      <w:tr w:rsidR="006D3844" w:rsidRPr="00260CE3" w:rsidTr="006D3844">
        <w:trPr>
          <w:trHeight w:val="70"/>
        </w:trPr>
        <w:tc>
          <w:tcPr>
            <w:tcW w:w="1981" w:type="dxa"/>
            <w:tcBorders>
              <w:top w:val="single" w:sz="4" w:space="0" w:color="auto"/>
              <w:left w:val="single" w:sz="4" w:space="0" w:color="auto"/>
              <w:bottom w:val="single" w:sz="4" w:space="0" w:color="auto"/>
              <w:right w:val="single" w:sz="4" w:space="0" w:color="auto"/>
            </w:tcBorders>
          </w:tcPr>
          <w:p w:rsidR="006D3844" w:rsidRPr="00260CE3" w:rsidRDefault="006527E4" w:rsidP="006D3844">
            <w:pPr>
              <w:keepNext/>
              <w:keepLines/>
              <w:jc w:val="both"/>
              <w:rPr>
                <w:rFonts w:ascii="Arial Narrow" w:hAnsi="Arial Narrow" w:cs="Arial"/>
                <w:b/>
                <w:sz w:val="20"/>
                <w:szCs w:val="20"/>
              </w:rPr>
            </w:pPr>
            <w:r>
              <w:rPr>
                <w:rFonts w:ascii="Arial Narrow" w:hAnsi="Arial Narrow" w:cs="Arial"/>
                <w:b/>
                <w:sz w:val="20"/>
                <w:szCs w:val="20"/>
              </w:rPr>
              <w:t>Administrative Advice</w:t>
            </w:r>
          </w:p>
          <w:p w:rsidR="006D3844" w:rsidRPr="00260CE3" w:rsidRDefault="006D3844" w:rsidP="006D3844">
            <w:pPr>
              <w:keepNext/>
              <w:keepLines/>
              <w:jc w:val="both"/>
              <w:rPr>
                <w:rFonts w:ascii="Arial Narrow" w:hAnsi="Arial Narrow" w:cs="Arial"/>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6527E4" w:rsidRPr="006527E4" w:rsidRDefault="006527E4" w:rsidP="006527E4">
            <w:pPr>
              <w:keepNext/>
              <w:keepLines/>
              <w:rPr>
                <w:rFonts w:ascii="Arial Narrow" w:hAnsi="Arial Narrow" w:cs="Arial"/>
                <w:sz w:val="20"/>
                <w:szCs w:val="20"/>
              </w:rPr>
            </w:pPr>
            <w:r w:rsidRPr="006527E4">
              <w:rPr>
                <w:rFonts w:ascii="Arial Narrow" w:hAnsi="Arial Narrow" w:cs="Arial"/>
                <w:sz w:val="20"/>
                <w:szCs w:val="20"/>
              </w:rPr>
              <w:t>Applications for authorisation under this criterion may be made by telephone by contacting the Department of Human Services on 1800 700 270 (hours of operation 8 a.m. to 5 p.m. EST Monday to Friday).</w:t>
            </w:r>
          </w:p>
          <w:p w:rsidR="006527E4" w:rsidRPr="006527E4" w:rsidRDefault="006527E4" w:rsidP="006527E4">
            <w:pPr>
              <w:keepNext/>
              <w:keepLines/>
              <w:rPr>
                <w:rFonts w:ascii="Arial Narrow" w:hAnsi="Arial Narrow" w:cs="Arial"/>
                <w:sz w:val="20"/>
                <w:szCs w:val="20"/>
              </w:rPr>
            </w:pPr>
            <w:r w:rsidRPr="006527E4">
              <w:rPr>
                <w:rFonts w:ascii="Arial Narrow" w:hAnsi="Arial Narrow" w:cs="Arial"/>
                <w:sz w:val="20"/>
                <w:szCs w:val="20"/>
              </w:rPr>
              <w:t>Written applications for authorisation under this criterion should be forwarded to:</w:t>
            </w:r>
          </w:p>
          <w:p w:rsidR="006527E4" w:rsidRPr="006527E4" w:rsidRDefault="006527E4" w:rsidP="006527E4">
            <w:pPr>
              <w:keepNext/>
              <w:keepLines/>
              <w:rPr>
                <w:rFonts w:ascii="Arial Narrow" w:hAnsi="Arial Narrow" w:cs="Arial"/>
                <w:sz w:val="20"/>
                <w:szCs w:val="20"/>
              </w:rPr>
            </w:pPr>
            <w:r w:rsidRPr="006527E4">
              <w:rPr>
                <w:rFonts w:ascii="Arial Narrow" w:hAnsi="Arial Narrow" w:cs="Arial"/>
                <w:sz w:val="20"/>
                <w:szCs w:val="20"/>
              </w:rPr>
              <w:t>Department of Human Services</w:t>
            </w:r>
          </w:p>
          <w:p w:rsidR="006527E4" w:rsidRPr="006527E4" w:rsidRDefault="006527E4" w:rsidP="006527E4">
            <w:pPr>
              <w:keepNext/>
              <w:keepLines/>
              <w:rPr>
                <w:rFonts w:ascii="Arial Narrow" w:hAnsi="Arial Narrow" w:cs="Arial"/>
                <w:sz w:val="20"/>
                <w:szCs w:val="20"/>
              </w:rPr>
            </w:pPr>
            <w:r w:rsidRPr="006527E4">
              <w:rPr>
                <w:rFonts w:ascii="Arial Narrow" w:hAnsi="Arial Narrow" w:cs="Arial"/>
                <w:sz w:val="20"/>
                <w:szCs w:val="20"/>
              </w:rPr>
              <w:t>Complex Drugs</w:t>
            </w:r>
          </w:p>
          <w:p w:rsidR="006527E4" w:rsidRPr="006527E4" w:rsidRDefault="006527E4" w:rsidP="006527E4">
            <w:pPr>
              <w:keepNext/>
              <w:keepLines/>
              <w:rPr>
                <w:rFonts w:ascii="Arial Narrow" w:hAnsi="Arial Narrow" w:cs="Arial"/>
                <w:sz w:val="20"/>
                <w:szCs w:val="20"/>
              </w:rPr>
            </w:pPr>
            <w:r w:rsidRPr="006527E4">
              <w:rPr>
                <w:rFonts w:ascii="Arial Narrow" w:hAnsi="Arial Narrow" w:cs="Arial"/>
                <w:sz w:val="20"/>
                <w:szCs w:val="20"/>
              </w:rPr>
              <w:t>Reply Paid 9826</w:t>
            </w:r>
          </w:p>
          <w:p w:rsidR="006527E4" w:rsidRDefault="006527E4" w:rsidP="006527E4">
            <w:pPr>
              <w:keepNext/>
              <w:keepLines/>
              <w:rPr>
                <w:rFonts w:ascii="Arial Narrow" w:hAnsi="Arial Narrow" w:cs="Arial"/>
                <w:sz w:val="20"/>
                <w:szCs w:val="20"/>
              </w:rPr>
            </w:pPr>
            <w:r w:rsidRPr="006527E4">
              <w:rPr>
                <w:rFonts w:ascii="Arial Narrow" w:hAnsi="Arial Narrow" w:cs="Arial"/>
                <w:sz w:val="20"/>
                <w:szCs w:val="20"/>
              </w:rPr>
              <w:t>HOBART TAS 7001</w:t>
            </w:r>
          </w:p>
          <w:p w:rsidR="006527E4" w:rsidRPr="00260CE3" w:rsidRDefault="006527E4" w:rsidP="006527E4">
            <w:pPr>
              <w:keepNext/>
              <w:keepLines/>
              <w:rPr>
                <w:rFonts w:ascii="Arial Narrow" w:hAnsi="Arial Narrow" w:cs="Arial"/>
                <w:sz w:val="20"/>
                <w:szCs w:val="20"/>
              </w:rPr>
            </w:pPr>
          </w:p>
        </w:tc>
      </w:tr>
      <w:tr w:rsidR="006D3844" w:rsidRPr="00260CE3" w:rsidTr="006D3844">
        <w:trPr>
          <w:trHeight w:val="75"/>
        </w:trPr>
        <w:tc>
          <w:tcPr>
            <w:tcW w:w="1981" w:type="dxa"/>
            <w:tcBorders>
              <w:top w:val="single" w:sz="4" w:space="0" w:color="auto"/>
              <w:left w:val="single" w:sz="4" w:space="0" w:color="auto"/>
              <w:bottom w:val="single" w:sz="4" w:space="0" w:color="auto"/>
              <w:right w:val="single" w:sz="4" w:space="0" w:color="auto"/>
            </w:tcBorders>
          </w:tcPr>
          <w:p w:rsidR="006D3844" w:rsidRPr="00260CE3" w:rsidRDefault="006527E4" w:rsidP="006D3844">
            <w:pPr>
              <w:keepNext/>
              <w:keepLines/>
              <w:widowControl w:val="0"/>
              <w:jc w:val="both"/>
              <w:rPr>
                <w:rFonts w:ascii="Arial Narrow" w:hAnsi="Arial Narrow" w:cs="Arial"/>
                <w:b/>
                <w:sz w:val="20"/>
                <w:szCs w:val="20"/>
              </w:rPr>
            </w:pPr>
            <w:r>
              <w:rPr>
                <w:rFonts w:ascii="Arial Narrow" w:hAnsi="Arial Narrow" w:cs="Arial"/>
                <w:b/>
                <w:sz w:val="20"/>
                <w:szCs w:val="20"/>
              </w:rPr>
              <w:t>Caution</w:t>
            </w:r>
          </w:p>
          <w:p w:rsidR="006D3844" w:rsidRPr="00260CE3" w:rsidRDefault="006D3844" w:rsidP="006D3844">
            <w:pPr>
              <w:keepNext/>
              <w:keepLines/>
              <w:widowControl w:val="0"/>
              <w:jc w:val="both"/>
              <w:rPr>
                <w:rFonts w:ascii="Arial Narrow" w:hAnsi="Arial Narrow" w:cs="Arial"/>
                <w:i/>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6D3844" w:rsidRPr="00260CE3" w:rsidRDefault="006527E4" w:rsidP="006D3844">
            <w:pPr>
              <w:keepNext/>
              <w:keepLines/>
              <w:widowControl w:val="0"/>
              <w:rPr>
                <w:rFonts w:ascii="Arial Narrow" w:hAnsi="Arial Narrow" w:cs="Arial"/>
                <w:sz w:val="20"/>
                <w:szCs w:val="20"/>
              </w:rPr>
            </w:pPr>
            <w:r w:rsidRPr="006527E4">
              <w:rPr>
                <w:rFonts w:ascii="Arial Narrow" w:hAnsi="Arial Narrow" w:cs="Arial"/>
                <w:sz w:val="20"/>
                <w:szCs w:val="20"/>
              </w:rPr>
              <w:t xml:space="preserve">This is a category X drug and must not be given to pregnant women. Pregnancy must be avoided during treatment and for at least 3 months following cessation of </w:t>
            </w:r>
            <w:r w:rsidRPr="006527E4">
              <w:rPr>
                <w:rFonts w:ascii="Arial Narrow" w:hAnsi="Arial Narrow" w:cs="Arial"/>
                <w:sz w:val="20"/>
                <w:szCs w:val="20"/>
              </w:rPr>
              <w:lastRenderedPageBreak/>
              <w:t>therapy.</w:t>
            </w:r>
          </w:p>
        </w:tc>
      </w:tr>
    </w:tbl>
    <w:p w:rsidR="00C07955" w:rsidRDefault="00C07955" w:rsidP="005A1F2D">
      <w:pPr>
        <w:ind w:left="360"/>
        <w:contextualSpacing/>
        <w:rPr>
          <w:rFonts w:ascii="Calibri" w:hAnsi="Calibri" w:cs="Calibri"/>
        </w:rPr>
      </w:pPr>
    </w:p>
    <w:p w:rsidR="005B655D" w:rsidRDefault="005B655D" w:rsidP="005A1F2D">
      <w:pPr>
        <w:ind w:left="360"/>
        <w:contextualSpacing/>
        <w:rPr>
          <w:rFonts w:ascii="Calibri" w:hAnsi="Calibri" w:cs="Calibri"/>
        </w:rPr>
      </w:pPr>
    </w:p>
    <w:tbl>
      <w:tblPr>
        <w:tblW w:w="8348" w:type="dxa"/>
        <w:tblInd w:w="817" w:type="dxa"/>
        <w:tblLayout w:type="fixed"/>
        <w:tblLook w:val="0000" w:firstRow="0" w:lastRow="0" w:firstColumn="0" w:lastColumn="0" w:noHBand="0" w:noVBand="0"/>
      </w:tblPr>
      <w:tblGrid>
        <w:gridCol w:w="1981"/>
        <w:gridCol w:w="1132"/>
        <w:gridCol w:w="848"/>
        <w:gridCol w:w="708"/>
        <w:gridCol w:w="1274"/>
        <w:gridCol w:w="2405"/>
      </w:tblGrid>
      <w:tr w:rsidR="006527E4" w:rsidRPr="0039782C" w:rsidTr="001B49CB">
        <w:trPr>
          <w:trHeight w:val="98"/>
        </w:trPr>
        <w:tc>
          <w:tcPr>
            <w:tcW w:w="3113" w:type="dxa"/>
            <w:gridSpan w:val="2"/>
            <w:tcBorders>
              <w:bottom w:val="single" w:sz="4" w:space="0" w:color="auto"/>
            </w:tcBorders>
          </w:tcPr>
          <w:p w:rsidR="006527E4" w:rsidRPr="0039782C" w:rsidRDefault="006527E4" w:rsidP="005B655D">
            <w:pPr>
              <w:widowControl w:val="0"/>
              <w:ind w:left="-108"/>
              <w:jc w:val="both"/>
              <w:rPr>
                <w:rFonts w:ascii="Arial Narrow" w:hAnsi="Arial Narrow" w:cs="Arial"/>
                <w:b/>
                <w:sz w:val="20"/>
                <w:szCs w:val="20"/>
              </w:rPr>
            </w:pPr>
            <w:r w:rsidRPr="0039782C">
              <w:rPr>
                <w:rFonts w:ascii="Arial Narrow" w:hAnsi="Arial Narrow" w:cs="Arial"/>
                <w:b/>
                <w:sz w:val="20"/>
                <w:szCs w:val="20"/>
              </w:rPr>
              <w:t>Name, Restriction,</w:t>
            </w:r>
          </w:p>
          <w:p w:rsidR="006527E4" w:rsidRPr="0039782C" w:rsidRDefault="006527E4" w:rsidP="005B655D">
            <w:pPr>
              <w:widowControl w:val="0"/>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48" w:type="dxa"/>
            <w:tcBorders>
              <w:bottom w:val="single" w:sz="4" w:space="0" w:color="auto"/>
            </w:tcBorders>
          </w:tcPr>
          <w:p w:rsidR="006527E4" w:rsidRPr="0039782C" w:rsidRDefault="006527E4" w:rsidP="005B655D">
            <w:pPr>
              <w:widowControl w:val="0"/>
              <w:ind w:left="-108"/>
              <w:jc w:val="both"/>
              <w:rPr>
                <w:rFonts w:ascii="Arial Narrow" w:hAnsi="Arial Narrow" w:cs="Arial"/>
                <w:b/>
                <w:sz w:val="20"/>
                <w:szCs w:val="20"/>
              </w:rPr>
            </w:pPr>
            <w:r w:rsidRPr="0039782C">
              <w:rPr>
                <w:rFonts w:ascii="Arial Narrow" w:hAnsi="Arial Narrow" w:cs="Arial"/>
                <w:b/>
                <w:sz w:val="20"/>
                <w:szCs w:val="20"/>
              </w:rPr>
              <w:t>Max.</w:t>
            </w:r>
          </w:p>
          <w:p w:rsidR="006527E4" w:rsidRPr="0039782C" w:rsidRDefault="006527E4" w:rsidP="005B655D">
            <w:pPr>
              <w:widowControl w:val="0"/>
              <w:ind w:left="-108"/>
              <w:jc w:val="both"/>
              <w:rPr>
                <w:rFonts w:ascii="Arial Narrow" w:hAnsi="Arial Narrow" w:cs="Arial"/>
                <w:b/>
                <w:sz w:val="20"/>
                <w:szCs w:val="20"/>
              </w:rPr>
            </w:pPr>
            <w:r w:rsidRPr="0039782C">
              <w:rPr>
                <w:rFonts w:ascii="Arial Narrow" w:hAnsi="Arial Narrow" w:cs="Arial"/>
                <w:b/>
                <w:sz w:val="20"/>
                <w:szCs w:val="20"/>
              </w:rPr>
              <w:t>Qty</w:t>
            </w:r>
          </w:p>
        </w:tc>
        <w:tc>
          <w:tcPr>
            <w:tcW w:w="708" w:type="dxa"/>
            <w:tcBorders>
              <w:bottom w:val="single" w:sz="4" w:space="0" w:color="auto"/>
            </w:tcBorders>
          </w:tcPr>
          <w:p w:rsidR="006527E4" w:rsidRPr="0039782C" w:rsidRDefault="006527E4" w:rsidP="005B655D">
            <w:pPr>
              <w:widowControl w:val="0"/>
              <w:ind w:left="-108"/>
              <w:jc w:val="both"/>
              <w:rPr>
                <w:rFonts w:ascii="Arial Narrow" w:hAnsi="Arial Narrow" w:cs="Arial"/>
                <w:b/>
                <w:sz w:val="20"/>
                <w:szCs w:val="20"/>
              </w:rPr>
            </w:pPr>
            <w:r w:rsidRPr="0039782C">
              <w:rPr>
                <w:rFonts w:ascii="Arial Narrow" w:hAnsi="Arial Narrow" w:cs="Arial"/>
                <w:b/>
                <w:sz w:val="20"/>
                <w:szCs w:val="20"/>
              </w:rPr>
              <w:t>№.of</w:t>
            </w:r>
          </w:p>
          <w:p w:rsidR="006527E4" w:rsidRPr="0039782C" w:rsidRDefault="006527E4" w:rsidP="005B655D">
            <w:pPr>
              <w:widowControl w:val="0"/>
              <w:ind w:left="-108"/>
              <w:jc w:val="both"/>
              <w:rPr>
                <w:rFonts w:ascii="Arial Narrow" w:hAnsi="Arial Narrow" w:cs="Arial"/>
                <w:b/>
                <w:sz w:val="20"/>
                <w:szCs w:val="20"/>
              </w:rPr>
            </w:pPr>
            <w:r w:rsidRPr="0039782C">
              <w:rPr>
                <w:rFonts w:ascii="Arial Narrow" w:hAnsi="Arial Narrow" w:cs="Arial"/>
                <w:b/>
                <w:sz w:val="20"/>
                <w:szCs w:val="20"/>
              </w:rPr>
              <w:t>Rpts</w:t>
            </w:r>
          </w:p>
        </w:tc>
        <w:tc>
          <w:tcPr>
            <w:tcW w:w="3679" w:type="dxa"/>
            <w:gridSpan w:val="2"/>
            <w:tcBorders>
              <w:bottom w:val="single" w:sz="4" w:space="0" w:color="auto"/>
            </w:tcBorders>
          </w:tcPr>
          <w:p w:rsidR="006527E4" w:rsidRPr="0039782C" w:rsidRDefault="006527E4" w:rsidP="005B655D">
            <w:pPr>
              <w:widowControl w:val="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6527E4" w:rsidRPr="00260CE3" w:rsidTr="001B49CB">
        <w:trPr>
          <w:trHeight w:val="120"/>
        </w:trPr>
        <w:tc>
          <w:tcPr>
            <w:tcW w:w="3113" w:type="dxa"/>
            <w:gridSpan w:val="2"/>
          </w:tcPr>
          <w:p w:rsidR="006527E4" w:rsidRPr="00260CE3" w:rsidRDefault="006527E4" w:rsidP="005B655D">
            <w:pPr>
              <w:widowControl w:val="0"/>
              <w:ind w:left="-108"/>
              <w:jc w:val="both"/>
              <w:rPr>
                <w:rFonts w:ascii="Arial Narrow" w:hAnsi="Arial Narrow" w:cs="Arial"/>
                <w:sz w:val="20"/>
                <w:szCs w:val="20"/>
              </w:rPr>
            </w:pPr>
            <w:r>
              <w:rPr>
                <w:rFonts w:ascii="Arial Narrow" w:hAnsi="Arial Narrow" w:cs="Arial"/>
                <w:smallCaps/>
                <w:sz w:val="20"/>
                <w:szCs w:val="20"/>
              </w:rPr>
              <w:t>EPOPROSTENOL</w:t>
            </w:r>
          </w:p>
          <w:p w:rsidR="006527E4" w:rsidRDefault="006527E4" w:rsidP="005B655D">
            <w:pPr>
              <w:widowControl w:val="0"/>
              <w:ind w:left="-108"/>
              <w:jc w:val="both"/>
              <w:rPr>
                <w:rFonts w:ascii="Arial Narrow" w:hAnsi="Arial Narrow" w:cs="Arial"/>
                <w:sz w:val="20"/>
                <w:szCs w:val="20"/>
              </w:rPr>
            </w:pPr>
            <w:r w:rsidRPr="0039008E">
              <w:rPr>
                <w:rFonts w:ascii="Arial Narrow" w:hAnsi="Arial Narrow" w:cs="Arial"/>
                <w:sz w:val="20"/>
                <w:szCs w:val="20"/>
              </w:rPr>
              <w:t xml:space="preserve">epoprostenol 500 microgram injection </w:t>
            </w:r>
          </w:p>
          <w:p w:rsidR="006527E4" w:rsidRDefault="006527E4" w:rsidP="005B655D">
            <w:pPr>
              <w:widowControl w:val="0"/>
              <w:ind w:left="-108"/>
              <w:jc w:val="both"/>
              <w:rPr>
                <w:rFonts w:ascii="Arial Narrow" w:hAnsi="Arial Narrow" w:cs="Arial"/>
                <w:sz w:val="20"/>
                <w:szCs w:val="20"/>
              </w:rPr>
            </w:pPr>
            <w:r w:rsidRPr="0039008E">
              <w:rPr>
                <w:rFonts w:ascii="Arial Narrow" w:hAnsi="Arial Narrow" w:cs="Arial"/>
                <w:sz w:val="20"/>
                <w:szCs w:val="20"/>
              </w:rPr>
              <w:t xml:space="preserve">[1 vial] (&amp;) inert substance diluent </w:t>
            </w:r>
          </w:p>
          <w:p w:rsidR="006527E4" w:rsidRPr="00260CE3" w:rsidRDefault="006527E4" w:rsidP="005B655D">
            <w:pPr>
              <w:widowControl w:val="0"/>
              <w:ind w:left="-108"/>
              <w:jc w:val="both"/>
              <w:rPr>
                <w:rFonts w:ascii="Arial Narrow" w:hAnsi="Arial Narrow" w:cs="Arial"/>
                <w:sz w:val="20"/>
                <w:szCs w:val="20"/>
              </w:rPr>
            </w:pPr>
            <w:r>
              <w:rPr>
                <w:rFonts w:ascii="Arial Narrow" w:hAnsi="Arial Narrow" w:cs="Arial"/>
                <w:sz w:val="20"/>
                <w:szCs w:val="20"/>
              </w:rPr>
              <w:t xml:space="preserve">[2 x 50 mL </w:t>
            </w:r>
            <w:r w:rsidRPr="0039008E">
              <w:rPr>
                <w:rFonts w:ascii="Arial Narrow" w:hAnsi="Arial Narrow" w:cs="Arial"/>
                <w:sz w:val="20"/>
                <w:szCs w:val="20"/>
              </w:rPr>
              <w:t>vials], 1 pack</w:t>
            </w:r>
          </w:p>
        </w:tc>
        <w:tc>
          <w:tcPr>
            <w:tcW w:w="848" w:type="dxa"/>
          </w:tcPr>
          <w:p w:rsidR="006527E4" w:rsidRPr="00260CE3" w:rsidRDefault="006527E4" w:rsidP="005B655D">
            <w:pPr>
              <w:widowControl w:val="0"/>
              <w:ind w:left="-108"/>
              <w:jc w:val="both"/>
              <w:rPr>
                <w:rFonts w:ascii="Arial Narrow" w:hAnsi="Arial Narrow" w:cs="Arial"/>
                <w:sz w:val="20"/>
                <w:szCs w:val="20"/>
              </w:rPr>
            </w:pPr>
          </w:p>
          <w:p w:rsidR="006527E4" w:rsidRPr="00260CE3" w:rsidRDefault="006527E4" w:rsidP="005B655D">
            <w:pPr>
              <w:widowControl w:val="0"/>
              <w:ind w:left="-108"/>
              <w:jc w:val="both"/>
              <w:rPr>
                <w:rFonts w:ascii="Arial Narrow" w:hAnsi="Arial Narrow" w:cs="Arial"/>
                <w:sz w:val="20"/>
                <w:szCs w:val="20"/>
              </w:rPr>
            </w:pPr>
            <w:r>
              <w:rPr>
                <w:rFonts w:ascii="Arial Narrow" w:hAnsi="Arial Narrow" w:cs="Arial"/>
                <w:sz w:val="20"/>
                <w:szCs w:val="20"/>
              </w:rPr>
              <w:t>1</w:t>
            </w:r>
          </w:p>
        </w:tc>
        <w:tc>
          <w:tcPr>
            <w:tcW w:w="708" w:type="dxa"/>
          </w:tcPr>
          <w:p w:rsidR="006527E4" w:rsidRPr="00260CE3" w:rsidRDefault="006527E4" w:rsidP="005B655D">
            <w:pPr>
              <w:widowControl w:val="0"/>
              <w:ind w:left="-108"/>
              <w:jc w:val="both"/>
              <w:rPr>
                <w:rFonts w:ascii="Arial Narrow" w:hAnsi="Arial Narrow" w:cs="Arial"/>
                <w:sz w:val="20"/>
                <w:szCs w:val="20"/>
              </w:rPr>
            </w:pPr>
          </w:p>
          <w:p w:rsidR="006527E4" w:rsidRPr="00260CE3" w:rsidRDefault="006527E4" w:rsidP="005B655D">
            <w:pPr>
              <w:widowControl w:val="0"/>
              <w:ind w:left="-108"/>
              <w:jc w:val="both"/>
              <w:rPr>
                <w:rFonts w:ascii="Arial Narrow" w:hAnsi="Arial Narrow" w:cs="Arial"/>
                <w:sz w:val="20"/>
                <w:szCs w:val="20"/>
              </w:rPr>
            </w:pPr>
            <w:r>
              <w:rPr>
                <w:rFonts w:ascii="Arial Narrow" w:hAnsi="Arial Narrow" w:cs="Arial"/>
                <w:sz w:val="20"/>
                <w:szCs w:val="20"/>
              </w:rPr>
              <w:t>1</w:t>
            </w:r>
          </w:p>
        </w:tc>
        <w:tc>
          <w:tcPr>
            <w:tcW w:w="1274" w:type="dxa"/>
          </w:tcPr>
          <w:p w:rsidR="006527E4" w:rsidRPr="00260CE3" w:rsidRDefault="006527E4" w:rsidP="005B655D">
            <w:pPr>
              <w:widowControl w:val="0"/>
              <w:ind w:left="-108"/>
              <w:jc w:val="both"/>
              <w:rPr>
                <w:rFonts w:ascii="Arial Narrow" w:hAnsi="Arial Narrow" w:cs="Arial"/>
                <w:sz w:val="20"/>
                <w:szCs w:val="20"/>
              </w:rPr>
            </w:pPr>
          </w:p>
          <w:p w:rsidR="006527E4" w:rsidRPr="00260CE3" w:rsidRDefault="006527E4" w:rsidP="005B655D">
            <w:pPr>
              <w:widowControl w:val="0"/>
              <w:ind w:left="-108"/>
              <w:jc w:val="both"/>
              <w:rPr>
                <w:rFonts w:ascii="Arial Narrow" w:hAnsi="Arial Narrow" w:cs="Arial"/>
                <w:sz w:val="20"/>
                <w:szCs w:val="20"/>
              </w:rPr>
            </w:pPr>
            <w:r w:rsidRPr="00E62763">
              <w:rPr>
                <w:rFonts w:ascii="Arial Narrow" w:hAnsi="Arial Narrow" w:cs="Arial"/>
                <w:sz w:val="20"/>
                <w:szCs w:val="20"/>
              </w:rPr>
              <w:t>Flolan®</w:t>
            </w:r>
          </w:p>
        </w:tc>
        <w:tc>
          <w:tcPr>
            <w:tcW w:w="2405" w:type="dxa"/>
          </w:tcPr>
          <w:p w:rsidR="006527E4" w:rsidRDefault="006527E4" w:rsidP="005B655D">
            <w:pPr>
              <w:widowControl w:val="0"/>
              <w:jc w:val="both"/>
              <w:rPr>
                <w:rFonts w:ascii="Arial Narrow" w:hAnsi="Arial Narrow" w:cs="Arial"/>
                <w:sz w:val="20"/>
                <w:szCs w:val="20"/>
              </w:rPr>
            </w:pPr>
          </w:p>
          <w:p w:rsidR="006527E4" w:rsidRPr="00260CE3" w:rsidRDefault="006527E4" w:rsidP="005B655D">
            <w:pPr>
              <w:widowControl w:val="0"/>
              <w:jc w:val="both"/>
              <w:rPr>
                <w:rFonts w:ascii="Arial Narrow" w:hAnsi="Arial Narrow" w:cs="Arial"/>
                <w:sz w:val="20"/>
                <w:szCs w:val="20"/>
              </w:rPr>
            </w:pPr>
            <w:r>
              <w:rPr>
                <w:rFonts w:ascii="Arial Narrow" w:hAnsi="Arial Narrow" w:cs="Arial"/>
                <w:sz w:val="20"/>
                <w:szCs w:val="20"/>
              </w:rPr>
              <w:t>GlaxoSmithKline Australia Pty Ltd</w:t>
            </w:r>
          </w:p>
        </w:tc>
      </w:tr>
      <w:tr w:rsidR="006527E4" w:rsidRPr="00260CE3" w:rsidTr="001B49CB">
        <w:trPr>
          <w:trHeight w:val="75"/>
        </w:trPr>
        <w:tc>
          <w:tcPr>
            <w:tcW w:w="8348" w:type="dxa"/>
            <w:gridSpan w:val="6"/>
            <w:tcBorders>
              <w:bottom w:val="single" w:sz="4" w:space="0" w:color="auto"/>
            </w:tcBorders>
          </w:tcPr>
          <w:p w:rsidR="006527E4" w:rsidRPr="00260CE3" w:rsidRDefault="006527E4" w:rsidP="005B655D">
            <w:pPr>
              <w:widowControl w:val="0"/>
              <w:jc w:val="both"/>
              <w:rPr>
                <w:rFonts w:ascii="Arial Narrow" w:hAnsi="Arial Narrow" w:cs="Arial"/>
                <w:sz w:val="20"/>
                <w:szCs w:val="20"/>
              </w:rPr>
            </w:pPr>
          </w:p>
        </w:tc>
      </w:tr>
      <w:tr w:rsidR="006527E4" w:rsidRPr="00260CE3" w:rsidTr="001B49CB">
        <w:trPr>
          <w:trHeight w:val="75"/>
        </w:trPr>
        <w:tc>
          <w:tcPr>
            <w:tcW w:w="1981" w:type="dxa"/>
            <w:tcBorders>
              <w:top w:val="single" w:sz="4" w:space="0" w:color="auto"/>
              <w:left w:val="single" w:sz="4" w:space="0" w:color="auto"/>
              <w:bottom w:val="single" w:sz="4" w:space="0" w:color="auto"/>
              <w:right w:val="single" w:sz="4" w:space="0" w:color="auto"/>
            </w:tcBorders>
          </w:tcPr>
          <w:p w:rsidR="006527E4" w:rsidRPr="00260CE3" w:rsidRDefault="006527E4" w:rsidP="005B655D">
            <w:pPr>
              <w:widowControl w:val="0"/>
              <w:jc w:val="both"/>
              <w:rPr>
                <w:rFonts w:ascii="Arial Narrow" w:hAnsi="Arial Narrow" w:cs="Arial"/>
                <w:b/>
                <w:sz w:val="20"/>
                <w:szCs w:val="20"/>
              </w:rPr>
            </w:pPr>
            <w:r w:rsidRPr="00260CE3">
              <w:rPr>
                <w:rFonts w:ascii="Arial Narrow" w:hAnsi="Arial Narrow" w:cs="Arial"/>
                <w:b/>
                <w:sz w:val="20"/>
                <w:szCs w:val="20"/>
              </w:rPr>
              <w:t xml:space="preserve">Category / </w:t>
            </w:r>
          </w:p>
          <w:p w:rsidR="006527E4" w:rsidRPr="00260CE3" w:rsidRDefault="006527E4" w:rsidP="005B655D">
            <w:pPr>
              <w:widowControl w:val="0"/>
              <w:jc w:val="both"/>
              <w:rPr>
                <w:rFonts w:ascii="Arial Narrow" w:hAnsi="Arial Narrow" w:cs="Arial"/>
                <w:b/>
                <w:sz w:val="20"/>
                <w:szCs w:val="20"/>
              </w:rPr>
            </w:pPr>
            <w:r w:rsidRPr="00260CE3">
              <w:rPr>
                <w:rFonts w:ascii="Arial Narrow" w:hAnsi="Arial Narrow" w:cs="Arial"/>
                <w:b/>
                <w:sz w:val="20"/>
                <w:szCs w:val="20"/>
              </w:rPr>
              <w:t>Program</w:t>
            </w:r>
          </w:p>
        </w:tc>
        <w:tc>
          <w:tcPr>
            <w:tcW w:w="6367" w:type="dxa"/>
            <w:gridSpan w:val="5"/>
            <w:tcBorders>
              <w:top w:val="single" w:sz="4" w:space="0" w:color="auto"/>
              <w:left w:val="single" w:sz="4" w:space="0" w:color="auto"/>
              <w:bottom w:val="single" w:sz="4" w:space="0" w:color="auto"/>
              <w:right w:val="single" w:sz="4" w:space="0" w:color="auto"/>
            </w:tcBorders>
          </w:tcPr>
          <w:p w:rsidR="006527E4" w:rsidRPr="00260CE3" w:rsidRDefault="006527E4" w:rsidP="005B655D">
            <w:pPr>
              <w:widowControl w:val="0"/>
              <w:rPr>
                <w:rFonts w:ascii="Arial Narrow" w:hAnsi="Arial Narrow" w:cs="Arial"/>
                <w:sz w:val="20"/>
                <w:szCs w:val="20"/>
              </w:rPr>
            </w:pPr>
            <w:r w:rsidRPr="00260CE3">
              <w:rPr>
                <w:rFonts w:ascii="Arial Narrow" w:hAnsi="Arial Narrow" w:cs="Arial"/>
                <w:sz w:val="20"/>
                <w:szCs w:val="20"/>
              </w:rPr>
              <w:t>Section 100 – Highly Specialised Drugs Program</w:t>
            </w:r>
          </w:p>
          <w:p w:rsidR="006527E4" w:rsidRPr="00260CE3" w:rsidRDefault="006527E4" w:rsidP="005B655D">
            <w:pPr>
              <w:widowControl w:val="0"/>
              <w:rPr>
                <w:rFonts w:ascii="Arial Narrow" w:hAnsi="Arial Narrow" w:cs="Arial"/>
                <w:sz w:val="20"/>
                <w:szCs w:val="20"/>
              </w:rPr>
            </w:pPr>
          </w:p>
        </w:tc>
      </w:tr>
      <w:tr w:rsidR="006527E4" w:rsidRPr="00260CE3" w:rsidTr="001B49CB">
        <w:trPr>
          <w:trHeight w:val="75"/>
        </w:trPr>
        <w:tc>
          <w:tcPr>
            <w:tcW w:w="1981" w:type="dxa"/>
            <w:tcBorders>
              <w:top w:val="single" w:sz="4" w:space="0" w:color="auto"/>
              <w:left w:val="single" w:sz="4" w:space="0" w:color="auto"/>
              <w:bottom w:val="single" w:sz="4" w:space="0" w:color="auto"/>
              <w:right w:val="single" w:sz="4" w:space="0" w:color="auto"/>
            </w:tcBorders>
          </w:tcPr>
          <w:p w:rsidR="006527E4" w:rsidRPr="00260CE3" w:rsidRDefault="006527E4" w:rsidP="005B655D">
            <w:pPr>
              <w:widowControl w:val="0"/>
              <w:jc w:val="both"/>
              <w:rPr>
                <w:rFonts w:ascii="Arial Narrow" w:hAnsi="Arial Narrow" w:cs="Arial"/>
                <w:b/>
                <w:sz w:val="20"/>
                <w:szCs w:val="20"/>
              </w:rPr>
            </w:pPr>
            <w:r w:rsidRPr="00260CE3">
              <w:rPr>
                <w:rFonts w:ascii="Arial Narrow" w:hAnsi="Arial Narrow" w:cs="Arial"/>
                <w:b/>
                <w:sz w:val="20"/>
                <w:szCs w:val="20"/>
              </w:rPr>
              <w:t>Prescriber type:</w:t>
            </w:r>
          </w:p>
        </w:tc>
        <w:tc>
          <w:tcPr>
            <w:tcW w:w="6367" w:type="dxa"/>
            <w:gridSpan w:val="5"/>
            <w:tcBorders>
              <w:top w:val="single" w:sz="4" w:space="0" w:color="auto"/>
              <w:left w:val="single" w:sz="4" w:space="0" w:color="auto"/>
              <w:bottom w:val="single" w:sz="4" w:space="0" w:color="auto"/>
              <w:right w:val="single" w:sz="4" w:space="0" w:color="auto"/>
            </w:tcBorders>
          </w:tcPr>
          <w:p w:rsidR="006527E4" w:rsidRPr="00260CE3" w:rsidRDefault="006527E4" w:rsidP="005B655D">
            <w:pPr>
              <w:widowControl w:val="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527E4" w:rsidRPr="00260CE3" w:rsidRDefault="006527E4" w:rsidP="005B655D">
            <w:pPr>
              <w:widowControl w:val="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527E4" w:rsidRPr="00260CE3" w:rsidTr="001B49CB">
        <w:trPr>
          <w:trHeight w:val="75"/>
        </w:trPr>
        <w:tc>
          <w:tcPr>
            <w:tcW w:w="1981" w:type="dxa"/>
            <w:tcBorders>
              <w:top w:val="single" w:sz="4" w:space="0" w:color="auto"/>
              <w:left w:val="single" w:sz="4" w:space="0" w:color="auto"/>
              <w:bottom w:val="single" w:sz="4" w:space="0" w:color="auto"/>
              <w:right w:val="single" w:sz="4" w:space="0" w:color="auto"/>
            </w:tcBorders>
          </w:tcPr>
          <w:p w:rsidR="006527E4" w:rsidRPr="00260CE3" w:rsidRDefault="006527E4" w:rsidP="005B655D">
            <w:pPr>
              <w:widowControl w:val="0"/>
              <w:jc w:val="both"/>
              <w:rPr>
                <w:rFonts w:ascii="Arial Narrow" w:hAnsi="Arial Narrow" w:cs="Arial"/>
                <w:b/>
                <w:sz w:val="20"/>
                <w:szCs w:val="20"/>
              </w:rPr>
            </w:pPr>
            <w:r w:rsidRPr="00260CE3">
              <w:rPr>
                <w:rFonts w:ascii="Arial Narrow" w:hAnsi="Arial Narrow" w:cs="Arial"/>
                <w:b/>
                <w:sz w:val="20"/>
                <w:szCs w:val="20"/>
              </w:rPr>
              <w:t>PBS Indication:</w:t>
            </w:r>
          </w:p>
        </w:tc>
        <w:tc>
          <w:tcPr>
            <w:tcW w:w="6367" w:type="dxa"/>
            <w:gridSpan w:val="5"/>
            <w:tcBorders>
              <w:top w:val="single" w:sz="4" w:space="0" w:color="auto"/>
              <w:left w:val="single" w:sz="4" w:space="0" w:color="auto"/>
              <w:bottom w:val="single" w:sz="4" w:space="0" w:color="auto"/>
              <w:right w:val="single" w:sz="4" w:space="0" w:color="auto"/>
            </w:tcBorders>
          </w:tcPr>
          <w:p w:rsidR="006527E4" w:rsidRPr="00260CE3" w:rsidRDefault="006527E4" w:rsidP="005B655D">
            <w:pPr>
              <w:widowControl w:val="0"/>
              <w:rPr>
                <w:rFonts w:ascii="Arial Narrow" w:hAnsi="Arial Narrow" w:cs="Arial"/>
                <w:sz w:val="20"/>
                <w:szCs w:val="20"/>
              </w:rPr>
            </w:pPr>
            <w:r>
              <w:rPr>
                <w:rFonts w:ascii="Arial Narrow" w:hAnsi="Arial Narrow" w:cs="Arial"/>
                <w:sz w:val="20"/>
                <w:szCs w:val="20"/>
              </w:rPr>
              <w:t>Pulmonary arterial hypertension (PAH)</w:t>
            </w:r>
          </w:p>
        </w:tc>
      </w:tr>
      <w:tr w:rsidR="006527E4" w:rsidRPr="00260CE3" w:rsidTr="001B49CB">
        <w:trPr>
          <w:trHeight w:val="75"/>
        </w:trPr>
        <w:tc>
          <w:tcPr>
            <w:tcW w:w="1981" w:type="dxa"/>
            <w:tcBorders>
              <w:top w:val="single" w:sz="4" w:space="0" w:color="auto"/>
              <w:left w:val="single" w:sz="4" w:space="0" w:color="auto"/>
              <w:bottom w:val="single" w:sz="4" w:space="0" w:color="auto"/>
              <w:right w:val="single" w:sz="4" w:space="0" w:color="auto"/>
            </w:tcBorders>
          </w:tcPr>
          <w:p w:rsidR="006527E4" w:rsidRPr="000B7B05" w:rsidRDefault="006527E4" w:rsidP="005B655D">
            <w:pPr>
              <w:widowControl w:val="0"/>
              <w:jc w:val="both"/>
              <w:rPr>
                <w:rFonts w:ascii="Arial Narrow" w:hAnsi="Arial Narrow" w:cs="Arial"/>
                <w:b/>
                <w:sz w:val="20"/>
                <w:szCs w:val="20"/>
              </w:rPr>
            </w:pPr>
            <w:r w:rsidRPr="00260CE3">
              <w:rPr>
                <w:rFonts w:ascii="Arial Narrow" w:hAnsi="Arial Narrow" w:cs="Arial"/>
                <w:b/>
                <w:sz w:val="20"/>
                <w:szCs w:val="20"/>
              </w:rPr>
              <w:t>Treatment phase:</w:t>
            </w:r>
          </w:p>
        </w:tc>
        <w:tc>
          <w:tcPr>
            <w:tcW w:w="6367" w:type="dxa"/>
            <w:gridSpan w:val="5"/>
            <w:tcBorders>
              <w:top w:val="single" w:sz="4" w:space="0" w:color="auto"/>
              <w:left w:val="single" w:sz="4" w:space="0" w:color="auto"/>
              <w:bottom w:val="single" w:sz="4" w:space="0" w:color="auto"/>
              <w:right w:val="single" w:sz="4" w:space="0" w:color="auto"/>
            </w:tcBorders>
          </w:tcPr>
          <w:p w:rsidR="006527E4" w:rsidRPr="00260CE3" w:rsidRDefault="006527E4" w:rsidP="005B655D">
            <w:pPr>
              <w:widowControl w:val="0"/>
              <w:rPr>
                <w:rFonts w:ascii="Arial Narrow" w:hAnsi="Arial Narrow" w:cs="Arial"/>
                <w:sz w:val="20"/>
                <w:szCs w:val="20"/>
              </w:rPr>
            </w:pPr>
            <w:r>
              <w:rPr>
                <w:rFonts w:ascii="Arial Narrow" w:hAnsi="Arial Narrow" w:cs="Arial"/>
                <w:sz w:val="20"/>
                <w:szCs w:val="20"/>
              </w:rPr>
              <w:t xml:space="preserve">First </w:t>
            </w:r>
            <w:r w:rsidR="007457CC">
              <w:rPr>
                <w:rFonts w:ascii="Arial Narrow" w:hAnsi="Arial Narrow" w:cs="Arial"/>
                <w:sz w:val="20"/>
                <w:szCs w:val="20"/>
              </w:rPr>
              <w:t>C</w:t>
            </w:r>
            <w:r>
              <w:rPr>
                <w:rFonts w:ascii="Arial Narrow" w:hAnsi="Arial Narrow" w:cs="Arial"/>
                <w:sz w:val="20"/>
                <w:szCs w:val="20"/>
              </w:rPr>
              <w:t>ontinuing treatment</w:t>
            </w:r>
          </w:p>
        </w:tc>
      </w:tr>
      <w:tr w:rsidR="006527E4" w:rsidRPr="00260CE3" w:rsidTr="001B49CB">
        <w:trPr>
          <w:trHeight w:val="75"/>
        </w:trPr>
        <w:tc>
          <w:tcPr>
            <w:tcW w:w="1981" w:type="dxa"/>
            <w:tcBorders>
              <w:top w:val="single" w:sz="4" w:space="0" w:color="auto"/>
              <w:left w:val="single" w:sz="4" w:space="0" w:color="auto"/>
              <w:bottom w:val="single" w:sz="4" w:space="0" w:color="auto"/>
              <w:right w:val="single" w:sz="4" w:space="0" w:color="auto"/>
            </w:tcBorders>
          </w:tcPr>
          <w:p w:rsidR="006527E4" w:rsidRPr="00260CE3" w:rsidRDefault="006527E4" w:rsidP="005B655D">
            <w:pPr>
              <w:widowControl w:val="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6527E4" w:rsidRPr="00260CE3" w:rsidRDefault="006527E4" w:rsidP="005B655D">
            <w:pPr>
              <w:widowControl w:val="0"/>
              <w:rPr>
                <w:rFonts w:ascii="Arial Narrow" w:hAnsi="Arial Narrow" w:cs="Arial"/>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6527E4" w:rsidRPr="00106BCF" w:rsidRDefault="006527E4" w:rsidP="005B655D">
            <w:pPr>
              <w:widowControl w:val="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6527E4" w:rsidRPr="00106BCF" w:rsidRDefault="006527E4" w:rsidP="005B655D">
            <w:pPr>
              <w:widowControl w:val="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6527E4" w:rsidRPr="00106BCF" w:rsidRDefault="006527E4" w:rsidP="005B655D">
            <w:pPr>
              <w:widowControl w:val="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6527E4" w:rsidRPr="00106BCF" w:rsidRDefault="006527E4" w:rsidP="005B655D">
            <w:pPr>
              <w:widowControl w:val="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6527E4" w:rsidRPr="00106BCF" w:rsidRDefault="006527E4" w:rsidP="005B655D">
            <w:pPr>
              <w:widowControl w:val="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6527E4" w:rsidRPr="00260CE3" w:rsidRDefault="006527E4" w:rsidP="005B655D">
            <w:pPr>
              <w:widowControl w:val="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6527E4" w:rsidRPr="00260CE3" w:rsidTr="001B49CB">
        <w:trPr>
          <w:trHeight w:val="1888"/>
        </w:trPr>
        <w:tc>
          <w:tcPr>
            <w:tcW w:w="1981" w:type="dxa"/>
            <w:tcBorders>
              <w:top w:val="single" w:sz="4" w:space="0" w:color="auto"/>
              <w:left w:val="single" w:sz="4" w:space="0" w:color="auto"/>
              <w:bottom w:val="single" w:sz="4" w:space="0" w:color="auto"/>
              <w:right w:val="single" w:sz="4" w:space="0" w:color="auto"/>
            </w:tcBorders>
          </w:tcPr>
          <w:p w:rsidR="006527E4" w:rsidRPr="00260CE3" w:rsidRDefault="006527E4" w:rsidP="005B655D">
            <w:pPr>
              <w:widowControl w:val="0"/>
              <w:jc w:val="both"/>
              <w:rPr>
                <w:rFonts w:ascii="Arial Narrow" w:hAnsi="Arial Narrow" w:cs="Arial"/>
                <w:b/>
                <w:sz w:val="20"/>
                <w:szCs w:val="20"/>
              </w:rPr>
            </w:pPr>
            <w:r w:rsidRPr="00260CE3">
              <w:rPr>
                <w:rFonts w:ascii="Arial Narrow" w:hAnsi="Arial Narrow" w:cs="Arial"/>
                <w:b/>
                <w:sz w:val="20"/>
                <w:szCs w:val="20"/>
              </w:rPr>
              <w:t>Clinical criteria:</w:t>
            </w:r>
          </w:p>
          <w:p w:rsidR="006527E4" w:rsidRPr="00260CE3" w:rsidRDefault="006527E4" w:rsidP="005B655D">
            <w:pPr>
              <w:widowControl w:val="0"/>
              <w:jc w:val="both"/>
              <w:rPr>
                <w:rFonts w:ascii="Arial Narrow" w:hAnsi="Arial Narrow" w:cs="Arial"/>
                <w:i/>
                <w:sz w:val="20"/>
                <w:szCs w:val="20"/>
              </w:rPr>
            </w:pPr>
          </w:p>
          <w:p w:rsidR="006527E4" w:rsidRPr="00260CE3" w:rsidRDefault="006527E4" w:rsidP="005B655D">
            <w:pPr>
              <w:widowControl w:val="0"/>
              <w:jc w:val="both"/>
              <w:rPr>
                <w:rFonts w:ascii="Arial Narrow" w:hAnsi="Arial Narrow" w:cs="Arial"/>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6527E4" w:rsidRDefault="006527E4" w:rsidP="005B655D">
            <w:pPr>
              <w:widowControl w:val="0"/>
              <w:jc w:val="both"/>
              <w:rPr>
                <w:rFonts w:ascii="Arial Narrow" w:hAnsi="Arial Narrow" w:cs="Arial"/>
                <w:sz w:val="20"/>
                <w:szCs w:val="20"/>
              </w:rPr>
            </w:pPr>
            <w:r w:rsidRPr="006527E4">
              <w:rPr>
                <w:rFonts w:ascii="Arial Narrow" w:hAnsi="Arial Narrow" w:cs="Arial"/>
                <w:sz w:val="20"/>
                <w:szCs w:val="20"/>
              </w:rPr>
              <w:t>Patient must have received a PBS-subsidised initial course of treatment with this agent f</w:t>
            </w:r>
            <w:r>
              <w:rPr>
                <w:rFonts w:ascii="Arial Narrow" w:hAnsi="Arial Narrow" w:cs="Arial"/>
                <w:sz w:val="20"/>
                <w:szCs w:val="20"/>
              </w:rPr>
              <w:t xml:space="preserve">or this condition; </w:t>
            </w:r>
          </w:p>
          <w:p w:rsidR="006527E4" w:rsidRDefault="006527E4" w:rsidP="005B655D">
            <w:pPr>
              <w:widowControl w:val="0"/>
              <w:jc w:val="both"/>
              <w:rPr>
                <w:rFonts w:ascii="Arial Narrow" w:hAnsi="Arial Narrow" w:cs="Arial"/>
                <w:sz w:val="20"/>
                <w:szCs w:val="20"/>
              </w:rPr>
            </w:pPr>
          </w:p>
          <w:p w:rsidR="006527E4" w:rsidRDefault="006527E4" w:rsidP="005B655D">
            <w:pPr>
              <w:widowControl w:val="0"/>
              <w:jc w:val="both"/>
              <w:rPr>
                <w:rFonts w:ascii="Arial Narrow" w:hAnsi="Arial Narrow" w:cs="Arial"/>
                <w:sz w:val="20"/>
                <w:szCs w:val="20"/>
              </w:rPr>
            </w:pPr>
            <w:r>
              <w:rPr>
                <w:rFonts w:ascii="Arial Narrow" w:hAnsi="Arial Narrow" w:cs="Arial"/>
                <w:sz w:val="20"/>
                <w:szCs w:val="20"/>
              </w:rPr>
              <w:t>AND</w:t>
            </w:r>
          </w:p>
          <w:p w:rsidR="006527E4" w:rsidRDefault="006527E4" w:rsidP="005B655D">
            <w:pPr>
              <w:widowControl w:val="0"/>
              <w:jc w:val="both"/>
              <w:rPr>
                <w:rFonts w:ascii="Arial Narrow" w:hAnsi="Arial Narrow" w:cs="Arial"/>
                <w:sz w:val="20"/>
                <w:szCs w:val="20"/>
              </w:rPr>
            </w:pPr>
          </w:p>
          <w:p w:rsidR="006527E4" w:rsidRDefault="006527E4" w:rsidP="005B655D">
            <w:pPr>
              <w:widowControl w:val="0"/>
              <w:jc w:val="both"/>
              <w:rPr>
                <w:rFonts w:ascii="Arial Narrow" w:hAnsi="Arial Narrow" w:cs="Arial"/>
                <w:sz w:val="20"/>
                <w:szCs w:val="20"/>
              </w:rPr>
            </w:pPr>
            <w:r w:rsidRPr="006527E4">
              <w:rPr>
                <w:rFonts w:ascii="Arial Narrow" w:hAnsi="Arial Narrow" w:cs="Arial"/>
                <w:sz w:val="20"/>
                <w:szCs w:val="20"/>
              </w:rPr>
              <w:t>Patient must have been assessed by a physician from a designated hospital to have achieved a response to the PBS-subsidised initial course of treatment</w:t>
            </w:r>
            <w:r>
              <w:rPr>
                <w:rFonts w:ascii="Arial Narrow" w:hAnsi="Arial Narrow" w:cs="Arial"/>
                <w:sz w:val="20"/>
                <w:szCs w:val="20"/>
              </w:rPr>
              <w:t xml:space="preserve">; </w:t>
            </w:r>
          </w:p>
          <w:p w:rsidR="006527E4" w:rsidRDefault="006527E4" w:rsidP="005B655D">
            <w:pPr>
              <w:widowControl w:val="0"/>
              <w:jc w:val="both"/>
              <w:rPr>
                <w:rFonts w:ascii="Arial Narrow" w:hAnsi="Arial Narrow" w:cs="Arial"/>
                <w:sz w:val="20"/>
                <w:szCs w:val="20"/>
              </w:rPr>
            </w:pPr>
          </w:p>
          <w:p w:rsidR="006527E4" w:rsidRDefault="006527E4" w:rsidP="005B655D">
            <w:pPr>
              <w:widowControl w:val="0"/>
              <w:jc w:val="both"/>
              <w:rPr>
                <w:rFonts w:ascii="Arial Narrow" w:hAnsi="Arial Narrow" w:cs="Arial"/>
                <w:sz w:val="20"/>
                <w:szCs w:val="20"/>
              </w:rPr>
            </w:pPr>
            <w:r>
              <w:rPr>
                <w:rFonts w:ascii="Arial Narrow" w:hAnsi="Arial Narrow" w:cs="Arial"/>
                <w:sz w:val="20"/>
                <w:szCs w:val="20"/>
              </w:rPr>
              <w:t>AND</w:t>
            </w:r>
          </w:p>
          <w:p w:rsidR="006527E4" w:rsidRDefault="006527E4" w:rsidP="005B655D">
            <w:pPr>
              <w:widowControl w:val="0"/>
              <w:jc w:val="both"/>
              <w:rPr>
                <w:rFonts w:ascii="Arial Narrow" w:hAnsi="Arial Narrow" w:cs="Arial"/>
                <w:sz w:val="20"/>
                <w:szCs w:val="20"/>
              </w:rPr>
            </w:pPr>
          </w:p>
          <w:p w:rsidR="006527E4" w:rsidRPr="00260CE3" w:rsidRDefault="006527E4" w:rsidP="005B655D">
            <w:pPr>
              <w:widowControl w:val="0"/>
              <w:jc w:val="both"/>
              <w:rPr>
                <w:rFonts w:ascii="Arial Narrow" w:hAnsi="Arial Narrow" w:cs="Arial"/>
                <w:sz w:val="20"/>
                <w:szCs w:val="20"/>
              </w:rPr>
            </w:pPr>
            <w:r w:rsidRPr="006527E4">
              <w:rPr>
                <w:rFonts w:ascii="Arial Narrow" w:hAnsi="Arial Narrow" w:cs="Arial"/>
                <w:sz w:val="20"/>
                <w:szCs w:val="20"/>
              </w:rPr>
              <w:t>The treatment must be the sole PBS-subsidised PAH agent for this condition</w:t>
            </w:r>
          </w:p>
        </w:tc>
      </w:tr>
      <w:tr w:rsidR="006527E4" w:rsidRPr="00260CE3" w:rsidTr="001B49CB">
        <w:trPr>
          <w:trHeight w:val="70"/>
        </w:trPr>
        <w:tc>
          <w:tcPr>
            <w:tcW w:w="1981" w:type="dxa"/>
            <w:tcBorders>
              <w:top w:val="single" w:sz="4" w:space="0" w:color="auto"/>
              <w:left w:val="single" w:sz="4" w:space="0" w:color="auto"/>
              <w:bottom w:val="single" w:sz="4" w:space="0" w:color="auto"/>
              <w:right w:val="single" w:sz="4" w:space="0" w:color="auto"/>
            </w:tcBorders>
          </w:tcPr>
          <w:p w:rsidR="006527E4" w:rsidRPr="00260CE3" w:rsidRDefault="006527E4" w:rsidP="005B655D">
            <w:pPr>
              <w:widowControl w:val="0"/>
              <w:jc w:val="both"/>
              <w:rPr>
                <w:rFonts w:ascii="Arial Narrow" w:hAnsi="Arial Narrow" w:cs="Arial"/>
                <w:b/>
                <w:sz w:val="20"/>
                <w:szCs w:val="20"/>
              </w:rPr>
            </w:pPr>
            <w:r>
              <w:rPr>
                <w:rFonts w:ascii="Arial Narrow" w:hAnsi="Arial Narrow" w:cs="Arial"/>
                <w:b/>
                <w:sz w:val="20"/>
                <w:szCs w:val="20"/>
              </w:rPr>
              <w:t>Prescribing Instructions</w:t>
            </w:r>
          </w:p>
          <w:p w:rsidR="006527E4" w:rsidRPr="00260CE3" w:rsidRDefault="006527E4" w:rsidP="005B655D">
            <w:pPr>
              <w:widowControl w:val="0"/>
              <w:jc w:val="both"/>
              <w:rPr>
                <w:rFonts w:ascii="Arial Narrow" w:hAnsi="Arial Narrow" w:cs="Arial"/>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Applications for authorisation must be in writing and must include:</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(1) a completed authority prescription form; and</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(2) a completed Pulmonary Arterial Hypertension PBS Authority Application - Supporting Information form which includes results from the three tests below, where available:</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(i) RHC composite assessment; and</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(ii) ECHO composite assessment; and</w:t>
            </w:r>
          </w:p>
          <w:p w:rsidR="006527E4" w:rsidRDefault="006527E4" w:rsidP="005B655D">
            <w:pPr>
              <w:widowControl w:val="0"/>
              <w:rPr>
                <w:rFonts w:ascii="Arial Narrow" w:hAnsi="Arial Narrow" w:cs="Arial"/>
                <w:sz w:val="20"/>
                <w:szCs w:val="20"/>
              </w:rPr>
            </w:pPr>
            <w:r w:rsidRPr="006527E4">
              <w:rPr>
                <w:rFonts w:ascii="Arial Narrow" w:hAnsi="Arial Narrow" w:cs="Arial"/>
                <w:sz w:val="20"/>
                <w:szCs w:val="20"/>
              </w:rPr>
              <w:t>(iii) 6 Minute Walk Test (6MWT).</w:t>
            </w:r>
          </w:p>
          <w:p w:rsidR="006527E4" w:rsidRDefault="006527E4" w:rsidP="005B655D">
            <w:pPr>
              <w:widowControl w:val="0"/>
              <w:rPr>
                <w:rFonts w:ascii="Arial Narrow" w:hAnsi="Arial Narrow" w:cs="Arial"/>
                <w:sz w:val="20"/>
                <w:szCs w:val="20"/>
              </w:rPr>
            </w:pP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Test requirements to establish response to treatment for continuation of treatment are as follows:</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The following list outlines the preferred test combination, in descending order, for the purposes of continuation of PBS-subsidised treatment:</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(1) RHC plus ECHO composite assessments plus 6MWT;</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(2) RHC plus ECHO composite assessments;</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(3) RHC composite assessment plus 6MWT;</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(4) ECHO composite assessment plus 6MWT;</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(5) RHC composite assessment only;</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(6) ECHO composite assessment only.</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 xml:space="preserve">The results of the same tests as conducted at baseline should be provided with the </w:t>
            </w:r>
            <w:r w:rsidRPr="006527E4">
              <w:rPr>
                <w:rFonts w:ascii="Arial Narrow" w:hAnsi="Arial Narrow" w:cs="Arial"/>
                <w:sz w:val="20"/>
                <w:szCs w:val="20"/>
              </w:rPr>
              <w:lastRenderedPageBreak/>
              <w:t>written First Continuing treatment application, except for patients who were able to undergo all 3 tests at baseline, and whose subsequent ECHO and 6MWT results demonstrate disease stability or improvement, in which case RHC can be omitted. In all other patients, where the same test(s) conducted at baseline cannot be performed for assessment of response on clinical grounds, a patient specific reason why the test(s) could not be conducted must be provided with the application.</w:t>
            </w:r>
          </w:p>
          <w:p w:rsidR="006527E4" w:rsidRDefault="006527E4" w:rsidP="005B655D">
            <w:pPr>
              <w:widowControl w:val="0"/>
              <w:rPr>
                <w:rFonts w:ascii="Arial Narrow" w:hAnsi="Arial Narrow" w:cs="Arial"/>
                <w:sz w:val="20"/>
                <w:szCs w:val="20"/>
              </w:rPr>
            </w:pPr>
            <w:r w:rsidRPr="006527E4">
              <w:rPr>
                <w:rFonts w:ascii="Arial Narrow" w:hAnsi="Arial Narrow" w:cs="Arial"/>
                <w:sz w:val="20"/>
                <w:szCs w:val="20"/>
              </w:rPr>
              <w:t>The test results provided with the application for continuing treatment must be no more than 2 months old at the time of application.</w:t>
            </w:r>
          </w:p>
          <w:p w:rsidR="006527E4" w:rsidRDefault="006527E4" w:rsidP="005B655D">
            <w:pPr>
              <w:widowControl w:val="0"/>
              <w:rPr>
                <w:rFonts w:ascii="Arial Narrow" w:hAnsi="Arial Narrow" w:cs="Arial"/>
                <w:sz w:val="20"/>
                <w:szCs w:val="20"/>
              </w:rPr>
            </w:pP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Response to a PAH agent is defined as follows:</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For patients with two or more baseline tests, response to treatment is defined as two or more tests demonstrating stability or improvement of disease, as assessed by a physician from a designated hospital.</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For patients with a RHC composite assessment alone at baseline, response to treatment is defined as a RHC result demonstrating stability or improvement of disease, as assessed by a physician from a designated hospital.</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For patients with an ECHO composite assessment alone at baseline, response to treatment is defined as an ECHO result demonstrating stability or improvement of disease, as assessed by a physician from a designated hospital.</w:t>
            </w:r>
          </w:p>
          <w:p w:rsidR="006527E4" w:rsidRDefault="006527E4" w:rsidP="005B655D">
            <w:pPr>
              <w:widowControl w:val="0"/>
              <w:rPr>
                <w:rFonts w:ascii="Arial Narrow" w:hAnsi="Arial Narrow" w:cs="Arial"/>
                <w:sz w:val="20"/>
                <w:szCs w:val="20"/>
              </w:rPr>
            </w:pPr>
            <w:r w:rsidRPr="006527E4">
              <w:rPr>
                <w:rFonts w:ascii="Arial Narrow" w:hAnsi="Arial Narrow" w:cs="Arial"/>
                <w:sz w:val="20"/>
                <w:szCs w:val="20"/>
              </w:rPr>
              <w:t>For patients aged less than 18 years, response to treatment is defined as at least one of the baseline tests demonstrating stability or improvement of disease, as assessed by a physician from a designated hospital.</w:t>
            </w:r>
          </w:p>
          <w:p w:rsidR="006527E4" w:rsidRDefault="006527E4" w:rsidP="005B655D">
            <w:pPr>
              <w:widowControl w:val="0"/>
              <w:rPr>
                <w:rFonts w:ascii="Arial Narrow" w:hAnsi="Arial Narrow" w:cs="Arial"/>
                <w:sz w:val="20"/>
                <w:szCs w:val="20"/>
              </w:rPr>
            </w:pPr>
          </w:p>
          <w:p w:rsidR="006527E4" w:rsidRDefault="006527E4" w:rsidP="005B655D">
            <w:pPr>
              <w:widowControl w:val="0"/>
              <w:rPr>
                <w:rFonts w:ascii="Arial Narrow" w:hAnsi="Arial Narrow" w:cs="Arial"/>
                <w:sz w:val="20"/>
                <w:szCs w:val="20"/>
              </w:rPr>
            </w:pPr>
            <w:r w:rsidRPr="006527E4">
              <w:rPr>
                <w:rFonts w:ascii="Arial Narrow" w:hAnsi="Arial Narrow" w:cs="Arial"/>
                <w:sz w:val="20"/>
                <w:szCs w:val="20"/>
              </w:rPr>
              <w:t>The maximum quantity authorised will be limited to provide sufficient supply for 1 month of treatment, based on the dosage recommendations in the Therapeutic Goods Administration (TGA) approved Product Information.</w:t>
            </w:r>
          </w:p>
          <w:p w:rsidR="006527E4" w:rsidRDefault="006527E4" w:rsidP="005B655D">
            <w:pPr>
              <w:widowControl w:val="0"/>
              <w:rPr>
                <w:rFonts w:ascii="Arial Narrow" w:hAnsi="Arial Narrow" w:cs="Arial"/>
                <w:sz w:val="20"/>
                <w:szCs w:val="20"/>
              </w:rPr>
            </w:pPr>
          </w:p>
          <w:p w:rsidR="006527E4" w:rsidRDefault="006527E4" w:rsidP="005B655D">
            <w:pPr>
              <w:widowControl w:val="0"/>
              <w:rPr>
                <w:rFonts w:ascii="Arial Narrow" w:hAnsi="Arial Narrow" w:cs="Arial"/>
                <w:sz w:val="20"/>
                <w:szCs w:val="20"/>
              </w:rPr>
            </w:pPr>
            <w:r w:rsidRPr="006527E4">
              <w:rPr>
                <w:rFonts w:ascii="Arial Narrow" w:hAnsi="Arial Narrow" w:cs="Arial"/>
                <w:sz w:val="20"/>
                <w:szCs w:val="20"/>
              </w:rPr>
              <w:t>A maximum of 5 repeats will be authorised.</w:t>
            </w:r>
          </w:p>
          <w:p w:rsidR="006527E4" w:rsidRDefault="006527E4" w:rsidP="005B655D">
            <w:pPr>
              <w:widowControl w:val="0"/>
              <w:rPr>
                <w:rFonts w:ascii="Arial Narrow" w:hAnsi="Arial Narrow" w:cs="Arial"/>
                <w:sz w:val="20"/>
                <w:szCs w:val="20"/>
              </w:rPr>
            </w:pPr>
          </w:p>
          <w:p w:rsidR="006527E4" w:rsidRDefault="006527E4" w:rsidP="005B655D">
            <w:pPr>
              <w:widowControl w:val="0"/>
              <w:rPr>
                <w:rFonts w:ascii="Arial Narrow" w:hAnsi="Arial Narrow" w:cs="Arial"/>
                <w:sz w:val="20"/>
                <w:szCs w:val="20"/>
              </w:rPr>
            </w:pPr>
            <w:r w:rsidRPr="006527E4">
              <w:rPr>
                <w:rFonts w:ascii="Arial Narrow" w:hAnsi="Arial Narrow" w:cs="Arial"/>
                <w:sz w:val="20"/>
                <w:szCs w:val="20"/>
              </w:rPr>
              <w:t>An application for First Continuing treatment with a PAH agent should be made prior to the completion of the Initial 6 month treatment course to ensure continuity for those patients who respond to treatment, as assessed by the treating physician.</w:t>
            </w:r>
          </w:p>
          <w:p w:rsidR="006527E4" w:rsidRDefault="006527E4" w:rsidP="005B655D">
            <w:pPr>
              <w:widowControl w:val="0"/>
              <w:rPr>
                <w:rFonts w:ascii="Arial Narrow" w:hAnsi="Arial Narrow" w:cs="Arial"/>
                <w:sz w:val="20"/>
                <w:szCs w:val="20"/>
              </w:rPr>
            </w:pPr>
          </w:p>
          <w:p w:rsidR="006527E4" w:rsidRDefault="006527E4" w:rsidP="005B655D">
            <w:pPr>
              <w:widowControl w:val="0"/>
              <w:rPr>
                <w:rFonts w:ascii="Arial Narrow" w:hAnsi="Arial Narrow" w:cs="Arial"/>
                <w:sz w:val="20"/>
                <w:szCs w:val="20"/>
              </w:rPr>
            </w:pPr>
            <w:r w:rsidRPr="006527E4">
              <w:rPr>
                <w:rFonts w:ascii="Arial Narrow" w:hAnsi="Arial Narrow" w:cs="Arial"/>
                <w:sz w:val="20"/>
                <w:szCs w:val="20"/>
              </w:rPr>
              <w:t>Patients who fail to demonstrate a response to PBS-subsidised treatment with this agent at the time where an assessment is required must cease PBS-subsidised therapy with this agent.</w:t>
            </w:r>
          </w:p>
          <w:p w:rsidR="006527E4" w:rsidRDefault="006527E4" w:rsidP="005B655D">
            <w:pPr>
              <w:widowControl w:val="0"/>
              <w:rPr>
                <w:rFonts w:ascii="Arial Narrow" w:hAnsi="Arial Narrow" w:cs="Arial"/>
                <w:sz w:val="20"/>
                <w:szCs w:val="20"/>
              </w:rPr>
            </w:pPr>
          </w:p>
          <w:p w:rsidR="006527E4" w:rsidRDefault="006527E4" w:rsidP="005B655D">
            <w:pPr>
              <w:widowControl w:val="0"/>
              <w:rPr>
                <w:rFonts w:ascii="Arial Narrow" w:hAnsi="Arial Narrow" w:cs="Arial"/>
                <w:sz w:val="20"/>
                <w:szCs w:val="20"/>
              </w:rPr>
            </w:pPr>
            <w:r w:rsidRPr="006527E4">
              <w:rPr>
                <w:rFonts w:ascii="Arial Narrow" w:hAnsi="Arial Narrow" w:cs="Arial"/>
                <w:sz w:val="20"/>
                <w:szCs w:val="20"/>
              </w:rPr>
              <w:t>The term 'PAH agents' refers to bosentan monohydrate, iloprost trometamol, epoprostenol sodium, sildenafil citrate, ambrisentan, tadalafil, and macitentan.</w:t>
            </w:r>
          </w:p>
          <w:p w:rsidR="006527E4" w:rsidRDefault="006527E4" w:rsidP="005B655D">
            <w:pPr>
              <w:widowControl w:val="0"/>
              <w:rPr>
                <w:rFonts w:ascii="Arial Narrow" w:hAnsi="Arial Narrow" w:cs="Arial"/>
                <w:sz w:val="20"/>
                <w:szCs w:val="20"/>
              </w:rPr>
            </w:pPr>
          </w:p>
          <w:p w:rsidR="006527E4" w:rsidRDefault="006527E4" w:rsidP="005B655D">
            <w:pPr>
              <w:widowControl w:val="0"/>
              <w:rPr>
                <w:rFonts w:ascii="Arial Narrow" w:hAnsi="Arial Narrow" w:cs="Arial"/>
                <w:sz w:val="20"/>
                <w:szCs w:val="20"/>
              </w:rPr>
            </w:pPr>
            <w:r w:rsidRPr="006527E4">
              <w:rPr>
                <w:rFonts w:ascii="Arial Narrow" w:hAnsi="Arial Narrow" w:cs="Arial"/>
                <w:sz w:val="20"/>
                <w:szCs w:val="20"/>
              </w:rPr>
              <w:t>PAH agents are not PBS-subsidised for patients with pulmonary hypertension secondary to interstitial lung disease associated with connective tissue disease, where the total lung capacity is less than 70% of predicted.</w:t>
            </w:r>
          </w:p>
          <w:p w:rsidR="006527E4" w:rsidRPr="00260CE3" w:rsidRDefault="006527E4" w:rsidP="005B655D">
            <w:pPr>
              <w:widowControl w:val="0"/>
              <w:rPr>
                <w:rFonts w:ascii="Arial Narrow" w:hAnsi="Arial Narrow" w:cs="Arial"/>
                <w:sz w:val="20"/>
                <w:szCs w:val="20"/>
              </w:rPr>
            </w:pPr>
          </w:p>
        </w:tc>
      </w:tr>
      <w:tr w:rsidR="006527E4" w:rsidRPr="00260CE3" w:rsidTr="001B49CB">
        <w:trPr>
          <w:trHeight w:val="75"/>
        </w:trPr>
        <w:tc>
          <w:tcPr>
            <w:tcW w:w="1981" w:type="dxa"/>
            <w:tcBorders>
              <w:top w:val="single" w:sz="4" w:space="0" w:color="auto"/>
              <w:left w:val="single" w:sz="4" w:space="0" w:color="auto"/>
              <w:bottom w:val="single" w:sz="4" w:space="0" w:color="auto"/>
              <w:right w:val="single" w:sz="4" w:space="0" w:color="auto"/>
            </w:tcBorders>
          </w:tcPr>
          <w:p w:rsidR="006527E4" w:rsidRPr="00260CE3" w:rsidRDefault="006527E4" w:rsidP="005B655D">
            <w:pPr>
              <w:widowControl w:val="0"/>
              <w:jc w:val="both"/>
              <w:rPr>
                <w:rFonts w:ascii="Arial Narrow" w:hAnsi="Arial Narrow" w:cs="Arial"/>
                <w:b/>
                <w:sz w:val="20"/>
                <w:szCs w:val="20"/>
              </w:rPr>
            </w:pPr>
            <w:r>
              <w:rPr>
                <w:rFonts w:ascii="Arial Narrow" w:hAnsi="Arial Narrow" w:cs="Arial"/>
                <w:b/>
                <w:sz w:val="20"/>
                <w:szCs w:val="20"/>
              </w:rPr>
              <w:lastRenderedPageBreak/>
              <w:t>Administrative Advice</w:t>
            </w:r>
          </w:p>
          <w:p w:rsidR="006527E4" w:rsidRPr="00260CE3" w:rsidRDefault="006527E4" w:rsidP="005B655D">
            <w:pPr>
              <w:widowControl w:val="0"/>
              <w:jc w:val="both"/>
              <w:rPr>
                <w:rFonts w:ascii="Arial Narrow" w:hAnsi="Arial Narrow" w:cs="Arial"/>
                <w:i/>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Applications for authority to prescribe should be forwarded to:</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Department of Human Services</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Complex Drugs</w:t>
            </w:r>
          </w:p>
          <w:p w:rsidR="006527E4" w:rsidRPr="006527E4" w:rsidRDefault="006527E4" w:rsidP="005B655D">
            <w:pPr>
              <w:widowControl w:val="0"/>
              <w:rPr>
                <w:rFonts w:ascii="Arial Narrow" w:hAnsi="Arial Narrow" w:cs="Arial"/>
                <w:sz w:val="20"/>
                <w:szCs w:val="20"/>
              </w:rPr>
            </w:pPr>
            <w:r w:rsidRPr="006527E4">
              <w:rPr>
                <w:rFonts w:ascii="Arial Narrow" w:hAnsi="Arial Narrow" w:cs="Arial"/>
                <w:sz w:val="20"/>
                <w:szCs w:val="20"/>
              </w:rPr>
              <w:t>Reply Paid 9826</w:t>
            </w:r>
          </w:p>
          <w:p w:rsidR="006527E4" w:rsidRDefault="006527E4" w:rsidP="005B655D">
            <w:pPr>
              <w:widowControl w:val="0"/>
              <w:rPr>
                <w:rFonts w:ascii="Arial Narrow" w:hAnsi="Arial Narrow" w:cs="Arial"/>
                <w:sz w:val="20"/>
                <w:szCs w:val="20"/>
              </w:rPr>
            </w:pPr>
            <w:r w:rsidRPr="006527E4">
              <w:rPr>
                <w:rFonts w:ascii="Arial Narrow" w:hAnsi="Arial Narrow" w:cs="Arial"/>
                <w:sz w:val="20"/>
                <w:szCs w:val="20"/>
              </w:rPr>
              <w:lastRenderedPageBreak/>
              <w:t>HOBART TAS 7001</w:t>
            </w:r>
          </w:p>
          <w:p w:rsidR="006527E4" w:rsidRDefault="006527E4" w:rsidP="005B655D">
            <w:pPr>
              <w:widowControl w:val="0"/>
              <w:rPr>
                <w:rFonts w:ascii="Arial Narrow" w:hAnsi="Arial Narrow" w:cs="Arial"/>
                <w:sz w:val="20"/>
                <w:szCs w:val="20"/>
              </w:rPr>
            </w:pPr>
          </w:p>
          <w:p w:rsidR="006527E4" w:rsidRDefault="006527E4" w:rsidP="005B655D">
            <w:pPr>
              <w:widowControl w:val="0"/>
              <w:rPr>
                <w:rFonts w:ascii="Arial Narrow" w:hAnsi="Arial Narrow" w:cs="Arial"/>
                <w:sz w:val="20"/>
                <w:szCs w:val="20"/>
              </w:rPr>
            </w:pPr>
            <w:r w:rsidRPr="006527E4">
              <w:rPr>
                <w:rFonts w:ascii="Arial Narrow" w:hAnsi="Arial Narrow" w:cs="Arial"/>
                <w:sz w:val="20"/>
                <w:szCs w:val="20"/>
              </w:rPr>
              <w:t>Refer to the Department of Human Services website at www.humanservices.gov.au for a list of designated hospitals.</w:t>
            </w:r>
          </w:p>
          <w:p w:rsidR="006527E4" w:rsidRDefault="006527E4" w:rsidP="005B655D">
            <w:pPr>
              <w:widowControl w:val="0"/>
              <w:rPr>
                <w:rFonts w:ascii="Arial Narrow" w:hAnsi="Arial Narrow" w:cs="Arial"/>
                <w:sz w:val="20"/>
                <w:szCs w:val="20"/>
              </w:rPr>
            </w:pPr>
          </w:p>
          <w:p w:rsidR="006527E4" w:rsidRPr="00260CE3" w:rsidRDefault="006527E4" w:rsidP="005B655D">
            <w:pPr>
              <w:widowControl w:val="0"/>
              <w:rPr>
                <w:rFonts w:ascii="Arial Narrow" w:hAnsi="Arial Narrow" w:cs="Arial"/>
                <w:sz w:val="20"/>
                <w:szCs w:val="20"/>
              </w:rPr>
            </w:pPr>
            <w:r w:rsidRPr="006527E4">
              <w:rPr>
                <w:rFonts w:ascii="Arial Narrow" w:hAnsi="Arial Narrow" w:cs="Arial"/>
                <w:sz w:val="20"/>
                <w:szCs w:val="20"/>
              </w:rPr>
              <w:t>Text Required Flag Set</w:t>
            </w:r>
          </w:p>
        </w:tc>
      </w:tr>
      <w:tr w:rsidR="007457CC" w:rsidRPr="00260CE3" w:rsidTr="001B49CB">
        <w:trPr>
          <w:trHeight w:val="75"/>
        </w:trPr>
        <w:tc>
          <w:tcPr>
            <w:tcW w:w="1981" w:type="dxa"/>
            <w:tcBorders>
              <w:top w:val="single" w:sz="4" w:space="0" w:color="auto"/>
              <w:left w:val="single" w:sz="4" w:space="0" w:color="auto"/>
              <w:bottom w:val="single" w:sz="4" w:space="0" w:color="auto"/>
              <w:right w:val="single" w:sz="4" w:space="0" w:color="auto"/>
            </w:tcBorders>
          </w:tcPr>
          <w:p w:rsidR="007457CC" w:rsidRDefault="007457CC" w:rsidP="005B655D">
            <w:pPr>
              <w:widowControl w:val="0"/>
              <w:jc w:val="both"/>
              <w:rPr>
                <w:rFonts w:ascii="Arial Narrow" w:hAnsi="Arial Narrow" w:cs="Arial"/>
                <w:b/>
                <w:sz w:val="20"/>
                <w:szCs w:val="20"/>
              </w:rPr>
            </w:pPr>
            <w:r>
              <w:rPr>
                <w:rFonts w:ascii="Arial Narrow" w:hAnsi="Arial Narrow" w:cs="Arial"/>
                <w:b/>
                <w:sz w:val="20"/>
                <w:szCs w:val="20"/>
              </w:rPr>
              <w:lastRenderedPageBreak/>
              <w:t>Caution</w:t>
            </w:r>
          </w:p>
        </w:tc>
        <w:tc>
          <w:tcPr>
            <w:tcW w:w="6367" w:type="dxa"/>
            <w:gridSpan w:val="5"/>
            <w:tcBorders>
              <w:top w:val="single" w:sz="4" w:space="0" w:color="auto"/>
              <w:left w:val="single" w:sz="4" w:space="0" w:color="auto"/>
              <w:bottom w:val="single" w:sz="4" w:space="0" w:color="auto"/>
              <w:right w:val="single" w:sz="4" w:space="0" w:color="auto"/>
            </w:tcBorders>
          </w:tcPr>
          <w:p w:rsidR="007457CC" w:rsidRPr="006527E4" w:rsidRDefault="007457CC" w:rsidP="005B655D">
            <w:pPr>
              <w:widowControl w:val="0"/>
              <w:rPr>
                <w:rFonts w:ascii="Arial Narrow" w:hAnsi="Arial Narrow" w:cs="Arial"/>
                <w:sz w:val="20"/>
                <w:szCs w:val="20"/>
              </w:rPr>
            </w:pPr>
            <w:r w:rsidRPr="007457CC">
              <w:rPr>
                <w:rFonts w:ascii="Arial Narrow" w:hAnsi="Arial Narrow" w:cs="Arial"/>
                <w:sz w:val="20"/>
                <w:szCs w:val="20"/>
              </w:rPr>
              <w:t>This is a category X drug and must not be given to pregnant women. Pregnancy must be avoided during treatment and for at least 3 months following cessation of therapy.</w:t>
            </w:r>
          </w:p>
        </w:tc>
      </w:tr>
    </w:tbl>
    <w:p w:rsidR="00C07955" w:rsidRDefault="00C07955" w:rsidP="005A1F2D">
      <w:pPr>
        <w:ind w:left="360"/>
        <w:contextualSpacing/>
        <w:rPr>
          <w:rFonts w:ascii="Calibri" w:hAnsi="Calibri" w:cs="Calibri"/>
        </w:rPr>
      </w:pPr>
    </w:p>
    <w:p w:rsidR="005B655D" w:rsidRDefault="005B655D" w:rsidP="005A1F2D">
      <w:pPr>
        <w:ind w:left="360"/>
        <w:contextualSpacing/>
        <w:rPr>
          <w:rFonts w:ascii="Calibri" w:hAnsi="Calibri" w:cs="Calibri"/>
        </w:rPr>
      </w:pPr>
    </w:p>
    <w:tbl>
      <w:tblPr>
        <w:tblW w:w="8348" w:type="dxa"/>
        <w:tblInd w:w="817" w:type="dxa"/>
        <w:tblLayout w:type="fixed"/>
        <w:tblLook w:val="0000" w:firstRow="0" w:lastRow="0" w:firstColumn="0" w:lastColumn="0" w:noHBand="0" w:noVBand="0"/>
      </w:tblPr>
      <w:tblGrid>
        <w:gridCol w:w="1981"/>
        <w:gridCol w:w="1132"/>
        <w:gridCol w:w="848"/>
        <w:gridCol w:w="708"/>
        <w:gridCol w:w="1274"/>
        <w:gridCol w:w="2405"/>
      </w:tblGrid>
      <w:tr w:rsidR="00FC1614" w:rsidRPr="0039782C" w:rsidTr="001B49CB">
        <w:trPr>
          <w:trHeight w:val="98"/>
        </w:trPr>
        <w:tc>
          <w:tcPr>
            <w:tcW w:w="3113" w:type="dxa"/>
            <w:gridSpan w:val="2"/>
            <w:tcBorders>
              <w:bottom w:val="single" w:sz="4" w:space="0" w:color="auto"/>
            </w:tcBorders>
          </w:tcPr>
          <w:p w:rsidR="00FC1614" w:rsidRPr="0039782C" w:rsidRDefault="00FC1614" w:rsidP="005B655D">
            <w:pPr>
              <w:widowControl w:val="0"/>
              <w:ind w:left="-108"/>
              <w:jc w:val="both"/>
              <w:rPr>
                <w:rFonts w:ascii="Arial Narrow" w:hAnsi="Arial Narrow" w:cs="Arial"/>
                <w:b/>
                <w:sz w:val="20"/>
                <w:szCs w:val="20"/>
              </w:rPr>
            </w:pPr>
            <w:r w:rsidRPr="0039782C">
              <w:rPr>
                <w:rFonts w:ascii="Arial Narrow" w:hAnsi="Arial Narrow" w:cs="Arial"/>
                <w:b/>
                <w:sz w:val="20"/>
                <w:szCs w:val="20"/>
              </w:rPr>
              <w:t>Name, Restriction,</w:t>
            </w:r>
          </w:p>
          <w:p w:rsidR="00FC1614" w:rsidRPr="0039782C" w:rsidRDefault="00FC1614" w:rsidP="005B655D">
            <w:pPr>
              <w:widowControl w:val="0"/>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48" w:type="dxa"/>
            <w:tcBorders>
              <w:bottom w:val="single" w:sz="4" w:space="0" w:color="auto"/>
            </w:tcBorders>
          </w:tcPr>
          <w:p w:rsidR="00FC1614" w:rsidRPr="0039782C" w:rsidRDefault="00FC1614" w:rsidP="005B655D">
            <w:pPr>
              <w:widowControl w:val="0"/>
              <w:ind w:left="-108"/>
              <w:jc w:val="both"/>
              <w:rPr>
                <w:rFonts w:ascii="Arial Narrow" w:hAnsi="Arial Narrow" w:cs="Arial"/>
                <w:b/>
                <w:sz w:val="20"/>
                <w:szCs w:val="20"/>
              </w:rPr>
            </w:pPr>
            <w:r w:rsidRPr="0039782C">
              <w:rPr>
                <w:rFonts w:ascii="Arial Narrow" w:hAnsi="Arial Narrow" w:cs="Arial"/>
                <w:b/>
                <w:sz w:val="20"/>
                <w:szCs w:val="20"/>
              </w:rPr>
              <w:t>Max.</w:t>
            </w:r>
          </w:p>
          <w:p w:rsidR="00FC1614" w:rsidRPr="0039782C" w:rsidRDefault="00FC1614" w:rsidP="005B655D">
            <w:pPr>
              <w:widowControl w:val="0"/>
              <w:ind w:left="-108"/>
              <w:jc w:val="both"/>
              <w:rPr>
                <w:rFonts w:ascii="Arial Narrow" w:hAnsi="Arial Narrow" w:cs="Arial"/>
                <w:b/>
                <w:sz w:val="20"/>
                <w:szCs w:val="20"/>
              </w:rPr>
            </w:pPr>
            <w:r w:rsidRPr="0039782C">
              <w:rPr>
                <w:rFonts w:ascii="Arial Narrow" w:hAnsi="Arial Narrow" w:cs="Arial"/>
                <w:b/>
                <w:sz w:val="20"/>
                <w:szCs w:val="20"/>
              </w:rPr>
              <w:t>Qty</w:t>
            </w:r>
          </w:p>
        </w:tc>
        <w:tc>
          <w:tcPr>
            <w:tcW w:w="708" w:type="dxa"/>
            <w:tcBorders>
              <w:bottom w:val="single" w:sz="4" w:space="0" w:color="auto"/>
            </w:tcBorders>
          </w:tcPr>
          <w:p w:rsidR="00FC1614" w:rsidRPr="0039782C" w:rsidRDefault="00FC1614" w:rsidP="005B655D">
            <w:pPr>
              <w:widowControl w:val="0"/>
              <w:ind w:left="-108"/>
              <w:jc w:val="both"/>
              <w:rPr>
                <w:rFonts w:ascii="Arial Narrow" w:hAnsi="Arial Narrow" w:cs="Arial"/>
                <w:b/>
                <w:sz w:val="20"/>
                <w:szCs w:val="20"/>
              </w:rPr>
            </w:pPr>
            <w:r w:rsidRPr="0039782C">
              <w:rPr>
                <w:rFonts w:ascii="Arial Narrow" w:hAnsi="Arial Narrow" w:cs="Arial"/>
                <w:b/>
                <w:sz w:val="20"/>
                <w:szCs w:val="20"/>
              </w:rPr>
              <w:t>№.of</w:t>
            </w:r>
          </w:p>
          <w:p w:rsidR="00FC1614" w:rsidRPr="0039782C" w:rsidRDefault="00FC1614" w:rsidP="005B655D">
            <w:pPr>
              <w:widowControl w:val="0"/>
              <w:ind w:left="-108"/>
              <w:jc w:val="both"/>
              <w:rPr>
                <w:rFonts w:ascii="Arial Narrow" w:hAnsi="Arial Narrow" w:cs="Arial"/>
                <w:b/>
                <w:sz w:val="20"/>
                <w:szCs w:val="20"/>
              </w:rPr>
            </w:pPr>
            <w:r w:rsidRPr="0039782C">
              <w:rPr>
                <w:rFonts w:ascii="Arial Narrow" w:hAnsi="Arial Narrow" w:cs="Arial"/>
                <w:b/>
                <w:sz w:val="20"/>
                <w:szCs w:val="20"/>
              </w:rPr>
              <w:t>Rpts</w:t>
            </w:r>
          </w:p>
        </w:tc>
        <w:tc>
          <w:tcPr>
            <w:tcW w:w="3679" w:type="dxa"/>
            <w:gridSpan w:val="2"/>
            <w:tcBorders>
              <w:bottom w:val="single" w:sz="4" w:space="0" w:color="auto"/>
            </w:tcBorders>
          </w:tcPr>
          <w:p w:rsidR="00FC1614" w:rsidRPr="0039782C" w:rsidRDefault="00FC1614" w:rsidP="005B655D">
            <w:pPr>
              <w:widowControl w:val="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FC1614" w:rsidRPr="00260CE3" w:rsidTr="001B49CB">
        <w:trPr>
          <w:trHeight w:val="120"/>
        </w:trPr>
        <w:tc>
          <w:tcPr>
            <w:tcW w:w="3113" w:type="dxa"/>
            <w:gridSpan w:val="2"/>
          </w:tcPr>
          <w:p w:rsidR="00FC1614" w:rsidRPr="00260CE3" w:rsidRDefault="00FC1614" w:rsidP="005B655D">
            <w:pPr>
              <w:widowControl w:val="0"/>
              <w:ind w:left="-108"/>
              <w:jc w:val="both"/>
              <w:rPr>
                <w:rFonts w:ascii="Arial Narrow" w:hAnsi="Arial Narrow" w:cs="Arial"/>
                <w:sz w:val="20"/>
                <w:szCs w:val="20"/>
              </w:rPr>
            </w:pPr>
            <w:r>
              <w:rPr>
                <w:rFonts w:ascii="Arial Narrow" w:hAnsi="Arial Narrow" w:cs="Arial"/>
                <w:smallCaps/>
                <w:sz w:val="20"/>
                <w:szCs w:val="20"/>
              </w:rPr>
              <w:t>EPOPROSTENOL</w:t>
            </w:r>
          </w:p>
          <w:p w:rsidR="00FC1614" w:rsidRDefault="00FC1614" w:rsidP="005B655D">
            <w:pPr>
              <w:widowControl w:val="0"/>
              <w:ind w:left="-108"/>
              <w:jc w:val="both"/>
              <w:rPr>
                <w:rFonts w:ascii="Arial Narrow" w:hAnsi="Arial Narrow" w:cs="Arial"/>
                <w:sz w:val="20"/>
                <w:szCs w:val="20"/>
              </w:rPr>
            </w:pPr>
            <w:r w:rsidRPr="0039008E">
              <w:rPr>
                <w:rFonts w:ascii="Arial Narrow" w:hAnsi="Arial Narrow" w:cs="Arial"/>
                <w:sz w:val="20"/>
                <w:szCs w:val="20"/>
              </w:rPr>
              <w:t xml:space="preserve">epoprostenol 500 microgram injection </w:t>
            </w:r>
          </w:p>
          <w:p w:rsidR="00FC1614" w:rsidRDefault="00FC1614" w:rsidP="005B655D">
            <w:pPr>
              <w:widowControl w:val="0"/>
              <w:ind w:left="-108"/>
              <w:jc w:val="both"/>
              <w:rPr>
                <w:rFonts w:ascii="Arial Narrow" w:hAnsi="Arial Narrow" w:cs="Arial"/>
                <w:sz w:val="20"/>
                <w:szCs w:val="20"/>
              </w:rPr>
            </w:pPr>
            <w:r w:rsidRPr="0039008E">
              <w:rPr>
                <w:rFonts w:ascii="Arial Narrow" w:hAnsi="Arial Narrow" w:cs="Arial"/>
                <w:sz w:val="20"/>
                <w:szCs w:val="20"/>
              </w:rPr>
              <w:t xml:space="preserve">[1 vial] (&amp;) inert substance diluent </w:t>
            </w:r>
          </w:p>
          <w:p w:rsidR="00FC1614" w:rsidRPr="00260CE3" w:rsidRDefault="00FC1614" w:rsidP="005B655D">
            <w:pPr>
              <w:widowControl w:val="0"/>
              <w:ind w:left="-108"/>
              <w:jc w:val="both"/>
              <w:rPr>
                <w:rFonts w:ascii="Arial Narrow" w:hAnsi="Arial Narrow" w:cs="Arial"/>
                <w:sz w:val="20"/>
                <w:szCs w:val="20"/>
              </w:rPr>
            </w:pPr>
            <w:r>
              <w:rPr>
                <w:rFonts w:ascii="Arial Narrow" w:hAnsi="Arial Narrow" w:cs="Arial"/>
                <w:sz w:val="20"/>
                <w:szCs w:val="20"/>
              </w:rPr>
              <w:t xml:space="preserve">[2 x 50 mL </w:t>
            </w:r>
            <w:r w:rsidRPr="0039008E">
              <w:rPr>
                <w:rFonts w:ascii="Arial Narrow" w:hAnsi="Arial Narrow" w:cs="Arial"/>
                <w:sz w:val="20"/>
                <w:szCs w:val="20"/>
              </w:rPr>
              <w:t>vials], 1 pack</w:t>
            </w:r>
          </w:p>
        </w:tc>
        <w:tc>
          <w:tcPr>
            <w:tcW w:w="848" w:type="dxa"/>
          </w:tcPr>
          <w:p w:rsidR="00FC1614" w:rsidRPr="00260CE3" w:rsidRDefault="00FC1614" w:rsidP="005B655D">
            <w:pPr>
              <w:widowControl w:val="0"/>
              <w:ind w:left="-108"/>
              <w:jc w:val="both"/>
              <w:rPr>
                <w:rFonts w:ascii="Arial Narrow" w:hAnsi="Arial Narrow" w:cs="Arial"/>
                <w:sz w:val="20"/>
                <w:szCs w:val="20"/>
              </w:rPr>
            </w:pPr>
          </w:p>
          <w:p w:rsidR="00FC1614" w:rsidRPr="00260CE3" w:rsidRDefault="00FC1614" w:rsidP="005B655D">
            <w:pPr>
              <w:widowControl w:val="0"/>
              <w:ind w:left="-108"/>
              <w:jc w:val="both"/>
              <w:rPr>
                <w:rFonts w:ascii="Arial Narrow" w:hAnsi="Arial Narrow" w:cs="Arial"/>
                <w:sz w:val="20"/>
                <w:szCs w:val="20"/>
              </w:rPr>
            </w:pPr>
            <w:r>
              <w:rPr>
                <w:rFonts w:ascii="Arial Narrow" w:hAnsi="Arial Narrow" w:cs="Arial"/>
                <w:sz w:val="20"/>
                <w:szCs w:val="20"/>
              </w:rPr>
              <w:t>1</w:t>
            </w:r>
          </w:p>
        </w:tc>
        <w:tc>
          <w:tcPr>
            <w:tcW w:w="708" w:type="dxa"/>
          </w:tcPr>
          <w:p w:rsidR="00FC1614" w:rsidRPr="00260CE3" w:rsidRDefault="00FC1614" w:rsidP="005B655D">
            <w:pPr>
              <w:widowControl w:val="0"/>
              <w:ind w:left="-108"/>
              <w:jc w:val="both"/>
              <w:rPr>
                <w:rFonts w:ascii="Arial Narrow" w:hAnsi="Arial Narrow" w:cs="Arial"/>
                <w:sz w:val="20"/>
                <w:szCs w:val="20"/>
              </w:rPr>
            </w:pPr>
          </w:p>
          <w:p w:rsidR="00FC1614" w:rsidRPr="00260CE3" w:rsidRDefault="00FC1614" w:rsidP="005B655D">
            <w:pPr>
              <w:widowControl w:val="0"/>
              <w:ind w:left="-108"/>
              <w:jc w:val="both"/>
              <w:rPr>
                <w:rFonts w:ascii="Arial Narrow" w:hAnsi="Arial Narrow" w:cs="Arial"/>
                <w:sz w:val="20"/>
                <w:szCs w:val="20"/>
              </w:rPr>
            </w:pPr>
            <w:r>
              <w:rPr>
                <w:rFonts w:ascii="Arial Narrow" w:hAnsi="Arial Narrow" w:cs="Arial"/>
                <w:sz w:val="20"/>
                <w:szCs w:val="20"/>
              </w:rPr>
              <w:t>1</w:t>
            </w:r>
          </w:p>
        </w:tc>
        <w:tc>
          <w:tcPr>
            <w:tcW w:w="1274" w:type="dxa"/>
          </w:tcPr>
          <w:p w:rsidR="00FC1614" w:rsidRPr="00260CE3" w:rsidRDefault="00FC1614" w:rsidP="005B655D">
            <w:pPr>
              <w:widowControl w:val="0"/>
              <w:ind w:left="-108"/>
              <w:jc w:val="both"/>
              <w:rPr>
                <w:rFonts w:ascii="Arial Narrow" w:hAnsi="Arial Narrow" w:cs="Arial"/>
                <w:sz w:val="20"/>
                <w:szCs w:val="20"/>
              </w:rPr>
            </w:pPr>
          </w:p>
          <w:p w:rsidR="00FC1614" w:rsidRPr="00260CE3" w:rsidRDefault="00FC1614" w:rsidP="005B655D">
            <w:pPr>
              <w:widowControl w:val="0"/>
              <w:ind w:left="-108"/>
              <w:jc w:val="both"/>
              <w:rPr>
                <w:rFonts w:ascii="Arial Narrow" w:hAnsi="Arial Narrow" w:cs="Arial"/>
                <w:sz w:val="20"/>
                <w:szCs w:val="20"/>
              </w:rPr>
            </w:pPr>
            <w:r w:rsidRPr="00E62763">
              <w:rPr>
                <w:rFonts w:ascii="Arial Narrow" w:hAnsi="Arial Narrow" w:cs="Arial"/>
                <w:sz w:val="20"/>
                <w:szCs w:val="20"/>
              </w:rPr>
              <w:t>Flolan®</w:t>
            </w:r>
          </w:p>
        </w:tc>
        <w:tc>
          <w:tcPr>
            <w:tcW w:w="2405" w:type="dxa"/>
          </w:tcPr>
          <w:p w:rsidR="00FC1614" w:rsidRDefault="00FC1614" w:rsidP="005B655D">
            <w:pPr>
              <w:widowControl w:val="0"/>
              <w:jc w:val="both"/>
              <w:rPr>
                <w:rFonts w:ascii="Arial Narrow" w:hAnsi="Arial Narrow" w:cs="Arial"/>
                <w:sz w:val="20"/>
                <w:szCs w:val="20"/>
              </w:rPr>
            </w:pPr>
          </w:p>
          <w:p w:rsidR="00FC1614" w:rsidRPr="00260CE3" w:rsidRDefault="00FC1614" w:rsidP="005B655D">
            <w:pPr>
              <w:widowControl w:val="0"/>
              <w:jc w:val="both"/>
              <w:rPr>
                <w:rFonts w:ascii="Arial Narrow" w:hAnsi="Arial Narrow" w:cs="Arial"/>
                <w:sz w:val="20"/>
                <w:szCs w:val="20"/>
              </w:rPr>
            </w:pPr>
            <w:r>
              <w:rPr>
                <w:rFonts w:ascii="Arial Narrow" w:hAnsi="Arial Narrow" w:cs="Arial"/>
                <w:sz w:val="20"/>
                <w:szCs w:val="20"/>
              </w:rPr>
              <w:t>GlaxoSmithKline Australia Pty Ltd</w:t>
            </w:r>
          </w:p>
        </w:tc>
      </w:tr>
      <w:tr w:rsidR="00FC1614" w:rsidRPr="00260CE3" w:rsidTr="001B49CB">
        <w:trPr>
          <w:trHeight w:val="75"/>
        </w:trPr>
        <w:tc>
          <w:tcPr>
            <w:tcW w:w="8348" w:type="dxa"/>
            <w:gridSpan w:val="6"/>
            <w:tcBorders>
              <w:bottom w:val="single" w:sz="4" w:space="0" w:color="auto"/>
            </w:tcBorders>
          </w:tcPr>
          <w:p w:rsidR="00FC1614" w:rsidRPr="00260CE3" w:rsidRDefault="00FC1614" w:rsidP="005B655D">
            <w:pPr>
              <w:widowControl w:val="0"/>
              <w:jc w:val="both"/>
              <w:rPr>
                <w:rFonts w:ascii="Arial Narrow" w:hAnsi="Arial Narrow" w:cs="Arial"/>
                <w:sz w:val="20"/>
                <w:szCs w:val="20"/>
              </w:rPr>
            </w:pPr>
          </w:p>
        </w:tc>
      </w:tr>
      <w:tr w:rsidR="00FC1614" w:rsidRPr="00260CE3" w:rsidTr="001B49CB">
        <w:trPr>
          <w:trHeight w:val="75"/>
        </w:trPr>
        <w:tc>
          <w:tcPr>
            <w:tcW w:w="1981" w:type="dxa"/>
            <w:tcBorders>
              <w:top w:val="single" w:sz="4" w:space="0" w:color="auto"/>
              <w:left w:val="single" w:sz="4" w:space="0" w:color="auto"/>
              <w:bottom w:val="single" w:sz="4" w:space="0" w:color="auto"/>
              <w:right w:val="single" w:sz="4" w:space="0" w:color="auto"/>
            </w:tcBorders>
          </w:tcPr>
          <w:p w:rsidR="00FC1614" w:rsidRPr="00260CE3" w:rsidRDefault="00FC1614" w:rsidP="005B655D">
            <w:pPr>
              <w:widowControl w:val="0"/>
              <w:jc w:val="both"/>
              <w:rPr>
                <w:rFonts w:ascii="Arial Narrow" w:hAnsi="Arial Narrow" w:cs="Arial"/>
                <w:b/>
                <w:sz w:val="20"/>
                <w:szCs w:val="20"/>
              </w:rPr>
            </w:pPr>
            <w:r w:rsidRPr="00260CE3">
              <w:rPr>
                <w:rFonts w:ascii="Arial Narrow" w:hAnsi="Arial Narrow" w:cs="Arial"/>
                <w:b/>
                <w:sz w:val="20"/>
                <w:szCs w:val="20"/>
              </w:rPr>
              <w:t xml:space="preserve">Category / </w:t>
            </w:r>
          </w:p>
          <w:p w:rsidR="00FC1614" w:rsidRPr="00260CE3" w:rsidRDefault="00FC1614" w:rsidP="005B655D">
            <w:pPr>
              <w:widowControl w:val="0"/>
              <w:jc w:val="both"/>
              <w:rPr>
                <w:rFonts w:ascii="Arial Narrow" w:hAnsi="Arial Narrow" w:cs="Arial"/>
                <w:b/>
                <w:sz w:val="20"/>
                <w:szCs w:val="20"/>
              </w:rPr>
            </w:pPr>
            <w:r w:rsidRPr="00260CE3">
              <w:rPr>
                <w:rFonts w:ascii="Arial Narrow" w:hAnsi="Arial Narrow" w:cs="Arial"/>
                <w:b/>
                <w:sz w:val="20"/>
                <w:szCs w:val="20"/>
              </w:rPr>
              <w:t>Program</w:t>
            </w:r>
          </w:p>
        </w:tc>
        <w:tc>
          <w:tcPr>
            <w:tcW w:w="6367" w:type="dxa"/>
            <w:gridSpan w:val="5"/>
            <w:tcBorders>
              <w:top w:val="single" w:sz="4" w:space="0" w:color="auto"/>
              <w:left w:val="single" w:sz="4" w:space="0" w:color="auto"/>
              <w:bottom w:val="single" w:sz="4" w:space="0" w:color="auto"/>
              <w:right w:val="single" w:sz="4" w:space="0" w:color="auto"/>
            </w:tcBorders>
          </w:tcPr>
          <w:p w:rsidR="00FC1614" w:rsidRPr="00260CE3" w:rsidRDefault="00FC1614" w:rsidP="005B655D">
            <w:pPr>
              <w:widowControl w:val="0"/>
              <w:rPr>
                <w:rFonts w:ascii="Arial Narrow" w:hAnsi="Arial Narrow" w:cs="Arial"/>
                <w:sz w:val="20"/>
                <w:szCs w:val="20"/>
              </w:rPr>
            </w:pPr>
            <w:r w:rsidRPr="00260CE3">
              <w:rPr>
                <w:rFonts w:ascii="Arial Narrow" w:hAnsi="Arial Narrow" w:cs="Arial"/>
                <w:sz w:val="20"/>
                <w:szCs w:val="20"/>
              </w:rPr>
              <w:t>Section 100 – Highly Specialised Drugs Program</w:t>
            </w:r>
          </w:p>
          <w:p w:rsidR="00FC1614" w:rsidRPr="00260CE3" w:rsidRDefault="00FC1614" w:rsidP="005B655D">
            <w:pPr>
              <w:widowControl w:val="0"/>
              <w:rPr>
                <w:rFonts w:ascii="Arial Narrow" w:hAnsi="Arial Narrow" w:cs="Arial"/>
                <w:sz w:val="20"/>
                <w:szCs w:val="20"/>
              </w:rPr>
            </w:pPr>
          </w:p>
        </w:tc>
      </w:tr>
      <w:tr w:rsidR="00FC1614" w:rsidRPr="00260CE3" w:rsidTr="001B49CB">
        <w:trPr>
          <w:trHeight w:val="75"/>
        </w:trPr>
        <w:tc>
          <w:tcPr>
            <w:tcW w:w="1981" w:type="dxa"/>
            <w:tcBorders>
              <w:top w:val="single" w:sz="4" w:space="0" w:color="auto"/>
              <w:left w:val="single" w:sz="4" w:space="0" w:color="auto"/>
              <w:bottom w:val="single" w:sz="4" w:space="0" w:color="auto"/>
              <w:right w:val="single" w:sz="4" w:space="0" w:color="auto"/>
            </w:tcBorders>
          </w:tcPr>
          <w:p w:rsidR="00FC1614" w:rsidRPr="00260CE3" w:rsidRDefault="00FC1614" w:rsidP="005B655D">
            <w:pPr>
              <w:widowControl w:val="0"/>
              <w:jc w:val="both"/>
              <w:rPr>
                <w:rFonts w:ascii="Arial Narrow" w:hAnsi="Arial Narrow" w:cs="Arial"/>
                <w:b/>
                <w:sz w:val="20"/>
                <w:szCs w:val="20"/>
              </w:rPr>
            </w:pPr>
            <w:r w:rsidRPr="00260CE3">
              <w:rPr>
                <w:rFonts w:ascii="Arial Narrow" w:hAnsi="Arial Narrow" w:cs="Arial"/>
                <w:b/>
                <w:sz w:val="20"/>
                <w:szCs w:val="20"/>
              </w:rPr>
              <w:t>Prescriber type:</w:t>
            </w:r>
          </w:p>
        </w:tc>
        <w:tc>
          <w:tcPr>
            <w:tcW w:w="6367" w:type="dxa"/>
            <w:gridSpan w:val="5"/>
            <w:tcBorders>
              <w:top w:val="single" w:sz="4" w:space="0" w:color="auto"/>
              <w:left w:val="single" w:sz="4" w:space="0" w:color="auto"/>
              <w:bottom w:val="single" w:sz="4" w:space="0" w:color="auto"/>
              <w:right w:val="single" w:sz="4" w:space="0" w:color="auto"/>
            </w:tcBorders>
          </w:tcPr>
          <w:p w:rsidR="00FC1614" w:rsidRPr="00260CE3" w:rsidRDefault="00FC1614" w:rsidP="005B655D">
            <w:pPr>
              <w:widowControl w:val="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FC1614" w:rsidRPr="00260CE3" w:rsidRDefault="00FC1614" w:rsidP="005B655D">
            <w:pPr>
              <w:widowControl w:val="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FC1614" w:rsidRPr="00260CE3" w:rsidTr="001B49CB">
        <w:trPr>
          <w:trHeight w:val="75"/>
        </w:trPr>
        <w:tc>
          <w:tcPr>
            <w:tcW w:w="1981" w:type="dxa"/>
            <w:tcBorders>
              <w:top w:val="single" w:sz="4" w:space="0" w:color="auto"/>
              <w:left w:val="single" w:sz="4" w:space="0" w:color="auto"/>
              <w:bottom w:val="single" w:sz="4" w:space="0" w:color="auto"/>
              <w:right w:val="single" w:sz="4" w:space="0" w:color="auto"/>
            </w:tcBorders>
          </w:tcPr>
          <w:p w:rsidR="00FC1614" w:rsidRPr="00260CE3" w:rsidRDefault="00FC1614" w:rsidP="005B655D">
            <w:pPr>
              <w:widowControl w:val="0"/>
              <w:jc w:val="both"/>
              <w:rPr>
                <w:rFonts w:ascii="Arial Narrow" w:hAnsi="Arial Narrow" w:cs="Arial"/>
                <w:b/>
                <w:sz w:val="20"/>
                <w:szCs w:val="20"/>
              </w:rPr>
            </w:pPr>
            <w:r w:rsidRPr="00260CE3">
              <w:rPr>
                <w:rFonts w:ascii="Arial Narrow" w:hAnsi="Arial Narrow" w:cs="Arial"/>
                <w:b/>
                <w:sz w:val="20"/>
                <w:szCs w:val="20"/>
              </w:rPr>
              <w:t>PBS Indication:</w:t>
            </w:r>
          </w:p>
        </w:tc>
        <w:tc>
          <w:tcPr>
            <w:tcW w:w="6367" w:type="dxa"/>
            <w:gridSpan w:val="5"/>
            <w:tcBorders>
              <w:top w:val="single" w:sz="4" w:space="0" w:color="auto"/>
              <w:left w:val="single" w:sz="4" w:space="0" w:color="auto"/>
              <w:bottom w:val="single" w:sz="4" w:space="0" w:color="auto"/>
              <w:right w:val="single" w:sz="4" w:space="0" w:color="auto"/>
            </w:tcBorders>
          </w:tcPr>
          <w:p w:rsidR="00FC1614" w:rsidRPr="00260CE3" w:rsidRDefault="00FC1614" w:rsidP="005B655D">
            <w:pPr>
              <w:widowControl w:val="0"/>
              <w:rPr>
                <w:rFonts w:ascii="Arial Narrow" w:hAnsi="Arial Narrow" w:cs="Arial"/>
                <w:sz w:val="20"/>
                <w:szCs w:val="20"/>
              </w:rPr>
            </w:pPr>
            <w:r>
              <w:rPr>
                <w:rFonts w:ascii="Arial Narrow" w:hAnsi="Arial Narrow" w:cs="Arial"/>
                <w:sz w:val="20"/>
                <w:szCs w:val="20"/>
              </w:rPr>
              <w:t>Pulmonary arterial hypertension (PAH)</w:t>
            </w:r>
          </w:p>
        </w:tc>
      </w:tr>
      <w:tr w:rsidR="00FC1614" w:rsidRPr="00260CE3" w:rsidTr="001B49CB">
        <w:trPr>
          <w:trHeight w:val="75"/>
        </w:trPr>
        <w:tc>
          <w:tcPr>
            <w:tcW w:w="1981" w:type="dxa"/>
            <w:tcBorders>
              <w:top w:val="single" w:sz="4" w:space="0" w:color="auto"/>
              <w:left w:val="single" w:sz="4" w:space="0" w:color="auto"/>
              <w:bottom w:val="single" w:sz="4" w:space="0" w:color="auto"/>
              <w:right w:val="single" w:sz="4" w:space="0" w:color="auto"/>
            </w:tcBorders>
          </w:tcPr>
          <w:p w:rsidR="00FC1614" w:rsidRPr="000B7B05" w:rsidRDefault="00FC1614" w:rsidP="005B655D">
            <w:pPr>
              <w:widowControl w:val="0"/>
              <w:jc w:val="both"/>
              <w:rPr>
                <w:rFonts w:ascii="Arial Narrow" w:hAnsi="Arial Narrow" w:cs="Arial"/>
                <w:b/>
                <w:sz w:val="20"/>
                <w:szCs w:val="20"/>
              </w:rPr>
            </w:pPr>
            <w:r w:rsidRPr="00260CE3">
              <w:rPr>
                <w:rFonts w:ascii="Arial Narrow" w:hAnsi="Arial Narrow" w:cs="Arial"/>
                <w:b/>
                <w:sz w:val="20"/>
                <w:szCs w:val="20"/>
              </w:rPr>
              <w:t>Treatment phase:</w:t>
            </w:r>
          </w:p>
        </w:tc>
        <w:tc>
          <w:tcPr>
            <w:tcW w:w="6367" w:type="dxa"/>
            <w:gridSpan w:val="5"/>
            <w:tcBorders>
              <w:top w:val="single" w:sz="4" w:space="0" w:color="auto"/>
              <w:left w:val="single" w:sz="4" w:space="0" w:color="auto"/>
              <w:bottom w:val="single" w:sz="4" w:space="0" w:color="auto"/>
              <w:right w:val="single" w:sz="4" w:space="0" w:color="auto"/>
            </w:tcBorders>
          </w:tcPr>
          <w:p w:rsidR="00FC1614" w:rsidRPr="00260CE3" w:rsidRDefault="00FC1614" w:rsidP="005B655D">
            <w:pPr>
              <w:widowControl w:val="0"/>
              <w:rPr>
                <w:rFonts w:ascii="Arial Narrow" w:hAnsi="Arial Narrow" w:cs="Arial"/>
                <w:sz w:val="20"/>
                <w:szCs w:val="20"/>
              </w:rPr>
            </w:pPr>
            <w:r>
              <w:rPr>
                <w:rFonts w:ascii="Arial Narrow" w:hAnsi="Arial Narrow" w:cs="Arial"/>
                <w:sz w:val="20"/>
                <w:szCs w:val="20"/>
              </w:rPr>
              <w:t>S</w:t>
            </w:r>
            <w:r w:rsidRPr="00FC1614">
              <w:rPr>
                <w:rFonts w:ascii="Arial Narrow" w:hAnsi="Arial Narrow" w:cs="Arial"/>
                <w:sz w:val="20"/>
                <w:szCs w:val="20"/>
              </w:rPr>
              <w:t>ubsequent Continuing treatment</w:t>
            </w:r>
          </w:p>
        </w:tc>
      </w:tr>
      <w:tr w:rsidR="00FC1614" w:rsidRPr="00260CE3" w:rsidTr="001B49CB">
        <w:trPr>
          <w:trHeight w:val="75"/>
        </w:trPr>
        <w:tc>
          <w:tcPr>
            <w:tcW w:w="1981" w:type="dxa"/>
            <w:tcBorders>
              <w:top w:val="single" w:sz="4" w:space="0" w:color="auto"/>
              <w:left w:val="single" w:sz="4" w:space="0" w:color="auto"/>
              <w:bottom w:val="single" w:sz="4" w:space="0" w:color="auto"/>
              <w:right w:val="single" w:sz="4" w:space="0" w:color="auto"/>
            </w:tcBorders>
          </w:tcPr>
          <w:p w:rsidR="00FC1614" w:rsidRPr="00260CE3" w:rsidRDefault="00FC1614" w:rsidP="005B655D">
            <w:pPr>
              <w:widowControl w:val="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FC1614" w:rsidRPr="00260CE3" w:rsidRDefault="00FC1614" w:rsidP="005B655D">
            <w:pPr>
              <w:widowControl w:val="0"/>
              <w:rPr>
                <w:rFonts w:ascii="Arial Narrow" w:hAnsi="Arial Narrow" w:cs="Arial"/>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FC1614" w:rsidRPr="00106BCF" w:rsidRDefault="00FC1614" w:rsidP="005B655D">
            <w:pPr>
              <w:widowControl w:val="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FC1614" w:rsidRPr="00106BCF" w:rsidRDefault="00FC1614" w:rsidP="005B655D">
            <w:pPr>
              <w:widowControl w:val="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FC1614" w:rsidRPr="00106BCF" w:rsidRDefault="00FC1614" w:rsidP="005B655D">
            <w:pPr>
              <w:widowControl w:val="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Authority Required - Telephone</w:t>
            </w:r>
          </w:p>
          <w:p w:rsidR="00FC1614" w:rsidRPr="00106BCF" w:rsidRDefault="00FC1614" w:rsidP="005B655D">
            <w:pPr>
              <w:widowControl w:val="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FC1614" w:rsidRPr="00106BCF" w:rsidRDefault="00FC1614" w:rsidP="005B655D">
            <w:pPr>
              <w:widowControl w:val="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FC1614" w:rsidRPr="00260CE3" w:rsidRDefault="00FC1614" w:rsidP="005B655D">
            <w:pPr>
              <w:widowControl w:val="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B5369">
              <w:rPr>
                <w:rFonts w:ascii="Arial Narrow" w:hAnsi="Arial Narrow" w:cs="Arial"/>
                <w:sz w:val="20"/>
                <w:szCs w:val="20"/>
              </w:rPr>
            </w:r>
            <w:r w:rsidR="004B53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FC1614" w:rsidRPr="00260CE3" w:rsidTr="001B49CB">
        <w:trPr>
          <w:trHeight w:val="1888"/>
        </w:trPr>
        <w:tc>
          <w:tcPr>
            <w:tcW w:w="1981" w:type="dxa"/>
            <w:tcBorders>
              <w:top w:val="single" w:sz="4" w:space="0" w:color="auto"/>
              <w:left w:val="single" w:sz="4" w:space="0" w:color="auto"/>
              <w:bottom w:val="single" w:sz="4" w:space="0" w:color="auto"/>
              <w:right w:val="single" w:sz="4" w:space="0" w:color="auto"/>
            </w:tcBorders>
          </w:tcPr>
          <w:p w:rsidR="00FC1614" w:rsidRPr="00260CE3" w:rsidRDefault="00FC1614" w:rsidP="005B655D">
            <w:pPr>
              <w:widowControl w:val="0"/>
              <w:jc w:val="both"/>
              <w:rPr>
                <w:rFonts w:ascii="Arial Narrow" w:hAnsi="Arial Narrow" w:cs="Arial"/>
                <w:b/>
                <w:sz w:val="20"/>
                <w:szCs w:val="20"/>
              </w:rPr>
            </w:pPr>
            <w:r w:rsidRPr="00260CE3">
              <w:rPr>
                <w:rFonts w:ascii="Arial Narrow" w:hAnsi="Arial Narrow" w:cs="Arial"/>
                <w:b/>
                <w:sz w:val="20"/>
                <w:szCs w:val="20"/>
              </w:rPr>
              <w:t>Clinical criteria:</w:t>
            </w:r>
          </w:p>
          <w:p w:rsidR="00FC1614" w:rsidRPr="00260CE3" w:rsidRDefault="00FC1614" w:rsidP="005B655D">
            <w:pPr>
              <w:widowControl w:val="0"/>
              <w:jc w:val="both"/>
              <w:rPr>
                <w:rFonts w:ascii="Arial Narrow" w:hAnsi="Arial Narrow" w:cs="Arial"/>
                <w:i/>
                <w:sz w:val="20"/>
                <w:szCs w:val="20"/>
              </w:rPr>
            </w:pPr>
          </w:p>
          <w:p w:rsidR="00FC1614" w:rsidRPr="00260CE3" w:rsidRDefault="00FC1614" w:rsidP="005B655D">
            <w:pPr>
              <w:widowControl w:val="0"/>
              <w:jc w:val="both"/>
              <w:rPr>
                <w:rFonts w:ascii="Arial Narrow" w:hAnsi="Arial Narrow" w:cs="Arial"/>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FC1614" w:rsidRDefault="007457CC" w:rsidP="005B655D">
            <w:pPr>
              <w:widowControl w:val="0"/>
              <w:jc w:val="both"/>
              <w:rPr>
                <w:rFonts w:ascii="Arial Narrow" w:hAnsi="Arial Narrow" w:cs="Arial"/>
                <w:sz w:val="20"/>
                <w:szCs w:val="20"/>
              </w:rPr>
            </w:pPr>
            <w:r w:rsidRPr="007457CC">
              <w:rPr>
                <w:rFonts w:ascii="Arial Narrow" w:hAnsi="Arial Narrow" w:cs="Arial"/>
                <w:sz w:val="20"/>
                <w:szCs w:val="20"/>
              </w:rPr>
              <w:t>Patient must have received a PBS-subsidised treatment under First Continuing treatment with this agent for this condition</w:t>
            </w:r>
            <w:r w:rsidR="00FC1614">
              <w:rPr>
                <w:rFonts w:ascii="Arial Narrow" w:hAnsi="Arial Narrow" w:cs="Arial"/>
                <w:sz w:val="20"/>
                <w:szCs w:val="20"/>
              </w:rPr>
              <w:t xml:space="preserve">; </w:t>
            </w:r>
          </w:p>
          <w:p w:rsidR="00FC1614" w:rsidRDefault="00FC1614" w:rsidP="005B655D">
            <w:pPr>
              <w:widowControl w:val="0"/>
              <w:jc w:val="both"/>
              <w:rPr>
                <w:rFonts w:ascii="Arial Narrow" w:hAnsi="Arial Narrow" w:cs="Arial"/>
                <w:sz w:val="20"/>
                <w:szCs w:val="20"/>
              </w:rPr>
            </w:pPr>
          </w:p>
          <w:p w:rsidR="00FC1614" w:rsidRDefault="007457CC" w:rsidP="005B655D">
            <w:pPr>
              <w:widowControl w:val="0"/>
              <w:jc w:val="both"/>
              <w:rPr>
                <w:rFonts w:ascii="Arial Narrow" w:hAnsi="Arial Narrow" w:cs="Arial"/>
                <w:sz w:val="20"/>
                <w:szCs w:val="20"/>
              </w:rPr>
            </w:pPr>
            <w:r>
              <w:rPr>
                <w:rFonts w:ascii="Arial Narrow" w:hAnsi="Arial Narrow" w:cs="Arial"/>
                <w:sz w:val="20"/>
                <w:szCs w:val="20"/>
              </w:rPr>
              <w:t>OR</w:t>
            </w:r>
          </w:p>
          <w:p w:rsidR="00FC1614" w:rsidRDefault="00FC1614" w:rsidP="005B655D">
            <w:pPr>
              <w:widowControl w:val="0"/>
              <w:jc w:val="both"/>
              <w:rPr>
                <w:rFonts w:ascii="Arial Narrow" w:hAnsi="Arial Narrow" w:cs="Arial"/>
                <w:sz w:val="20"/>
                <w:szCs w:val="20"/>
              </w:rPr>
            </w:pPr>
          </w:p>
          <w:p w:rsidR="00FC1614" w:rsidRDefault="007457CC" w:rsidP="005B655D">
            <w:pPr>
              <w:widowControl w:val="0"/>
              <w:jc w:val="both"/>
              <w:rPr>
                <w:rFonts w:ascii="Arial Narrow" w:hAnsi="Arial Narrow" w:cs="Arial"/>
                <w:sz w:val="20"/>
                <w:szCs w:val="20"/>
              </w:rPr>
            </w:pPr>
            <w:r w:rsidRPr="007457CC">
              <w:rPr>
                <w:rFonts w:ascii="Arial Narrow" w:hAnsi="Arial Narrow" w:cs="Arial"/>
                <w:sz w:val="20"/>
                <w:szCs w:val="20"/>
              </w:rPr>
              <w:t>Patient must have previously received PBS-subsidised treatment under this criteria with this agent for this condition</w:t>
            </w:r>
            <w:r w:rsidR="00FC1614">
              <w:rPr>
                <w:rFonts w:ascii="Arial Narrow" w:hAnsi="Arial Narrow" w:cs="Arial"/>
                <w:sz w:val="20"/>
                <w:szCs w:val="20"/>
              </w:rPr>
              <w:t xml:space="preserve">; </w:t>
            </w:r>
          </w:p>
          <w:p w:rsidR="00FC1614" w:rsidRDefault="00FC1614" w:rsidP="005B655D">
            <w:pPr>
              <w:widowControl w:val="0"/>
              <w:jc w:val="both"/>
              <w:rPr>
                <w:rFonts w:ascii="Arial Narrow" w:hAnsi="Arial Narrow" w:cs="Arial"/>
                <w:sz w:val="20"/>
                <w:szCs w:val="20"/>
              </w:rPr>
            </w:pPr>
          </w:p>
          <w:p w:rsidR="00FC1614" w:rsidRDefault="00FC1614" w:rsidP="005B655D">
            <w:pPr>
              <w:widowControl w:val="0"/>
              <w:jc w:val="both"/>
              <w:rPr>
                <w:rFonts w:ascii="Arial Narrow" w:hAnsi="Arial Narrow" w:cs="Arial"/>
                <w:sz w:val="20"/>
                <w:szCs w:val="20"/>
              </w:rPr>
            </w:pPr>
            <w:r>
              <w:rPr>
                <w:rFonts w:ascii="Arial Narrow" w:hAnsi="Arial Narrow" w:cs="Arial"/>
                <w:sz w:val="20"/>
                <w:szCs w:val="20"/>
              </w:rPr>
              <w:t>AND</w:t>
            </w:r>
          </w:p>
          <w:p w:rsidR="00FC1614" w:rsidRDefault="00FC1614" w:rsidP="005B655D">
            <w:pPr>
              <w:widowControl w:val="0"/>
              <w:jc w:val="both"/>
              <w:rPr>
                <w:rFonts w:ascii="Arial Narrow" w:hAnsi="Arial Narrow" w:cs="Arial"/>
                <w:sz w:val="20"/>
                <w:szCs w:val="20"/>
              </w:rPr>
            </w:pPr>
          </w:p>
          <w:p w:rsidR="00FC1614" w:rsidRPr="00260CE3" w:rsidRDefault="007457CC" w:rsidP="005B655D">
            <w:pPr>
              <w:widowControl w:val="0"/>
              <w:jc w:val="both"/>
              <w:rPr>
                <w:rFonts w:ascii="Arial Narrow" w:hAnsi="Arial Narrow" w:cs="Arial"/>
                <w:sz w:val="20"/>
                <w:szCs w:val="20"/>
              </w:rPr>
            </w:pPr>
            <w:r w:rsidRPr="007457CC">
              <w:rPr>
                <w:rFonts w:ascii="Arial Narrow" w:hAnsi="Arial Narrow" w:cs="Arial"/>
                <w:sz w:val="20"/>
                <w:szCs w:val="20"/>
              </w:rPr>
              <w:t>The treatment must be the sole PBS-subsidised PAH agent for this condition</w:t>
            </w:r>
            <w:r>
              <w:rPr>
                <w:rFonts w:ascii="Arial Narrow" w:hAnsi="Arial Narrow" w:cs="Arial"/>
                <w:sz w:val="20"/>
                <w:szCs w:val="20"/>
              </w:rPr>
              <w:t>.</w:t>
            </w:r>
          </w:p>
        </w:tc>
      </w:tr>
      <w:tr w:rsidR="00FC1614" w:rsidRPr="00260CE3" w:rsidTr="001B49CB">
        <w:trPr>
          <w:trHeight w:val="70"/>
        </w:trPr>
        <w:tc>
          <w:tcPr>
            <w:tcW w:w="1981" w:type="dxa"/>
            <w:tcBorders>
              <w:top w:val="single" w:sz="4" w:space="0" w:color="auto"/>
              <w:left w:val="single" w:sz="4" w:space="0" w:color="auto"/>
              <w:bottom w:val="single" w:sz="4" w:space="0" w:color="auto"/>
              <w:right w:val="single" w:sz="4" w:space="0" w:color="auto"/>
            </w:tcBorders>
          </w:tcPr>
          <w:p w:rsidR="00FC1614" w:rsidRPr="00260CE3" w:rsidRDefault="00FC1614" w:rsidP="005B655D">
            <w:pPr>
              <w:widowControl w:val="0"/>
              <w:jc w:val="both"/>
              <w:rPr>
                <w:rFonts w:ascii="Arial Narrow" w:hAnsi="Arial Narrow" w:cs="Arial"/>
                <w:b/>
                <w:sz w:val="20"/>
                <w:szCs w:val="20"/>
              </w:rPr>
            </w:pPr>
            <w:r>
              <w:rPr>
                <w:rFonts w:ascii="Arial Narrow" w:hAnsi="Arial Narrow" w:cs="Arial"/>
                <w:b/>
                <w:sz w:val="20"/>
                <w:szCs w:val="20"/>
              </w:rPr>
              <w:t>Prescribing Instructions</w:t>
            </w:r>
          </w:p>
          <w:p w:rsidR="00FC1614" w:rsidRPr="00260CE3" w:rsidRDefault="00FC1614" w:rsidP="005B655D">
            <w:pPr>
              <w:widowControl w:val="0"/>
              <w:jc w:val="both"/>
              <w:rPr>
                <w:rFonts w:ascii="Arial Narrow" w:hAnsi="Arial Narrow" w:cs="Arial"/>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FC1614" w:rsidRDefault="007457CC" w:rsidP="005B655D">
            <w:pPr>
              <w:widowControl w:val="0"/>
              <w:rPr>
                <w:rFonts w:ascii="Arial Narrow" w:hAnsi="Arial Narrow" w:cs="Arial"/>
                <w:sz w:val="20"/>
                <w:szCs w:val="20"/>
              </w:rPr>
            </w:pPr>
            <w:r w:rsidRPr="007457CC">
              <w:rPr>
                <w:rFonts w:ascii="Arial Narrow" w:hAnsi="Arial Narrow" w:cs="Arial"/>
                <w:sz w:val="20"/>
                <w:szCs w:val="20"/>
              </w:rPr>
              <w:t>Patients who have previously received PBS-subsidised treatment with this drug for this condition under the Continuing treatment (all patients) prior to 1 May 2016 are eligible to continue PBS subsidised treatment with this drug under this criteria.</w:t>
            </w:r>
          </w:p>
          <w:p w:rsidR="007457CC" w:rsidRDefault="007457CC" w:rsidP="005B655D">
            <w:pPr>
              <w:widowControl w:val="0"/>
              <w:rPr>
                <w:rFonts w:ascii="Arial Narrow" w:hAnsi="Arial Narrow" w:cs="Arial"/>
                <w:sz w:val="20"/>
                <w:szCs w:val="20"/>
              </w:rPr>
            </w:pPr>
          </w:p>
          <w:p w:rsidR="007457CC" w:rsidRDefault="007457CC" w:rsidP="005B655D">
            <w:pPr>
              <w:widowControl w:val="0"/>
              <w:rPr>
                <w:rFonts w:ascii="Arial Narrow" w:hAnsi="Arial Narrow" w:cs="Arial"/>
                <w:sz w:val="20"/>
                <w:szCs w:val="20"/>
              </w:rPr>
            </w:pPr>
            <w:r w:rsidRPr="007457CC">
              <w:rPr>
                <w:rFonts w:ascii="Arial Narrow" w:hAnsi="Arial Narrow" w:cs="Arial"/>
                <w:sz w:val="20"/>
                <w:szCs w:val="20"/>
              </w:rPr>
              <w:t>The maximum quantity authorised will be limited to provide sufficient supply for 1 month of treatment, based on the dosage recommendations in the Therapeutic Goods Administration (TGA) approved Product Information.</w:t>
            </w:r>
          </w:p>
          <w:p w:rsidR="007457CC" w:rsidRDefault="007457CC" w:rsidP="005B655D">
            <w:pPr>
              <w:widowControl w:val="0"/>
              <w:rPr>
                <w:rFonts w:ascii="Arial Narrow" w:hAnsi="Arial Narrow" w:cs="Arial"/>
                <w:sz w:val="20"/>
                <w:szCs w:val="20"/>
              </w:rPr>
            </w:pPr>
          </w:p>
          <w:p w:rsidR="007457CC" w:rsidRDefault="007457CC" w:rsidP="005B655D">
            <w:pPr>
              <w:widowControl w:val="0"/>
              <w:rPr>
                <w:rFonts w:ascii="Arial Narrow" w:hAnsi="Arial Narrow" w:cs="Arial"/>
                <w:sz w:val="20"/>
                <w:szCs w:val="20"/>
              </w:rPr>
            </w:pPr>
            <w:r w:rsidRPr="007457CC">
              <w:rPr>
                <w:rFonts w:ascii="Arial Narrow" w:hAnsi="Arial Narrow" w:cs="Arial"/>
                <w:sz w:val="20"/>
                <w:szCs w:val="20"/>
              </w:rPr>
              <w:t>A maximum of 5 repeats will be authorised.</w:t>
            </w:r>
          </w:p>
          <w:p w:rsidR="007457CC" w:rsidRDefault="007457CC" w:rsidP="005B655D">
            <w:pPr>
              <w:widowControl w:val="0"/>
              <w:rPr>
                <w:rFonts w:ascii="Arial Narrow" w:hAnsi="Arial Narrow" w:cs="Arial"/>
                <w:sz w:val="20"/>
                <w:szCs w:val="20"/>
              </w:rPr>
            </w:pPr>
          </w:p>
          <w:p w:rsidR="007457CC" w:rsidRDefault="007457CC" w:rsidP="005B655D">
            <w:pPr>
              <w:widowControl w:val="0"/>
              <w:rPr>
                <w:rFonts w:ascii="Arial Narrow" w:hAnsi="Arial Narrow" w:cs="Arial"/>
                <w:sz w:val="20"/>
                <w:szCs w:val="20"/>
              </w:rPr>
            </w:pPr>
            <w:r w:rsidRPr="007457CC">
              <w:rPr>
                <w:rFonts w:ascii="Arial Narrow" w:hAnsi="Arial Narrow" w:cs="Arial"/>
                <w:sz w:val="20"/>
                <w:szCs w:val="20"/>
              </w:rPr>
              <w:t xml:space="preserve">An application for Subsequent Continuing treatment with a PAH agents should be made prior to the completion of the First Continuing treatment course to ensure </w:t>
            </w:r>
            <w:r w:rsidRPr="007457CC">
              <w:rPr>
                <w:rFonts w:ascii="Arial Narrow" w:hAnsi="Arial Narrow" w:cs="Arial"/>
                <w:sz w:val="20"/>
                <w:szCs w:val="20"/>
              </w:rPr>
              <w:lastRenderedPageBreak/>
              <w:t>continuity of treatment.</w:t>
            </w:r>
          </w:p>
          <w:p w:rsidR="007457CC" w:rsidRDefault="007457CC" w:rsidP="005B655D">
            <w:pPr>
              <w:widowControl w:val="0"/>
              <w:rPr>
                <w:rFonts w:ascii="Arial Narrow" w:hAnsi="Arial Narrow" w:cs="Arial"/>
                <w:sz w:val="20"/>
                <w:szCs w:val="20"/>
              </w:rPr>
            </w:pPr>
          </w:p>
          <w:p w:rsidR="007457CC" w:rsidRDefault="007457CC" w:rsidP="005B655D">
            <w:pPr>
              <w:widowControl w:val="0"/>
              <w:rPr>
                <w:rFonts w:ascii="Arial Narrow" w:hAnsi="Arial Narrow" w:cs="Arial"/>
                <w:sz w:val="20"/>
                <w:szCs w:val="20"/>
              </w:rPr>
            </w:pPr>
            <w:r w:rsidRPr="007457CC">
              <w:rPr>
                <w:rFonts w:ascii="Arial Narrow" w:hAnsi="Arial Narrow" w:cs="Arial"/>
                <w:sz w:val="20"/>
                <w:szCs w:val="20"/>
              </w:rPr>
              <w:t>PAH agents are not PBS-subsidised for patients with pulmonary hypertension secondary to interstitial lung disease associated with connective tissue disease, where the total lung capacity is less than 70% of predicted.</w:t>
            </w:r>
          </w:p>
          <w:p w:rsidR="007457CC" w:rsidRDefault="007457CC" w:rsidP="005B655D">
            <w:pPr>
              <w:widowControl w:val="0"/>
              <w:rPr>
                <w:rFonts w:ascii="Arial Narrow" w:hAnsi="Arial Narrow" w:cs="Arial"/>
                <w:sz w:val="20"/>
                <w:szCs w:val="20"/>
              </w:rPr>
            </w:pPr>
          </w:p>
          <w:p w:rsidR="007457CC" w:rsidRDefault="007457CC" w:rsidP="005B655D">
            <w:pPr>
              <w:widowControl w:val="0"/>
              <w:rPr>
                <w:rFonts w:ascii="Arial Narrow" w:hAnsi="Arial Narrow" w:cs="Arial"/>
                <w:sz w:val="20"/>
                <w:szCs w:val="20"/>
              </w:rPr>
            </w:pPr>
            <w:r w:rsidRPr="007457CC">
              <w:rPr>
                <w:rFonts w:ascii="Arial Narrow" w:hAnsi="Arial Narrow" w:cs="Arial"/>
                <w:sz w:val="20"/>
                <w:szCs w:val="20"/>
              </w:rPr>
              <w:t>The term 'PAH agents' refers to bosentan monohydrate, iloprost trometamol, epoprostenol sodium, sildenafil citrate, ambrisentan, tadalafil, and macitentan.</w:t>
            </w:r>
          </w:p>
          <w:p w:rsidR="007457CC" w:rsidRDefault="007457CC" w:rsidP="005B655D">
            <w:pPr>
              <w:widowControl w:val="0"/>
              <w:rPr>
                <w:rFonts w:ascii="Arial Narrow" w:hAnsi="Arial Narrow" w:cs="Arial"/>
                <w:sz w:val="20"/>
                <w:szCs w:val="20"/>
              </w:rPr>
            </w:pPr>
          </w:p>
          <w:p w:rsidR="007457CC" w:rsidRDefault="007457CC" w:rsidP="005B655D">
            <w:pPr>
              <w:widowControl w:val="0"/>
              <w:rPr>
                <w:rFonts w:ascii="Arial Narrow" w:hAnsi="Arial Narrow" w:cs="Arial"/>
                <w:sz w:val="20"/>
                <w:szCs w:val="20"/>
              </w:rPr>
            </w:pPr>
          </w:p>
          <w:p w:rsidR="007457CC" w:rsidRPr="00260CE3" w:rsidRDefault="007457CC" w:rsidP="005B655D">
            <w:pPr>
              <w:widowControl w:val="0"/>
              <w:rPr>
                <w:rFonts w:ascii="Arial Narrow" w:hAnsi="Arial Narrow" w:cs="Arial"/>
                <w:sz w:val="20"/>
                <w:szCs w:val="20"/>
              </w:rPr>
            </w:pPr>
          </w:p>
        </w:tc>
      </w:tr>
      <w:tr w:rsidR="00FC1614" w:rsidRPr="00260CE3" w:rsidTr="001B49CB">
        <w:trPr>
          <w:trHeight w:val="75"/>
        </w:trPr>
        <w:tc>
          <w:tcPr>
            <w:tcW w:w="1981" w:type="dxa"/>
            <w:tcBorders>
              <w:top w:val="single" w:sz="4" w:space="0" w:color="auto"/>
              <w:left w:val="single" w:sz="4" w:space="0" w:color="auto"/>
              <w:bottom w:val="single" w:sz="4" w:space="0" w:color="auto"/>
              <w:right w:val="single" w:sz="4" w:space="0" w:color="auto"/>
            </w:tcBorders>
          </w:tcPr>
          <w:p w:rsidR="00FC1614" w:rsidRPr="00260CE3" w:rsidRDefault="00FC1614" w:rsidP="005B655D">
            <w:pPr>
              <w:widowControl w:val="0"/>
              <w:jc w:val="both"/>
              <w:rPr>
                <w:rFonts w:ascii="Arial Narrow" w:hAnsi="Arial Narrow" w:cs="Arial"/>
                <w:b/>
                <w:sz w:val="20"/>
                <w:szCs w:val="20"/>
              </w:rPr>
            </w:pPr>
            <w:r>
              <w:rPr>
                <w:rFonts w:ascii="Arial Narrow" w:hAnsi="Arial Narrow" w:cs="Arial"/>
                <w:b/>
                <w:sz w:val="20"/>
                <w:szCs w:val="20"/>
              </w:rPr>
              <w:lastRenderedPageBreak/>
              <w:t>Administrative Advice</w:t>
            </w:r>
          </w:p>
          <w:p w:rsidR="00FC1614" w:rsidRPr="00260CE3" w:rsidRDefault="00FC1614" w:rsidP="005B655D">
            <w:pPr>
              <w:widowControl w:val="0"/>
              <w:jc w:val="both"/>
              <w:rPr>
                <w:rFonts w:ascii="Arial Narrow" w:hAnsi="Arial Narrow" w:cs="Arial"/>
                <w:i/>
                <w:sz w:val="20"/>
                <w:szCs w:val="20"/>
              </w:rPr>
            </w:pPr>
          </w:p>
        </w:tc>
        <w:tc>
          <w:tcPr>
            <w:tcW w:w="6367" w:type="dxa"/>
            <w:gridSpan w:val="5"/>
            <w:tcBorders>
              <w:top w:val="single" w:sz="4" w:space="0" w:color="auto"/>
              <w:left w:val="single" w:sz="4" w:space="0" w:color="auto"/>
              <w:bottom w:val="single" w:sz="4" w:space="0" w:color="auto"/>
              <w:right w:val="single" w:sz="4" w:space="0" w:color="auto"/>
            </w:tcBorders>
          </w:tcPr>
          <w:p w:rsidR="007457CC" w:rsidRPr="007457CC" w:rsidRDefault="007457CC" w:rsidP="005B655D">
            <w:pPr>
              <w:widowControl w:val="0"/>
              <w:rPr>
                <w:rFonts w:ascii="Arial Narrow" w:hAnsi="Arial Narrow" w:cs="Arial"/>
                <w:sz w:val="20"/>
                <w:szCs w:val="20"/>
              </w:rPr>
            </w:pPr>
            <w:r w:rsidRPr="007457CC">
              <w:rPr>
                <w:rFonts w:ascii="Arial Narrow" w:hAnsi="Arial Narrow" w:cs="Arial"/>
                <w:sz w:val="20"/>
                <w:szCs w:val="20"/>
              </w:rPr>
              <w:t>Applications for authorisation under this criterion may be made by telephone by contacting the Department of Human Services on 1800 700 270 (hours of operation 8 a.m. to 5 p.m. EST Monday to Friday).</w:t>
            </w:r>
          </w:p>
          <w:p w:rsidR="007457CC" w:rsidRPr="007457CC" w:rsidRDefault="007457CC" w:rsidP="005B655D">
            <w:pPr>
              <w:widowControl w:val="0"/>
              <w:rPr>
                <w:rFonts w:ascii="Arial Narrow" w:hAnsi="Arial Narrow" w:cs="Arial"/>
                <w:sz w:val="20"/>
                <w:szCs w:val="20"/>
              </w:rPr>
            </w:pPr>
            <w:r w:rsidRPr="007457CC">
              <w:rPr>
                <w:rFonts w:ascii="Arial Narrow" w:hAnsi="Arial Narrow" w:cs="Arial"/>
                <w:sz w:val="20"/>
                <w:szCs w:val="20"/>
              </w:rPr>
              <w:t>Written applications for authorisation under this criterion should be forwarded to:</w:t>
            </w:r>
          </w:p>
          <w:p w:rsidR="007457CC" w:rsidRPr="007457CC" w:rsidRDefault="007457CC" w:rsidP="005B655D">
            <w:pPr>
              <w:widowControl w:val="0"/>
              <w:rPr>
                <w:rFonts w:ascii="Arial Narrow" w:hAnsi="Arial Narrow" w:cs="Arial"/>
                <w:sz w:val="20"/>
                <w:szCs w:val="20"/>
              </w:rPr>
            </w:pPr>
            <w:r w:rsidRPr="007457CC">
              <w:rPr>
                <w:rFonts w:ascii="Arial Narrow" w:hAnsi="Arial Narrow" w:cs="Arial"/>
                <w:sz w:val="20"/>
                <w:szCs w:val="20"/>
              </w:rPr>
              <w:t>Department of Human Services</w:t>
            </w:r>
          </w:p>
          <w:p w:rsidR="007457CC" w:rsidRPr="007457CC" w:rsidRDefault="007457CC" w:rsidP="005B655D">
            <w:pPr>
              <w:widowControl w:val="0"/>
              <w:rPr>
                <w:rFonts w:ascii="Arial Narrow" w:hAnsi="Arial Narrow" w:cs="Arial"/>
                <w:sz w:val="20"/>
                <w:szCs w:val="20"/>
              </w:rPr>
            </w:pPr>
            <w:r w:rsidRPr="007457CC">
              <w:rPr>
                <w:rFonts w:ascii="Arial Narrow" w:hAnsi="Arial Narrow" w:cs="Arial"/>
                <w:sz w:val="20"/>
                <w:szCs w:val="20"/>
              </w:rPr>
              <w:t>Complex Drugs</w:t>
            </w:r>
          </w:p>
          <w:p w:rsidR="007457CC" w:rsidRPr="007457CC" w:rsidRDefault="007457CC" w:rsidP="005B655D">
            <w:pPr>
              <w:widowControl w:val="0"/>
              <w:rPr>
                <w:rFonts w:ascii="Arial Narrow" w:hAnsi="Arial Narrow" w:cs="Arial"/>
                <w:sz w:val="20"/>
                <w:szCs w:val="20"/>
              </w:rPr>
            </w:pPr>
            <w:r w:rsidRPr="007457CC">
              <w:rPr>
                <w:rFonts w:ascii="Arial Narrow" w:hAnsi="Arial Narrow" w:cs="Arial"/>
                <w:sz w:val="20"/>
                <w:szCs w:val="20"/>
              </w:rPr>
              <w:t>Reply Paid 9826</w:t>
            </w:r>
          </w:p>
          <w:p w:rsidR="007457CC" w:rsidRPr="007457CC" w:rsidRDefault="007457CC" w:rsidP="005B655D">
            <w:pPr>
              <w:widowControl w:val="0"/>
              <w:rPr>
                <w:rFonts w:ascii="Arial Narrow" w:hAnsi="Arial Narrow" w:cs="Arial"/>
                <w:sz w:val="20"/>
                <w:szCs w:val="20"/>
              </w:rPr>
            </w:pPr>
            <w:r w:rsidRPr="007457CC">
              <w:rPr>
                <w:rFonts w:ascii="Arial Narrow" w:hAnsi="Arial Narrow" w:cs="Arial"/>
                <w:sz w:val="20"/>
                <w:szCs w:val="20"/>
              </w:rPr>
              <w:t>HOBART TAS 7001</w:t>
            </w:r>
          </w:p>
          <w:p w:rsidR="007457CC" w:rsidRPr="007457CC" w:rsidRDefault="007457CC" w:rsidP="005B655D">
            <w:pPr>
              <w:widowControl w:val="0"/>
              <w:rPr>
                <w:rFonts w:ascii="Arial Narrow" w:hAnsi="Arial Narrow" w:cs="Arial"/>
                <w:sz w:val="20"/>
                <w:szCs w:val="20"/>
              </w:rPr>
            </w:pPr>
          </w:p>
          <w:p w:rsidR="00FC1614" w:rsidRPr="00260CE3" w:rsidRDefault="007457CC" w:rsidP="005B655D">
            <w:pPr>
              <w:widowControl w:val="0"/>
              <w:rPr>
                <w:rFonts w:ascii="Arial Narrow" w:hAnsi="Arial Narrow" w:cs="Arial"/>
                <w:sz w:val="20"/>
                <w:szCs w:val="20"/>
              </w:rPr>
            </w:pPr>
            <w:r w:rsidRPr="007457CC">
              <w:rPr>
                <w:rFonts w:ascii="Arial Narrow" w:hAnsi="Arial Narrow" w:cs="Arial"/>
                <w:sz w:val="20"/>
                <w:szCs w:val="20"/>
              </w:rPr>
              <w:t>Refer to the Department of Human Services website at www.humanservices.gov.au for a list of designated hospitals.</w:t>
            </w:r>
          </w:p>
        </w:tc>
      </w:tr>
    </w:tbl>
    <w:p w:rsidR="00C07955" w:rsidRDefault="00C07955" w:rsidP="005A1F2D">
      <w:pPr>
        <w:ind w:left="360"/>
        <w:contextualSpacing/>
        <w:rPr>
          <w:rFonts w:ascii="Calibri" w:hAnsi="Calibri" w:cs="Calibri"/>
        </w:rPr>
      </w:pPr>
    </w:p>
    <w:tbl>
      <w:tblPr>
        <w:tblW w:w="0" w:type="auto"/>
        <w:tblInd w:w="817" w:type="dxa"/>
        <w:tblLayout w:type="fixed"/>
        <w:tblLook w:val="0000" w:firstRow="0" w:lastRow="0" w:firstColumn="0" w:lastColumn="0" w:noHBand="0" w:noVBand="0"/>
      </w:tblPr>
      <w:tblGrid>
        <w:gridCol w:w="3119"/>
        <w:gridCol w:w="850"/>
        <w:gridCol w:w="567"/>
        <w:gridCol w:w="1418"/>
        <w:gridCol w:w="2471"/>
      </w:tblGrid>
      <w:tr w:rsidR="00FF590D" w:rsidRPr="0039782C" w:rsidTr="001B49CB">
        <w:trPr>
          <w:cantSplit/>
          <w:trHeight w:val="471"/>
        </w:trPr>
        <w:tc>
          <w:tcPr>
            <w:tcW w:w="3119" w:type="dxa"/>
            <w:tcBorders>
              <w:bottom w:val="single" w:sz="4" w:space="0" w:color="auto"/>
            </w:tcBorders>
          </w:tcPr>
          <w:p w:rsidR="00FF590D" w:rsidRPr="0039782C" w:rsidRDefault="00FF590D" w:rsidP="001B49CB">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FF590D" w:rsidRPr="0039782C" w:rsidRDefault="00FF590D" w:rsidP="001B49CB">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FF590D" w:rsidRPr="0039782C" w:rsidRDefault="00FF590D" w:rsidP="001B49CB">
            <w:pPr>
              <w:keepNext/>
              <w:ind w:left="-108"/>
              <w:jc w:val="both"/>
              <w:rPr>
                <w:rFonts w:ascii="Arial Narrow" w:hAnsi="Arial Narrow" w:cs="Arial"/>
                <w:b/>
                <w:sz w:val="20"/>
                <w:szCs w:val="20"/>
              </w:rPr>
            </w:pPr>
            <w:r w:rsidRPr="0039782C">
              <w:rPr>
                <w:rFonts w:ascii="Arial Narrow" w:hAnsi="Arial Narrow" w:cs="Arial"/>
                <w:b/>
                <w:sz w:val="20"/>
                <w:szCs w:val="20"/>
              </w:rPr>
              <w:t>Max.</w:t>
            </w:r>
          </w:p>
          <w:p w:rsidR="00FF590D" w:rsidRPr="0039782C" w:rsidRDefault="00FF590D" w:rsidP="001B49CB">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567" w:type="dxa"/>
            <w:tcBorders>
              <w:bottom w:val="single" w:sz="4" w:space="0" w:color="auto"/>
            </w:tcBorders>
          </w:tcPr>
          <w:p w:rsidR="00FF590D" w:rsidRPr="0039782C" w:rsidRDefault="00FF590D" w:rsidP="001B49CB">
            <w:pPr>
              <w:keepNext/>
              <w:ind w:left="-108"/>
              <w:jc w:val="both"/>
              <w:rPr>
                <w:rFonts w:ascii="Arial Narrow" w:hAnsi="Arial Narrow" w:cs="Arial"/>
                <w:b/>
                <w:sz w:val="20"/>
                <w:szCs w:val="20"/>
              </w:rPr>
            </w:pPr>
            <w:r w:rsidRPr="0039782C">
              <w:rPr>
                <w:rFonts w:ascii="Arial Narrow" w:hAnsi="Arial Narrow" w:cs="Arial"/>
                <w:b/>
                <w:sz w:val="20"/>
                <w:szCs w:val="20"/>
              </w:rPr>
              <w:t>№.of</w:t>
            </w:r>
          </w:p>
          <w:p w:rsidR="00FF590D" w:rsidRPr="0039782C" w:rsidRDefault="00FF590D" w:rsidP="001B49CB">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3889" w:type="dxa"/>
            <w:gridSpan w:val="2"/>
            <w:tcBorders>
              <w:bottom w:val="single" w:sz="4" w:space="0" w:color="auto"/>
            </w:tcBorders>
          </w:tcPr>
          <w:p w:rsidR="00FF590D" w:rsidRPr="0039782C" w:rsidRDefault="00FF590D" w:rsidP="001B49CB">
            <w:pPr>
              <w:keepNext/>
              <w:jc w:val="both"/>
              <w:rPr>
                <w:rFonts w:ascii="Arial Narrow" w:hAnsi="Arial Narrow" w:cs="Arial"/>
                <w:b/>
                <w:sz w:val="20"/>
                <w:szCs w:val="20"/>
                <w:lang w:val="fr-FR"/>
              </w:rPr>
            </w:pPr>
            <w:r>
              <w:rPr>
                <w:rFonts w:ascii="Arial Narrow" w:hAnsi="Arial Narrow" w:cs="Arial"/>
                <w:b/>
                <w:sz w:val="20"/>
                <w:szCs w:val="20"/>
              </w:rPr>
              <w:t xml:space="preserve">  </w:t>
            </w:r>
            <w:r w:rsidRPr="0039782C">
              <w:rPr>
                <w:rFonts w:ascii="Arial Narrow" w:hAnsi="Arial Narrow" w:cs="Arial"/>
                <w:b/>
                <w:sz w:val="20"/>
                <w:szCs w:val="20"/>
              </w:rPr>
              <w:t>Proprietary Name and Manufacturer</w:t>
            </w:r>
          </w:p>
        </w:tc>
      </w:tr>
      <w:tr w:rsidR="00FF590D" w:rsidRPr="00260CE3" w:rsidTr="001B49CB">
        <w:trPr>
          <w:cantSplit/>
          <w:trHeight w:val="577"/>
        </w:trPr>
        <w:tc>
          <w:tcPr>
            <w:tcW w:w="3119" w:type="dxa"/>
          </w:tcPr>
          <w:p w:rsidR="00FF590D" w:rsidRPr="00260CE3" w:rsidRDefault="00FF590D" w:rsidP="001B49CB">
            <w:pPr>
              <w:keepNext/>
              <w:ind w:left="-108"/>
              <w:jc w:val="both"/>
              <w:rPr>
                <w:rFonts w:ascii="Arial Narrow" w:hAnsi="Arial Narrow" w:cs="Arial"/>
                <w:sz w:val="20"/>
                <w:szCs w:val="20"/>
              </w:rPr>
            </w:pPr>
            <w:r>
              <w:rPr>
                <w:rFonts w:ascii="Arial Narrow" w:hAnsi="Arial Narrow" w:cs="Arial"/>
                <w:smallCaps/>
                <w:sz w:val="20"/>
                <w:szCs w:val="20"/>
              </w:rPr>
              <w:t>EPOPROSTENOL</w:t>
            </w:r>
          </w:p>
          <w:p w:rsidR="00FF590D" w:rsidRPr="00260CE3" w:rsidRDefault="00FF590D" w:rsidP="001B49CB">
            <w:pPr>
              <w:keepNext/>
              <w:ind w:left="-108"/>
              <w:jc w:val="both"/>
              <w:rPr>
                <w:rFonts w:ascii="Arial Narrow" w:hAnsi="Arial Narrow" w:cs="Arial"/>
                <w:sz w:val="20"/>
                <w:szCs w:val="20"/>
              </w:rPr>
            </w:pPr>
            <w:r w:rsidRPr="00E62763">
              <w:rPr>
                <w:rFonts w:ascii="Arial Narrow" w:hAnsi="Arial Narrow" w:cs="Arial"/>
                <w:sz w:val="20"/>
                <w:szCs w:val="20"/>
              </w:rPr>
              <w:t>epoprostenol 1.5 mg injection [1 vial] (&amp;) inert substance diluent [2 x 50 mL vials], 1 pack</w:t>
            </w:r>
          </w:p>
        </w:tc>
        <w:tc>
          <w:tcPr>
            <w:tcW w:w="850" w:type="dxa"/>
          </w:tcPr>
          <w:p w:rsidR="00FF590D" w:rsidRPr="00260CE3" w:rsidRDefault="00FF590D" w:rsidP="001B49CB">
            <w:pPr>
              <w:keepNext/>
              <w:ind w:left="-108"/>
              <w:jc w:val="both"/>
              <w:rPr>
                <w:rFonts w:ascii="Arial Narrow" w:hAnsi="Arial Narrow" w:cs="Arial"/>
                <w:sz w:val="20"/>
                <w:szCs w:val="20"/>
              </w:rPr>
            </w:pPr>
          </w:p>
          <w:p w:rsidR="00FF590D" w:rsidRPr="00260CE3" w:rsidRDefault="00FF590D" w:rsidP="001B49CB">
            <w:pPr>
              <w:keepNext/>
              <w:ind w:left="-108"/>
              <w:jc w:val="both"/>
              <w:rPr>
                <w:rFonts w:ascii="Arial Narrow" w:hAnsi="Arial Narrow" w:cs="Arial"/>
                <w:sz w:val="20"/>
                <w:szCs w:val="20"/>
              </w:rPr>
            </w:pPr>
            <w:r>
              <w:rPr>
                <w:rFonts w:ascii="Arial Narrow" w:hAnsi="Arial Narrow" w:cs="Arial"/>
                <w:sz w:val="20"/>
                <w:szCs w:val="20"/>
              </w:rPr>
              <w:t xml:space="preserve"> 1</w:t>
            </w:r>
          </w:p>
        </w:tc>
        <w:tc>
          <w:tcPr>
            <w:tcW w:w="567" w:type="dxa"/>
          </w:tcPr>
          <w:p w:rsidR="00FF590D" w:rsidRPr="00260CE3" w:rsidRDefault="00FF590D" w:rsidP="001B49CB">
            <w:pPr>
              <w:keepNext/>
              <w:ind w:left="-108"/>
              <w:jc w:val="both"/>
              <w:rPr>
                <w:rFonts w:ascii="Arial Narrow" w:hAnsi="Arial Narrow" w:cs="Arial"/>
                <w:sz w:val="20"/>
                <w:szCs w:val="20"/>
              </w:rPr>
            </w:pPr>
          </w:p>
          <w:p w:rsidR="00FF590D" w:rsidRPr="00260CE3" w:rsidRDefault="00FF590D" w:rsidP="001B49CB">
            <w:pPr>
              <w:keepNext/>
              <w:ind w:left="-108"/>
              <w:jc w:val="both"/>
              <w:rPr>
                <w:rFonts w:ascii="Arial Narrow" w:hAnsi="Arial Narrow" w:cs="Arial"/>
                <w:sz w:val="20"/>
                <w:szCs w:val="20"/>
              </w:rPr>
            </w:pPr>
            <w:r>
              <w:rPr>
                <w:rFonts w:ascii="Arial Narrow" w:hAnsi="Arial Narrow" w:cs="Arial"/>
                <w:sz w:val="20"/>
                <w:szCs w:val="20"/>
              </w:rPr>
              <w:t>1</w:t>
            </w:r>
          </w:p>
        </w:tc>
        <w:tc>
          <w:tcPr>
            <w:tcW w:w="1418" w:type="dxa"/>
          </w:tcPr>
          <w:p w:rsidR="00FF590D" w:rsidRDefault="00FF590D" w:rsidP="001B49CB">
            <w:pPr>
              <w:keepNext/>
              <w:jc w:val="both"/>
              <w:rPr>
                <w:rFonts w:ascii="Arial Narrow" w:hAnsi="Arial Narrow" w:cs="Arial"/>
                <w:sz w:val="20"/>
                <w:szCs w:val="20"/>
              </w:rPr>
            </w:pPr>
          </w:p>
          <w:p w:rsidR="00FF590D" w:rsidRPr="00260CE3" w:rsidRDefault="00FF590D" w:rsidP="001B49CB">
            <w:pPr>
              <w:keepNext/>
              <w:jc w:val="both"/>
              <w:rPr>
                <w:rFonts w:ascii="Arial Narrow" w:hAnsi="Arial Narrow" w:cs="Arial"/>
                <w:sz w:val="20"/>
                <w:szCs w:val="20"/>
              </w:rPr>
            </w:pPr>
            <w:r>
              <w:rPr>
                <w:rFonts w:ascii="Arial Narrow" w:hAnsi="Arial Narrow" w:cs="Arial"/>
                <w:sz w:val="20"/>
                <w:szCs w:val="20"/>
              </w:rPr>
              <w:t xml:space="preserve"> </w:t>
            </w:r>
            <w:r w:rsidRPr="00E62763">
              <w:rPr>
                <w:rFonts w:ascii="Arial Narrow" w:hAnsi="Arial Narrow" w:cs="Arial"/>
                <w:sz w:val="20"/>
                <w:szCs w:val="20"/>
              </w:rPr>
              <w:t>Flolan®</w:t>
            </w:r>
          </w:p>
        </w:tc>
        <w:tc>
          <w:tcPr>
            <w:tcW w:w="2471" w:type="dxa"/>
          </w:tcPr>
          <w:p w:rsidR="00FF590D" w:rsidRDefault="00FF590D" w:rsidP="001B49CB">
            <w:pPr>
              <w:keepNext/>
              <w:jc w:val="both"/>
              <w:rPr>
                <w:rFonts w:ascii="Arial Narrow" w:hAnsi="Arial Narrow" w:cs="Arial"/>
                <w:sz w:val="20"/>
                <w:szCs w:val="20"/>
              </w:rPr>
            </w:pPr>
          </w:p>
          <w:p w:rsidR="00FF590D" w:rsidRPr="00260CE3" w:rsidRDefault="00FF590D" w:rsidP="001B49CB">
            <w:pPr>
              <w:keepNext/>
              <w:rPr>
                <w:rFonts w:ascii="Arial Narrow" w:hAnsi="Arial Narrow" w:cs="Arial"/>
                <w:sz w:val="20"/>
                <w:szCs w:val="20"/>
              </w:rPr>
            </w:pPr>
            <w:r>
              <w:rPr>
                <w:rFonts w:ascii="Arial Narrow" w:hAnsi="Arial Narrow" w:cs="Arial"/>
                <w:sz w:val="20"/>
                <w:szCs w:val="20"/>
              </w:rPr>
              <w:t>GlaxoSmithKline Australia Pty Ltd</w:t>
            </w:r>
          </w:p>
        </w:tc>
      </w:tr>
    </w:tbl>
    <w:p w:rsidR="00C07955" w:rsidRDefault="00C07955" w:rsidP="005A1F2D">
      <w:pPr>
        <w:ind w:left="360"/>
        <w:contextualSpacing/>
        <w:rPr>
          <w:rFonts w:ascii="Calibri" w:hAnsi="Calibri" w:cs="Calibri"/>
        </w:rPr>
      </w:pPr>
    </w:p>
    <w:p w:rsidR="00FF590D" w:rsidRPr="00FF590D" w:rsidRDefault="00FF590D" w:rsidP="005A1F2D">
      <w:pPr>
        <w:ind w:left="360"/>
        <w:contextualSpacing/>
        <w:rPr>
          <w:rFonts w:ascii="Arial" w:hAnsi="Arial" w:cs="Arial"/>
          <w:sz w:val="22"/>
        </w:rPr>
      </w:pPr>
      <w:r>
        <w:rPr>
          <w:rFonts w:ascii="Arial" w:hAnsi="Arial" w:cs="Arial"/>
          <w:sz w:val="22"/>
        </w:rPr>
        <w:t xml:space="preserve"> </w:t>
      </w:r>
      <w:r>
        <w:rPr>
          <w:rFonts w:ascii="Arial" w:hAnsi="Arial" w:cs="Arial"/>
          <w:sz w:val="22"/>
        </w:rPr>
        <w:tab/>
      </w:r>
      <w:r w:rsidRPr="00FF590D">
        <w:rPr>
          <w:rFonts w:ascii="Arial" w:hAnsi="Arial" w:cs="Arial"/>
          <w:sz w:val="22"/>
        </w:rPr>
        <w:t xml:space="preserve">Listing </w:t>
      </w:r>
      <w:r>
        <w:rPr>
          <w:rFonts w:ascii="Arial" w:hAnsi="Arial" w:cs="Arial"/>
          <w:sz w:val="22"/>
        </w:rPr>
        <w:t xml:space="preserve">for PAH same as above </w:t>
      </w:r>
    </w:p>
    <w:p w:rsidR="00FF590D" w:rsidRDefault="00FF590D" w:rsidP="005A1F2D">
      <w:pPr>
        <w:ind w:left="360"/>
        <w:contextualSpacing/>
        <w:rPr>
          <w:rFonts w:ascii="Calibri" w:hAnsi="Calibri" w:cs="Calibri"/>
        </w:rPr>
      </w:pPr>
    </w:p>
    <w:p w:rsidR="00366B13" w:rsidRDefault="00366B13" w:rsidP="005A1F2D">
      <w:pPr>
        <w:ind w:left="360"/>
        <w:contextualSpacing/>
        <w:rPr>
          <w:rFonts w:ascii="Calibri" w:hAnsi="Calibri" w:cs="Calibri"/>
        </w:rPr>
      </w:pPr>
    </w:p>
    <w:p w:rsidR="00366B13" w:rsidRPr="00366B13" w:rsidRDefault="00366B13" w:rsidP="00C8256F">
      <w:pPr>
        <w:pStyle w:val="PBACHeading1"/>
        <w:rPr>
          <w:rFonts w:eastAsiaTheme="minorHAnsi" w:cstheme="minorBidi"/>
          <w:b w:val="0"/>
        </w:rPr>
      </w:pPr>
      <w:r w:rsidRPr="00366B13">
        <w:rPr>
          <w:rFonts w:eastAsiaTheme="minorHAnsi" w:cstheme="minorBidi"/>
        </w:rPr>
        <w:t>Context for Decision</w:t>
      </w:r>
    </w:p>
    <w:p w:rsidR="00366B13" w:rsidRPr="00366B13" w:rsidRDefault="00366B13" w:rsidP="00366B13">
      <w:pPr>
        <w:spacing w:line="276" w:lineRule="auto"/>
        <w:ind w:left="426"/>
        <w:jc w:val="both"/>
        <w:rPr>
          <w:rFonts w:ascii="Arial" w:eastAsiaTheme="minorHAnsi" w:hAnsi="Arial" w:cs="Arial"/>
          <w:sz w:val="22"/>
          <w:szCs w:val="22"/>
          <w:lang w:eastAsia="en-US"/>
        </w:rPr>
      </w:pPr>
    </w:p>
    <w:p w:rsidR="00366B13" w:rsidRPr="00366B13" w:rsidRDefault="00366B13" w:rsidP="00366B13">
      <w:pPr>
        <w:spacing w:line="276" w:lineRule="auto"/>
        <w:ind w:left="426"/>
        <w:jc w:val="both"/>
        <w:rPr>
          <w:rFonts w:ascii="Arial" w:eastAsiaTheme="minorHAnsi" w:hAnsi="Arial" w:cs="Arial"/>
          <w:sz w:val="22"/>
          <w:szCs w:val="22"/>
          <w:lang w:eastAsia="en-US"/>
        </w:rPr>
      </w:pPr>
      <w:r w:rsidRPr="00366B13">
        <w:rPr>
          <w:rFonts w:ascii="Arial" w:eastAsiaTheme="minorHAnsi" w:hAnsi="Arial" w:cs="Arial"/>
          <w:sz w:val="22"/>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66B13" w:rsidRPr="00366B13" w:rsidRDefault="00366B13" w:rsidP="00366B13">
      <w:pPr>
        <w:spacing w:after="200" w:line="276" w:lineRule="auto"/>
        <w:ind w:left="426"/>
        <w:jc w:val="both"/>
        <w:rPr>
          <w:rFonts w:ascii="Arial" w:eastAsiaTheme="minorHAnsi" w:hAnsi="Arial" w:cs="Arial"/>
          <w:sz w:val="22"/>
          <w:szCs w:val="22"/>
          <w:lang w:eastAsia="en-US"/>
        </w:rPr>
      </w:pPr>
    </w:p>
    <w:p w:rsidR="00366B13" w:rsidRPr="00366B13" w:rsidRDefault="00366B13" w:rsidP="00C8256F">
      <w:pPr>
        <w:pStyle w:val="PBACHeading1"/>
        <w:rPr>
          <w:rFonts w:eastAsiaTheme="minorHAnsi" w:cstheme="minorBidi"/>
          <w:b w:val="0"/>
        </w:rPr>
      </w:pPr>
      <w:r w:rsidRPr="00366B13">
        <w:rPr>
          <w:rFonts w:eastAsiaTheme="minorHAnsi" w:cstheme="minorBidi"/>
        </w:rPr>
        <w:t>Sponsor’s Comment</w:t>
      </w:r>
    </w:p>
    <w:p w:rsidR="00366B13" w:rsidRPr="00366B13" w:rsidRDefault="00366B13" w:rsidP="00366B13">
      <w:pPr>
        <w:spacing w:line="276" w:lineRule="auto"/>
        <w:ind w:left="426"/>
        <w:jc w:val="both"/>
        <w:rPr>
          <w:rFonts w:ascii="Arial" w:eastAsiaTheme="minorHAnsi" w:hAnsi="Arial" w:cs="Arial"/>
          <w:bCs/>
          <w:sz w:val="22"/>
          <w:szCs w:val="22"/>
          <w:highlight w:val="yellow"/>
          <w:lang w:val="en-GB" w:eastAsia="en-US"/>
        </w:rPr>
      </w:pPr>
    </w:p>
    <w:p w:rsidR="00366B13" w:rsidRPr="00366B13" w:rsidRDefault="00366B13" w:rsidP="00366B13">
      <w:pPr>
        <w:spacing w:after="120" w:line="276" w:lineRule="auto"/>
        <w:ind w:left="426"/>
        <w:jc w:val="both"/>
        <w:rPr>
          <w:rFonts w:ascii="Arial" w:eastAsiaTheme="minorHAnsi" w:hAnsi="Arial" w:cs="Arial"/>
          <w:bCs/>
          <w:sz w:val="22"/>
          <w:szCs w:val="22"/>
          <w:lang w:eastAsia="en-US"/>
        </w:rPr>
      </w:pPr>
      <w:r w:rsidRPr="00366B13">
        <w:rPr>
          <w:rFonts w:ascii="Arial" w:eastAsiaTheme="minorHAnsi" w:hAnsi="Arial" w:cs="Arial"/>
          <w:bCs/>
          <w:sz w:val="22"/>
          <w:szCs w:val="22"/>
          <w:lang w:eastAsia="en-US"/>
        </w:rPr>
        <w:t>The sponsor had no comment.</w:t>
      </w:r>
    </w:p>
    <w:p w:rsidR="00FF590D" w:rsidRDefault="00FF590D" w:rsidP="0017048F">
      <w:pPr>
        <w:contextualSpacing/>
        <w:rPr>
          <w:rFonts w:ascii="Calibri" w:hAnsi="Calibri" w:cs="Calibri"/>
        </w:rPr>
      </w:pPr>
    </w:p>
    <w:sectPr w:rsidR="00FF590D"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369" w:rsidRDefault="004B5369">
      <w:r>
        <w:separator/>
      </w:r>
    </w:p>
    <w:p w:rsidR="004B5369" w:rsidRDefault="004B5369"/>
  </w:endnote>
  <w:endnote w:type="continuationSeparator" w:id="0">
    <w:p w:rsidR="004B5369" w:rsidRDefault="004B5369">
      <w:r>
        <w:continuationSeparator/>
      </w:r>
    </w:p>
    <w:p w:rsidR="004B5369" w:rsidRDefault="004B5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45B7B" w:rsidTr="005A3173">
      <w:trPr>
        <w:trHeight w:val="151"/>
      </w:trPr>
      <w:tc>
        <w:tcPr>
          <w:tcW w:w="2250" w:type="pct"/>
          <w:tcBorders>
            <w:top w:val="nil"/>
            <w:left w:val="nil"/>
            <w:bottom w:val="single" w:sz="4" w:space="0" w:color="4F81BD"/>
            <w:right w:val="nil"/>
          </w:tcBorders>
        </w:tcPr>
        <w:p w:rsidR="00A45B7B" w:rsidRPr="005A3173" w:rsidRDefault="00A45B7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45B7B" w:rsidRPr="005A3173" w:rsidRDefault="00A45B7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45B7B" w:rsidRPr="005A3173" w:rsidRDefault="00A45B7B" w:rsidP="005A3173">
          <w:pPr>
            <w:pStyle w:val="Header"/>
            <w:spacing w:line="276" w:lineRule="auto"/>
            <w:rPr>
              <w:rFonts w:ascii="Calibri" w:eastAsia="MS Gothic" w:hAnsi="Calibri"/>
              <w:b/>
              <w:bCs/>
              <w:color w:val="4F81BD"/>
            </w:rPr>
          </w:pPr>
        </w:p>
      </w:tc>
    </w:tr>
    <w:tr w:rsidR="00A45B7B" w:rsidTr="005A3173">
      <w:trPr>
        <w:trHeight w:val="150"/>
      </w:trPr>
      <w:tc>
        <w:tcPr>
          <w:tcW w:w="2250" w:type="pct"/>
          <w:tcBorders>
            <w:top w:val="single" w:sz="4" w:space="0" w:color="4F81BD"/>
            <w:left w:val="nil"/>
            <w:bottom w:val="nil"/>
            <w:right w:val="nil"/>
          </w:tcBorders>
        </w:tcPr>
        <w:p w:rsidR="00A45B7B" w:rsidRPr="005A3173" w:rsidRDefault="00A45B7B" w:rsidP="005A3173">
          <w:pPr>
            <w:pStyle w:val="Header"/>
            <w:spacing w:line="276" w:lineRule="auto"/>
            <w:rPr>
              <w:rFonts w:ascii="Calibri" w:eastAsia="MS Gothic" w:hAnsi="Calibri"/>
              <w:b/>
              <w:bCs/>
              <w:color w:val="4F81BD"/>
            </w:rPr>
          </w:pPr>
        </w:p>
      </w:tc>
      <w:tc>
        <w:tcPr>
          <w:tcW w:w="0" w:type="auto"/>
          <w:vMerge/>
          <w:vAlign w:val="center"/>
          <w:hideMark/>
        </w:tcPr>
        <w:p w:rsidR="00A45B7B" w:rsidRPr="005A3173" w:rsidRDefault="00A45B7B" w:rsidP="005A3173">
          <w:pPr>
            <w:rPr>
              <w:rFonts w:ascii="Calibri" w:hAnsi="Calibri"/>
              <w:color w:val="365F91"/>
              <w:sz w:val="22"/>
              <w:szCs w:val="22"/>
            </w:rPr>
          </w:pPr>
        </w:p>
      </w:tc>
      <w:tc>
        <w:tcPr>
          <w:tcW w:w="2250" w:type="pct"/>
          <w:tcBorders>
            <w:top w:val="single" w:sz="4" w:space="0" w:color="4F81BD"/>
            <w:left w:val="nil"/>
            <w:bottom w:val="nil"/>
            <w:right w:val="nil"/>
          </w:tcBorders>
        </w:tcPr>
        <w:p w:rsidR="00A45B7B" w:rsidRPr="005A3173" w:rsidRDefault="00A45B7B" w:rsidP="005A3173">
          <w:pPr>
            <w:pStyle w:val="Header"/>
            <w:spacing w:line="276" w:lineRule="auto"/>
            <w:rPr>
              <w:rFonts w:ascii="Calibri" w:eastAsia="MS Gothic" w:hAnsi="Calibri"/>
              <w:b/>
              <w:bCs/>
              <w:color w:val="4F81BD"/>
            </w:rPr>
          </w:pPr>
        </w:p>
      </w:tc>
    </w:tr>
  </w:tbl>
  <w:p w:rsidR="00A45B7B" w:rsidRDefault="00A45B7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5B7B" w:rsidRDefault="00A45B7B">
    <w:pPr>
      <w:pStyle w:val="Footer"/>
    </w:pPr>
  </w:p>
  <w:p w:rsidR="00A45B7B" w:rsidRDefault="00A45B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7B" w:rsidRDefault="00A45B7B" w:rsidP="00EF44A0">
    <w:pPr>
      <w:pStyle w:val="Footer"/>
      <w:jc w:val="center"/>
      <w:rPr>
        <w:rFonts w:ascii="Arial" w:hAnsi="Arial" w:cs="Arial"/>
        <w:b/>
        <w:sz w:val="20"/>
        <w:szCs w:val="20"/>
      </w:rPr>
    </w:pPr>
  </w:p>
  <w:p w:rsidR="00A45B7B" w:rsidRPr="00055F6C" w:rsidRDefault="00A45B7B" w:rsidP="00055F6C">
    <w:pPr>
      <w:tabs>
        <w:tab w:val="center" w:pos="4153"/>
        <w:tab w:val="right" w:pos="8306"/>
      </w:tabs>
      <w:spacing w:after="120"/>
      <w:ind w:left="360"/>
      <w:jc w:val="center"/>
      <w:rPr>
        <w:rFonts w:ascii="Arial" w:hAnsi="Arial" w:cs="Arial"/>
        <w:sz w:val="20"/>
        <w:szCs w:val="20"/>
        <w:lang w:eastAsia="en-US"/>
      </w:rPr>
    </w:pPr>
    <w:r w:rsidRPr="00055F6C">
      <w:rPr>
        <w:rFonts w:ascii="Arial" w:hAnsi="Arial" w:cs="Arial"/>
        <w:sz w:val="20"/>
        <w:szCs w:val="20"/>
        <w:lang w:eastAsia="en-US"/>
      </w:rPr>
      <w:fldChar w:fldCharType="begin"/>
    </w:r>
    <w:r w:rsidRPr="00055F6C">
      <w:rPr>
        <w:rFonts w:ascii="Arial" w:hAnsi="Arial" w:cs="Arial"/>
        <w:sz w:val="20"/>
        <w:szCs w:val="20"/>
        <w:lang w:eastAsia="en-US"/>
      </w:rPr>
      <w:instrText xml:space="preserve"> PAGE   \* MERGEFORMAT </w:instrText>
    </w:r>
    <w:r w:rsidRPr="00055F6C">
      <w:rPr>
        <w:rFonts w:ascii="Arial" w:hAnsi="Arial" w:cs="Arial"/>
        <w:sz w:val="20"/>
        <w:szCs w:val="20"/>
        <w:lang w:eastAsia="en-US"/>
      </w:rPr>
      <w:fldChar w:fldCharType="separate"/>
    </w:r>
    <w:r w:rsidR="004B5369">
      <w:rPr>
        <w:rFonts w:ascii="Arial" w:hAnsi="Arial" w:cs="Arial"/>
        <w:noProof/>
        <w:sz w:val="20"/>
        <w:szCs w:val="20"/>
        <w:lang w:eastAsia="en-US"/>
      </w:rPr>
      <w:t>1</w:t>
    </w:r>
    <w:r w:rsidRPr="00055F6C">
      <w:rPr>
        <w:rFonts w:ascii="Arial" w:hAnsi="Arial" w:cs="Arial"/>
        <w:noProof/>
        <w:sz w:val="20"/>
        <w:szCs w:val="20"/>
        <w:lang w:eastAsia="en-US"/>
      </w:rPr>
      <w:fldChar w:fldCharType="end"/>
    </w:r>
  </w:p>
  <w:p w:rsidR="00A45B7B" w:rsidRDefault="00A45B7B" w:rsidP="00055F6C">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45B7B" w:rsidTr="005A3173">
      <w:trPr>
        <w:trHeight w:val="151"/>
      </w:trPr>
      <w:tc>
        <w:tcPr>
          <w:tcW w:w="2250" w:type="pct"/>
          <w:tcBorders>
            <w:top w:val="nil"/>
            <w:left w:val="nil"/>
            <w:bottom w:val="single" w:sz="4" w:space="0" w:color="4F81BD"/>
            <w:right w:val="nil"/>
          </w:tcBorders>
        </w:tcPr>
        <w:p w:rsidR="00A45B7B" w:rsidRPr="005A3173" w:rsidRDefault="00A45B7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45B7B" w:rsidRPr="005A3173" w:rsidRDefault="00A45B7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45B7B" w:rsidRPr="005A3173" w:rsidRDefault="00A45B7B" w:rsidP="005A3173">
          <w:pPr>
            <w:pStyle w:val="Header"/>
            <w:spacing w:line="276" w:lineRule="auto"/>
            <w:rPr>
              <w:rFonts w:ascii="Calibri" w:eastAsia="MS Gothic" w:hAnsi="Calibri"/>
              <w:b/>
              <w:bCs/>
              <w:color w:val="4F81BD"/>
            </w:rPr>
          </w:pPr>
        </w:p>
      </w:tc>
    </w:tr>
    <w:tr w:rsidR="00A45B7B" w:rsidTr="005A3173">
      <w:trPr>
        <w:trHeight w:val="150"/>
      </w:trPr>
      <w:tc>
        <w:tcPr>
          <w:tcW w:w="2250" w:type="pct"/>
          <w:tcBorders>
            <w:top w:val="single" w:sz="4" w:space="0" w:color="4F81BD"/>
            <w:left w:val="nil"/>
            <w:bottom w:val="nil"/>
            <w:right w:val="nil"/>
          </w:tcBorders>
        </w:tcPr>
        <w:p w:rsidR="00A45B7B" w:rsidRPr="005A3173" w:rsidRDefault="00A45B7B" w:rsidP="005A3173">
          <w:pPr>
            <w:pStyle w:val="Header"/>
            <w:spacing w:line="276" w:lineRule="auto"/>
            <w:rPr>
              <w:rFonts w:ascii="Calibri" w:eastAsia="MS Gothic" w:hAnsi="Calibri"/>
              <w:b/>
              <w:bCs/>
              <w:color w:val="4F81BD"/>
            </w:rPr>
          </w:pPr>
        </w:p>
      </w:tc>
      <w:tc>
        <w:tcPr>
          <w:tcW w:w="0" w:type="auto"/>
          <w:vMerge/>
          <w:vAlign w:val="center"/>
          <w:hideMark/>
        </w:tcPr>
        <w:p w:rsidR="00A45B7B" w:rsidRPr="005A3173" w:rsidRDefault="00A45B7B" w:rsidP="005A3173">
          <w:pPr>
            <w:rPr>
              <w:rFonts w:ascii="Calibri" w:hAnsi="Calibri"/>
              <w:color w:val="365F91"/>
              <w:sz w:val="22"/>
              <w:szCs w:val="22"/>
            </w:rPr>
          </w:pPr>
        </w:p>
      </w:tc>
      <w:tc>
        <w:tcPr>
          <w:tcW w:w="2250" w:type="pct"/>
          <w:tcBorders>
            <w:top w:val="single" w:sz="4" w:space="0" w:color="4F81BD"/>
            <w:left w:val="nil"/>
            <w:bottom w:val="nil"/>
            <w:right w:val="nil"/>
          </w:tcBorders>
        </w:tcPr>
        <w:p w:rsidR="00A45B7B" w:rsidRPr="005A3173" w:rsidRDefault="00A45B7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45B7B" w:rsidTr="005A3173">
      <w:trPr>
        <w:trHeight w:val="151"/>
      </w:trPr>
      <w:tc>
        <w:tcPr>
          <w:tcW w:w="2250" w:type="pct"/>
          <w:tcBorders>
            <w:top w:val="nil"/>
            <w:left w:val="nil"/>
            <w:bottom w:val="single" w:sz="4" w:space="0" w:color="4F81BD"/>
            <w:right w:val="nil"/>
          </w:tcBorders>
        </w:tcPr>
        <w:p w:rsidR="00A45B7B" w:rsidRPr="005A3173" w:rsidRDefault="00A45B7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45B7B" w:rsidRPr="005A3173" w:rsidRDefault="00A45B7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45B7B" w:rsidRPr="005A3173" w:rsidRDefault="00A45B7B" w:rsidP="005A3173">
          <w:pPr>
            <w:pStyle w:val="Header"/>
            <w:spacing w:line="276" w:lineRule="auto"/>
            <w:rPr>
              <w:rFonts w:ascii="Calibri" w:eastAsia="MS Gothic" w:hAnsi="Calibri"/>
              <w:b/>
              <w:bCs/>
              <w:color w:val="4F81BD"/>
            </w:rPr>
          </w:pPr>
        </w:p>
      </w:tc>
    </w:tr>
    <w:tr w:rsidR="00A45B7B" w:rsidTr="005A3173">
      <w:trPr>
        <w:trHeight w:val="150"/>
      </w:trPr>
      <w:tc>
        <w:tcPr>
          <w:tcW w:w="2250" w:type="pct"/>
          <w:tcBorders>
            <w:top w:val="single" w:sz="4" w:space="0" w:color="4F81BD"/>
            <w:left w:val="nil"/>
            <w:bottom w:val="nil"/>
            <w:right w:val="nil"/>
          </w:tcBorders>
        </w:tcPr>
        <w:p w:rsidR="00A45B7B" w:rsidRPr="005A3173" w:rsidRDefault="00A45B7B" w:rsidP="005A3173">
          <w:pPr>
            <w:pStyle w:val="Header"/>
            <w:spacing w:line="276" w:lineRule="auto"/>
            <w:rPr>
              <w:rFonts w:ascii="Calibri" w:eastAsia="MS Gothic" w:hAnsi="Calibri"/>
              <w:b/>
              <w:bCs/>
              <w:color w:val="4F81BD"/>
            </w:rPr>
          </w:pPr>
        </w:p>
      </w:tc>
      <w:tc>
        <w:tcPr>
          <w:tcW w:w="0" w:type="auto"/>
          <w:vMerge/>
          <w:vAlign w:val="center"/>
          <w:hideMark/>
        </w:tcPr>
        <w:p w:rsidR="00A45B7B" w:rsidRPr="005A3173" w:rsidRDefault="00A45B7B" w:rsidP="005A3173">
          <w:pPr>
            <w:rPr>
              <w:rFonts w:ascii="Calibri" w:hAnsi="Calibri"/>
              <w:color w:val="365F91"/>
              <w:sz w:val="22"/>
              <w:szCs w:val="22"/>
            </w:rPr>
          </w:pPr>
        </w:p>
      </w:tc>
      <w:tc>
        <w:tcPr>
          <w:tcW w:w="2250" w:type="pct"/>
          <w:tcBorders>
            <w:top w:val="single" w:sz="4" w:space="0" w:color="4F81BD"/>
            <w:left w:val="nil"/>
            <w:bottom w:val="nil"/>
            <w:right w:val="nil"/>
          </w:tcBorders>
        </w:tcPr>
        <w:p w:rsidR="00A45B7B" w:rsidRPr="005A3173" w:rsidRDefault="00A45B7B" w:rsidP="005A3173">
          <w:pPr>
            <w:pStyle w:val="Header"/>
            <w:spacing w:line="276" w:lineRule="auto"/>
            <w:rPr>
              <w:rFonts w:ascii="Calibri" w:eastAsia="MS Gothic" w:hAnsi="Calibri"/>
              <w:b/>
              <w:bCs/>
              <w:color w:val="4F81BD"/>
            </w:rPr>
          </w:pPr>
        </w:p>
      </w:tc>
    </w:tr>
  </w:tbl>
  <w:p w:rsidR="00A45B7B" w:rsidRPr="007C0F57" w:rsidRDefault="00A45B7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45B7B" w:rsidRPr="007C0F57" w:rsidRDefault="00A45B7B" w:rsidP="007C0F57">
    <w:pPr>
      <w:pStyle w:val="Footer"/>
      <w:jc w:val="center"/>
      <w:rPr>
        <w:b/>
        <w:i/>
        <w:sz w:val="20"/>
        <w:szCs w:val="20"/>
      </w:rPr>
    </w:pPr>
    <w:r w:rsidRPr="007C0F57">
      <w:rPr>
        <w:b/>
        <w:i/>
        <w:sz w:val="20"/>
        <w:szCs w:val="20"/>
      </w:rPr>
      <w:t>Commercial-in-Confidence</w:t>
    </w:r>
  </w:p>
  <w:p w:rsidR="00A45B7B" w:rsidRDefault="00A45B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369" w:rsidRDefault="004B5369">
      <w:r>
        <w:separator/>
      </w:r>
    </w:p>
    <w:p w:rsidR="004B5369" w:rsidRDefault="004B5369"/>
  </w:footnote>
  <w:footnote w:type="continuationSeparator" w:id="0">
    <w:p w:rsidR="004B5369" w:rsidRDefault="004B5369">
      <w:r>
        <w:continuationSeparator/>
      </w:r>
    </w:p>
    <w:p w:rsidR="004B5369" w:rsidRDefault="004B53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45B7B" w:rsidRPr="008E0D90" w:rsidTr="00A06225">
      <w:trPr>
        <w:trHeight w:val="151"/>
      </w:trPr>
      <w:tc>
        <w:tcPr>
          <w:tcW w:w="2389" w:type="pct"/>
          <w:tcBorders>
            <w:top w:val="nil"/>
            <w:left w:val="nil"/>
            <w:bottom w:val="single" w:sz="4" w:space="0" w:color="4F81BD"/>
            <w:right w:val="nil"/>
          </w:tcBorders>
        </w:tcPr>
        <w:p w:rsidR="00A45B7B" w:rsidRPr="00A06225" w:rsidRDefault="00A45B7B">
          <w:pPr>
            <w:pStyle w:val="Header"/>
            <w:spacing w:line="276" w:lineRule="auto"/>
            <w:rPr>
              <w:rFonts w:ascii="Cambria" w:eastAsia="MS Gothic" w:hAnsi="Cambria"/>
              <w:b/>
              <w:bCs/>
              <w:color w:val="4F81BD"/>
            </w:rPr>
          </w:pPr>
        </w:p>
      </w:tc>
      <w:tc>
        <w:tcPr>
          <w:tcW w:w="333" w:type="pct"/>
          <w:vMerge w:val="restart"/>
          <w:noWrap/>
          <w:vAlign w:val="center"/>
          <w:hideMark/>
        </w:tcPr>
        <w:p w:rsidR="00A45B7B" w:rsidRPr="00A06225" w:rsidRDefault="00A45B7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45B7B" w:rsidRPr="00A06225" w:rsidRDefault="00A45B7B">
          <w:pPr>
            <w:pStyle w:val="Header"/>
            <w:spacing w:line="276" w:lineRule="auto"/>
            <w:rPr>
              <w:rFonts w:ascii="Cambria" w:eastAsia="MS Gothic" w:hAnsi="Cambria"/>
              <w:b/>
              <w:bCs/>
              <w:color w:val="4F81BD"/>
            </w:rPr>
          </w:pPr>
        </w:p>
      </w:tc>
    </w:tr>
    <w:tr w:rsidR="00A45B7B" w:rsidRPr="008E0D90" w:rsidTr="00A06225">
      <w:trPr>
        <w:trHeight w:val="150"/>
      </w:trPr>
      <w:tc>
        <w:tcPr>
          <w:tcW w:w="2389" w:type="pct"/>
          <w:tcBorders>
            <w:top w:val="single" w:sz="4" w:space="0" w:color="4F81BD"/>
            <w:left w:val="nil"/>
            <w:bottom w:val="nil"/>
            <w:right w:val="nil"/>
          </w:tcBorders>
        </w:tcPr>
        <w:p w:rsidR="00A45B7B" w:rsidRPr="00A06225" w:rsidRDefault="00A45B7B">
          <w:pPr>
            <w:pStyle w:val="Header"/>
            <w:spacing w:line="276" w:lineRule="auto"/>
            <w:rPr>
              <w:rFonts w:ascii="Cambria" w:eastAsia="MS Gothic" w:hAnsi="Cambria"/>
              <w:b/>
              <w:bCs/>
              <w:color w:val="4F81BD"/>
            </w:rPr>
          </w:pPr>
        </w:p>
      </w:tc>
      <w:tc>
        <w:tcPr>
          <w:tcW w:w="0" w:type="auto"/>
          <w:vMerge/>
          <w:vAlign w:val="center"/>
          <w:hideMark/>
        </w:tcPr>
        <w:p w:rsidR="00A45B7B" w:rsidRPr="00A06225" w:rsidRDefault="00A45B7B">
          <w:pPr>
            <w:rPr>
              <w:rFonts w:ascii="Cambria" w:hAnsi="Cambria"/>
              <w:color w:val="4F81BD"/>
              <w:sz w:val="22"/>
              <w:szCs w:val="22"/>
            </w:rPr>
          </w:pPr>
        </w:p>
      </w:tc>
      <w:tc>
        <w:tcPr>
          <w:tcW w:w="2278" w:type="pct"/>
          <w:tcBorders>
            <w:top w:val="single" w:sz="4" w:space="0" w:color="4F81BD"/>
            <w:left w:val="nil"/>
            <w:bottom w:val="nil"/>
            <w:right w:val="nil"/>
          </w:tcBorders>
        </w:tcPr>
        <w:p w:rsidR="00A45B7B" w:rsidRPr="00A06225" w:rsidRDefault="00A45B7B">
          <w:pPr>
            <w:pStyle w:val="Header"/>
            <w:spacing w:line="276" w:lineRule="auto"/>
            <w:rPr>
              <w:rFonts w:ascii="Cambria" w:eastAsia="MS Gothic" w:hAnsi="Cambria"/>
              <w:b/>
              <w:bCs/>
              <w:color w:val="4F81BD"/>
            </w:rPr>
          </w:pPr>
        </w:p>
      </w:tc>
    </w:tr>
  </w:tbl>
  <w:p w:rsidR="00A45B7B" w:rsidRDefault="00A45B7B">
    <w:pPr>
      <w:pStyle w:val="Header"/>
    </w:pPr>
  </w:p>
  <w:p w:rsidR="00A45B7B" w:rsidRDefault="00A45B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7B" w:rsidRPr="00055F6C" w:rsidRDefault="00A45B7B" w:rsidP="00055F6C">
    <w:pPr>
      <w:tabs>
        <w:tab w:val="center" w:pos="4153"/>
        <w:tab w:val="right" w:pos="8306"/>
      </w:tabs>
      <w:spacing w:after="120"/>
      <w:ind w:left="360"/>
      <w:jc w:val="center"/>
      <w:rPr>
        <w:rFonts w:ascii="Arial" w:hAnsi="Arial" w:cs="Arial"/>
        <w:i/>
        <w:color w:val="808080"/>
        <w:sz w:val="22"/>
        <w:lang w:eastAsia="en-US"/>
      </w:rPr>
    </w:pPr>
    <w:r>
      <w:rPr>
        <w:rFonts w:ascii="Arial" w:hAnsi="Arial" w:cs="Arial"/>
        <w:i/>
        <w:color w:val="808080"/>
        <w:sz w:val="22"/>
        <w:lang w:eastAsia="en-US"/>
      </w:rPr>
      <w:t>Public Summary Document</w:t>
    </w:r>
    <w:r w:rsidRPr="00055F6C">
      <w:rPr>
        <w:rFonts w:ascii="Arial" w:hAnsi="Arial" w:cs="Arial"/>
        <w:i/>
        <w:color w:val="808080"/>
        <w:sz w:val="22"/>
        <w:lang w:eastAsia="en-US"/>
      </w:rPr>
      <w:t xml:space="preserve"> – November 2016 PBAC Meeting</w:t>
    </w:r>
  </w:p>
  <w:p w:rsidR="00A45B7B" w:rsidRDefault="00A45B7B"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369" w:rsidRDefault="004B5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8196F3C"/>
    <w:multiLevelType w:val="hybridMultilevel"/>
    <w:tmpl w:val="33CA2C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84D033C"/>
    <w:multiLevelType w:val="multilevel"/>
    <w:tmpl w:val="CFFA49C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2"/>
  </w:num>
  <w:num w:numId="5">
    <w:abstractNumId w:val="13"/>
  </w:num>
  <w:num w:numId="6">
    <w:abstractNumId w:val="5"/>
  </w:num>
  <w:num w:numId="7">
    <w:abstractNumId w:val="11"/>
  </w:num>
  <w:num w:numId="8">
    <w:abstractNumId w:val="3"/>
  </w:num>
  <w:num w:numId="9">
    <w:abstractNumId w:val="10"/>
  </w:num>
  <w:num w:numId="10">
    <w:abstractNumId w:val="9"/>
  </w:num>
  <w:num w:numId="11">
    <w:abstractNumId w:val="8"/>
  </w:num>
  <w:num w:numId="12">
    <w:abstractNumId w:val="1"/>
  </w:num>
  <w:num w:numId="13">
    <w:abstractNumId w:val="0"/>
  </w:num>
  <w:num w:numId="14">
    <w:abstractNumId w:val="13"/>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CA6"/>
    <w:rsid w:val="000025AD"/>
    <w:rsid w:val="00016D03"/>
    <w:rsid w:val="0002464A"/>
    <w:rsid w:val="0003106B"/>
    <w:rsid w:val="000421A1"/>
    <w:rsid w:val="0004240E"/>
    <w:rsid w:val="00045E26"/>
    <w:rsid w:val="000514B5"/>
    <w:rsid w:val="00051B54"/>
    <w:rsid w:val="00055F6C"/>
    <w:rsid w:val="00060E64"/>
    <w:rsid w:val="00066755"/>
    <w:rsid w:val="00077143"/>
    <w:rsid w:val="00083609"/>
    <w:rsid w:val="000969AD"/>
    <w:rsid w:val="000A7CB4"/>
    <w:rsid w:val="000B2D96"/>
    <w:rsid w:val="000B45D4"/>
    <w:rsid w:val="000B558D"/>
    <w:rsid w:val="000B7B05"/>
    <w:rsid w:val="000C6996"/>
    <w:rsid w:val="000D23BA"/>
    <w:rsid w:val="000D3B91"/>
    <w:rsid w:val="000E224A"/>
    <w:rsid w:val="000E30DA"/>
    <w:rsid w:val="000E681E"/>
    <w:rsid w:val="000F4E6A"/>
    <w:rsid w:val="00110758"/>
    <w:rsid w:val="001107BF"/>
    <w:rsid w:val="0012417C"/>
    <w:rsid w:val="00142395"/>
    <w:rsid w:val="00142714"/>
    <w:rsid w:val="001452ED"/>
    <w:rsid w:val="00156C76"/>
    <w:rsid w:val="0017048F"/>
    <w:rsid w:val="001706A7"/>
    <w:rsid w:val="001830CE"/>
    <w:rsid w:val="0018643B"/>
    <w:rsid w:val="00196307"/>
    <w:rsid w:val="001B017F"/>
    <w:rsid w:val="001B49CB"/>
    <w:rsid w:val="001B506B"/>
    <w:rsid w:val="001B5129"/>
    <w:rsid w:val="001C1195"/>
    <w:rsid w:val="001D274E"/>
    <w:rsid w:val="001E0032"/>
    <w:rsid w:val="00213CFB"/>
    <w:rsid w:val="002437C5"/>
    <w:rsid w:val="00266417"/>
    <w:rsid w:val="00271BA1"/>
    <w:rsid w:val="00277505"/>
    <w:rsid w:val="00281BE5"/>
    <w:rsid w:val="00290CE8"/>
    <w:rsid w:val="0029458F"/>
    <w:rsid w:val="002A104C"/>
    <w:rsid w:val="002A4960"/>
    <w:rsid w:val="002B1AE6"/>
    <w:rsid w:val="002B30F8"/>
    <w:rsid w:val="002C212F"/>
    <w:rsid w:val="002E3153"/>
    <w:rsid w:val="002E5F67"/>
    <w:rsid w:val="002E72CA"/>
    <w:rsid w:val="002F229D"/>
    <w:rsid w:val="00300AD6"/>
    <w:rsid w:val="00302258"/>
    <w:rsid w:val="00326E79"/>
    <w:rsid w:val="003367EF"/>
    <w:rsid w:val="00341AE4"/>
    <w:rsid w:val="00342973"/>
    <w:rsid w:val="00360224"/>
    <w:rsid w:val="00366B13"/>
    <w:rsid w:val="003872CF"/>
    <w:rsid w:val="0039008E"/>
    <w:rsid w:val="0039782C"/>
    <w:rsid w:val="003A5B4A"/>
    <w:rsid w:val="003A654A"/>
    <w:rsid w:val="003B23C5"/>
    <w:rsid w:val="003B2A75"/>
    <w:rsid w:val="003D4AC4"/>
    <w:rsid w:val="003D4C33"/>
    <w:rsid w:val="003D63B7"/>
    <w:rsid w:val="003E468B"/>
    <w:rsid w:val="003F5C8C"/>
    <w:rsid w:val="004465BD"/>
    <w:rsid w:val="00447DA1"/>
    <w:rsid w:val="00452ECA"/>
    <w:rsid w:val="0045775E"/>
    <w:rsid w:val="00466ADA"/>
    <w:rsid w:val="004716EA"/>
    <w:rsid w:val="00476245"/>
    <w:rsid w:val="00485764"/>
    <w:rsid w:val="00485940"/>
    <w:rsid w:val="004A2484"/>
    <w:rsid w:val="004A5A85"/>
    <w:rsid w:val="004B5369"/>
    <w:rsid w:val="004B5640"/>
    <w:rsid w:val="004C1BD7"/>
    <w:rsid w:val="004C691D"/>
    <w:rsid w:val="004D3592"/>
    <w:rsid w:val="004E692D"/>
    <w:rsid w:val="004F4B1E"/>
    <w:rsid w:val="00501554"/>
    <w:rsid w:val="00514CD7"/>
    <w:rsid w:val="0051798D"/>
    <w:rsid w:val="005218F9"/>
    <w:rsid w:val="005319B2"/>
    <w:rsid w:val="00532C74"/>
    <w:rsid w:val="00534E2E"/>
    <w:rsid w:val="00544552"/>
    <w:rsid w:val="005479F3"/>
    <w:rsid w:val="00557B3A"/>
    <w:rsid w:val="005800ED"/>
    <w:rsid w:val="00581932"/>
    <w:rsid w:val="005963BB"/>
    <w:rsid w:val="005A1F2D"/>
    <w:rsid w:val="005A3173"/>
    <w:rsid w:val="005A3223"/>
    <w:rsid w:val="005A3DA3"/>
    <w:rsid w:val="005A52C4"/>
    <w:rsid w:val="005B655D"/>
    <w:rsid w:val="005C085C"/>
    <w:rsid w:val="005C6573"/>
    <w:rsid w:val="005D03AB"/>
    <w:rsid w:val="005D35AA"/>
    <w:rsid w:val="005D5017"/>
    <w:rsid w:val="005F7323"/>
    <w:rsid w:val="00601A91"/>
    <w:rsid w:val="00602BA3"/>
    <w:rsid w:val="00614159"/>
    <w:rsid w:val="00617C00"/>
    <w:rsid w:val="006263BF"/>
    <w:rsid w:val="0062748A"/>
    <w:rsid w:val="00630A2C"/>
    <w:rsid w:val="00646891"/>
    <w:rsid w:val="00651169"/>
    <w:rsid w:val="006527E4"/>
    <w:rsid w:val="00653D69"/>
    <w:rsid w:val="00670A76"/>
    <w:rsid w:val="006711AA"/>
    <w:rsid w:val="00672B57"/>
    <w:rsid w:val="00675622"/>
    <w:rsid w:val="00687BCB"/>
    <w:rsid w:val="006906DB"/>
    <w:rsid w:val="006A12A5"/>
    <w:rsid w:val="006A2F09"/>
    <w:rsid w:val="006A30BF"/>
    <w:rsid w:val="006B0D94"/>
    <w:rsid w:val="006B485D"/>
    <w:rsid w:val="006C708E"/>
    <w:rsid w:val="006D1C1E"/>
    <w:rsid w:val="006D3844"/>
    <w:rsid w:val="006D49FB"/>
    <w:rsid w:val="006D6EC7"/>
    <w:rsid w:val="006F5125"/>
    <w:rsid w:val="00713764"/>
    <w:rsid w:val="007174BB"/>
    <w:rsid w:val="007457CC"/>
    <w:rsid w:val="0076420C"/>
    <w:rsid w:val="007753C2"/>
    <w:rsid w:val="007838B8"/>
    <w:rsid w:val="007A1382"/>
    <w:rsid w:val="007C0F57"/>
    <w:rsid w:val="007C40B6"/>
    <w:rsid w:val="007C729F"/>
    <w:rsid w:val="007D1191"/>
    <w:rsid w:val="007D30B2"/>
    <w:rsid w:val="007E1D28"/>
    <w:rsid w:val="007F2641"/>
    <w:rsid w:val="007F4274"/>
    <w:rsid w:val="007F6857"/>
    <w:rsid w:val="007F7C36"/>
    <w:rsid w:val="00806796"/>
    <w:rsid w:val="00812E9B"/>
    <w:rsid w:val="008151D6"/>
    <w:rsid w:val="00826F6D"/>
    <w:rsid w:val="008278F7"/>
    <w:rsid w:val="00837CC6"/>
    <w:rsid w:val="00853DC2"/>
    <w:rsid w:val="00856728"/>
    <w:rsid w:val="00856DDD"/>
    <w:rsid w:val="00863E68"/>
    <w:rsid w:val="00882085"/>
    <w:rsid w:val="00883188"/>
    <w:rsid w:val="00897D58"/>
    <w:rsid w:val="008A1956"/>
    <w:rsid w:val="008A4937"/>
    <w:rsid w:val="008A50F1"/>
    <w:rsid w:val="008B2142"/>
    <w:rsid w:val="008D1B5C"/>
    <w:rsid w:val="008D3C82"/>
    <w:rsid w:val="008D447E"/>
    <w:rsid w:val="008D7A41"/>
    <w:rsid w:val="008E3680"/>
    <w:rsid w:val="008E5870"/>
    <w:rsid w:val="008F1434"/>
    <w:rsid w:val="008F7355"/>
    <w:rsid w:val="008F7F5E"/>
    <w:rsid w:val="00901D15"/>
    <w:rsid w:val="009067B7"/>
    <w:rsid w:val="00930937"/>
    <w:rsid w:val="00933E6C"/>
    <w:rsid w:val="00940101"/>
    <w:rsid w:val="00942160"/>
    <w:rsid w:val="0095146F"/>
    <w:rsid w:val="009602C5"/>
    <w:rsid w:val="00962223"/>
    <w:rsid w:val="00974C21"/>
    <w:rsid w:val="009B0F67"/>
    <w:rsid w:val="009C703C"/>
    <w:rsid w:val="009D3CAA"/>
    <w:rsid w:val="009F4E46"/>
    <w:rsid w:val="009F5B65"/>
    <w:rsid w:val="009F5F2E"/>
    <w:rsid w:val="00A06225"/>
    <w:rsid w:val="00A122FE"/>
    <w:rsid w:val="00A128E6"/>
    <w:rsid w:val="00A37C8D"/>
    <w:rsid w:val="00A45B7B"/>
    <w:rsid w:val="00A51CB8"/>
    <w:rsid w:val="00A5273B"/>
    <w:rsid w:val="00A53A9D"/>
    <w:rsid w:val="00A55FEE"/>
    <w:rsid w:val="00A62C1A"/>
    <w:rsid w:val="00A6426D"/>
    <w:rsid w:val="00A70622"/>
    <w:rsid w:val="00A70977"/>
    <w:rsid w:val="00A76F12"/>
    <w:rsid w:val="00A77613"/>
    <w:rsid w:val="00A77CF6"/>
    <w:rsid w:val="00A82A95"/>
    <w:rsid w:val="00A8390C"/>
    <w:rsid w:val="00A928BD"/>
    <w:rsid w:val="00AA4D1C"/>
    <w:rsid w:val="00AA6527"/>
    <w:rsid w:val="00AC193C"/>
    <w:rsid w:val="00AC5206"/>
    <w:rsid w:val="00AE11A5"/>
    <w:rsid w:val="00AE13E2"/>
    <w:rsid w:val="00AF320B"/>
    <w:rsid w:val="00AF68CC"/>
    <w:rsid w:val="00B05336"/>
    <w:rsid w:val="00B1059E"/>
    <w:rsid w:val="00B205AA"/>
    <w:rsid w:val="00B22E84"/>
    <w:rsid w:val="00B25F75"/>
    <w:rsid w:val="00B43E90"/>
    <w:rsid w:val="00B467DC"/>
    <w:rsid w:val="00B5261B"/>
    <w:rsid w:val="00B56118"/>
    <w:rsid w:val="00B6773F"/>
    <w:rsid w:val="00B76BA5"/>
    <w:rsid w:val="00B76F91"/>
    <w:rsid w:val="00B801BA"/>
    <w:rsid w:val="00BB69F5"/>
    <w:rsid w:val="00BB7EC3"/>
    <w:rsid w:val="00BC4B9A"/>
    <w:rsid w:val="00BD784C"/>
    <w:rsid w:val="00BE7441"/>
    <w:rsid w:val="00BF4CB6"/>
    <w:rsid w:val="00C00DA7"/>
    <w:rsid w:val="00C07955"/>
    <w:rsid w:val="00C12768"/>
    <w:rsid w:val="00C27B58"/>
    <w:rsid w:val="00C35996"/>
    <w:rsid w:val="00C5342C"/>
    <w:rsid w:val="00C56A5A"/>
    <w:rsid w:val="00C603D4"/>
    <w:rsid w:val="00C6256A"/>
    <w:rsid w:val="00C72D5B"/>
    <w:rsid w:val="00C8256F"/>
    <w:rsid w:val="00C85B4F"/>
    <w:rsid w:val="00C91449"/>
    <w:rsid w:val="00C92D10"/>
    <w:rsid w:val="00CA3B96"/>
    <w:rsid w:val="00CB3752"/>
    <w:rsid w:val="00CD0FA0"/>
    <w:rsid w:val="00CD7723"/>
    <w:rsid w:val="00CE10C4"/>
    <w:rsid w:val="00CE27B5"/>
    <w:rsid w:val="00D0321E"/>
    <w:rsid w:val="00D1455A"/>
    <w:rsid w:val="00D174E5"/>
    <w:rsid w:val="00D3138B"/>
    <w:rsid w:val="00D3280C"/>
    <w:rsid w:val="00D32A49"/>
    <w:rsid w:val="00D3406A"/>
    <w:rsid w:val="00D469B2"/>
    <w:rsid w:val="00D741EB"/>
    <w:rsid w:val="00D84934"/>
    <w:rsid w:val="00D90124"/>
    <w:rsid w:val="00D91271"/>
    <w:rsid w:val="00DA2889"/>
    <w:rsid w:val="00DA2CB5"/>
    <w:rsid w:val="00DA4BAC"/>
    <w:rsid w:val="00DB7DF6"/>
    <w:rsid w:val="00DD75F4"/>
    <w:rsid w:val="00DE4E9C"/>
    <w:rsid w:val="00DE6D27"/>
    <w:rsid w:val="00DF1DC6"/>
    <w:rsid w:val="00DF217D"/>
    <w:rsid w:val="00DF26A7"/>
    <w:rsid w:val="00E15627"/>
    <w:rsid w:val="00E164B3"/>
    <w:rsid w:val="00E16910"/>
    <w:rsid w:val="00E411AA"/>
    <w:rsid w:val="00E60AFB"/>
    <w:rsid w:val="00E62763"/>
    <w:rsid w:val="00E65E54"/>
    <w:rsid w:val="00E662F4"/>
    <w:rsid w:val="00E66524"/>
    <w:rsid w:val="00E80155"/>
    <w:rsid w:val="00E80CB1"/>
    <w:rsid w:val="00E848C0"/>
    <w:rsid w:val="00E91B96"/>
    <w:rsid w:val="00E941A1"/>
    <w:rsid w:val="00E95CE3"/>
    <w:rsid w:val="00EA0B3B"/>
    <w:rsid w:val="00EA2825"/>
    <w:rsid w:val="00EB5088"/>
    <w:rsid w:val="00ED08B3"/>
    <w:rsid w:val="00ED1644"/>
    <w:rsid w:val="00ED2593"/>
    <w:rsid w:val="00EF44A0"/>
    <w:rsid w:val="00EF4FED"/>
    <w:rsid w:val="00EF7199"/>
    <w:rsid w:val="00F050BD"/>
    <w:rsid w:val="00F05657"/>
    <w:rsid w:val="00F25578"/>
    <w:rsid w:val="00F258E5"/>
    <w:rsid w:val="00F300BC"/>
    <w:rsid w:val="00F31C3D"/>
    <w:rsid w:val="00F3334E"/>
    <w:rsid w:val="00F50211"/>
    <w:rsid w:val="00F506D6"/>
    <w:rsid w:val="00F50EC4"/>
    <w:rsid w:val="00F53D01"/>
    <w:rsid w:val="00F569E7"/>
    <w:rsid w:val="00F57A6D"/>
    <w:rsid w:val="00F638CC"/>
    <w:rsid w:val="00F64CC1"/>
    <w:rsid w:val="00F8247A"/>
    <w:rsid w:val="00F9629A"/>
    <w:rsid w:val="00FA1C86"/>
    <w:rsid w:val="00FA5883"/>
    <w:rsid w:val="00FA6055"/>
    <w:rsid w:val="00FB322F"/>
    <w:rsid w:val="00FB442F"/>
    <w:rsid w:val="00FC1614"/>
    <w:rsid w:val="00FC1929"/>
    <w:rsid w:val="00FC2A2A"/>
    <w:rsid w:val="00FC5B46"/>
    <w:rsid w:val="00FE03DE"/>
    <w:rsid w:val="00FE0E94"/>
    <w:rsid w:val="00FE11B1"/>
    <w:rsid w:val="00FF00BD"/>
    <w:rsid w:val="00FF1ED4"/>
    <w:rsid w:val="00FF2801"/>
    <w:rsid w:val="00FF5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styleId="Revision">
    <w:name w:val="Revision"/>
    <w:hidden/>
    <w:uiPriority w:val="71"/>
    <w:rsid w:val="00452ECA"/>
    <w:rPr>
      <w:sz w:val="24"/>
      <w:szCs w:val="24"/>
    </w:rPr>
  </w:style>
  <w:style w:type="character" w:customStyle="1" w:styleId="Heading2Char">
    <w:name w:val="Heading 2 Char"/>
    <w:basedOn w:val="DefaultParagraphFont"/>
    <w:link w:val="Heading2"/>
    <w:rsid w:val="00E80CB1"/>
    <w:rPr>
      <w:rFonts w:ascii="Arial" w:hAnsi="Arial"/>
      <w:b/>
      <w: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styleId="Revision">
    <w:name w:val="Revision"/>
    <w:hidden/>
    <w:uiPriority w:val="71"/>
    <w:rsid w:val="00452ECA"/>
    <w:rPr>
      <w:sz w:val="24"/>
      <w:szCs w:val="24"/>
    </w:rPr>
  </w:style>
  <w:style w:type="character" w:customStyle="1" w:styleId="Heading2Char">
    <w:name w:val="Heading 2 Char"/>
    <w:basedOn w:val="DefaultParagraphFont"/>
    <w:link w:val="Heading2"/>
    <w:rsid w:val="00E80CB1"/>
    <w:rPr>
      <w:rFonts w:ascii="Arial" w:hAnsi="Arial"/>
      <w:b/>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E1DA9-9F46-4819-9FBB-CBA9265D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4230</Words>
  <Characters>25493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2017-02-21T04:44:00Z</dcterms:created>
  <dcterms:modified xsi:type="dcterms:W3CDTF">2017-02-21T04:45:00Z</dcterms:modified>
</cp:coreProperties>
</file>