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DD" w:rsidRPr="00E34D7A" w:rsidRDefault="00184ADD" w:rsidP="00DE0911">
      <w:bookmarkStart w:id="0" w:name="_GoBack"/>
      <w:bookmarkEnd w:id="0"/>
    </w:p>
    <w:p w:rsidR="00D3280C" w:rsidRPr="00E34D7A" w:rsidRDefault="00B75D2A" w:rsidP="008A50F1">
      <w:pPr>
        <w:pStyle w:val="Title"/>
        <w:ind w:left="720" w:hanging="720"/>
        <w:rPr>
          <w:szCs w:val="28"/>
        </w:rPr>
      </w:pPr>
      <w:r w:rsidRPr="00E34D7A">
        <w:rPr>
          <w:szCs w:val="28"/>
        </w:rPr>
        <w:t>7.14</w:t>
      </w:r>
      <w:r w:rsidR="007C0F57" w:rsidRPr="00E34D7A">
        <w:rPr>
          <w:szCs w:val="28"/>
        </w:rPr>
        <w:tab/>
      </w:r>
      <w:r w:rsidRPr="00E34D7A">
        <w:rPr>
          <w:szCs w:val="28"/>
        </w:rPr>
        <w:t>FOSAPREPITANT</w:t>
      </w:r>
      <w:r w:rsidR="008A50F1" w:rsidRPr="00E34D7A">
        <w:rPr>
          <w:szCs w:val="28"/>
        </w:rPr>
        <w:br/>
      </w:r>
      <w:r w:rsidRPr="00E34D7A">
        <w:rPr>
          <w:szCs w:val="28"/>
        </w:rPr>
        <w:t>Powder for I.V. infusion 150 mg</w:t>
      </w:r>
      <w:r w:rsidR="008A50F1" w:rsidRPr="00E34D7A">
        <w:rPr>
          <w:szCs w:val="28"/>
        </w:rPr>
        <w:br/>
      </w:r>
      <w:r w:rsidRPr="00E34D7A">
        <w:rPr>
          <w:szCs w:val="28"/>
        </w:rPr>
        <w:t>Emend</w:t>
      </w:r>
      <w:r w:rsidR="0004240E" w:rsidRPr="00E34D7A">
        <w:rPr>
          <w:szCs w:val="28"/>
          <w:vertAlign w:val="superscript"/>
        </w:rPr>
        <w:t>®</w:t>
      </w:r>
      <w:r w:rsidRPr="00E34D7A">
        <w:rPr>
          <w:szCs w:val="28"/>
          <w:vertAlign w:val="superscript"/>
        </w:rPr>
        <w:t xml:space="preserve"> </w:t>
      </w:r>
      <w:r w:rsidRPr="00E34D7A">
        <w:rPr>
          <w:szCs w:val="28"/>
        </w:rPr>
        <w:t>IV</w:t>
      </w:r>
      <w:proofErr w:type="gramStart"/>
      <w:r w:rsidR="00463A5E">
        <w:rPr>
          <w:szCs w:val="28"/>
        </w:rPr>
        <w:t>,</w:t>
      </w:r>
      <w:proofErr w:type="gramEnd"/>
      <w:r w:rsidR="000F1399">
        <w:rPr>
          <w:szCs w:val="28"/>
        </w:rPr>
        <w:br/>
      </w:r>
      <w:r w:rsidRPr="00E34D7A">
        <w:rPr>
          <w:szCs w:val="28"/>
        </w:rPr>
        <w:t>Merck Sharp &amp; Dohme (Australia) Pty Ltd</w:t>
      </w:r>
      <w:r w:rsidR="000F1399">
        <w:rPr>
          <w:szCs w:val="28"/>
        </w:rPr>
        <w:t>.</w:t>
      </w:r>
    </w:p>
    <w:p w:rsidR="00C27B58" w:rsidRPr="00E34D7A" w:rsidRDefault="00C27B58" w:rsidP="00C27B58">
      <w:pPr>
        <w:pStyle w:val="NoSpacing"/>
      </w:pPr>
    </w:p>
    <w:p w:rsidR="00E15627" w:rsidRPr="00E34D7A" w:rsidRDefault="00CE10C4" w:rsidP="00E15627">
      <w:pPr>
        <w:pStyle w:val="PBACHeading1"/>
      </w:pPr>
      <w:r w:rsidRPr="00E34D7A">
        <w:t xml:space="preserve">Purpose of </w:t>
      </w:r>
      <w:r w:rsidR="0004240E" w:rsidRPr="00E34D7A">
        <w:t>Application</w:t>
      </w:r>
    </w:p>
    <w:p w:rsidR="008A50F1" w:rsidRPr="00E34D7A" w:rsidRDefault="008A50F1" w:rsidP="00E15627"/>
    <w:p w:rsidR="00F9629A" w:rsidRPr="00E34D7A" w:rsidRDefault="00EF44A0" w:rsidP="008378AA">
      <w:pPr>
        <w:pStyle w:val="ListParagraph"/>
        <w:numPr>
          <w:ilvl w:val="1"/>
          <w:numId w:val="5"/>
        </w:numPr>
        <w:rPr>
          <w:szCs w:val="22"/>
        </w:rPr>
      </w:pPr>
      <w:r w:rsidRPr="00E34D7A">
        <w:rPr>
          <w:szCs w:val="22"/>
        </w:rPr>
        <w:t>The mi</w:t>
      </w:r>
      <w:r w:rsidR="00FF2801" w:rsidRPr="00E34D7A">
        <w:rPr>
          <w:szCs w:val="22"/>
        </w:rPr>
        <w:t>nor submission requested</w:t>
      </w:r>
      <w:r w:rsidR="008378AA" w:rsidRPr="00E34D7A">
        <w:rPr>
          <w:szCs w:val="22"/>
        </w:rPr>
        <w:t xml:space="preserve"> </w:t>
      </w:r>
      <w:r w:rsidR="002F4D7F" w:rsidRPr="00E34D7A">
        <w:rPr>
          <w:szCs w:val="22"/>
        </w:rPr>
        <w:t>an</w:t>
      </w:r>
      <w:r w:rsidR="008378AA" w:rsidRPr="00E34D7A">
        <w:rPr>
          <w:szCs w:val="22"/>
        </w:rPr>
        <w:t xml:space="preserve"> Authority Required (Streamlined) listing of an intravenous </w:t>
      </w:r>
      <w:r w:rsidR="008F4992" w:rsidRPr="00E34D7A">
        <w:rPr>
          <w:szCs w:val="22"/>
        </w:rPr>
        <w:t xml:space="preserve">(IV) </w:t>
      </w:r>
      <w:r w:rsidR="008378AA" w:rsidRPr="00E34D7A">
        <w:rPr>
          <w:szCs w:val="22"/>
        </w:rPr>
        <w:t>formulation of fosaprepitant for the management of nausea and vomiting associated with cytotoxic chemotherapy.</w:t>
      </w:r>
    </w:p>
    <w:p w:rsidR="00EF44A0" w:rsidRPr="00E34D7A" w:rsidRDefault="00EF44A0" w:rsidP="00C27B58">
      <w:pPr>
        <w:pStyle w:val="NoSpacing"/>
      </w:pPr>
    </w:p>
    <w:p w:rsidR="00161202" w:rsidRPr="00E34D7A" w:rsidRDefault="00161202" w:rsidP="00C27B58">
      <w:pPr>
        <w:pStyle w:val="NoSpacing"/>
      </w:pPr>
    </w:p>
    <w:p w:rsidR="00962223" w:rsidRPr="00E34D7A" w:rsidRDefault="006A12A5" w:rsidP="008A50F1">
      <w:pPr>
        <w:pStyle w:val="PBACHeading1"/>
      </w:pPr>
      <w:r w:rsidRPr="00E34D7A">
        <w:t>Requested listing</w:t>
      </w:r>
    </w:p>
    <w:p w:rsidR="006A12A5" w:rsidRPr="00E34D7A" w:rsidRDefault="006A12A5" w:rsidP="00882085">
      <w:pPr>
        <w:jc w:val="both"/>
        <w:rPr>
          <w:rFonts w:ascii="Arial" w:hAnsi="Arial"/>
          <w:b/>
          <w:sz w:val="22"/>
          <w:szCs w:val="22"/>
        </w:rPr>
      </w:pPr>
    </w:p>
    <w:p w:rsidR="00D659AA" w:rsidRPr="00E34D7A" w:rsidRDefault="00EF44A0" w:rsidP="00810911">
      <w:pPr>
        <w:pStyle w:val="ListParagraph"/>
        <w:numPr>
          <w:ilvl w:val="1"/>
          <w:numId w:val="5"/>
        </w:numPr>
        <w:spacing w:after="120"/>
        <w:contextualSpacing w:val="0"/>
        <w:rPr>
          <w:szCs w:val="22"/>
        </w:rPr>
      </w:pPr>
      <w:r w:rsidRPr="00E34D7A">
        <w:rPr>
          <w:szCs w:val="22"/>
        </w:rPr>
        <w:t xml:space="preserve">The </w:t>
      </w:r>
      <w:r w:rsidR="00D659AA" w:rsidRPr="00E34D7A">
        <w:rPr>
          <w:szCs w:val="22"/>
        </w:rPr>
        <w:t xml:space="preserve">submission sought the same </w:t>
      </w:r>
      <w:r w:rsidR="000C3EDB" w:rsidRPr="00E34D7A">
        <w:rPr>
          <w:szCs w:val="22"/>
        </w:rPr>
        <w:t>restrictions</w:t>
      </w:r>
      <w:r w:rsidR="00233DD5" w:rsidRPr="00E34D7A">
        <w:rPr>
          <w:szCs w:val="22"/>
        </w:rPr>
        <w:t xml:space="preserve"> and price</w:t>
      </w:r>
      <w:r w:rsidR="00D659AA" w:rsidRPr="00E34D7A">
        <w:rPr>
          <w:szCs w:val="22"/>
        </w:rPr>
        <w:t xml:space="preserve"> as aprepitant</w:t>
      </w:r>
      <w:r w:rsidR="008F4992" w:rsidRPr="00E34D7A">
        <w:rPr>
          <w:szCs w:val="22"/>
        </w:rPr>
        <w:t xml:space="preserve">. Aprepitant has </w:t>
      </w:r>
      <w:r w:rsidR="007355A3" w:rsidRPr="00E34D7A">
        <w:rPr>
          <w:szCs w:val="22"/>
        </w:rPr>
        <w:t>General Schedule and Section 100 (Efficient Funding of C</w:t>
      </w:r>
      <w:r w:rsidR="00FF31F1" w:rsidRPr="00E34D7A">
        <w:rPr>
          <w:szCs w:val="22"/>
        </w:rPr>
        <w:t xml:space="preserve">hemotherapy – Related </w:t>
      </w:r>
      <w:r w:rsidR="008F4992" w:rsidRPr="00E34D7A">
        <w:rPr>
          <w:szCs w:val="22"/>
        </w:rPr>
        <w:t>Benefits</w:t>
      </w:r>
      <w:r w:rsidR="00084DCD" w:rsidRPr="00E34D7A">
        <w:rPr>
          <w:szCs w:val="22"/>
        </w:rPr>
        <w:t xml:space="preserve">; </w:t>
      </w:r>
      <w:r w:rsidR="008F4992" w:rsidRPr="00E34D7A">
        <w:rPr>
          <w:szCs w:val="22"/>
        </w:rPr>
        <w:t>s100 CT)</w:t>
      </w:r>
      <w:r w:rsidR="007355A3" w:rsidRPr="00E34D7A">
        <w:rPr>
          <w:szCs w:val="22"/>
        </w:rPr>
        <w:t xml:space="preserve"> Authority Required (Streamlined)</w:t>
      </w:r>
      <w:r w:rsidR="008F4992" w:rsidRPr="00E34D7A">
        <w:rPr>
          <w:szCs w:val="22"/>
        </w:rPr>
        <w:t xml:space="preserve"> listings for</w:t>
      </w:r>
      <w:r w:rsidR="007355A3" w:rsidRPr="00E34D7A">
        <w:rPr>
          <w:szCs w:val="22"/>
        </w:rPr>
        <w:t xml:space="preserve"> </w:t>
      </w:r>
      <w:r w:rsidR="00810345" w:rsidRPr="00E34D7A">
        <w:rPr>
          <w:szCs w:val="22"/>
        </w:rPr>
        <w:t>us</w:t>
      </w:r>
      <w:r w:rsidR="00084DCD" w:rsidRPr="00E34D7A">
        <w:rPr>
          <w:szCs w:val="22"/>
        </w:rPr>
        <w:t>e</w:t>
      </w:r>
      <w:r w:rsidR="008F4992" w:rsidRPr="00E34D7A">
        <w:rPr>
          <w:szCs w:val="22"/>
        </w:rPr>
        <w:t xml:space="preserve"> as</w:t>
      </w:r>
      <w:r w:rsidR="00D659AA" w:rsidRPr="00E34D7A">
        <w:rPr>
          <w:szCs w:val="22"/>
        </w:rPr>
        <w:t>:</w:t>
      </w:r>
    </w:p>
    <w:p w:rsidR="00ED6FF9" w:rsidRPr="00E34D7A" w:rsidRDefault="008F4992" w:rsidP="00810911">
      <w:pPr>
        <w:pStyle w:val="ListParagraph"/>
        <w:numPr>
          <w:ilvl w:val="2"/>
          <w:numId w:val="5"/>
        </w:numPr>
        <w:tabs>
          <w:tab w:val="left" w:pos="1134"/>
        </w:tabs>
        <w:spacing w:after="120"/>
        <w:ind w:left="1135" w:hanging="284"/>
        <w:contextualSpacing w:val="0"/>
        <w:rPr>
          <w:szCs w:val="22"/>
        </w:rPr>
      </w:pPr>
      <w:r w:rsidRPr="00E34D7A">
        <w:rPr>
          <w:szCs w:val="22"/>
        </w:rPr>
        <w:t>Primary prophylaxis prior</w:t>
      </w:r>
      <w:r w:rsidR="00ED6FF9" w:rsidRPr="00E34D7A">
        <w:rPr>
          <w:szCs w:val="22"/>
        </w:rPr>
        <w:t xml:space="preserve"> to highly emetogenic chemotherapy</w:t>
      </w:r>
      <w:r w:rsidRPr="00E34D7A">
        <w:rPr>
          <w:szCs w:val="22"/>
        </w:rPr>
        <w:t xml:space="preserve"> (HEC) or </w:t>
      </w:r>
      <w:r w:rsidR="00ED6FF9" w:rsidRPr="00E34D7A">
        <w:rPr>
          <w:szCs w:val="22"/>
        </w:rPr>
        <w:t>prior to breast cancer chemotherapy with cyclophos</w:t>
      </w:r>
      <w:r w:rsidR="00810911" w:rsidRPr="00E34D7A">
        <w:rPr>
          <w:szCs w:val="22"/>
        </w:rPr>
        <w:t>ph</w:t>
      </w:r>
      <w:r w:rsidR="00463A5E">
        <w:rPr>
          <w:szCs w:val="22"/>
        </w:rPr>
        <w:t>amide and an anthracycline.</w:t>
      </w:r>
    </w:p>
    <w:p w:rsidR="00810345" w:rsidRPr="00E34D7A" w:rsidRDefault="008F4992" w:rsidP="00810911">
      <w:pPr>
        <w:pStyle w:val="ListParagraph"/>
        <w:numPr>
          <w:ilvl w:val="2"/>
          <w:numId w:val="5"/>
        </w:numPr>
        <w:tabs>
          <w:tab w:val="left" w:pos="1134"/>
        </w:tabs>
        <w:spacing w:after="120"/>
        <w:ind w:left="1135" w:hanging="284"/>
        <w:contextualSpacing w:val="0"/>
        <w:rPr>
          <w:szCs w:val="22"/>
        </w:rPr>
      </w:pPr>
      <w:r w:rsidRPr="00E34D7A">
        <w:rPr>
          <w:szCs w:val="22"/>
        </w:rPr>
        <w:t xml:space="preserve">Secondary prophylaxis prior to </w:t>
      </w:r>
      <w:r w:rsidR="00810345" w:rsidRPr="00E34D7A">
        <w:rPr>
          <w:szCs w:val="22"/>
        </w:rPr>
        <w:t>moderately emetogenic chemotherapy</w:t>
      </w:r>
      <w:r w:rsidR="00AE1197" w:rsidRPr="00E34D7A">
        <w:rPr>
          <w:szCs w:val="22"/>
        </w:rPr>
        <w:t xml:space="preserve"> (MEC)</w:t>
      </w:r>
      <w:r w:rsidRPr="00E34D7A">
        <w:rPr>
          <w:szCs w:val="22"/>
        </w:rPr>
        <w:t>.</w:t>
      </w:r>
    </w:p>
    <w:p w:rsidR="00CF1F7D" w:rsidRPr="00E34D7A" w:rsidRDefault="008F4992" w:rsidP="00810911">
      <w:pPr>
        <w:pStyle w:val="ListParagraph"/>
        <w:numPr>
          <w:ilvl w:val="2"/>
          <w:numId w:val="5"/>
        </w:numPr>
        <w:tabs>
          <w:tab w:val="left" w:pos="1134"/>
        </w:tabs>
        <w:spacing w:after="120"/>
        <w:ind w:left="1135" w:hanging="284"/>
        <w:contextualSpacing w:val="0"/>
        <w:rPr>
          <w:szCs w:val="22"/>
        </w:rPr>
      </w:pPr>
      <w:r w:rsidRPr="00E34D7A">
        <w:rPr>
          <w:szCs w:val="22"/>
        </w:rPr>
        <w:t>Primary prophylaxis prior to administration of carboplatin/oxaliplatin regimens</w:t>
      </w:r>
      <w:r w:rsidR="00FF31F1" w:rsidRPr="00E34D7A">
        <w:rPr>
          <w:szCs w:val="22"/>
        </w:rPr>
        <w:t>.</w:t>
      </w:r>
    </w:p>
    <w:p w:rsidR="00487E8E" w:rsidRDefault="00487E8E" w:rsidP="00CF1F7D">
      <w:pPr>
        <w:pStyle w:val="ListParagraph"/>
        <w:tabs>
          <w:tab w:val="left" w:pos="1134"/>
        </w:tabs>
        <w:rPr>
          <w:i/>
          <w:szCs w:val="22"/>
        </w:rPr>
      </w:pPr>
    </w:p>
    <w:p w:rsidR="00CF1F7D" w:rsidRPr="00E34D7A" w:rsidRDefault="001E5054" w:rsidP="00CF1F7D">
      <w:pPr>
        <w:pStyle w:val="ListParagraph"/>
        <w:tabs>
          <w:tab w:val="left" w:pos="1134"/>
        </w:tabs>
        <w:rPr>
          <w:i/>
          <w:szCs w:val="22"/>
        </w:rPr>
      </w:pPr>
      <w:r w:rsidRPr="00E34D7A">
        <w:rPr>
          <w:i/>
          <w:szCs w:val="22"/>
        </w:rPr>
        <w:t>For more detail on PBAC’s view, see section 7 “PBAC outcome”</w:t>
      </w:r>
    </w:p>
    <w:p w:rsidR="001E5054" w:rsidRPr="00E34D7A" w:rsidRDefault="001E5054" w:rsidP="00CF1F7D">
      <w:pPr>
        <w:pStyle w:val="ListParagraph"/>
        <w:tabs>
          <w:tab w:val="left" w:pos="1134"/>
        </w:tabs>
        <w:rPr>
          <w:szCs w:val="22"/>
        </w:rPr>
      </w:pPr>
    </w:p>
    <w:p w:rsidR="00810911" w:rsidRPr="00E34D7A" w:rsidRDefault="00810911" w:rsidP="00CF1F7D">
      <w:pPr>
        <w:pStyle w:val="ListParagraph"/>
        <w:tabs>
          <w:tab w:val="left" w:pos="1134"/>
        </w:tabs>
        <w:rPr>
          <w:szCs w:val="22"/>
        </w:rPr>
      </w:pPr>
    </w:p>
    <w:p w:rsidR="00CF1F7D" w:rsidRPr="00E34D7A" w:rsidRDefault="00CF1F7D" w:rsidP="00CF1F7D">
      <w:pPr>
        <w:pStyle w:val="PBACHeading1"/>
      </w:pPr>
      <w:r w:rsidRPr="00E34D7A">
        <w:t>Background</w:t>
      </w:r>
    </w:p>
    <w:p w:rsidR="00CF1F7D" w:rsidRPr="00E34D7A" w:rsidRDefault="00CF1F7D" w:rsidP="00CF1F7D">
      <w:pPr>
        <w:pStyle w:val="ListParagraph"/>
        <w:rPr>
          <w:i/>
          <w:szCs w:val="22"/>
        </w:rPr>
      </w:pPr>
    </w:p>
    <w:p w:rsidR="00CF1F7D" w:rsidRPr="00E34D7A" w:rsidRDefault="00CF1F7D" w:rsidP="00CF1F7D">
      <w:pPr>
        <w:pStyle w:val="ListParagraph"/>
        <w:numPr>
          <w:ilvl w:val="1"/>
          <w:numId w:val="5"/>
        </w:numPr>
        <w:rPr>
          <w:i/>
          <w:szCs w:val="22"/>
        </w:rPr>
      </w:pPr>
      <w:r w:rsidRPr="00E34D7A">
        <w:rPr>
          <w:szCs w:val="22"/>
        </w:rPr>
        <w:t>Fosaprepitant is TGA registered for use in combination with other antiemetic agents, for the prevention of acute and delayed nausea and vomiting associated with initial and repeat courses of highly, or moderately emetogenic cancer chemotherapy.</w:t>
      </w:r>
    </w:p>
    <w:p w:rsidR="00CF1F7D" w:rsidRPr="00E34D7A" w:rsidRDefault="00CF1F7D" w:rsidP="00CF1F7D">
      <w:pPr>
        <w:pStyle w:val="ListParagraph"/>
        <w:rPr>
          <w:szCs w:val="22"/>
        </w:rPr>
      </w:pPr>
    </w:p>
    <w:p w:rsidR="00233DD5" w:rsidRPr="00E34D7A" w:rsidRDefault="00CF1F7D" w:rsidP="00233DD5">
      <w:pPr>
        <w:pStyle w:val="ListParagraph"/>
        <w:numPr>
          <w:ilvl w:val="1"/>
          <w:numId w:val="5"/>
        </w:numPr>
        <w:rPr>
          <w:szCs w:val="22"/>
        </w:rPr>
      </w:pPr>
      <w:r w:rsidRPr="00E34D7A">
        <w:rPr>
          <w:szCs w:val="22"/>
        </w:rPr>
        <w:t>Fosaprepitant was previously recommended by the PBAC in March 2011, on a cost</w:t>
      </w:r>
      <w:r w:rsidR="00084DCD" w:rsidRPr="00E34D7A">
        <w:rPr>
          <w:szCs w:val="22"/>
        </w:rPr>
        <w:noBreakHyphen/>
      </w:r>
      <w:r w:rsidRPr="00E34D7A">
        <w:rPr>
          <w:szCs w:val="22"/>
        </w:rPr>
        <w:t xml:space="preserve">minimisation basis against aprepitant </w:t>
      </w:r>
      <w:r w:rsidR="00084DCD" w:rsidRPr="00E34D7A">
        <w:rPr>
          <w:szCs w:val="22"/>
        </w:rPr>
        <w:t xml:space="preserve">oral </w:t>
      </w:r>
      <w:r w:rsidRPr="00E34D7A">
        <w:rPr>
          <w:szCs w:val="22"/>
        </w:rPr>
        <w:t>three-day regimen (125 mg on day 1, 80 mg on days 2 and 3). The PBAC recommended that a cost offset should apply for the IV formulation to account for additional nursing resources and chair time.</w:t>
      </w:r>
    </w:p>
    <w:p w:rsidR="00233DD5" w:rsidRPr="00E34D7A" w:rsidRDefault="00233DD5" w:rsidP="00233DD5">
      <w:pPr>
        <w:pStyle w:val="ListParagraph"/>
        <w:rPr>
          <w:szCs w:val="22"/>
        </w:rPr>
      </w:pPr>
    </w:p>
    <w:p w:rsidR="00970E19" w:rsidRPr="00E34D7A" w:rsidRDefault="00233DD5" w:rsidP="00970E19">
      <w:pPr>
        <w:pStyle w:val="ListParagraph"/>
        <w:numPr>
          <w:ilvl w:val="1"/>
          <w:numId w:val="5"/>
        </w:numPr>
        <w:rPr>
          <w:szCs w:val="22"/>
        </w:rPr>
      </w:pPr>
      <w:r w:rsidRPr="00E34D7A">
        <w:rPr>
          <w:szCs w:val="22"/>
        </w:rPr>
        <w:t>The sponsor did not accept the PBAC’s pricing recommendation in relation to this listing, and it did not proceed.</w:t>
      </w:r>
      <w:r w:rsidR="005D39A0" w:rsidRPr="00E34D7A">
        <w:rPr>
          <w:szCs w:val="22"/>
        </w:rPr>
        <w:t xml:space="preserve"> At the March 2016 meeting, the previous recommendation was </w:t>
      </w:r>
      <w:r w:rsidR="00084DCD" w:rsidRPr="00E34D7A">
        <w:rPr>
          <w:szCs w:val="22"/>
        </w:rPr>
        <w:t xml:space="preserve">rescinded </w:t>
      </w:r>
      <w:r w:rsidR="005D39A0" w:rsidRPr="00E34D7A">
        <w:rPr>
          <w:szCs w:val="22"/>
        </w:rPr>
        <w:t xml:space="preserve">on the basis that PBAC recommendations </w:t>
      </w:r>
      <w:r w:rsidR="00084DCD" w:rsidRPr="00E34D7A">
        <w:rPr>
          <w:szCs w:val="22"/>
        </w:rPr>
        <w:t xml:space="preserve">that </w:t>
      </w:r>
      <w:r w:rsidR="005D39A0" w:rsidRPr="00E34D7A">
        <w:rPr>
          <w:szCs w:val="22"/>
        </w:rPr>
        <w:t xml:space="preserve">have </w:t>
      </w:r>
      <w:r w:rsidR="00084DCD" w:rsidRPr="00E34D7A">
        <w:rPr>
          <w:szCs w:val="22"/>
        </w:rPr>
        <w:t xml:space="preserve">not </w:t>
      </w:r>
      <w:r w:rsidR="005D39A0" w:rsidRPr="00E34D7A">
        <w:rPr>
          <w:szCs w:val="22"/>
        </w:rPr>
        <w:t>been implemented and are more than five years old are no longer considered reliable by the Committee due to the passage of time.</w:t>
      </w:r>
    </w:p>
    <w:p w:rsidR="00970E19" w:rsidRPr="00E34D7A" w:rsidRDefault="00970E19" w:rsidP="00970E19">
      <w:pPr>
        <w:pStyle w:val="ListParagraph"/>
        <w:rPr>
          <w:szCs w:val="22"/>
        </w:rPr>
      </w:pPr>
    </w:p>
    <w:p w:rsidR="00970E19" w:rsidRPr="00E34D7A" w:rsidRDefault="00970E19" w:rsidP="00810911">
      <w:pPr>
        <w:pStyle w:val="ListParagraph"/>
        <w:numPr>
          <w:ilvl w:val="1"/>
          <w:numId w:val="5"/>
        </w:numPr>
        <w:spacing w:after="120"/>
        <w:contextualSpacing w:val="0"/>
        <w:rPr>
          <w:szCs w:val="22"/>
        </w:rPr>
      </w:pPr>
      <w:r w:rsidRPr="00E34D7A">
        <w:rPr>
          <w:szCs w:val="22"/>
        </w:rPr>
        <w:t>Other</w:t>
      </w:r>
      <w:r w:rsidR="00BF7EA5" w:rsidRPr="00E34D7A">
        <w:rPr>
          <w:szCs w:val="22"/>
        </w:rPr>
        <w:t xml:space="preserve"> </w:t>
      </w:r>
      <w:r w:rsidR="00084DCD" w:rsidRPr="00E34D7A">
        <w:rPr>
          <w:szCs w:val="22"/>
        </w:rPr>
        <w:t xml:space="preserve">relevant </w:t>
      </w:r>
      <w:r w:rsidR="00BF7EA5" w:rsidRPr="00E34D7A">
        <w:rPr>
          <w:szCs w:val="22"/>
        </w:rPr>
        <w:t xml:space="preserve">PBAC </w:t>
      </w:r>
      <w:r w:rsidRPr="00E34D7A">
        <w:rPr>
          <w:szCs w:val="22"/>
        </w:rPr>
        <w:t>considerations in the past five years:</w:t>
      </w:r>
    </w:p>
    <w:p w:rsidR="00970E19" w:rsidRPr="00E34D7A" w:rsidRDefault="00970E19" w:rsidP="00810911">
      <w:pPr>
        <w:pStyle w:val="ListParagraph"/>
        <w:numPr>
          <w:ilvl w:val="2"/>
          <w:numId w:val="5"/>
        </w:numPr>
        <w:tabs>
          <w:tab w:val="left" w:pos="1134"/>
        </w:tabs>
        <w:spacing w:after="120"/>
        <w:ind w:left="1134" w:hanging="283"/>
        <w:contextualSpacing w:val="0"/>
        <w:rPr>
          <w:szCs w:val="22"/>
        </w:rPr>
      </w:pPr>
      <w:r w:rsidRPr="00E34D7A">
        <w:rPr>
          <w:szCs w:val="22"/>
        </w:rPr>
        <w:t xml:space="preserve">July 2011: Fosaprepitant </w:t>
      </w:r>
      <w:r w:rsidR="007F155C" w:rsidRPr="00E34D7A">
        <w:rPr>
          <w:szCs w:val="22"/>
        </w:rPr>
        <w:t>–</w:t>
      </w:r>
      <w:r w:rsidRPr="00E34D7A">
        <w:rPr>
          <w:szCs w:val="22"/>
        </w:rPr>
        <w:t xml:space="preserve"> Request for PBAC advice regarding an appropriate cost for the nursing time associated with the adm</w:t>
      </w:r>
      <w:r w:rsidR="00BF7EA5" w:rsidRPr="00E34D7A">
        <w:rPr>
          <w:szCs w:val="22"/>
        </w:rPr>
        <w:t xml:space="preserve">inistration of fosaprepitant. The PBAC remained of the opinion that nursing resources need to be offset in the </w:t>
      </w:r>
      <w:r w:rsidR="00BF7EA5" w:rsidRPr="00E34D7A">
        <w:rPr>
          <w:szCs w:val="22"/>
        </w:rPr>
        <w:lastRenderedPageBreak/>
        <w:t xml:space="preserve">determination </w:t>
      </w:r>
      <w:r w:rsidR="007F155C" w:rsidRPr="00E34D7A">
        <w:rPr>
          <w:szCs w:val="22"/>
        </w:rPr>
        <w:t>of</w:t>
      </w:r>
      <w:r w:rsidR="00BF7EA5" w:rsidRPr="00E34D7A">
        <w:rPr>
          <w:szCs w:val="22"/>
        </w:rPr>
        <w:t xml:space="preserve"> fosaprepitant’s price and that there would also be extra costs incurred for “chair” time for some patients</w:t>
      </w:r>
      <w:r w:rsidR="007F56FE" w:rsidRPr="00E34D7A">
        <w:rPr>
          <w:szCs w:val="22"/>
        </w:rPr>
        <w:t>, but was uncertain of the value that should be applied.</w:t>
      </w:r>
    </w:p>
    <w:p w:rsidR="007F155C" w:rsidRPr="00E34D7A" w:rsidRDefault="00970E19" w:rsidP="00810911">
      <w:pPr>
        <w:pStyle w:val="ListParagraph"/>
        <w:numPr>
          <w:ilvl w:val="2"/>
          <w:numId w:val="5"/>
        </w:numPr>
        <w:tabs>
          <w:tab w:val="left" w:pos="1134"/>
        </w:tabs>
        <w:spacing w:after="120"/>
        <w:ind w:left="1134" w:hanging="283"/>
        <w:contextualSpacing w:val="0"/>
        <w:rPr>
          <w:szCs w:val="22"/>
        </w:rPr>
      </w:pPr>
      <w:r w:rsidRPr="00E34D7A">
        <w:rPr>
          <w:szCs w:val="22"/>
        </w:rPr>
        <w:t xml:space="preserve">July 2012: Aprepitant </w:t>
      </w:r>
      <w:r w:rsidR="007F155C" w:rsidRPr="00E34D7A">
        <w:rPr>
          <w:szCs w:val="22"/>
        </w:rPr>
        <w:t>–</w:t>
      </w:r>
      <w:r w:rsidRPr="00E34D7A">
        <w:rPr>
          <w:szCs w:val="22"/>
        </w:rPr>
        <w:t xml:space="preserve"> </w:t>
      </w:r>
      <w:r w:rsidR="00084DCD" w:rsidRPr="00E34D7A">
        <w:rPr>
          <w:szCs w:val="22"/>
        </w:rPr>
        <w:t xml:space="preserve">The PBAC </w:t>
      </w:r>
      <w:r w:rsidR="00D102F2" w:rsidRPr="00E34D7A">
        <w:rPr>
          <w:szCs w:val="22"/>
        </w:rPr>
        <w:t>r</w:t>
      </w:r>
      <w:r w:rsidR="00084DCD" w:rsidRPr="00E34D7A">
        <w:rPr>
          <w:szCs w:val="22"/>
        </w:rPr>
        <w:t xml:space="preserve">ecommended </w:t>
      </w:r>
      <w:r w:rsidRPr="00E34D7A">
        <w:rPr>
          <w:szCs w:val="22"/>
        </w:rPr>
        <w:t>Authority</w:t>
      </w:r>
      <w:r w:rsidR="007F155C" w:rsidRPr="00E34D7A">
        <w:rPr>
          <w:szCs w:val="22"/>
        </w:rPr>
        <w:t xml:space="preserve"> Required (Streamlined</w:t>
      </w:r>
      <w:r w:rsidRPr="00E34D7A">
        <w:rPr>
          <w:szCs w:val="22"/>
        </w:rPr>
        <w:t>) listing of a higher strength, single dose oral presentation with the same indications as the current PBS listing for the three day dose pack.</w:t>
      </w:r>
      <w:r w:rsidR="007F155C" w:rsidRPr="00E34D7A">
        <w:rPr>
          <w:szCs w:val="22"/>
        </w:rPr>
        <w:t xml:space="preserve"> The PBAC </w:t>
      </w:r>
      <w:r w:rsidR="00084DCD" w:rsidRPr="00E34D7A">
        <w:rPr>
          <w:szCs w:val="22"/>
        </w:rPr>
        <w:t xml:space="preserve">subsequently </w:t>
      </w:r>
      <w:r w:rsidR="003768A1">
        <w:rPr>
          <w:szCs w:val="22"/>
        </w:rPr>
        <w:t>advised that it had no concerns with the</w:t>
      </w:r>
      <w:r w:rsidR="003768A1" w:rsidRPr="00E34D7A">
        <w:rPr>
          <w:szCs w:val="22"/>
        </w:rPr>
        <w:t xml:space="preserve"> </w:t>
      </w:r>
      <w:r w:rsidR="00084DCD" w:rsidRPr="00E34D7A">
        <w:rPr>
          <w:szCs w:val="22"/>
        </w:rPr>
        <w:t xml:space="preserve">deletion of </w:t>
      </w:r>
      <w:r w:rsidRPr="00E34D7A">
        <w:rPr>
          <w:szCs w:val="22"/>
        </w:rPr>
        <w:t>the three</w:t>
      </w:r>
      <w:r w:rsidR="007F155C" w:rsidRPr="00E34D7A">
        <w:rPr>
          <w:szCs w:val="22"/>
        </w:rPr>
        <w:t>-</w:t>
      </w:r>
      <w:r w:rsidRPr="00E34D7A">
        <w:rPr>
          <w:szCs w:val="22"/>
        </w:rPr>
        <w:t>dose regimen</w:t>
      </w:r>
      <w:r w:rsidR="007F155C" w:rsidRPr="00E34D7A">
        <w:rPr>
          <w:szCs w:val="22"/>
        </w:rPr>
        <w:t xml:space="preserve"> </w:t>
      </w:r>
      <w:r w:rsidR="00084DCD" w:rsidRPr="00E34D7A">
        <w:rPr>
          <w:szCs w:val="22"/>
        </w:rPr>
        <w:t xml:space="preserve">from the PBS </w:t>
      </w:r>
      <w:r w:rsidR="007F155C" w:rsidRPr="00E34D7A">
        <w:rPr>
          <w:szCs w:val="22"/>
        </w:rPr>
        <w:t>in November</w:t>
      </w:r>
      <w:r w:rsidR="00084DCD" w:rsidRPr="00E34D7A">
        <w:rPr>
          <w:szCs w:val="22"/>
        </w:rPr>
        <w:t> </w:t>
      </w:r>
      <w:r w:rsidR="001B385C">
        <w:rPr>
          <w:szCs w:val="22"/>
        </w:rPr>
        <w:t>2013.</w:t>
      </w:r>
    </w:p>
    <w:p w:rsidR="00970E19" w:rsidRPr="00E34D7A" w:rsidRDefault="00970E19" w:rsidP="00810911">
      <w:pPr>
        <w:pStyle w:val="ListParagraph"/>
        <w:numPr>
          <w:ilvl w:val="2"/>
          <w:numId w:val="5"/>
        </w:numPr>
        <w:tabs>
          <w:tab w:val="left" w:pos="1134"/>
        </w:tabs>
        <w:spacing w:after="120"/>
        <w:ind w:left="1134" w:hanging="283"/>
        <w:contextualSpacing w:val="0"/>
        <w:rPr>
          <w:szCs w:val="22"/>
        </w:rPr>
      </w:pPr>
      <w:r w:rsidRPr="00E34D7A">
        <w:rPr>
          <w:szCs w:val="22"/>
        </w:rPr>
        <w:t xml:space="preserve">November 2015: Aprepitant </w:t>
      </w:r>
      <w:r w:rsidR="007F155C" w:rsidRPr="00E34D7A">
        <w:rPr>
          <w:szCs w:val="22"/>
        </w:rPr>
        <w:t>–</w:t>
      </w:r>
      <w:r w:rsidRPr="00E34D7A">
        <w:rPr>
          <w:szCs w:val="22"/>
        </w:rPr>
        <w:t xml:space="preserve"> </w:t>
      </w:r>
      <w:r w:rsidR="00084DCD" w:rsidRPr="00E34D7A">
        <w:rPr>
          <w:szCs w:val="22"/>
        </w:rPr>
        <w:t>The PBAC rejected the r</w:t>
      </w:r>
      <w:r w:rsidR="007F155C" w:rsidRPr="00E34D7A">
        <w:rPr>
          <w:szCs w:val="22"/>
        </w:rPr>
        <w:t xml:space="preserve">equest </w:t>
      </w:r>
      <w:r w:rsidR="00BE7ED7" w:rsidRPr="00E34D7A">
        <w:rPr>
          <w:szCs w:val="22"/>
        </w:rPr>
        <w:t>for</w:t>
      </w:r>
      <w:r w:rsidRPr="00E34D7A">
        <w:rPr>
          <w:szCs w:val="22"/>
        </w:rPr>
        <w:t xml:space="preserve"> an extension to the listing to include use with carboplatin/oxaliplatin regimens from the first chemotherapy cycle without having a prior episode of chemotherapy induced nausea and vomiting</w:t>
      </w:r>
      <w:r w:rsidR="007F155C" w:rsidRPr="00E34D7A">
        <w:rPr>
          <w:szCs w:val="22"/>
        </w:rPr>
        <w:t xml:space="preserve"> (CINV)</w:t>
      </w:r>
      <w:r w:rsidR="00AE1197" w:rsidRPr="00E34D7A">
        <w:rPr>
          <w:szCs w:val="22"/>
        </w:rPr>
        <w:t xml:space="preserve"> on the basis that the cost-effectiveness in this setting was not adequately demonstrated.</w:t>
      </w:r>
    </w:p>
    <w:p w:rsidR="00970E19" w:rsidRPr="00E34D7A" w:rsidRDefault="00970E19" w:rsidP="00D86D06">
      <w:pPr>
        <w:pStyle w:val="ListParagraph"/>
        <w:numPr>
          <w:ilvl w:val="2"/>
          <w:numId w:val="5"/>
        </w:numPr>
        <w:tabs>
          <w:tab w:val="left" w:pos="1134"/>
        </w:tabs>
        <w:ind w:left="1134" w:hanging="283"/>
        <w:contextualSpacing w:val="0"/>
        <w:rPr>
          <w:szCs w:val="22"/>
        </w:rPr>
      </w:pPr>
      <w:r w:rsidRPr="00E34D7A">
        <w:rPr>
          <w:szCs w:val="22"/>
        </w:rPr>
        <w:t xml:space="preserve">March 2016: Aprepitant </w:t>
      </w:r>
      <w:r w:rsidR="00AE1197" w:rsidRPr="00E34D7A">
        <w:rPr>
          <w:szCs w:val="22"/>
        </w:rPr>
        <w:t>–</w:t>
      </w:r>
      <w:r w:rsidRPr="00E34D7A">
        <w:rPr>
          <w:szCs w:val="22"/>
        </w:rPr>
        <w:t xml:space="preserve"> Re-submission</w:t>
      </w:r>
      <w:r w:rsidR="00AE1197" w:rsidRPr="00E34D7A">
        <w:rPr>
          <w:szCs w:val="22"/>
        </w:rPr>
        <w:t xml:space="preserve"> </w:t>
      </w:r>
      <w:r w:rsidR="00084DCD" w:rsidRPr="00E34D7A">
        <w:rPr>
          <w:szCs w:val="22"/>
        </w:rPr>
        <w:t xml:space="preserve">relating to </w:t>
      </w:r>
      <w:r w:rsidR="00D102F2" w:rsidRPr="00E34D7A">
        <w:rPr>
          <w:szCs w:val="22"/>
        </w:rPr>
        <w:t>the</w:t>
      </w:r>
      <w:r w:rsidR="00084DCD" w:rsidRPr="00E34D7A">
        <w:rPr>
          <w:szCs w:val="22"/>
        </w:rPr>
        <w:t xml:space="preserve"> </w:t>
      </w:r>
      <w:r w:rsidR="00AE1197" w:rsidRPr="00E34D7A">
        <w:rPr>
          <w:szCs w:val="22"/>
        </w:rPr>
        <w:t xml:space="preserve">November 2015 request. </w:t>
      </w:r>
      <w:r w:rsidR="00084DCD" w:rsidRPr="00E34D7A">
        <w:rPr>
          <w:szCs w:val="22"/>
        </w:rPr>
        <w:t>Extension of the listing was r</w:t>
      </w:r>
      <w:r w:rsidR="00AE1197" w:rsidRPr="00E34D7A">
        <w:rPr>
          <w:szCs w:val="22"/>
        </w:rPr>
        <w:t>ecommended on the basis of cost</w:t>
      </w:r>
      <w:r w:rsidR="00084DCD" w:rsidRPr="00E34D7A">
        <w:rPr>
          <w:szCs w:val="22"/>
        </w:rPr>
        <w:noBreakHyphen/>
      </w:r>
      <w:r w:rsidR="00AE1197" w:rsidRPr="00E34D7A">
        <w:rPr>
          <w:szCs w:val="22"/>
        </w:rPr>
        <w:t>minimisation to the price of aprepitant use in MEC, with an RSA applied.</w:t>
      </w:r>
    </w:p>
    <w:p w:rsidR="001E5054" w:rsidRPr="00E34D7A" w:rsidRDefault="001E5054" w:rsidP="00970E19">
      <w:pPr>
        <w:pStyle w:val="ListParagraph"/>
        <w:rPr>
          <w:szCs w:val="22"/>
        </w:rPr>
      </w:pPr>
    </w:p>
    <w:p w:rsidR="00E50E42" w:rsidRPr="00E34D7A" w:rsidRDefault="00E50E42" w:rsidP="00970E19">
      <w:pPr>
        <w:pStyle w:val="ListParagraph"/>
        <w:rPr>
          <w:szCs w:val="22"/>
        </w:rPr>
      </w:pPr>
    </w:p>
    <w:p w:rsidR="00CE10C4" w:rsidRPr="00E34D7A" w:rsidRDefault="00CE10C4" w:rsidP="008A50F1">
      <w:pPr>
        <w:pStyle w:val="PBACHeading1"/>
      </w:pPr>
      <w:r w:rsidRPr="00E34D7A">
        <w:t>Clinical place for the proposed ther</w:t>
      </w:r>
      <w:r w:rsidR="006A12A5" w:rsidRPr="00E34D7A">
        <w:t>apy</w:t>
      </w:r>
    </w:p>
    <w:p w:rsidR="00CE10C4" w:rsidRPr="00E34D7A" w:rsidRDefault="00CE10C4" w:rsidP="00882085">
      <w:pPr>
        <w:jc w:val="both"/>
        <w:rPr>
          <w:rFonts w:ascii="Arial" w:hAnsi="Arial"/>
          <w:sz w:val="22"/>
          <w:szCs w:val="22"/>
        </w:rPr>
      </w:pPr>
    </w:p>
    <w:p w:rsidR="006871DB" w:rsidRPr="008B2716" w:rsidRDefault="008B2716" w:rsidP="00BF3F5F">
      <w:pPr>
        <w:pStyle w:val="ListParagraph"/>
        <w:numPr>
          <w:ilvl w:val="1"/>
          <w:numId w:val="5"/>
        </w:numPr>
      </w:pPr>
      <w:r w:rsidRPr="008B2716">
        <w:rPr>
          <w:szCs w:val="22"/>
        </w:rPr>
        <w:t>A</w:t>
      </w:r>
      <w:r w:rsidR="00E52DE7" w:rsidRPr="008B2716">
        <w:rPr>
          <w:szCs w:val="22"/>
        </w:rPr>
        <w:t xml:space="preserve">n </w:t>
      </w:r>
      <w:r w:rsidR="00CB2947" w:rsidRPr="008B2716">
        <w:rPr>
          <w:szCs w:val="22"/>
        </w:rPr>
        <w:t>IV</w:t>
      </w:r>
      <w:r w:rsidR="00E52DE7" w:rsidRPr="008B2716">
        <w:rPr>
          <w:szCs w:val="22"/>
        </w:rPr>
        <w:t xml:space="preserve"> infusion formulation provides an alternative [to oral aprepitant] for children, patients with difficulty swallowing, or patients with difficulty absorbing </w:t>
      </w:r>
      <w:r w:rsidRPr="008B2716">
        <w:rPr>
          <w:szCs w:val="22"/>
        </w:rPr>
        <w:t xml:space="preserve">the drug from </w:t>
      </w:r>
      <w:r w:rsidR="00E52DE7" w:rsidRPr="008B2716">
        <w:rPr>
          <w:szCs w:val="22"/>
        </w:rPr>
        <w:t xml:space="preserve">an oral </w:t>
      </w:r>
      <w:r w:rsidRPr="008B2716">
        <w:rPr>
          <w:szCs w:val="22"/>
        </w:rPr>
        <w:t>formulation</w:t>
      </w:r>
      <w:r w:rsidR="00E52DE7" w:rsidRPr="008B2716">
        <w:rPr>
          <w:szCs w:val="22"/>
        </w:rPr>
        <w:t>.</w:t>
      </w:r>
    </w:p>
    <w:p w:rsidR="001E5054" w:rsidRDefault="001E5054" w:rsidP="00BF3F5F"/>
    <w:p w:rsidR="008B2716" w:rsidRPr="00E34D7A" w:rsidRDefault="008B2716" w:rsidP="00BF3F5F"/>
    <w:p w:rsidR="005A3173" w:rsidRPr="00E34D7A" w:rsidRDefault="005A3173" w:rsidP="008A50F1">
      <w:pPr>
        <w:pStyle w:val="PBACHeading1"/>
      </w:pPr>
      <w:r w:rsidRPr="00E34D7A">
        <w:t>Comparator</w:t>
      </w:r>
    </w:p>
    <w:p w:rsidR="005A3173" w:rsidRPr="00E34D7A" w:rsidRDefault="005A3173" w:rsidP="00882085">
      <w:pPr>
        <w:pStyle w:val="Header"/>
        <w:tabs>
          <w:tab w:val="clear" w:pos="4153"/>
          <w:tab w:val="clear" w:pos="8306"/>
        </w:tabs>
        <w:jc w:val="both"/>
        <w:rPr>
          <w:rFonts w:ascii="Arial" w:hAnsi="Arial"/>
          <w:b/>
          <w:sz w:val="22"/>
          <w:szCs w:val="22"/>
        </w:rPr>
      </w:pPr>
    </w:p>
    <w:p w:rsidR="00476245" w:rsidRPr="00E34D7A" w:rsidRDefault="00476245" w:rsidP="00AB704C">
      <w:pPr>
        <w:pStyle w:val="ListParagraph"/>
        <w:numPr>
          <w:ilvl w:val="1"/>
          <w:numId w:val="5"/>
        </w:numPr>
        <w:rPr>
          <w:szCs w:val="22"/>
        </w:rPr>
      </w:pPr>
      <w:r w:rsidRPr="00E34D7A">
        <w:rPr>
          <w:szCs w:val="22"/>
        </w:rPr>
        <w:t xml:space="preserve">The previous major submission considered by the PBAC in </w:t>
      </w:r>
      <w:r w:rsidR="00586518" w:rsidRPr="00E34D7A">
        <w:rPr>
          <w:szCs w:val="22"/>
        </w:rPr>
        <w:t>March 2011</w:t>
      </w:r>
      <w:r w:rsidR="00FF2801" w:rsidRPr="00E34D7A">
        <w:rPr>
          <w:szCs w:val="22"/>
        </w:rPr>
        <w:t xml:space="preserve"> nominated </w:t>
      </w:r>
      <w:r w:rsidR="003768A1">
        <w:rPr>
          <w:szCs w:val="22"/>
        </w:rPr>
        <w:t xml:space="preserve">the </w:t>
      </w:r>
      <w:r w:rsidR="00586518" w:rsidRPr="00E34D7A">
        <w:rPr>
          <w:szCs w:val="22"/>
        </w:rPr>
        <w:t xml:space="preserve">aprepitant </w:t>
      </w:r>
      <w:r w:rsidR="0054559F" w:rsidRPr="00E34D7A">
        <w:rPr>
          <w:szCs w:val="22"/>
        </w:rPr>
        <w:t>three-day regimen</w:t>
      </w:r>
      <w:r w:rsidR="00FF2801" w:rsidRPr="00E34D7A">
        <w:rPr>
          <w:szCs w:val="22"/>
        </w:rPr>
        <w:t xml:space="preserve">. This </w:t>
      </w:r>
      <w:r w:rsidR="00586518" w:rsidRPr="00E34D7A">
        <w:rPr>
          <w:szCs w:val="22"/>
        </w:rPr>
        <w:t xml:space="preserve">submission nominated </w:t>
      </w:r>
      <w:r w:rsidR="0054559F" w:rsidRPr="00E34D7A">
        <w:rPr>
          <w:szCs w:val="22"/>
        </w:rPr>
        <w:t xml:space="preserve">the </w:t>
      </w:r>
      <w:r w:rsidR="00586518" w:rsidRPr="00E34D7A">
        <w:rPr>
          <w:szCs w:val="22"/>
        </w:rPr>
        <w:t xml:space="preserve">aprepitant </w:t>
      </w:r>
      <w:r w:rsidR="0054559F" w:rsidRPr="00E34D7A">
        <w:rPr>
          <w:szCs w:val="22"/>
        </w:rPr>
        <w:t>one-day regimen (</w:t>
      </w:r>
      <w:r w:rsidR="00586518" w:rsidRPr="00E34D7A">
        <w:rPr>
          <w:szCs w:val="22"/>
        </w:rPr>
        <w:t>165 mg</w:t>
      </w:r>
      <w:r w:rsidR="0054559F" w:rsidRPr="00E34D7A">
        <w:rPr>
          <w:szCs w:val="22"/>
        </w:rPr>
        <w:t>)</w:t>
      </w:r>
      <w:r w:rsidR="00586518" w:rsidRPr="00E34D7A">
        <w:rPr>
          <w:szCs w:val="22"/>
        </w:rPr>
        <w:t>.</w:t>
      </w:r>
      <w:r w:rsidR="00470FCF" w:rsidRPr="00E34D7A">
        <w:rPr>
          <w:szCs w:val="22"/>
        </w:rPr>
        <w:t xml:space="preserve"> The PBAC noted that the aprepitant one-day regimen was listed on a cost-minimisation basis to the three-day regimen.</w:t>
      </w:r>
    </w:p>
    <w:p w:rsidR="008A1956" w:rsidRPr="00E34D7A" w:rsidRDefault="008A1956" w:rsidP="00476245">
      <w:pPr>
        <w:jc w:val="both"/>
        <w:rPr>
          <w:rFonts w:ascii="Arial" w:hAnsi="Arial"/>
          <w:sz w:val="22"/>
          <w:szCs w:val="22"/>
        </w:rPr>
      </w:pPr>
    </w:p>
    <w:p w:rsidR="001E5054" w:rsidRPr="00E34D7A" w:rsidRDefault="001E5054" w:rsidP="001E5054">
      <w:pPr>
        <w:pStyle w:val="ListParagraph"/>
        <w:tabs>
          <w:tab w:val="left" w:pos="1134"/>
        </w:tabs>
        <w:rPr>
          <w:i/>
          <w:szCs w:val="22"/>
        </w:rPr>
      </w:pPr>
      <w:r w:rsidRPr="00E34D7A">
        <w:rPr>
          <w:i/>
          <w:szCs w:val="22"/>
        </w:rPr>
        <w:t>For more detail on PBAC’s view, see section 7 “PBAC outcome”</w:t>
      </w:r>
    </w:p>
    <w:p w:rsidR="00810911" w:rsidRPr="00E34D7A" w:rsidRDefault="00810911">
      <w:pPr>
        <w:rPr>
          <w:rFonts w:ascii="Arial" w:hAnsi="Arial" w:cs="Arial"/>
          <w:b/>
          <w:snapToGrid w:val="0"/>
          <w:sz w:val="22"/>
          <w:szCs w:val="22"/>
          <w:lang w:eastAsia="en-US"/>
        </w:rPr>
      </w:pPr>
    </w:p>
    <w:p w:rsidR="00FA6171" w:rsidRPr="00E34D7A" w:rsidRDefault="00FA6171">
      <w:pPr>
        <w:rPr>
          <w:rFonts w:ascii="Arial" w:hAnsi="Arial" w:cs="Arial"/>
          <w:b/>
          <w:snapToGrid w:val="0"/>
          <w:sz w:val="22"/>
          <w:szCs w:val="22"/>
          <w:lang w:eastAsia="en-US"/>
        </w:rPr>
      </w:pPr>
    </w:p>
    <w:p w:rsidR="000B558D" w:rsidRPr="00E34D7A" w:rsidRDefault="008D7A41" w:rsidP="00E369F6">
      <w:pPr>
        <w:pStyle w:val="PBACHeading1"/>
        <w:keepNext/>
      </w:pPr>
      <w:r w:rsidRPr="00E34D7A">
        <w:t>C</w:t>
      </w:r>
      <w:r w:rsidR="00D84934" w:rsidRPr="00E34D7A">
        <w:t>onsideration of the evidence</w:t>
      </w:r>
    </w:p>
    <w:p w:rsidR="00E369F6" w:rsidRDefault="00E369F6" w:rsidP="006D04D1">
      <w:pPr>
        <w:jc w:val="both"/>
        <w:rPr>
          <w:rFonts w:cs="Arial"/>
          <w:bCs/>
          <w:snapToGrid w:val="0"/>
          <w:szCs w:val="22"/>
        </w:rPr>
      </w:pPr>
    </w:p>
    <w:p w:rsidR="001E5054" w:rsidRPr="00E34D7A" w:rsidRDefault="001E5054" w:rsidP="00E369F6">
      <w:pPr>
        <w:pStyle w:val="Heading2"/>
        <w:rPr>
          <w:rFonts w:cs="Arial"/>
          <w:b w:val="0"/>
          <w:bCs/>
          <w:snapToGrid w:val="0"/>
          <w:szCs w:val="22"/>
        </w:rPr>
      </w:pPr>
      <w:r w:rsidRPr="00E34D7A">
        <w:rPr>
          <w:rFonts w:cs="Arial"/>
          <w:bCs/>
          <w:snapToGrid w:val="0"/>
          <w:szCs w:val="22"/>
        </w:rPr>
        <w:t>Sponsor hearing</w:t>
      </w:r>
    </w:p>
    <w:p w:rsidR="007863D8" w:rsidRPr="00E34D7A" w:rsidRDefault="007863D8" w:rsidP="00E369F6">
      <w:pPr>
        <w:keepNext/>
        <w:widowControl w:val="0"/>
        <w:ind w:left="720"/>
        <w:contextualSpacing/>
        <w:jc w:val="both"/>
        <w:rPr>
          <w:rFonts w:ascii="Arial" w:hAnsi="Arial" w:cs="Arial"/>
          <w:bCs/>
          <w:snapToGrid w:val="0"/>
          <w:sz w:val="22"/>
          <w:szCs w:val="22"/>
        </w:rPr>
      </w:pPr>
    </w:p>
    <w:p w:rsidR="001E5054" w:rsidRPr="00E34D7A" w:rsidRDefault="001E5054" w:rsidP="001E5054">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There was no hearing for this item as it was a minor submission.</w:t>
      </w:r>
    </w:p>
    <w:p w:rsidR="001E5054" w:rsidRPr="00E34D7A" w:rsidRDefault="001E5054" w:rsidP="001E5054">
      <w:pPr>
        <w:jc w:val="both"/>
        <w:rPr>
          <w:rFonts w:ascii="Arial" w:hAnsi="Arial" w:cs="Arial"/>
          <w:bCs/>
          <w:i/>
          <w:snapToGrid w:val="0"/>
          <w:sz w:val="22"/>
          <w:szCs w:val="22"/>
        </w:rPr>
      </w:pPr>
    </w:p>
    <w:p w:rsidR="001E5054" w:rsidRPr="00E34D7A" w:rsidRDefault="001E5054" w:rsidP="007863D8">
      <w:pPr>
        <w:pStyle w:val="Heading2"/>
        <w:rPr>
          <w:rFonts w:cs="Arial"/>
          <w:b w:val="0"/>
          <w:bCs/>
          <w:snapToGrid w:val="0"/>
          <w:szCs w:val="22"/>
        </w:rPr>
      </w:pPr>
      <w:r w:rsidRPr="00E34D7A">
        <w:rPr>
          <w:rFonts w:cs="Arial"/>
          <w:bCs/>
          <w:snapToGrid w:val="0"/>
          <w:szCs w:val="22"/>
        </w:rPr>
        <w:t>Consumer comments</w:t>
      </w:r>
    </w:p>
    <w:p w:rsidR="007863D8" w:rsidRPr="00E34D7A" w:rsidRDefault="007863D8" w:rsidP="007863D8">
      <w:pPr>
        <w:widowControl w:val="0"/>
        <w:ind w:left="720"/>
        <w:contextualSpacing/>
        <w:jc w:val="both"/>
        <w:rPr>
          <w:rFonts w:ascii="Arial" w:hAnsi="Arial" w:cs="Arial"/>
          <w:bCs/>
          <w:snapToGrid w:val="0"/>
          <w:sz w:val="22"/>
          <w:szCs w:val="22"/>
        </w:rPr>
      </w:pPr>
    </w:p>
    <w:p w:rsidR="001E5054" w:rsidRPr="00E34D7A" w:rsidRDefault="001E5054" w:rsidP="001E5054">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The PBAC noted that no consumer comme</w:t>
      </w:r>
      <w:r w:rsidR="005354CE" w:rsidRPr="00E34D7A">
        <w:rPr>
          <w:rFonts w:ascii="Arial" w:hAnsi="Arial" w:cs="Arial"/>
          <w:bCs/>
          <w:snapToGrid w:val="0"/>
          <w:sz w:val="22"/>
          <w:szCs w:val="22"/>
        </w:rPr>
        <w:t>nts were received for this item</w:t>
      </w:r>
      <w:r w:rsidRPr="00E34D7A">
        <w:rPr>
          <w:rFonts w:ascii="Arial" w:hAnsi="Arial" w:cs="Arial"/>
          <w:bCs/>
          <w:snapToGrid w:val="0"/>
          <w:sz w:val="22"/>
          <w:szCs w:val="22"/>
        </w:rPr>
        <w:t>.</w:t>
      </w:r>
    </w:p>
    <w:p w:rsidR="001E5054" w:rsidRPr="00E34D7A" w:rsidRDefault="001E5054" w:rsidP="00F9629A">
      <w:pPr>
        <w:jc w:val="both"/>
        <w:rPr>
          <w:rFonts w:ascii="Arial" w:hAnsi="Arial"/>
          <w:sz w:val="22"/>
          <w:szCs w:val="22"/>
        </w:rPr>
      </w:pPr>
    </w:p>
    <w:p w:rsidR="00D84934" w:rsidRPr="00E34D7A" w:rsidRDefault="00D84934" w:rsidP="00B1059E">
      <w:pPr>
        <w:pStyle w:val="Heading2"/>
      </w:pPr>
      <w:r w:rsidRPr="00E34D7A">
        <w:t>Clinical trials</w:t>
      </w:r>
    </w:p>
    <w:p w:rsidR="00D84934" w:rsidRPr="00E34D7A" w:rsidRDefault="00D84934" w:rsidP="00F9629A">
      <w:pPr>
        <w:jc w:val="both"/>
        <w:rPr>
          <w:rFonts w:ascii="Arial" w:hAnsi="Arial"/>
          <w:color w:val="92D050"/>
          <w:sz w:val="22"/>
          <w:szCs w:val="22"/>
        </w:rPr>
      </w:pPr>
    </w:p>
    <w:p w:rsidR="009F4E46" w:rsidRPr="00E34D7A" w:rsidRDefault="0076420C" w:rsidP="00E75040">
      <w:pPr>
        <w:pStyle w:val="ListParagraph"/>
        <w:numPr>
          <w:ilvl w:val="1"/>
          <w:numId w:val="5"/>
        </w:numPr>
        <w:rPr>
          <w:szCs w:val="22"/>
        </w:rPr>
      </w:pPr>
      <w:r w:rsidRPr="00E34D7A">
        <w:rPr>
          <w:szCs w:val="22"/>
        </w:rPr>
        <w:t xml:space="preserve">As a minor submission, no </w:t>
      </w:r>
      <w:r w:rsidR="00FB10D5" w:rsidRPr="00E34D7A">
        <w:rPr>
          <w:szCs w:val="22"/>
        </w:rPr>
        <w:t>new</w:t>
      </w:r>
      <w:r w:rsidRPr="00E34D7A">
        <w:rPr>
          <w:szCs w:val="22"/>
        </w:rPr>
        <w:t xml:space="preserve"> clinical trials </w:t>
      </w:r>
      <w:r w:rsidR="00FF2801" w:rsidRPr="00E34D7A">
        <w:rPr>
          <w:szCs w:val="22"/>
        </w:rPr>
        <w:t>were</w:t>
      </w:r>
      <w:r w:rsidRPr="00E34D7A">
        <w:rPr>
          <w:szCs w:val="22"/>
        </w:rPr>
        <w:t xml:space="preserve"> presented in the submission.</w:t>
      </w:r>
      <w:r w:rsidR="00C25CB6" w:rsidRPr="00E34D7A">
        <w:rPr>
          <w:szCs w:val="22"/>
        </w:rPr>
        <w:t xml:space="preserve"> </w:t>
      </w:r>
      <w:r w:rsidR="009F4E46" w:rsidRPr="00E34D7A">
        <w:rPr>
          <w:szCs w:val="22"/>
        </w:rPr>
        <w:t xml:space="preserve">The minor submission </w:t>
      </w:r>
      <w:r w:rsidR="00893074" w:rsidRPr="00E34D7A">
        <w:rPr>
          <w:szCs w:val="22"/>
        </w:rPr>
        <w:t>noted</w:t>
      </w:r>
      <w:r w:rsidR="00953A3A" w:rsidRPr="00E34D7A">
        <w:rPr>
          <w:szCs w:val="22"/>
        </w:rPr>
        <w:t xml:space="preserve"> </w:t>
      </w:r>
      <w:r w:rsidR="009F4E46" w:rsidRPr="00E34D7A">
        <w:rPr>
          <w:szCs w:val="22"/>
        </w:rPr>
        <w:t>the following clinical trials</w:t>
      </w:r>
      <w:r w:rsidR="00AC2FA7">
        <w:rPr>
          <w:szCs w:val="22"/>
        </w:rPr>
        <w:t>.</w:t>
      </w:r>
      <w:r w:rsidR="00B75DC6" w:rsidRPr="00E34D7A">
        <w:rPr>
          <w:szCs w:val="22"/>
        </w:rPr>
        <w:t xml:space="preserve"> </w:t>
      </w:r>
      <w:r w:rsidR="005F2B92" w:rsidRPr="00E34D7A">
        <w:rPr>
          <w:szCs w:val="22"/>
        </w:rPr>
        <w:t>Protocol 031 was not included in the 2011 fosaprepitant submission.</w:t>
      </w:r>
    </w:p>
    <w:p w:rsidR="0076420C" w:rsidRPr="00E34D7A" w:rsidRDefault="0076420C" w:rsidP="0076420C">
      <w:pPr>
        <w:ind w:left="709"/>
        <w:jc w:val="both"/>
        <w:rPr>
          <w:rFonts w:ascii="Arial" w:hAnsi="Arial"/>
          <w:sz w:val="22"/>
          <w:szCs w:val="22"/>
        </w:rPr>
      </w:pPr>
    </w:p>
    <w:p w:rsidR="0076420C" w:rsidRPr="00E34D7A" w:rsidRDefault="006871DB" w:rsidP="00D84934">
      <w:pPr>
        <w:pStyle w:val="NoSpacing"/>
        <w:ind w:left="709"/>
        <w:rPr>
          <w:rFonts w:ascii="Arial Narrow" w:hAnsi="Arial Narrow"/>
          <w:b/>
          <w:sz w:val="20"/>
        </w:rPr>
      </w:pPr>
      <w:r w:rsidRPr="00E34D7A">
        <w:rPr>
          <w:rFonts w:ascii="Arial Narrow" w:hAnsi="Arial Narrow"/>
          <w:b/>
          <w:sz w:val="20"/>
        </w:rPr>
        <w:t xml:space="preserve">Table 1: </w:t>
      </w:r>
      <w:r w:rsidR="0076420C" w:rsidRPr="00E34D7A">
        <w:rPr>
          <w:rFonts w:ascii="Arial Narrow" w:hAnsi="Arial Narrow"/>
          <w:b/>
          <w:sz w:val="20"/>
        </w:rPr>
        <w:t xml:space="preserve">Trials and associated reports </w:t>
      </w:r>
      <w:r w:rsidR="00893074" w:rsidRPr="00E34D7A">
        <w:rPr>
          <w:rFonts w:ascii="Arial Narrow" w:hAnsi="Arial Narrow"/>
          <w:b/>
          <w:sz w:val="20"/>
        </w:rPr>
        <w:t>noted</w:t>
      </w:r>
      <w:r w:rsidR="0076420C" w:rsidRPr="00E34D7A">
        <w:rPr>
          <w:rFonts w:ascii="Arial Narrow" w:hAnsi="Arial Narrow"/>
          <w:b/>
          <w:sz w:val="20"/>
        </w:rPr>
        <w:t xml:space="preserve">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893074" w:rsidRPr="00E34D7A" w:rsidTr="00D102F2">
        <w:trPr>
          <w:tblHeader/>
        </w:trPr>
        <w:tc>
          <w:tcPr>
            <w:tcW w:w="1701" w:type="dxa"/>
          </w:tcPr>
          <w:p w:rsidR="0076420C" w:rsidRPr="00E34D7A" w:rsidRDefault="0076420C" w:rsidP="00D84934">
            <w:pPr>
              <w:pStyle w:val="NoSpacing"/>
              <w:rPr>
                <w:rFonts w:ascii="Arial Narrow" w:hAnsi="Arial Narrow"/>
                <w:b/>
                <w:sz w:val="20"/>
              </w:rPr>
            </w:pPr>
            <w:r w:rsidRPr="00E34D7A">
              <w:rPr>
                <w:rFonts w:ascii="Arial Narrow" w:hAnsi="Arial Narrow"/>
                <w:b/>
                <w:sz w:val="20"/>
              </w:rPr>
              <w:t>Trial ID</w:t>
            </w:r>
          </w:p>
        </w:tc>
        <w:tc>
          <w:tcPr>
            <w:tcW w:w="4820" w:type="dxa"/>
          </w:tcPr>
          <w:p w:rsidR="0076420C" w:rsidRPr="00E34D7A" w:rsidRDefault="0076420C" w:rsidP="0062748A">
            <w:pPr>
              <w:keepNext/>
              <w:jc w:val="center"/>
              <w:rPr>
                <w:rFonts w:ascii="Arial Narrow" w:hAnsi="Arial Narrow"/>
                <w:b/>
                <w:sz w:val="20"/>
              </w:rPr>
            </w:pPr>
            <w:r w:rsidRPr="00E34D7A">
              <w:rPr>
                <w:rFonts w:ascii="Arial Narrow" w:hAnsi="Arial Narrow"/>
                <w:b/>
                <w:sz w:val="20"/>
              </w:rPr>
              <w:t>Protocol title/ Publication title</w:t>
            </w:r>
          </w:p>
        </w:tc>
        <w:tc>
          <w:tcPr>
            <w:tcW w:w="1843" w:type="dxa"/>
          </w:tcPr>
          <w:p w:rsidR="0076420C" w:rsidRPr="00E34D7A" w:rsidRDefault="0076420C" w:rsidP="0062748A">
            <w:pPr>
              <w:keepNext/>
              <w:rPr>
                <w:rFonts w:ascii="Arial Narrow" w:hAnsi="Arial Narrow"/>
                <w:b/>
                <w:sz w:val="20"/>
              </w:rPr>
            </w:pPr>
            <w:r w:rsidRPr="00E34D7A">
              <w:rPr>
                <w:rFonts w:ascii="Arial Narrow" w:hAnsi="Arial Narrow"/>
                <w:b/>
                <w:sz w:val="20"/>
              </w:rPr>
              <w:t>Publication citation</w:t>
            </w:r>
          </w:p>
        </w:tc>
      </w:tr>
      <w:tr w:rsidR="00893074" w:rsidRPr="00E34D7A" w:rsidTr="00D102F2">
        <w:tc>
          <w:tcPr>
            <w:tcW w:w="8364" w:type="dxa"/>
            <w:gridSpan w:val="3"/>
          </w:tcPr>
          <w:p w:rsidR="0076420C" w:rsidRPr="00E34D7A" w:rsidRDefault="0076420C" w:rsidP="00D84934">
            <w:pPr>
              <w:pStyle w:val="NoSpacing"/>
              <w:rPr>
                <w:rFonts w:ascii="Arial Narrow" w:hAnsi="Arial Narrow"/>
                <w:b/>
                <w:sz w:val="20"/>
              </w:rPr>
            </w:pPr>
            <w:r w:rsidRPr="00E34D7A">
              <w:rPr>
                <w:rFonts w:ascii="Arial Narrow" w:hAnsi="Arial Narrow"/>
                <w:b/>
                <w:sz w:val="20"/>
              </w:rPr>
              <w:t>Direct randomised trials</w:t>
            </w:r>
          </w:p>
        </w:tc>
      </w:tr>
      <w:tr w:rsidR="00893074" w:rsidRPr="00E34D7A" w:rsidTr="00D102F2">
        <w:tc>
          <w:tcPr>
            <w:tcW w:w="1701" w:type="dxa"/>
          </w:tcPr>
          <w:p w:rsidR="00893074" w:rsidRPr="00E34D7A" w:rsidRDefault="00893074" w:rsidP="008F2649">
            <w:pPr>
              <w:pStyle w:val="NoSpacing"/>
              <w:rPr>
                <w:rFonts w:ascii="Arial Narrow" w:hAnsi="Arial Narrow"/>
                <w:sz w:val="20"/>
              </w:rPr>
            </w:pPr>
            <w:r w:rsidRPr="00E34D7A">
              <w:rPr>
                <w:rFonts w:ascii="Arial Narrow" w:hAnsi="Arial Narrow"/>
                <w:sz w:val="20"/>
              </w:rPr>
              <w:t>Protocol 165</w:t>
            </w:r>
          </w:p>
        </w:tc>
        <w:tc>
          <w:tcPr>
            <w:tcW w:w="4820" w:type="dxa"/>
          </w:tcPr>
          <w:p w:rsidR="00893074" w:rsidRPr="00E34D7A" w:rsidRDefault="00893074" w:rsidP="00893074">
            <w:pPr>
              <w:keepNext/>
              <w:rPr>
                <w:rFonts w:ascii="Arial Narrow" w:hAnsi="Arial Narrow"/>
                <w:sz w:val="20"/>
              </w:rPr>
            </w:pPr>
            <w:r w:rsidRPr="00E34D7A">
              <w:rPr>
                <w:rFonts w:ascii="Arial Narrow" w:hAnsi="Arial Narrow"/>
                <w:sz w:val="20"/>
              </w:rPr>
              <w:t>A Single-Dose Bioequivalence and Food Effect Study with</w:t>
            </w:r>
          </w:p>
          <w:p w:rsidR="00893074" w:rsidRPr="00E34D7A" w:rsidRDefault="00893074" w:rsidP="00893074">
            <w:pPr>
              <w:keepNext/>
              <w:rPr>
                <w:rFonts w:ascii="Arial Narrow" w:hAnsi="Arial Narrow"/>
                <w:sz w:val="20"/>
              </w:rPr>
            </w:pPr>
            <w:r w:rsidRPr="00E34D7A">
              <w:rPr>
                <w:rFonts w:ascii="Arial Narrow" w:hAnsi="Arial Narrow"/>
                <w:sz w:val="20"/>
              </w:rPr>
              <w:t>Aprepitant and Fosaprepitant Dimeglumine in Healthy Young Adult Subjects</w:t>
            </w:r>
          </w:p>
        </w:tc>
        <w:tc>
          <w:tcPr>
            <w:tcW w:w="1843" w:type="dxa"/>
          </w:tcPr>
          <w:p w:rsidR="00893074" w:rsidRPr="00E34D7A" w:rsidRDefault="00C25CB6" w:rsidP="008F2649">
            <w:pPr>
              <w:keepNext/>
              <w:rPr>
                <w:rFonts w:ascii="Arial Narrow" w:hAnsi="Arial Narrow"/>
                <w:sz w:val="20"/>
              </w:rPr>
            </w:pPr>
            <w:r w:rsidRPr="00E34D7A">
              <w:rPr>
                <w:rFonts w:ascii="Arial Narrow" w:hAnsi="Arial Narrow"/>
                <w:sz w:val="20"/>
              </w:rPr>
              <w:t>8 March 2010</w:t>
            </w:r>
          </w:p>
        </w:tc>
      </w:tr>
      <w:tr w:rsidR="00893074" w:rsidRPr="00E34D7A" w:rsidTr="00D102F2">
        <w:tc>
          <w:tcPr>
            <w:tcW w:w="1701" w:type="dxa"/>
          </w:tcPr>
          <w:p w:rsidR="00893074" w:rsidRPr="00E34D7A" w:rsidRDefault="00893074" w:rsidP="008F2649">
            <w:pPr>
              <w:pStyle w:val="NoSpacing"/>
              <w:rPr>
                <w:rFonts w:ascii="Arial Narrow" w:hAnsi="Arial Narrow"/>
                <w:color w:val="92D050"/>
                <w:sz w:val="20"/>
              </w:rPr>
            </w:pPr>
            <w:r w:rsidRPr="00E34D7A">
              <w:rPr>
                <w:rFonts w:ascii="Arial Narrow" w:hAnsi="Arial Narrow"/>
                <w:sz w:val="20"/>
              </w:rPr>
              <w:t>Protocol 031</w:t>
            </w:r>
          </w:p>
        </w:tc>
        <w:tc>
          <w:tcPr>
            <w:tcW w:w="4820" w:type="dxa"/>
          </w:tcPr>
          <w:p w:rsidR="00893074" w:rsidRPr="00E34D7A" w:rsidRDefault="00893074" w:rsidP="00893074">
            <w:pPr>
              <w:keepNext/>
              <w:rPr>
                <w:rFonts w:ascii="Arial Narrow" w:hAnsi="Arial Narrow"/>
                <w:color w:val="92D050"/>
                <w:sz w:val="20"/>
              </w:rPr>
            </w:pPr>
            <w:r w:rsidRPr="00E34D7A">
              <w:rPr>
                <w:rFonts w:ascii="Arial Narrow" w:hAnsi="Arial Narrow"/>
                <w:sz w:val="20"/>
              </w:rPr>
              <w:t xml:space="preserve">A Phase III, Randomized, Double-Blind, Active Comparator-Controlled Parallel-Group Study, Conducted Under In-House Blinding Conditions, to Examine the Efficacy and Safety of a Single 150 mg Dose of Intravenous Fosaprepitant Dimeglumine for the Prevention of Chemotherapy-Induced Nausea and Vomiting (CINV) Associated With Moderately Emetogenic Chemotherapy </w:t>
            </w:r>
          </w:p>
        </w:tc>
        <w:tc>
          <w:tcPr>
            <w:tcW w:w="1843" w:type="dxa"/>
          </w:tcPr>
          <w:p w:rsidR="00893074" w:rsidRPr="00E34D7A" w:rsidRDefault="00893074" w:rsidP="008F2649">
            <w:pPr>
              <w:keepNext/>
              <w:rPr>
                <w:rFonts w:ascii="Arial Narrow" w:hAnsi="Arial Narrow"/>
                <w:sz w:val="20"/>
              </w:rPr>
            </w:pPr>
            <w:r w:rsidRPr="00E34D7A">
              <w:rPr>
                <w:rFonts w:ascii="Arial Narrow" w:hAnsi="Arial Narrow"/>
                <w:sz w:val="20"/>
              </w:rPr>
              <w:t>23 June 2015</w:t>
            </w:r>
          </w:p>
        </w:tc>
      </w:tr>
    </w:tbl>
    <w:p w:rsidR="00DE6706" w:rsidRPr="00E34D7A" w:rsidRDefault="00DE6706" w:rsidP="00DE6706">
      <w:pPr>
        <w:pStyle w:val="ListParagraph"/>
        <w:ind w:left="709"/>
        <w:rPr>
          <w:rFonts w:ascii="Arial Narrow" w:hAnsi="Arial Narrow"/>
          <w:sz w:val="18"/>
          <w:szCs w:val="18"/>
        </w:rPr>
      </w:pPr>
      <w:r w:rsidRPr="00E34D7A">
        <w:rPr>
          <w:rFonts w:ascii="Arial Narrow" w:hAnsi="Arial Narrow"/>
          <w:sz w:val="18"/>
          <w:szCs w:val="18"/>
        </w:rPr>
        <w:t>Source:</w:t>
      </w:r>
      <w:r w:rsidR="00E90C43" w:rsidRPr="00E34D7A">
        <w:rPr>
          <w:rFonts w:ascii="Arial Narrow" w:hAnsi="Arial Narrow"/>
          <w:sz w:val="18"/>
          <w:szCs w:val="18"/>
        </w:rPr>
        <w:t xml:space="preserve"> </w:t>
      </w:r>
      <w:r w:rsidR="0028696B" w:rsidRPr="00E34D7A">
        <w:rPr>
          <w:rFonts w:ascii="Arial Narrow" w:hAnsi="Arial Narrow"/>
          <w:sz w:val="18"/>
          <w:szCs w:val="18"/>
        </w:rPr>
        <w:t>Compiled during the minor overview</w:t>
      </w:r>
    </w:p>
    <w:p w:rsidR="00DE6706" w:rsidRPr="00E34D7A" w:rsidRDefault="00DE6706" w:rsidP="0076420C">
      <w:pPr>
        <w:pStyle w:val="ListParagraph"/>
        <w:ind w:left="709"/>
        <w:rPr>
          <w:color w:val="92D050"/>
          <w:sz w:val="18"/>
          <w:szCs w:val="18"/>
        </w:rPr>
      </w:pPr>
    </w:p>
    <w:p w:rsidR="00E75040" w:rsidRPr="00E34D7A" w:rsidRDefault="00E75040" w:rsidP="00E75040">
      <w:pPr>
        <w:pStyle w:val="ListParagraph"/>
        <w:numPr>
          <w:ilvl w:val="1"/>
          <w:numId w:val="5"/>
        </w:numPr>
        <w:rPr>
          <w:szCs w:val="22"/>
        </w:rPr>
      </w:pPr>
      <w:r w:rsidRPr="00E34D7A">
        <w:rPr>
          <w:snapToGrid/>
          <w:szCs w:val="22"/>
        </w:rPr>
        <w:t xml:space="preserve">The minor submission also </w:t>
      </w:r>
      <w:r w:rsidR="006330AE" w:rsidRPr="00E34D7A">
        <w:rPr>
          <w:snapToGrid/>
          <w:szCs w:val="22"/>
        </w:rPr>
        <w:t xml:space="preserve">included </w:t>
      </w:r>
      <w:r w:rsidR="00470FCF" w:rsidRPr="00E34D7A">
        <w:rPr>
          <w:snapToGrid/>
          <w:szCs w:val="22"/>
        </w:rPr>
        <w:t>s</w:t>
      </w:r>
      <w:r w:rsidR="006330AE" w:rsidRPr="00E34D7A">
        <w:rPr>
          <w:snapToGrid/>
          <w:szCs w:val="22"/>
        </w:rPr>
        <w:t xml:space="preserve">ynopses of two Clinical Study Reports. </w:t>
      </w:r>
      <w:r w:rsidRPr="00E34D7A">
        <w:rPr>
          <w:snapToGrid/>
          <w:szCs w:val="22"/>
        </w:rPr>
        <w:t>Th</w:t>
      </w:r>
      <w:r w:rsidR="006330AE" w:rsidRPr="00E34D7A">
        <w:rPr>
          <w:snapToGrid/>
          <w:szCs w:val="22"/>
        </w:rPr>
        <w:t>ese studies were not noted</w:t>
      </w:r>
      <w:r w:rsidRPr="00E34D7A">
        <w:rPr>
          <w:snapToGrid/>
          <w:szCs w:val="22"/>
        </w:rPr>
        <w:t xml:space="preserve"> in the minor submission</w:t>
      </w:r>
      <w:r w:rsidR="0091071D" w:rsidRPr="00E34D7A">
        <w:rPr>
          <w:snapToGrid/>
          <w:szCs w:val="22"/>
        </w:rPr>
        <w:t>, and no context was provided for their inclusion</w:t>
      </w:r>
      <w:r w:rsidR="002503DB" w:rsidRPr="00E34D7A">
        <w:rPr>
          <w:snapToGrid/>
          <w:szCs w:val="22"/>
        </w:rPr>
        <w:t>.</w:t>
      </w:r>
    </w:p>
    <w:p w:rsidR="00B75DC6" w:rsidRPr="00E34D7A" w:rsidRDefault="00B75DC6" w:rsidP="00B75DC6">
      <w:pPr>
        <w:pStyle w:val="ListParagraph"/>
        <w:rPr>
          <w:snapToGrid/>
          <w:szCs w:val="22"/>
        </w:rPr>
      </w:pPr>
    </w:p>
    <w:p w:rsidR="006330AE" w:rsidRPr="00E34D7A" w:rsidRDefault="006871DB" w:rsidP="006330AE">
      <w:pPr>
        <w:pStyle w:val="NoSpacing"/>
        <w:ind w:left="709"/>
        <w:rPr>
          <w:rFonts w:ascii="Arial Narrow" w:hAnsi="Arial Narrow"/>
          <w:b/>
          <w:sz w:val="20"/>
        </w:rPr>
      </w:pPr>
      <w:r w:rsidRPr="00E34D7A">
        <w:rPr>
          <w:rFonts w:ascii="Arial Narrow" w:hAnsi="Arial Narrow"/>
          <w:b/>
          <w:sz w:val="20"/>
        </w:rPr>
        <w:t xml:space="preserve">Table 2: </w:t>
      </w:r>
      <w:r w:rsidR="00BC3769" w:rsidRPr="00E34D7A">
        <w:rPr>
          <w:rFonts w:ascii="Arial Narrow" w:hAnsi="Arial Narrow"/>
          <w:b/>
          <w:sz w:val="20"/>
        </w:rPr>
        <w:t>Reports provided with t</w:t>
      </w:r>
      <w:r w:rsidR="006330AE" w:rsidRPr="00E34D7A">
        <w:rPr>
          <w:rFonts w:ascii="Arial Narrow" w:hAnsi="Arial Narrow"/>
          <w:b/>
          <w:sz w:val="20"/>
        </w:rPr>
        <w: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6330AE" w:rsidRPr="00E34D7A" w:rsidTr="008F2649">
        <w:trPr>
          <w:cantSplit/>
          <w:tblHeader/>
        </w:trPr>
        <w:tc>
          <w:tcPr>
            <w:tcW w:w="1701" w:type="dxa"/>
          </w:tcPr>
          <w:p w:rsidR="006330AE" w:rsidRPr="00E34D7A" w:rsidRDefault="006330AE" w:rsidP="008F2649">
            <w:pPr>
              <w:pStyle w:val="NoSpacing"/>
              <w:rPr>
                <w:rFonts w:ascii="Arial Narrow" w:hAnsi="Arial Narrow"/>
                <w:b/>
                <w:sz w:val="20"/>
              </w:rPr>
            </w:pPr>
            <w:r w:rsidRPr="00E34D7A">
              <w:rPr>
                <w:rFonts w:ascii="Arial Narrow" w:hAnsi="Arial Narrow"/>
                <w:b/>
                <w:sz w:val="20"/>
              </w:rPr>
              <w:t>Trial ID</w:t>
            </w:r>
          </w:p>
        </w:tc>
        <w:tc>
          <w:tcPr>
            <w:tcW w:w="4820" w:type="dxa"/>
          </w:tcPr>
          <w:p w:rsidR="006330AE" w:rsidRPr="00E34D7A" w:rsidRDefault="006330AE" w:rsidP="008F2649">
            <w:pPr>
              <w:keepNext/>
              <w:jc w:val="center"/>
              <w:rPr>
                <w:rFonts w:ascii="Arial Narrow" w:hAnsi="Arial Narrow"/>
                <w:b/>
                <w:sz w:val="20"/>
              </w:rPr>
            </w:pPr>
            <w:r w:rsidRPr="00E34D7A">
              <w:rPr>
                <w:rFonts w:ascii="Arial Narrow" w:hAnsi="Arial Narrow"/>
                <w:b/>
                <w:sz w:val="20"/>
              </w:rPr>
              <w:t>Protocol title/ Publication title</w:t>
            </w:r>
          </w:p>
        </w:tc>
        <w:tc>
          <w:tcPr>
            <w:tcW w:w="1843" w:type="dxa"/>
          </w:tcPr>
          <w:p w:rsidR="006330AE" w:rsidRPr="00E34D7A" w:rsidRDefault="006330AE" w:rsidP="008F2649">
            <w:pPr>
              <w:keepNext/>
              <w:rPr>
                <w:rFonts w:ascii="Arial Narrow" w:hAnsi="Arial Narrow"/>
                <w:b/>
                <w:sz w:val="20"/>
              </w:rPr>
            </w:pPr>
            <w:r w:rsidRPr="00E34D7A">
              <w:rPr>
                <w:rFonts w:ascii="Arial Narrow" w:hAnsi="Arial Narrow"/>
                <w:b/>
                <w:sz w:val="20"/>
              </w:rPr>
              <w:t>Publication citation</w:t>
            </w:r>
          </w:p>
        </w:tc>
      </w:tr>
      <w:tr w:rsidR="006330AE" w:rsidRPr="00E34D7A" w:rsidTr="008F2649">
        <w:trPr>
          <w:cantSplit/>
        </w:trPr>
        <w:tc>
          <w:tcPr>
            <w:tcW w:w="8364" w:type="dxa"/>
            <w:gridSpan w:val="3"/>
          </w:tcPr>
          <w:p w:rsidR="006330AE" w:rsidRPr="00E34D7A" w:rsidRDefault="006330AE" w:rsidP="008F2649">
            <w:pPr>
              <w:pStyle w:val="NoSpacing"/>
              <w:rPr>
                <w:rFonts w:ascii="Arial Narrow" w:hAnsi="Arial Narrow"/>
                <w:b/>
                <w:sz w:val="20"/>
              </w:rPr>
            </w:pPr>
            <w:r w:rsidRPr="00E34D7A">
              <w:rPr>
                <w:rFonts w:ascii="Arial Narrow" w:hAnsi="Arial Narrow"/>
                <w:b/>
                <w:sz w:val="20"/>
              </w:rPr>
              <w:t>Direct randomised trials</w:t>
            </w:r>
          </w:p>
        </w:tc>
      </w:tr>
      <w:tr w:rsidR="006330AE" w:rsidRPr="00E34D7A" w:rsidTr="008F2649">
        <w:trPr>
          <w:cantSplit/>
        </w:trPr>
        <w:tc>
          <w:tcPr>
            <w:tcW w:w="1701" w:type="dxa"/>
          </w:tcPr>
          <w:p w:rsidR="006330AE" w:rsidRPr="00E34D7A" w:rsidRDefault="006330AE" w:rsidP="008F2649">
            <w:pPr>
              <w:pStyle w:val="NoSpacing"/>
              <w:rPr>
                <w:rFonts w:ascii="Arial Narrow" w:hAnsi="Arial Narrow"/>
                <w:sz w:val="20"/>
              </w:rPr>
            </w:pPr>
            <w:r w:rsidRPr="00E34D7A">
              <w:rPr>
                <w:rFonts w:ascii="Arial Narrow" w:hAnsi="Arial Narrow"/>
                <w:sz w:val="20"/>
              </w:rPr>
              <w:t>Protocol 017</w:t>
            </w:r>
          </w:p>
        </w:tc>
        <w:tc>
          <w:tcPr>
            <w:tcW w:w="4820" w:type="dxa"/>
          </w:tcPr>
          <w:p w:rsidR="006330AE" w:rsidRPr="00E34D7A" w:rsidRDefault="006330AE" w:rsidP="008F2649">
            <w:pPr>
              <w:keepNext/>
              <w:rPr>
                <w:rFonts w:ascii="Arial Narrow" w:hAnsi="Arial Narrow"/>
                <w:sz w:val="20"/>
              </w:rPr>
            </w:pPr>
            <w:r w:rsidRPr="00E34D7A">
              <w:rPr>
                <w:rFonts w:ascii="Arial Narrow" w:hAnsi="Arial Narrow"/>
                <w:sz w:val="20"/>
              </w:rPr>
              <w:t>A Phase III, Randomized, Double-Blind, Active-Controlled,</w:t>
            </w:r>
          </w:p>
          <w:p w:rsidR="006330AE" w:rsidRPr="00E34D7A" w:rsidRDefault="006330AE" w:rsidP="008F2649">
            <w:pPr>
              <w:keepNext/>
              <w:rPr>
                <w:rFonts w:ascii="Arial Narrow" w:hAnsi="Arial Narrow"/>
                <w:b/>
                <w:sz w:val="20"/>
              </w:rPr>
            </w:pPr>
            <w:r w:rsidRPr="00E34D7A">
              <w:rPr>
                <w:rFonts w:ascii="Arial Narrow" w:hAnsi="Arial Narrow"/>
                <w:sz w:val="20"/>
              </w:rPr>
              <w:t>Parallel-Group Study, Conducted Under In-House Blinding Conditions, to Examine the Safety, Tolerability, and Efficacy of a Single Dose of Intravenous MK-0517 for the Prevention of Chemotherapy-Induced Nausea and Vomiting (CINV) Associated with Cisplatin Chemotherapy</w:t>
            </w:r>
          </w:p>
        </w:tc>
        <w:tc>
          <w:tcPr>
            <w:tcW w:w="1843" w:type="dxa"/>
          </w:tcPr>
          <w:p w:rsidR="006330AE" w:rsidRPr="00E34D7A" w:rsidRDefault="006330AE" w:rsidP="008F2649">
            <w:pPr>
              <w:keepNext/>
              <w:rPr>
                <w:rFonts w:ascii="Arial Narrow" w:hAnsi="Arial Narrow"/>
                <w:sz w:val="20"/>
              </w:rPr>
            </w:pPr>
            <w:r w:rsidRPr="00E34D7A">
              <w:rPr>
                <w:rFonts w:ascii="Arial Narrow" w:hAnsi="Arial Narrow"/>
                <w:sz w:val="20"/>
              </w:rPr>
              <w:t>28 September 2009</w:t>
            </w:r>
          </w:p>
        </w:tc>
      </w:tr>
      <w:tr w:rsidR="006330AE" w:rsidRPr="00E34D7A" w:rsidTr="008F2649">
        <w:trPr>
          <w:cantSplit/>
        </w:trPr>
        <w:tc>
          <w:tcPr>
            <w:tcW w:w="1701" w:type="dxa"/>
          </w:tcPr>
          <w:p w:rsidR="006330AE" w:rsidRPr="00E34D7A" w:rsidRDefault="006330AE" w:rsidP="008F2649">
            <w:pPr>
              <w:pStyle w:val="NoSpacing"/>
              <w:rPr>
                <w:rFonts w:ascii="Arial Narrow" w:hAnsi="Arial Narrow"/>
                <w:sz w:val="20"/>
              </w:rPr>
            </w:pPr>
            <w:r w:rsidRPr="00E34D7A">
              <w:rPr>
                <w:rFonts w:ascii="Arial Narrow" w:hAnsi="Arial Narrow"/>
                <w:sz w:val="20"/>
              </w:rPr>
              <w:t>Protocol 018</w:t>
            </w:r>
          </w:p>
        </w:tc>
        <w:tc>
          <w:tcPr>
            <w:tcW w:w="4820" w:type="dxa"/>
          </w:tcPr>
          <w:p w:rsidR="006330AE" w:rsidRPr="00E34D7A" w:rsidRDefault="006330AE" w:rsidP="008F2649">
            <w:pPr>
              <w:keepNext/>
              <w:rPr>
                <w:rFonts w:ascii="Arial Narrow" w:hAnsi="Arial Narrow"/>
                <w:sz w:val="20"/>
              </w:rPr>
            </w:pPr>
            <w:r w:rsidRPr="00E34D7A">
              <w:rPr>
                <w:rFonts w:ascii="Arial Narrow" w:hAnsi="Arial Narrow"/>
                <w:sz w:val="20"/>
              </w:rPr>
              <w:t>An Open-Label, 2-Part, Randomized, 2-Period, Crossover, Single-</w:t>
            </w:r>
            <w:r w:rsidR="005F1AD2" w:rsidRPr="00E34D7A">
              <w:rPr>
                <w:rFonts w:ascii="Arial Narrow" w:hAnsi="Arial Narrow"/>
                <w:sz w:val="20"/>
              </w:rPr>
              <w:t>Centre</w:t>
            </w:r>
            <w:r w:rsidRPr="00E34D7A">
              <w:rPr>
                <w:rFonts w:ascii="Arial Narrow" w:hAnsi="Arial Narrow"/>
                <w:sz w:val="20"/>
              </w:rPr>
              <w:t xml:space="preserve"> Study to Evaluate the Effect of a Single 150-mg Intravenous Dose of Fosaprepitant Dimeglumine (MK-0517) on the Pharmacokinetics of Oral Dexamethasone in Part 1, and on the Pharmacokinetics of Oral Midazolam in Part 2, in Healthy Young Adult Subjects.</w:t>
            </w:r>
          </w:p>
        </w:tc>
        <w:tc>
          <w:tcPr>
            <w:tcW w:w="1843" w:type="dxa"/>
          </w:tcPr>
          <w:p w:rsidR="006330AE" w:rsidRPr="00E34D7A" w:rsidRDefault="006330AE" w:rsidP="008F2649">
            <w:pPr>
              <w:keepNext/>
              <w:rPr>
                <w:rFonts w:ascii="Arial Narrow" w:hAnsi="Arial Narrow"/>
                <w:sz w:val="20"/>
              </w:rPr>
            </w:pPr>
            <w:r w:rsidRPr="00E34D7A">
              <w:rPr>
                <w:rFonts w:ascii="Arial Narrow" w:hAnsi="Arial Narrow"/>
                <w:sz w:val="20"/>
              </w:rPr>
              <w:t>24 September 2008</w:t>
            </w:r>
          </w:p>
        </w:tc>
      </w:tr>
    </w:tbl>
    <w:p w:rsidR="0028696B" w:rsidRPr="00E34D7A" w:rsidRDefault="0028696B" w:rsidP="0028696B">
      <w:pPr>
        <w:pStyle w:val="ListParagraph"/>
        <w:ind w:left="709"/>
        <w:rPr>
          <w:rFonts w:ascii="Arial Narrow" w:hAnsi="Arial Narrow"/>
          <w:sz w:val="18"/>
          <w:szCs w:val="18"/>
        </w:rPr>
      </w:pPr>
      <w:r w:rsidRPr="00E34D7A">
        <w:rPr>
          <w:rFonts w:ascii="Arial Narrow" w:hAnsi="Arial Narrow"/>
          <w:sz w:val="18"/>
          <w:szCs w:val="18"/>
        </w:rPr>
        <w:t>Source: Compiled during the minor overview</w:t>
      </w:r>
    </w:p>
    <w:p w:rsidR="00DE6706" w:rsidRPr="00E34D7A" w:rsidRDefault="00DE6706" w:rsidP="00B75DC6">
      <w:pPr>
        <w:pStyle w:val="ListParagraph"/>
        <w:rPr>
          <w:sz w:val="18"/>
          <w:szCs w:val="18"/>
        </w:rPr>
      </w:pPr>
    </w:p>
    <w:p w:rsidR="005A3173" w:rsidRPr="00E34D7A" w:rsidRDefault="005A3173" w:rsidP="00E369F6">
      <w:pPr>
        <w:pStyle w:val="Heading2"/>
      </w:pPr>
      <w:r w:rsidRPr="00E34D7A">
        <w:t>Comparative effectiveness</w:t>
      </w:r>
    </w:p>
    <w:p w:rsidR="005A3173" w:rsidRPr="00E34D7A" w:rsidRDefault="005A3173" w:rsidP="00E369F6">
      <w:pPr>
        <w:keepNext/>
        <w:jc w:val="both"/>
        <w:rPr>
          <w:rFonts w:ascii="Arial" w:hAnsi="Arial"/>
          <w:sz w:val="22"/>
          <w:szCs w:val="22"/>
        </w:rPr>
      </w:pPr>
    </w:p>
    <w:p w:rsidR="00447689" w:rsidRPr="00E34D7A" w:rsidRDefault="00ED3697" w:rsidP="008A50F1">
      <w:pPr>
        <w:pStyle w:val="ListParagraph"/>
        <w:numPr>
          <w:ilvl w:val="1"/>
          <w:numId w:val="5"/>
        </w:numPr>
        <w:rPr>
          <w:szCs w:val="22"/>
        </w:rPr>
      </w:pPr>
      <w:r w:rsidRPr="00E34D7A">
        <w:rPr>
          <w:szCs w:val="22"/>
        </w:rPr>
        <w:t xml:space="preserve">The PBAC previously considered Protocol 017 as the pivotal study for the </w:t>
      </w:r>
      <w:r w:rsidR="005B47B1" w:rsidRPr="00E34D7A">
        <w:rPr>
          <w:szCs w:val="22"/>
        </w:rPr>
        <w:t>fosaprepitant submission in March 2011</w:t>
      </w:r>
      <w:r w:rsidRPr="00E34D7A">
        <w:rPr>
          <w:szCs w:val="22"/>
        </w:rPr>
        <w:t xml:space="preserve">, where it was viewed as supportive of the claim that fosaprepitant was comparable to </w:t>
      </w:r>
      <w:r w:rsidR="003768A1">
        <w:rPr>
          <w:szCs w:val="22"/>
        </w:rPr>
        <w:t xml:space="preserve">the </w:t>
      </w:r>
      <w:r w:rsidRPr="00E34D7A">
        <w:rPr>
          <w:szCs w:val="22"/>
        </w:rPr>
        <w:t>aprepitant three-day regimen in efficacy in the acute phase (0-24 hours post chemotherapy).</w:t>
      </w:r>
    </w:p>
    <w:p w:rsidR="005B47B1" w:rsidRPr="00E34D7A" w:rsidRDefault="005B47B1" w:rsidP="009A521F">
      <w:pPr>
        <w:pStyle w:val="ListParagraph"/>
        <w:rPr>
          <w:szCs w:val="22"/>
        </w:rPr>
      </w:pPr>
    </w:p>
    <w:p w:rsidR="005B47B1" w:rsidRPr="00E34D7A" w:rsidRDefault="005B47B1" w:rsidP="005F076A">
      <w:pPr>
        <w:pStyle w:val="ListParagraph"/>
        <w:numPr>
          <w:ilvl w:val="1"/>
          <w:numId w:val="5"/>
        </w:numPr>
        <w:rPr>
          <w:szCs w:val="22"/>
        </w:rPr>
      </w:pPr>
      <w:r w:rsidRPr="00E34D7A">
        <w:rPr>
          <w:szCs w:val="22"/>
        </w:rPr>
        <w:t xml:space="preserve">The PBAC previously considered </w:t>
      </w:r>
      <w:r w:rsidR="009A521F" w:rsidRPr="00E34D7A">
        <w:rPr>
          <w:szCs w:val="22"/>
        </w:rPr>
        <w:t xml:space="preserve">Protocol 165 in </w:t>
      </w:r>
      <w:r w:rsidR="003768A1">
        <w:rPr>
          <w:szCs w:val="22"/>
        </w:rPr>
        <w:t xml:space="preserve">the </w:t>
      </w:r>
      <w:r w:rsidR="009A521F" w:rsidRPr="00E34D7A">
        <w:rPr>
          <w:szCs w:val="22"/>
        </w:rPr>
        <w:t xml:space="preserve">July 2012 </w:t>
      </w:r>
      <w:r w:rsidR="005F076A" w:rsidRPr="00E34D7A">
        <w:rPr>
          <w:szCs w:val="22"/>
        </w:rPr>
        <w:t xml:space="preserve">submission for </w:t>
      </w:r>
      <w:r w:rsidR="003768A1">
        <w:rPr>
          <w:szCs w:val="22"/>
        </w:rPr>
        <w:t xml:space="preserve">the </w:t>
      </w:r>
      <w:r w:rsidR="005F076A" w:rsidRPr="00E34D7A">
        <w:rPr>
          <w:szCs w:val="22"/>
        </w:rPr>
        <w:t xml:space="preserve">higher strength 165 mg aprepitant. It was presented as evidence of bioequivalence between aprepitant 165 mg capsules and 150 mg fosaprepitant IV. The submission stated that the bioavailability of these two formulations was found to be similar in study P165. On the basis of this study, in combination with P017, the PBAC accepted the submission’s claim that the single dose aprepitant 165 mg regimen has </w:t>
      </w:r>
      <w:r w:rsidR="00C56AAD" w:rsidRPr="00E34D7A">
        <w:rPr>
          <w:szCs w:val="22"/>
        </w:rPr>
        <w:t>non-inferior</w:t>
      </w:r>
      <w:r w:rsidR="005F076A" w:rsidRPr="00E34D7A">
        <w:rPr>
          <w:szCs w:val="22"/>
        </w:rPr>
        <w:t xml:space="preserve"> efficacy and safety </w:t>
      </w:r>
      <w:r w:rsidR="003768A1">
        <w:rPr>
          <w:szCs w:val="22"/>
        </w:rPr>
        <w:t>to</w:t>
      </w:r>
      <w:r w:rsidR="005F076A" w:rsidRPr="00E34D7A">
        <w:rPr>
          <w:szCs w:val="22"/>
        </w:rPr>
        <w:t xml:space="preserve"> the aprepitant three-day dose regimen.</w:t>
      </w:r>
    </w:p>
    <w:p w:rsidR="006622D4" w:rsidRPr="00E34D7A" w:rsidRDefault="006622D4" w:rsidP="006622D4">
      <w:pPr>
        <w:pStyle w:val="ListParagraph"/>
        <w:rPr>
          <w:szCs w:val="22"/>
        </w:rPr>
      </w:pPr>
    </w:p>
    <w:p w:rsidR="00FA6055" w:rsidRPr="00E34D7A" w:rsidRDefault="006622D4" w:rsidP="00B6773F">
      <w:pPr>
        <w:pStyle w:val="ListParagraph"/>
        <w:numPr>
          <w:ilvl w:val="1"/>
          <w:numId w:val="5"/>
        </w:numPr>
        <w:rPr>
          <w:szCs w:val="22"/>
        </w:rPr>
      </w:pPr>
      <w:r w:rsidRPr="00E34D7A">
        <w:rPr>
          <w:szCs w:val="22"/>
        </w:rPr>
        <w:t xml:space="preserve">The PBAC previously considered Protocol 031 in the November 2015 submission for aprepitant use with carboplatin/oxaliplatin without the requirement for a prior episode </w:t>
      </w:r>
      <w:r w:rsidR="00690AB8" w:rsidRPr="00E34D7A">
        <w:rPr>
          <w:szCs w:val="22"/>
        </w:rPr>
        <w:t>of CINV.</w:t>
      </w:r>
    </w:p>
    <w:p w:rsidR="00470FCF" w:rsidRPr="00E34D7A" w:rsidRDefault="00470FCF" w:rsidP="00881FA6">
      <w:pPr>
        <w:pStyle w:val="ListParagraph"/>
        <w:rPr>
          <w:szCs w:val="22"/>
        </w:rPr>
      </w:pPr>
    </w:p>
    <w:p w:rsidR="00470FCF" w:rsidRPr="00E34D7A" w:rsidRDefault="00470FCF" w:rsidP="00B6773F">
      <w:pPr>
        <w:pStyle w:val="ListParagraph"/>
        <w:numPr>
          <w:ilvl w:val="1"/>
          <w:numId w:val="5"/>
        </w:numPr>
        <w:rPr>
          <w:szCs w:val="22"/>
        </w:rPr>
      </w:pPr>
      <w:r w:rsidRPr="00E34D7A">
        <w:rPr>
          <w:szCs w:val="22"/>
        </w:rPr>
        <w:t xml:space="preserve">The PBAC </w:t>
      </w:r>
      <w:r w:rsidR="006E6260">
        <w:rPr>
          <w:szCs w:val="22"/>
        </w:rPr>
        <w:t>recalled</w:t>
      </w:r>
      <w:r w:rsidRPr="00E34D7A">
        <w:rPr>
          <w:szCs w:val="22"/>
        </w:rPr>
        <w:t xml:space="preserve"> that </w:t>
      </w:r>
      <w:r w:rsidR="0004447A" w:rsidRPr="00E34D7A">
        <w:rPr>
          <w:szCs w:val="22"/>
        </w:rPr>
        <w:t>at the March 2011 meeting</w:t>
      </w:r>
      <w:r w:rsidR="006E6260">
        <w:rPr>
          <w:szCs w:val="22"/>
        </w:rPr>
        <w:t>,</w:t>
      </w:r>
      <w:r w:rsidR="0004447A" w:rsidRPr="00E34D7A">
        <w:rPr>
          <w:szCs w:val="22"/>
        </w:rPr>
        <w:t xml:space="preserve"> </w:t>
      </w:r>
      <w:r w:rsidR="006E6260">
        <w:rPr>
          <w:szCs w:val="22"/>
        </w:rPr>
        <w:t>it</w:t>
      </w:r>
      <w:r w:rsidRPr="00E34D7A">
        <w:rPr>
          <w:szCs w:val="22"/>
        </w:rPr>
        <w:t xml:space="preserve"> considered that fosaprepitant had comparable efficacy to the aprepitant three-day regimen</w:t>
      </w:r>
      <w:r w:rsidR="0004447A" w:rsidRPr="00E34D7A">
        <w:rPr>
          <w:szCs w:val="22"/>
        </w:rPr>
        <w:t>. The PBAC</w:t>
      </w:r>
      <w:r w:rsidRPr="00E34D7A">
        <w:rPr>
          <w:szCs w:val="22"/>
        </w:rPr>
        <w:t xml:space="preserve"> also </w:t>
      </w:r>
      <w:r w:rsidR="006E6260">
        <w:rPr>
          <w:szCs w:val="22"/>
        </w:rPr>
        <w:t>recalled</w:t>
      </w:r>
      <w:r w:rsidRPr="00E34D7A">
        <w:rPr>
          <w:szCs w:val="22"/>
        </w:rPr>
        <w:t xml:space="preserve"> that </w:t>
      </w:r>
      <w:r w:rsidR="006E6260">
        <w:rPr>
          <w:szCs w:val="22"/>
        </w:rPr>
        <w:t>it</w:t>
      </w:r>
      <w:r w:rsidRPr="00E34D7A">
        <w:rPr>
          <w:szCs w:val="22"/>
        </w:rPr>
        <w:t xml:space="preserve"> had </w:t>
      </w:r>
      <w:r w:rsidR="006E6260">
        <w:rPr>
          <w:szCs w:val="22"/>
        </w:rPr>
        <w:t xml:space="preserve">previously accepted clinical </w:t>
      </w:r>
      <w:r w:rsidRPr="00E34D7A">
        <w:rPr>
          <w:szCs w:val="22"/>
        </w:rPr>
        <w:t>equivalence between the oral three-day and single dose regimens</w:t>
      </w:r>
      <w:r w:rsidR="006E6260">
        <w:rPr>
          <w:szCs w:val="22"/>
        </w:rPr>
        <w:t xml:space="preserve"> of aprepitant. </w:t>
      </w:r>
      <w:r w:rsidR="00206C9F" w:rsidRPr="00E34D7A">
        <w:rPr>
          <w:szCs w:val="22"/>
        </w:rPr>
        <w:t>On this basis</w:t>
      </w:r>
      <w:r w:rsidR="0004447A" w:rsidRPr="00E34D7A">
        <w:rPr>
          <w:szCs w:val="22"/>
        </w:rPr>
        <w:t>,</w:t>
      </w:r>
      <w:r w:rsidR="00206C9F" w:rsidRPr="00E34D7A">
        <w:rPr>
          <w:szCs w:val="22"/>
        </w:rPr>
        <w:t xml:space="preserve"> the PBAC considered that the evidence considered in the original submission in which </w:t>
      </w:r>
      <w:r w:rsidR="003768A1">
        <w:rPr>
          <w:szCs w:val="22"/>
        </w:rPr>
        <w:t xml:space="preserve">it </w:t>
      </w:r>
      <w:r w:rsidR="00206C9F" w:rsidRPr="00E34D7A">
        <w:rPr>
          <w:szCs w:val="22"/>
        </w:rPr>
        <w:t>recommended fosaprep</w:t>
      </w:r>
      <w:r w:rsidR="006E6260">
        <w:rPr>
          <w:szCs w:val="22"/>
        </w:rPr>
        <w:t>i</w:t>
      </w:r>
      <w:r w:rsidR="00206C9F" w:rsidRPr="00E34D7A">
        <w:rPr>
          <w:szCs w:val="22"/>
        </w:rPr>
        <w:t>tant to have non-inferior safety and efficacy to aprepitant three-day regimen, could also be applied to the single dose oral regimen.</w:t>
      </w:r>
    </w:p>
    <w:p w:rsidR="00372142" w:rsidRPr="00E34D7A" w:rsidRDefault="00372142" w:rsidP="00372142">
      <w:pPr>
        <w:pStyle w:val="ListParagraph"/>
        <w:rPr>
          <w:szCs w:val="22"/>
        </w:rPr>
      </w:pPr>
    </w:p>
    <w:p w:rsidR="005A3173" w:rsidRPr="00E34D7A" w:rsidRDefault="005A3173" w:rsidP="00B1059E">
      <w:pPr>
        <w:pStyle w:val="Heading2"/>
      </w:pPr>
      <w:r w:rsidRPr="00E34D7A">
        <w:t>Clinical claim</w:t>
      </w:r>
    </w:p>
    <w:p w:rsidR="00810911" w:rsidRPr="00E34D7A" w:rsidRDefault="00810911" w:rsidP="00810911"/>
    <w:p w:rsidR="00BB7EC3" w:rsidRPr="00E34D7A" w:rsidRDefault="00FF2801" w:rsidP="00513A7D">
      <w:pPr>
        <w:pStyle w:val="ListParagraph"/>
        <w:numPr>
          <w:ilvl w:val="1"/>
          <w:numId w:val="5"/>
        </w:numPr>
        <w:rPr>
          <w:szCs w:val="22"/>
        </w:rPr>
      </w:pPr>
      <w:r w:rsidRPr="00E34D7A">
        <w:rPr>
          <w:szCs w:val="22"/>
        </w:rPr>
        <w:t xml:space="preserve">The submission </w:t>
      </w:r>
      <w:r w:rsidR="0037675E" w:rsidRPr="00E34D7A">
        <w:rPr>
          <w:szCs w:val="22"/>
        </w:rPr>
        <w:t>reiterated the March 2011 claim that fosaprepitant</w:t>
      </w:r>
      <w:r w:rsidR="0037675E" w:rsidRPr="00E34D7A">
        <w:rPr>
          <w:i/>
          <w:szCs w:val="22"/>
        </w:rPr>
        <w:t xml:space="preserve"> </w:t>
      </w:r>
      <w:r w:rsidR="0037675E" w:rsidRPr="00E34D7A">
        <w:rPr>
          <w:szCs w:val="22"/>
        </w:rPr>
        <w:t xml:space="preserve">compared with aprepitant has </w:t>
      </w:r>
      <w:r w:rsidR="00513A7D" w:rsidRPr="00E34D7A">
        <w:rPr>
          <w:szCs w:val="22"/>
        </w:rPr>
        <w:t>non-inferior</w:t>
      </w:r>
      <w:r w:rsidR="00BB7EC3" w:rsidRPr="00E34D7A">
        <w:rPr>
          <w:szCs w:val="22"/>
        </w:rPr>
        <w:t xml:space="preserve"> comparative effectiveness and </w:t>
      </w:r>
      <w:r w:rsidR="00513A7D" w:rsidRPr="00E34D7A">
        <w:rPr>
          <w:szCs w:val="22"/>
        </w:rPr>
        <w:t>non-inferior</w:t>
      </w:r>
      <w:r w:rsidR="00BB7EC3" w:rsidRPr="00E34D7A">
        <w:rPr>
          <w:szCs w:val="22"/>
        </w:rPr>
        <w:t xml:space="preserve"> </w:t>
      </w:r>
      <w:r w:rsidR="0037675E" w:rsidRPr="00E34D7A">
        <w:rPr>
          <w:szCs w:val="22"/>
        </w:rPr>
        <w:t>safety</w:t>
      </w:r>
      <w:r w:rsidR="00BB7EC3" w:rsidRPr="00E34D7A">
        <w:rPr>
          <w:i/>
          <w:szCs w:val="22"/>
        </w:rPr>
        <w:t>.</w:t>
      </w:r>
      <w:r w:rsidR="002E4403" w:rsidRPr="00E34D7A">
        <w:rPr>
          <w:i/>
          <w:szCs w:val="22"/>
        </w:rPr>
        <w:t xml:space="preserve"> </w:t>
      </w:r>
      <w:r w:rsidR="002E4403" w:rsidRPr="00E34D7A">
        <w:rPr>
          <w:szCs w:val="22"/>
        </w:rPr>
        <w:t xml:space="preserve">The PBAC previously accepted this claim for </w:t>
      </w:r>
      <w:r w:rsidR="009E113F" w:rsidRPr="00E34D7A">
        <w:rPr>
          <w:szCs w:val="22"/>
        </w:rPr>
        <w:t>the three-day regimen</w:t>
      </w:r>
      <w:r w:rsidR="00D102F2" w:rsidRPr="00E34D7A">
        <w:rPr>
          <w:szCs w:val="22"/>
        </w:rPr>
        <w:t>.</w:t>
      </w:r>
    </w:p>
    <w:p w:rsidR="0020381E" w:rsidRPr="00E34D7A" w:rsidRDefault="0020381E" w:rsidP="0020381E">
      <w:pPr>
        <w:pStyle w:val="ListParagraph"/>
        <w:rPr>
          <w:szCs w:val="22"/>
        </w:rPr>
      </w:pPr>
    </w:p>
    <w:p w:rsidR="0020381E" w:rsidRPr="00E34D7A" w:rsidRDefault="0020381E" w:rsidP="00ED37AD">
      <w:pPr>
        <w:pStyle w:val="ListParagraph"/>
        <w:widowControl/>
        <w:numPr>
          <w:ilvl w:val="1"/>
          <w:numId w:val="5"/>
        </w:numPr>
        <w:rPr>
          <w:bCs/>
        </w:rPr>
      </w:pPr>
      <w:r w:rsidRPr="00E34D7A">
        <w:rPr>
          <w:bCs/>
          <w:szCs w:val="22"/>
        </w:rPr>
        <w:t xml:space="preserve">The PBAC considered that the claim of </w:t>
      </w:r>
      <w:r w:rsidR="00315DAF" w:rsidRPr="00E34D7A">
        <w:rPr>
          <w:bCs/>
          <w:szCs w:val="22"/>
        </w:rPr>
        <w:t>non-inferior</w:t>
      </w:r>
      <w:r w:rsidRPr="00E34D7A">
        <w:rPr>
          <w:bCs/>
          <w:szCs w:val="22"/>
        </w:rPr>
        <w:t xml:space="preserve"> comparative effectiveness </w:t>
      </w:r>
      <w:r w:rsidR="00315DAF" w:rsidRPr="00E34D7A">
        <w:rPr>
          <w:bCs/>
          <w:szCs w:val="22"/>
        </w:rPr>
        <w:t xml:space="preserve">and safety </w:t>
      </w:r>
      <w:r w:rsidRPr="00E34D7A">
        <w:rPr>
          <w:bCs/>
          <w:szCs w:val="22"/>
        </w:rPr>
        <w:t>was reasonable</w:t>
      </w:r>
      <w:r w:rsidR="00FA6171" w:rsidRPr="00E34D7A">
        <w:rPr>
          <w:bCs/>
          <w:szCs w:val="22"/>
        </w:rPr>
        <w:t xml:space="preserve"> when compared with aprepitant one-day regimen.</w:t>
      </w:r>
    </w:p>
    <w:p w:rsidR="0020381E" w:rsidRPr="00E34D7A" w:rsidRDefault="0020381E" w:rsidP="00ED37AD">
      <w:pPr>
        <w:pStyle w:val="ListParagraph"/>
        <w:rPr>
          <w:bCs/>
          <w:szCs w:val="22"/>
          <w:highlight w:val="yellow"/>
        </w:rPr>
      </w:pPr>
    </w:p>
    <w:p w:rsidR="005A3173" w:rsidRPr="00E34D7A" w:rsidRDefault="005A3173" w:rsidP="00B1059E">
      <w:pPr>
        <w:pStyle w:val="Heading2"/>
      </w:pPr>
      <w:r w:rsidRPr="00E34D7A">
        <w:t>Economic analysis</w:t>
      </w:r>
    </w:p>
    <w:p w:rsidR="005A3173" w:rsidRPr="00E34D7A" w:rsidRDefault="005A3173" w:rsidP="00D84934">
      <w:pPr>
        <w:pStyle w:val="NoSpacing"/>
      </w:pPr>
    </w:p>
    <w:p w:rsidR="00693768" w:rsidRPr="00E34D7A" w:rsidRDefault="006271EC" w:rsidP="00693768">
      <w:pPr>
        <w:pStyle w:val="ListParagraph"/>
        <w:numPr>
          <w:ilvl w:val="1"/>
          <w:numId w:val="5"/>
        </w:numPr>
        <w:rPr>
          <w:szCs w:val="22"/>
        </w:rPr>
      </w:pPr>
      <w:r w:rsidRPr="00E34D7A">
        <w:rPr>
          <w:szCs w:val="22"/>
        </w:rPr>
        <w:t>The</w:t>
      </w:r>
      <w:r w:rsidR="00FF2801" w:rsidRPr="00E34D7A">
        <w:rPr>
          <w:szCs w:val="22"/>
        </w:rPr>
        <w:t xml:space="preserve"> </w:t>
      </w:r>
      <w:r w:rsidR="00D102F2" w:rsidRPr="00E34D7A">
        <w:rPr>
          <w:szCs w:val="22"/>
        </w:rPr>
        <w:t>submission</w:t>
      </w:r>
      <w:r w:rsidR="00513A7D" w:rsidRPr="00E34D7A">
        <w:rPr>
          <w:szCs w:val="22"/>
        </w:rPr>
        <w:t xml:space="preserve"> </w:t>
      </w:r>
      <w:r w:rsidR="00105CF0" w:rsidRPr="00E34D7A">
        <w:rPr>
          <w:szCs w:val="22"/>
        </w:rPr>
        <w:t xml:space="preserve">noted that </w:t>
      </w:r>
      <w:r w:rsidR="00302139">
        <w:rPr>
          <w:szCs w:val="22"/>
        </w:rPr>
        <w:t xml:space="preserve">the </w:t>
      </w:r>
      <w:r w:rsidR="00105CF0" w:rsidRPr="00E34D7A">
        <w:rPr>
          <w:szCs w:val="22"/>
        </w:rPr>
        <w:t xml:space="preserve">PBAC </w:t>
      </w:r>
      <w:r w:rsidR="00302139">
        <w:rPr>
          <w:szCs w:val="22"/>
        </w:rPr>
        <w:t xml:space="preserve">had </w:t>
      </w:r>
      <w:r w:rsidR="00105CF0" w:rsidRPr="00E34D7A">
        <w:rPr>
          <w:szCs w:val="22"/>
        </w:rPr>
        <w:t>previously recommended fosaprepitant</w:t>
      </w:r>
      <w:r w:rsidR="00693768" w:rsidRPr="00E34D7A">
        <w:rPr>
          <w:szCs w:val="22"/>
        </w:rPr>
        <w:t xml:space="preserve"> </w:t>
      </w:r>
      <w:r w:rsidR="00105CF0" w:rsidRPr="00E34D7A">
        <w:rPr>
          <w:szCs w:val="22"/>
        </w:rPr>
        <w:t>on a cost-minimisation basis against aprepitant</w:t>
      </w:r>
      <w:r w:rsidR="00654A5C" w:rsidRPr="00E34D7A">
        <w:rPr>
          <w:szCs w:val="22"/>
        </w:rPr>
        <w:t xml:space="preserve"> three-day regimen</w:t>
      </w:r>
      <w:r w:rsidR="00105CF0" w:rsidRPr="00E34D7A">
        <w:rPr>
          <w:szCs w:val="22"/>
        </w:rPr>
        <w:t xml:space="preserve">. </w:t>
      </w:r>
      <w:r w:rsidR="004D3874" w:rsidRPr="00E34D7A">
        <w:rPr>
          <w:szCs w:val="22"/>
        </w:rPr>
        <w:t>The PBAC previously considered that the price should take into account the increased nursing time to administer the drug.</w:t>
      </w:r>
      <w:r w:rsidR="00837361" w:rsidRPr="00E34D7A">
        <w:rPr>
          <w:szCs w:val="22"/>
        </w:rPr>
        <w:t xml:space="preserve"> Th</w:t>
      </w:r>
      <w:r w:rsidR="00302139">
        <w:rPr>
          <w:szCs w:val="22"/>
        </w:rPr>
        <w:t>e current</w:t>
      </w:r>
      <w:r w:rsidR="006719F6" w:rsidRPr="00E34D7A">
        <w:rPr>
          <w:szCs w:val="22"/>
        </w:rPr>
        <w:t xml:space="preserve"> submission claimed that these cost offsets should not apply since fosaprepitant requires a ‘shorter pre</w:t>
      </w:r>
      <w:r w:rsidR="002B3F80" w:rsidRPr="00E34D7A">
        <w:rPr>
          <w:szCs w:val="22"/>
        </w:rPr>
        <w:noBreakHyphen/>
      </w:r>
      <w:r w:rsidR="006719F6" w:rsidRPr="00E34D7A">
        <w:rPr>
          <w:szCs w:val="22"/>
        </w:rPr>
        <w:t xml:space="preserve">medication time’ – that is, </w:t>
      </w:r>
      <w:r w:rsidR="00DD4FD0" w:rsidRPr="00E34D7A">
        <w:rPr>
          <w:szCs w:val="22"/>
        </w:rPr>
        <w:t>fosaprepitant</w:t>
      </w:r>
      <w:r w:rsidR="006719F6" w:rsidRPr="00E34D7A">
        <w:rPr>
          <w:szCs w:val="22"/>
        </w:rPr>
        <w:t xml:space="preserve"> is administered 30 minutes prior to chemotherapy, while aprepitant is administered 60 minutes prior to chemotherapy.</w:t>
      </w:r>
      <w:r w:rsidR="006719F6" w:rsidRPr="00E34D7A">
        <w:rPr>
          <w:b/>
          <w:color w:val="FF00FF"/>
          <w:szCs w:val="22"/>
        </w:rPr>
        <w:t xml:space="preserve"> </w:t>
      </w:r>
      <w:r w:rsidR="00693768" w:rsidRPr="00E34D7A">
        <w:rPr>
          <w:szCs w:val="22"/>
        </w:rPr>
        <w:t xml:space="preserve">The PI states that the IV infusion is administered over a period of 20 – 30 minutes. </w:t>
      </w:r>
    </w:p>
    <w:p w:rsidR="002D7F1C" w:rsidRPr="00E34D7A" w:rsidRDefault="002D7F1C" w:rsidP="002D7F1C">
      <w:pPr>
        <w:pStyle w:val="ListParagraph"/>
        <w:rPr>
          <w:szCs w:val="22"/>
        </w:rPr>
      </w:pPr>
    </w:p>
    <w:p w:rsidR="002D7F1C" w:rsidRPr="00E34D7A" w:rsidRDefault="002D7F1C" w:rsidP="008B2716">
      <w:pPr>
        <w:pStyle w:val="ListParagraph"/>
        <w:numPr>
          <w:ilvl w:val="1"/>
          <w:numId w:val="5"/>
        </w:numPr>
        <w:rPr>
          <w:szCs w:val="22"/>
        </w:rPr>
      </w:pPr>
      <w:r w:rsidRPr="00E34D7A">
        <w:rPr>
          <w:szCs w:val="22"/>
        </w:rPr>
        <w:t xml:space="preserve">The PBAC </w:t>
      </w:r>
      <w:r w:rsidR="006E6260">
        <w:rPr>
          <w:szCs w:val="22"/>
        </w:rPr>
        <w:t xml:space="preserve">recalled its </w:t>
      </w:r>
      <w:r w:rsidR="0004447A" w:rsidRPr="00E34D7A">
        <w:rPr>
          <w:szCs w:val="22"/>
        </w:rPr>
        <w:t xml:space="preserve">previous advice that the oral formulation would be the preferred option for patients. </w:t>
      </w:r>
      <w:r w:rsidR="008B2716">
        <w:rPr>
          <w:szCs w:val="22"/>
        </w:rPr>
        <w:t>It</w:t>
      </w:r>
      <w:r w:rsidR="0004447A" w:rsidRPr="00E34D7A">
        <w:rPr>
          <w:szCs w:val="22"/>
        </w:rPr>
        <w:t xml:space="preserve"> also noted that there was a clinical need for fosaprepitant as an alternative option for those patients who could not </w:t>
      </w:r>
      <w:r w:rsidR="008B2716">
        <w:rPr>
          <w:szCs w:val="22"/>
        </w:rPr>
        <w:t>use</w:t>
      </w:r>
      <w:r w:rsidR="0004447A" w:rsidRPr="00E34D7A">
        <w:rPr>
          <w:szCs w:val="22"/>
        </w:rPr>
        <w:t xml:space="preserve"> the oral form. </w:t>
      </w:r>
      <w:r w:rsidR="00FE5566" w:rsidRPr="00E34D7A">
        <w:rPr>
          <w:szCs w:val="22"/>
        </w:rPr>
        <w:t xml:space="preserve">The PBAC considered that uptake of fosaprepitant will not be large, and that the impact of </w:t>
      </w:r>
      <w:r w:rsidR="0004447A" w:rsidRPr="00E34D7A">
        <w:rPr>
          <w:szCs w:val="22"/>
        </w:rPr>
        <w:t>any additional chair time</w:t>
      </w:r>
      <w:r w:rsidR="00FE5566" w:rsidRPr="00E34D7A">
        <w:rPr>
          <w:szCs w:val="22"/>
        </w:rPr>
        <w:t xml:space="preserve"> will be </w:t>
      </w:r>
      <w:r w:rsidR="000B3A91" w:rsidRPr="00E34D7A">
        <w:rPr>
          <w:szCs w:val="22"/>
        </w:rPr>
        <w:t>negligible</w:t>
      </w:r>
      <w:r w:rsidR="008B2716">
        <w:rPr>
          <w:szCs w:val="22"/>
        </w:rPr>
        <w:t xml:space="preserve">, and therefore agreed that </w:t>
      </w:r>
      <w:r w:rsidR="008B2716" w:rsidRPr="008B2716">
        <w:rPr>
          <w:szCs w:val="22"/>
        </w:rPr>
        <w:t xml:space="preserve">no cost offset </w:t>
      </w:r>
      <w:r w:rsidR="008B2716">
        <w:rPr>
          <w:szCs w:val="22"/>
        </w:rPr>
        <w:t>is needed.</w:t>
      </w:r>
    </w:p>
    <w:p w:rsidR="009B0F67" w:rsidRPr="00E34D7A" w:rsidRDefault="009B0F67" w:rsidP="00C17D12">
      <w:pPr>
        <w:pStyle w:val="ListParagraph"/>
        <w:tabs>
          <w:tab w:val="left" w:pos="5670"/>
        </w:tabs>
        <w:jc w:val="left"/>
        <w:rPr>
          <w:szCs w:val="22"/>
        </w:rPr>
      </w:pPr>
    </w:p>
    <w:p w:rsidR="005A3173" w:rsidRPr="00E34D7A" w:rsidRDefault="005A3173" w:rsidP="00B1059E">
      <w:pPr>
        <w:pStyle w:val="Heading2"/>
      </w:pPr>
      <w:r w:rsidRPr="00E34D7A">
        <w:t>Estimated PBS usage &amp; financial implications</w:t>
      </w:r>
    </w:p>
    <w:p w:rsidR="005A3173" w:rsidRPr="00E34D7A" w:rsidRDefault="005A3173" w:rsidP="00882085">
      <w:pPr>
        <w:ind w:left="720" w:hanging="720"/>
        <w:jc w:val="both"/>
        <w:rPr>
          <w:rFonts w:ascii="Arial" w:hAnsi="Arial"/>
          <w:b/>
          <w:i/>
          <w:sz w:val="22"/>
          <w:szCs w:val="22"/>
        </w:rPr>
      </w:pPr>
    </w:p>
    <w:p w:rsidR="00C00DA7" w:rsidRPr="00E34D7A" w:rsidRDefault="00FF2801" w:rsidP="00F931E0">
      <w:pPr>
        <w:pStyle w:val="ListParagraph"/>
        <w:numPr>
          <w:ilvl w:val="1"/>
          <w:numId w:val="5"/>
        </w:numPr>
        <w:rPr>
          <w:szCs w:val="22"/>
        </w:rPr>
      </w:pPr>
      <w:r w:rsidRPr="00E34D7A">
        <w:rPr>
          <w:szCs w:val="22"/>
        </w:rPr>
        <w:t>The minor submission estimated</w:t>
      </w:r>
      <w:r w:rsidR="00C00DA7" w:rsidRPr="00E34D7A">
        <w:rPr>
          <w:szCs w:val="22"/>
        </w:rPr>
        <w:t xml:space="preserve"> there to be no financial implications to the PBS</w:t>
      </w:r>
      <w:r w:rsidR="00D10621" w:rsidRPr="00E34D7A">
        <w:rPr>
          <w:szCs w:val="22"/>
        </w:rPr>
        <w:t xml:space="preserve"> </w:t>
      </w:r>
      <w:r w:rsidR="00C00DA7" w:rsidRPr="00E34D7A">
        <w:rPr>
          <w:szCs w:val="22"/>
        </w:rPr>
        <w:t xml:space="preserve">as the submission expects </w:t>
      </w:r>
      <w:r w:rsidR="00D10621" w:rsidRPr="00E34D7A">
        <w:rPr>
          <w:szCs w:val="22"/>
        </w:rPr>
        <w:t>fosaprepitant</w:t>
      </w:r>
      <w:r w:rsidR="00C00DA7" w:rsidRPr="00E34D7A">
        <w:rPr>
          <w:szCs w:val="22"/>
        </w:rPr>
        <w:t xml:space="preserve"> to only substitute for </w:t>
      </w:r>
      <w:r w:rsidR="00D10621" w:rsidRPr="00E34D7A">
        <w:rPr>
          <w:szCs w:val="22"/>
        </w:rPr>
        <w:t>aprepitant, at the same cost to the Commonwealth. The minor submission also claimed that fosaprepitant will not change t</w:t>
      </w:r>
      <w:r w:rsidR="002B3F80" w:rsidRPr="00E34D7A">
        <w:rPr>
          <w:szCs w:val="22"/>
        </w:rPr>
        <w:t>he</w:t>
      </w:r>
      <w:r w:rsidR="00D10621" w:rsidRPr="00E34D7A">
        <w:rPr>
          <w:szCs w:val="22"/>
        </w:rPr>
        <w:t xml:space="preserve"> use of other anti-emetic drugs such as ondansetron and dexamethasone</w:t>
      </w:r>
      <w:r w:rsidR="00D102F2" w:rsidRPr="00E34D7A">
        <w:rPr>
          <w:szCs w:val="22"/>
        </w:rPr>
        <w:t>.</w:t>
      </w:r>
      <w:r w:rsidR="0081503C" w:rsidRPr="00E34D7A">
        <w:rPr>
          <w:szCs w:val="22"/>
        </w:rPr>
        <w:t xml:space="preserve"> </w:t>
      </w:r>
      <w:r w:rsidR="00763E26" w:rsidRPr="00E34D7A">
        <w:rPr>
          <w:szCs w:val="22"/>
        </w:rPr>
        <w:t>Est</w:t>
      </w:r>
      <w:r w:rsidR="0081503C" w:rsidRPr="00E34D7A">
        <w:rPr>
          <w:szCs w:val="22"/>
        </w:rPr>
        <w:t>imate</w:t>
      </w:r>
      <w:r w:rsidR="00763E26" w:rsidRPr="00E34D7A">
        <w:rPr>
          <w:szCs w:val="22"/>
        </w:rPr>
        <w:t>s of patient</w:t>
      </w:r>
      <w:r w:rsidR="0081503C" w:rsidRPr="00E34D7A">
        <w:rPr>
          <w:szCs w:val="22"/>
        </w:rPr>
        <w:t xml:space="preserve"> or prescription</w:t>
      </w:r>
      <w:r w:rsidR="00763E26" w:rsidRPr="00E34D7A">
        <w:rPr>
          <w:szCs w:val="22"/>
        </w:rPr>
        <w:t xml:space="preserve"> numbers were</w:t>
      </w:r>
      <w:r w:rsidR="00197C06" w:rsidRPr="00E34D7A">
        <w:rPr>
          <w:szCs w:val="22"/>
        </w:rPr>
        <w:t xml:space="preserve"> not provided.</w:t>
      </w:r>
    </w:p>
    <w:p w:rsidR="00BB7EC3" w:rsidRPr="00E34D7A" w:rsidRDefault="00BB7EC3" w:rsidP="00C00DA7">
      <w:pPr>
        <w:jc w:val="both"/>
        <w:rPr>
          <w:rFonts w:ascii="Arial" w:hAnsi="Arial"/>
          <w:sz w:val="22"/>
          <w:szCs w:val="22"/>
        </w:rPr>
      </w:pPr>
    </w:p>
    <w:p w:rsidR="00CB7A60" w:rsidRPr="00E34D7A" w:rsidRDefault="00CB7A60" w:rsidP="00CB7A60">
      <w:pPr>
        <w:pStyle w:val="Heading2"/>
      </w:pPr>
      <w:r w:rsidRPr="00E34D7A">
        <w:t xml:space="preserve">Financial Management </w:t>
      </w:r>
      <w:r w:rsidR="006E4CEC" w:rsidRPr="00E34D7A">
        <w:t xml:space="preserve">including </w:t>
      </w:r>
      <w:r w:rsidRPr="00E34D7A">
        <w:t>Risk Sharing Arrangements</w:t>
      </w:r>
    </w:p>
    <w:p w:rsidR="003872CF" w:rsidRPr="00E34D7A" w:rsidRDefault="003872CF">
      <w:pPr>
        <w:rPr>
          <w:rFonts w:ascii="Arial" w:hAnsi="Arial"/>
          <w:sz w:val="22"/>
          <w:szCs w:val="22"/>
        </w:rPr>
      </w:pPr>
    </w:p>
    <w:p w:rsidR="006804E3" w:rsidRPr="00E34D7A" w:rsidRDefault="00CB7A60" w:rsidP="00EE6C54">
      <w:pPr>
        <w:pStyle w:val="ListParagraph"/>
        <w:numPr>
          <w:ilvl w:val="1"/>
          <w:numId w:val="5"/>
        </w:numPr>
        <w:rPr>
          <w:snapToGrid/>
          <w:szCs w:val="22"/>
        </w:rPr>
      </w:pPr>
      <w:r w:rsidRPr="00E34D7A">
        <w:rPr>
          <w:snapToGrid/>
          <w:szCs w:val="22"/>
        </w:rPr>
        <w:t xml:space="preserve">In </w:t>
      </w:r>
      <w:r w:rsidR="00EE6C54" w:rsidRPr="00E34D7A">
        <w:rPr>
          <w:snapToGrid/>
          <w:szCs w:val="22"/>
        </w:rPr>
        <w:t xml:space="preserve">the </w:t>
      </w:r>
      <w:r w:rsidRPr="00E34D7A">
        <w:rPr>
          <w:snapToGrid/>
          <w:szCs w:val="22"/>
        </w:rPr>
        <w:t>March 2016</w:t>
      </w:r>
      <w:r w:rsidR="00EE6C54" w:rsidRPr="00E34D7A">
        <w:rPr>
          <w:snapToGrid/>
          <w:szCs w:val="22"/>
        </w:rPr>
        <w:t xml:space="preserve"> consideration to extend the aprepitant listing</w:t>
      </w:r>
      <w:r w:rsidR="00EE6C54" w:rsidRPr="00E34D7A">
        <w:t xml:space="preserve"> </w:t>
      </w:r>
      <w:r w:rsidR="00EE6C54" w:rsidRPr="00E34D7A">
        <w:rPr>
          <w:snapToGrid/>
          <w:szCs w:val="22"/>
        </w:rPr>
        <w:t xml:space="preserve">to include use with carboplatin/oxaliplatin regimens from the first chemotherapy cycle, without having a prior episode of </w:t>
      </w:r>
      <w:r w:rsidR="00D102F2" w:rsidRPr="00E34D7A">
        <w:rPr>
          <w:snapToGrid/>
          <w:szCs w:val="22"/>
        </w:rPr>
        <w:t>CINV,</w:t>
      </w:r>
      <w:r w:rsidR="00EE6C54" w:rsidRPr="00E34D7A">
        <w:rPr>
          <w:snapToGrid/>
          <w:szCs w:val="22"/>
        </w:rPr>
        <w:t xml:space="preserve"> </w:t>
      </w:r>
      <w:r w:rsidRPr="00E34D7A">
        <w:rPr>
          <w:snapToGrid/>
          <w:szCs w:val="22"/>
        </w:rPr>
        <w:t xml:space="preserve">the PBAC recommended a Risk Sharing Arrangement to manage the risk for potential use beyond the estimated patient numbers. </w:t>
      </w:r>
      <w:r w:rsidR="0095646C" w:rsidRPr="00E34D7A">
        <w:rPr>
          <w:snapToGrid/>
          <w:szCs w:val="22"/>
        </w:rPr>
        <w:t>The PBAC considered that fosaprepitant should also be included in this RSA, with no change to the existing caps</w:t>
      </w:r>
      <w:r w:rsidR="00520610" w:rsidRPr="00E34D7A">
        <w:rPr>
          <w:snapToGrid/>
          <w:szCs w:val="22"/>
        </w:rPr>
        <w:t xml:space="preserve">, </w:t>
      </w:r>
      <w:r w:rsidR="00520610" w:rsidRPr="00E34D7A">
        <w:rPr>
          <w:szCs w:val="22"/>
        </w:rPr>
        <w:t xml:space="preserve">under the same rebate arrangements as currently in place for </w:t>
      </w:r>
      <w:r w:rsidR="00520610" w:rsidRPr="00E34D7A">
        <w:rPr>
          <w:szCs w:val="22"/>
        </w:rPr>
        <w:lastRenderedPageBreak/>
        <w:t>aprepitant.</w:t>
      </w:r>
    </w:p>
    <w:p w:rsidR="00EC6D9B" w:rsidRPr="00E34D7A" w:rsidRDefault="00EC6D9B" w:rsidP="00EC6D9B">
      <w:pPr>
        <w:pStyle w:val="ListParagraph"/>
        <w:rPr>
          <w:snapToGrid/>
          <w:szCs w:val="22"/>
        </w:rPr>
      </w:pPr>
    </w:p>
    <w:p w:rsidR="00EC6D9B" w:rsidRPr="00E34D7A" w:rsidRDefault="00305E02" w:rsidP="00EC6D9B">
      <w:pPr>
        <w:pStyle w:val="ListParagraph"/>
        <w:numPr>
          <w:ilvl w:val="1"/>
          <w:numId w:val="5"/>
        </w:numPr>
        <w:rPr>
          <w:snapToGrid/>
          <w:szCs w:val="22"/>
        </w:rPr>
      </w:pPr>
      <w:r w:rsidRPr="00E34D7A">
        <w:rPr>
          <w:snapToGrid/>
          <w:szCs w:val="22"/>
        </w:rPr>
        <w:t>The sponsor requested the same AEMP as aprepitant</w:t>
      </w:r>
      <w:r w:rsidR="008B2716">
        <w:rPr>
          <w:snapToGrid/>
          <w:szCs w:val="22"/>
        </w:rPr>
        <w:t>.</w:t>
      </w:r>
      <w:r w:rsidRPr="00E34D7A">
        <w:rPr>
          <w:snapToGrid/>
          <w:szCs w:val="22"/>
        </w:rPr>
        <w:t xml:space="preserve"> </w:t>
      </w:r>
      <w:r w:rsidR="00EC6D9B" w:rsidRPr="00E34D7A">
        <w:rPr>
          <w:snapToGrid/>
          <w:szCs w:val="22"/>
        </w:rPr>
        <w:t>Th</w:t>
      </w:r>
      <w:r w:rsidRPr="00E34D7A">
        <w:rPr>
          <w:snapToGrid/>
          <w:szCs w:val="22"/>
        </w:rPr>
        <w:t>is</w:t>
      </w:r>
      <w:r w:rsidR="00EC6D9B" w:rsidRPr="00E34D7A">
        <w:rPr>
          <w:snapToGrid/>
          <w:szCs w:val="22"/>
        </w:rPr>
        <w:t xml:space="preserve"> </w:t>
      </w:r>
      <w:r w:rsidR="008B2716">
        <w:rPr>
          <w:snapToGrid/>
          <w:szCs w:val="22"/>
        </w:rPr>
        <w:t>current</w:t>
      </w:r>
      <w:r w:rsidR="00EC6D9B" w:rsidRPr="00E34D7A">
        <w:rPr>
          <w:snapToGrid/>
          <w:szCs w:val="22"/>
        </w:rPr>
        <w:t xml:space="preserve"> price of aprepitant is weighted between prices for the highly emetogenic/anthracycline plus cyclophosphamide (breast cancer) indications, and the moderately emetogenic chemotherapy indication. </w:t>
      </w:r>
      <w:r w:rsidR="0095646C" w:rsidRPr="00E34D7A">
        <w:rPr>
          <w:snapToGrid/>
          <w:szCs w:val="22"/>
        </w:rPr>
        <w:t>As fosaprepitant will be listed with the same indications as for aprepitant, the PBAC considered that this was reasonable.</w:t>
      </w:r>
    </w:p>
    <w:p w:rsidR="00305E02" w:rsidRPr="00E34D7A" w:rsidRDefault="00305E02" w:rsidP="00305E02">
      <w:pPr>
        <w:rPr>
          <w:rFonts w:ascii="Arial Narrow" w:hAnsi="Arial Narrow"/>
          <w:b/>
          <w:szCs w:val="22"/>
        </w:rPr>
      </w:pPr>
    </w:p>
    <w:p w:rsidR="00EC6D9B" w:rsidRPr="00E34D7A" w:rsidRDefault="006871DB" w:rsidP="00EC6D9B">
      <w:pPr>
        <w:pStyle w:val="ListParagraph"/>
        <w:rPr>
          <w:rFonts w:ascii="Arial Narrow" w:hAnsi="Arial Narrow"/>
          <w:b/>
          <w:snapToGrid/>
          <w:sz w:val="20"/>
        </w:rPr>
      </w:pPr>
      <w:r w:rsidRPr="00E34D7A">
        <w:rPr>
          <w:rFonts w:ascii="Arial Narrow" w:hAnsi="Arial Narrow"/>
          <w:b/>
          <w:snapToGrid/>
          <w:sz w:val="20"/>
        </w:rPr>
        <w:t>Table 3</w:t>
      </w:r>
      <w:r w:rsidR="007A26A6" w:rsidRPr="00E34D7A">
        <w:rPr>
          <w:rFonts w:ascii="Arial Narrow" w:hAnsi="Arial Narrow"/>
          <w:b/>
          <w:snapToGrid/>
          <w:sz w:val="20"/>
        </w:rPr>
        <w:t>: A</w:t>
      </w:r>
      <w:r w:rsidR="00305E02" w:rsidRPr="00E34D7A">
        <w:rPr>
          <w:rFonts w:ascii="Arial Narrow" w:hAnsi="Arial Narrow"/>
          <w:b/>
          <w:snapToGrid/>
          <w:sz w:val="20"/>
        </w:rPr>
        <w:t>prepitant weighted price – effective 1 October 2016</w:t>
      </w:r>
    </w:p>
    <w:tbl>
      <w:tblPr>
        <w:tblStyle w:val="TableGrid"/>
        <w:tblW w:w="0" w:type="auto"/>
        <w:tblInd w:w="817" w:type="dxa"/>
        <w:tblLook w:val="04A0" w:firstRow="1" w:lastRow="0" w:firstColumn="1" w:lastColumn="0" w:noHBand="0" w:noVBand="1"/>
        <w:tblCaption w:val="Summary of aprepitant weighted price"/>
      </w:tblPr>
      <w:tblGrid>
        <w:gridCol w:w="2126"/>
        <w:gridCol w:w="1565"/>
        <w:gridCol w:w="2254"/>
        <w:gridCol w:w="2255"/>
      </w:tblGrid>
      <w:tr w:rsidR="00EC6D9B" w:rsidRPr="00E34D7A" w:rsidTr="00AF0154">
        <w:trPr>
          <w:tblHeader/>
        </w:trPr>
        <w:tc>
          <w:tcPr>
            <w:tcW w:w="2126" w:type="dxa"/>
          </w:tcPr>
          <w:p w:rsidR="00EC6D9B" w:rsidRPr="00E34D7A" w:rsidRDefault="00EC6D9B" w:rsidP="008F2649">
            <w:pPr>
              <w:pStyle w:val="COMtbl-textCentred"/>
              <w:jc w:val="left"/>
            </w:pPr>
            <w:r w:rsidRPr="00E34D7A">
              <w:t>HEC/AC regimens</w:t>
            </w:r>
          </w:p>
        </w:tc>
        <w:tc>
          <w:tcPr>
            <w:tcW w:w="1565" w:type="dxa"/>
          </w:tcPr>
          <w:p w:rsidR="00EC6D9B" w:rsidRPr="00E34D7A" w:rsidRDefault="00EC6D9B" w:rsidP="008F2649">
            <w:pPr>
              <w:pStyle w:val="COMtbl-textCentred"/>
            </w:pPr>
            <w:r w:rsidRPr="00E34D7A">
              <w:t>$</w:t>
            </w:r>
            <w:r w:rsidR="00907139">
              <w:rPr>
                <w:noProof/>
                <w:color w:val="000000"/>
                <w:highlight w:val="black"/>
              </w:rPr>
              <w:t>''''''''''''''''</w:t>
            </w:r>
          </w:p>
        </w:tc>
        <w:tc>
          <w:tcPr>
            <w:tcW w:w="2254" w:type="dxa"/>
          </w:tcPr>
          <w:p w:rsidR="00EC6D9B" w:rsidRPr="00E34D7A" w:rsidRDefault="00907139" w:rsidP="008F2649">
            <w:pPr>
              <w:pStyle w:val="COMtbl-textCentred"/>
            </w:pPr>
            <w:r>
              <w:rPr>
                <w:noProof/>
                <w:color w:val="000000"/>
                <w:highlight w:val="black"/>
              </w:rPr>
              <w:t>''''''</w:t>
            </w:r>
            <w:r w:rsidR="00EC6D9B" w:rsidRPr="00E34D7A">
              <w:t>%</w:t>
            </w:r>
          </w:p>
        </w:tc>
        <w:tc>
          <w:tcPr>
            <w:tcW w:w="2255" w:type="dxa"/>
            <w:vMerge w:val="restart"/>
            <w:vAlign w:val="center"/>
          </w:tcPr>
          <w:p w:rsidR="00EC6D9B" w:rsidRPr="00E34D7A" w:rsidRDefault="00EC6D9B" w:rsidP="008F2649">
            <w:pPr>
              <w:pStyle w:val="COMtbl-textCentred"/>
            </w:pPr>
            <w:r w:rsidRPr="00E34D7A">
              <w:t>$</w:t>
            </w:r>
            <w:r w:rsidR="00907139">
              <w:rPr>
                <w:noProof/>
                <w:color w:val="000000"/>
                <w:highlight w:val="black"/>
              </w:rPr>
              <w:t>''''''''''''''</w:t>
            </w:r>
          </w:p>
        </w:tc>
      </w:tr>
      <w:tr w:rsidR="00EC6D9B" w:rsidRPr="00E34D7A" w:rsidTr="00AF0154">
        <w:trPr>
          <w:tblHeader/>
        </w:trPr>
        <w:tc>
          <w:tcPr>
            <w:tcW w:w="2126" w:type="dxa"/>
          </w:tcPr>
          <w:p w:rsidR="00EC6D9B" w:rsidRPr="00E34D7A" w:rsidRDefault="00EC6D9B" w:rsidP="008F2649">
            <w:pPr>
              <w:pStyle w:val="COMtbl-textCentred"/>
              <w:jc w:val="left"/>
            </w:pPr>
            <w:r w:rsidRPr="00E34D7A">
              <w:t>MEC regimens</w:t>
            </w:r>
          </w:p>
        </w:tc>
        <w:tc>
          <w:tcPr>
            <w:tcW w:w="1565" w:type="dxa"/>
          </w:tcPr>
          <w:p w:rsidR="00EC6D9B" w:rsidRPr="00E34D7A" w:rsidRDefault="00EC6D9B" w:rsidP="008F2649">
            <w:pPr>
              <w:pStyle w:val="COMtbl-textCentred"/>
            </w:pPr>
            <w:r w:rsidRPr="00E34D7A">
              <w:t>$</w:t>
            </w:r>
            <w:r w:rsidR="00907139">
              <w:rPr>
                <w:noProof/>
                <w:color w:val="000000"/>
                <w:highlight w:val="black"/>
              </w:rPr>
              <w:t>'''''''''''''</w:t>
            </w:r>
          </w:p>
        </w:tc>
        <w:tc>
          <w:tcPr>
            <w:tcW w:w="2254" w:type="dxa"/>
          </w:tcPr>
          <w:p w:rsidR="00EC6D9B" w:rsidRPr="00E34D7A" w:rsidRDefault="00907139" w:rsidP="008F2649">
            <w:pPr>
              <w:pStyle w:val="COMtbl-textCentred"/>
            </w:pPr>
            <w:r>
              <w:rPr>
                <w:noProof/>
                <w:color w:val="000000"/>
                <w:highlight w:val="black"/>
              </w:rPr>
              <w:t>''''''</w:t>
            </w:r>
            <w:r w:rsidR="00EC6D9B" w:rsidRPr="00E34D7A">
              <w:t>%</w:t>
            </w:r>
          </w:p>
        </w:tc>
        <w:tc>
          <w:tcPr>
            <w:tcW w:w="2255" w:type="dxa"/>
            <w:vMerge/>
          </w:tcPr>
          <w:p w:rsidR="00EC6D9B" w:rsidRPr="00E34D7A" w:rsidRDefault="00EC6D9B" w:rsidP="008F2649">
            <w:pPr>
              <w:pStyle w:val="COMtbl-textCentred"/>
            </w:pPr>
          </w:p>
        </w:tc>
      </w:tr>
    </w:tbl>
    <w:p w:rsidR="00BC7968" w:rsidRPr="00E34D7A" w:rsidRDefault="00BC7968" w:rsidP="00BC7968">
      <w:pPr>
        <w:pStyle w:val="ListParagraph"/>
        <w:ind w:left="709"/>
        <w:rPr>
          <w:rFonts w:ascii="Arial Narrow" w:hAnsi="Arial Narrow"/>
          <w:sz w:val="18"/>
          <w:szCs w:val="18"/>
        </w:rPr>
      </w:pPr>
      <w:r w:rsidRPr="00E34D7A">
        <w:rPr>
          <w:rFonts w:ascii="Arial Narrow" w:hAnsi="Arial Narrow"/>
          <w:sz w:val="18"/>
          <w:szCs w:val="18"/>
        </w:rPr>
        <w:t>Source: Compiled during the minor overview</w:t>
      </w:r>
    </w:p>
    <w:p w:rsidR="001E5054" w:rsidRPr="00E34D7A" w:rsidRDefault="00810911" w:rsidP="001E5054">
      <w:pPr>
        <w:pStyle w:val="ListParagraph"/>
        <w:tabs>
          <w:tab w:val="left" w:pos="1134"/>
        </w:tabs>
        <w:rPr>
          <w:i/>
          <w:szCs w:val="22"/>
        </w:rPr>
      </w:pPr>
      <w:r w:rsidRPr="00E34D7A">
        <w:rPr>
          <w:snapToGrid/>
          <w:szCs w:val="22"/>
        </w:rPr>
        <w:br/>
      </w:r>
      <w:r w:rsidR="001E5054" w:rsidRPr="00E34D7A">
        <w:rPr>
          <w:i/>
          <w:szCs w:val="22"/>
        </w:rPr>
        <w:t>For more detail on PBAC’s view, see section 7 “PBAC outcome”</w:t>
      </w:r>
    </w:p>
    <w:p w:rsidR="00810911" w:rsidRPr="00E34D7A" w:rsidRDefault="00810911" w:rsidP="001E5054">
      <w:pPr>
        <w:pStyle w:val="ListParagraph"/>
        <w:rPr>
          <w:szCs w:val="22"/>
        </w:rPr>
      </w:pPr>
      <w:r w:rsidRPr="00E34D7A">
        <w:rPr>
          <w:snapToGrid/>
          <w:szCs w:val="22"/>
        </w:rPr>
        <w:br/>
      </w:r>
    </w:p>
    <w:p w:rsidR="0020381E" w:rsidRPr="00E34D7A" w:rsidRDefault="0020381E" w:rsidP="00FF788D">
      <w:pPr>
        <w:pStyle w:val="PBACHeading1"/>
        <w:rPr>
          <w:b w:val="0"/>
          <w:bCs/>
        </w:rPr>
      </w:pPr>
      <w:r w:rsidRPr="00E34D7A">
        <w:rPr>
          <w:bCs/>
        </w:rPr>
        <w:t>PBAC Outcome</w:t>
      </w:r>
    </w:p>
    <w:p w:rsidR="0020381E" w:rsidRPr="00E34D7A" w:rsidRDefault="0020381E" w:rsidP="0020381E">
      <w:pPr>
        <w:contextualSpacing/>
        <w:jc w:val="both"/>
        <w:rPr>
          <w:rFonts w:ascii="Arial" w:hAnsi="Arial" w:cs="Arial"/>
          <w:b/>
          <w:bCs/>
          <w:snapToGrid w:val="0"/>
          <w:sz w:val="22"/>
          <w:szCs w:val="22"/>
          <w:highlight w:val="yellow"/>
        </w:rPr>
      </w:pPr>
    </w:p>
    <w:p w:rsidR="005963AB" w:rsidRPr="00E34D7A" w:rsidRDefault="0020381E" w:rsidP="005963AB">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 xml:space="preserve">The PBAC recommended the </w:t>
      </w:r>
      <w:r w:rsidR="00F0018E" w:rsidRPr="00E34D7A">
        <w:rPr>
          <w:rFonts w:ascii="Arial" w:hAnsi="Arial" w:cs="Arial"/>
          <w:bCs/>
          <w:snapToGrid w:val="0"/>
          <w:sz w:val="22"/>
          <w:szCs w:val="22"/>
        </w:rPr>
        <w:t>Authority Required (Streamlined)</w:t>
      </w:r>
      <w:r w:rsidR="000B5CD2" w:rsidRPr="00E34D7A">
        <w:rPr>
          <w:szCs w:val="22"/>
        </w:rPr>
        <w:t xml:space="preserve"> </w:t>
      </w:r>
      <w:r w:rsidR="000B5CD2" w:rsidRPr="00E34D7A">
        <w:rPr>
          <w:rFonts w:ascii="Arial" w:hAnsi="Arial" w:cs="Arial"/>
          <w:bCs/>
          <w:snapToGrid w:val="0"/>
          <w:sz w:val="22"/>
          <w:szCs w:val="22"/>
        </w:rPr>
        <w:t>General Schedule and Section 100 (Efficient Funding of Chemotherapy – Related Benefits)</w:t>
      </w:r>
      <w:r w:rsidR="00F0018E" w:rsidRPr="00E34D7A">
        <w:rPr>
          <w:rFonts w:ascii="Arial" w:hAnsi="Arial" w:cs="Arial"/>
          <w:bCs/>
          <w:snapToGrid w:val="0"/>
          <w:sz w:val="22"/>
          <w:szCs w:val="22"/>
        </w:rPr>
        <w:t xml:space="preserve"> listing of fosaprepitant for the management of nausea and vomiting associated with cytotoxic chemotherapy, on a cost-minimisation basis against aprepitant (</w:t>
      </w:r>
      <w:r w:rsidR="00A73D02" w:rsidRPr="00E34D7A">
        <w:rPr>
          <w:rFonts w:ascii="Arial" w:hAnsi="Arial" w:cs="Arial"/>
          <w:bCs/>
          <w:snapToGrid w:val="0"/>
          <w:sz w:val="22"/>
          <w:szCs w:val="22"/>
        </w:rPr>
        <w:t>one</w:t>
      </w:r>
      <w:r w:rsidR="00F0018E" w:rsidRPr="00E34D7A">
        <w:rPr>
          <w:rFonts w:ascii="Arial" w:hAnsi="Arial" w:cs="Arial"/>
          <w:bCs/>
          <w:snapToGrid w:val="0"/>
          <w:sz w:val="22"/>
          <w:szCs w:val="22"/>
        </w:rPr>
        <w:t>-day regimen).</w:t>
      </w:r>
      <w:r w:rsidR="000B5CD2" w:rsidRPr="00E34D7A">
        <w:rPr>
          <w:rFonts w:ascii="Arial" w:hAnsi="Arial" w:cs="Arial"/>
          <w:bCs/>
          <w:snapToGrid w:val="0"/>
          <w:sz w:val="22"/>
          <w:szCs w:val="22"/>
        </w:rPr>
        <w:t xml:space="preserve"> </w:t>
      </w:r>
      <w:r w:rsidR="005963AB" w:rsidRPr="00E34D7A">
        <w:rPr>
          <w:rFonts w:ascii="Arial" w:hAnsi="Arial" w:cs="Arial"/>
          <w:bCs/>
          <w:snapToGrid w:val="0"/>
          <w:sz w:val="22"/>
          <w:szCs w:val="22"/>
        </w:rPr>
        <w:t>The PBAC considered that the equi-effective doses were 150 mg fosaprepitant and 165 mg aprepitant.</w:t>
      </w:r>
    </w:p>
    <w:p w:rsidR="0020381E" w:rsidRPr="00E34D7A" w:rsidRDefault="0020381E" w:rsidP="0020381E">
      <w:pPr>
        <w:widowControl w:val="0"/>
        <w:ind w:left="720"/>
        <w:contextualSpacing/>
        <w:jc w:val="both"/>
        <w:rPr>
          <w:rFonts w:ascii="Arial" w:hAnsi="Arial" w:cs="Arial"/>
          <w:bCs/>
          <w:snapToGrid w:val="0"/>
          <w:sz w:val="22"/>
          <w:szCs w:val="22"/>
          <w:highlight w:val="yellow"/>
        </w:rPr>
      </w:pPr>
    </w:p>
    <w:p w:rsidR="00F0599D" w:rsidRPr="00E34D7A" w:rsidRDefault="00F0599D" w:rsidP="00F0599D">
      <w:pPr>
        <w:pStyle w:val="ListParagraph"/>
        <w:numPr>
          <w:ilvl w:val="1"/>
          <w:numId w:val="5"/>
        </w:numPr>
        <w:rPr>
          <w:szCs w:val="22"/>
        </w:rPr>
      </w:pPr>
      <w:r w:rsidRPr="00E34D7A">
        <w:rPr>
          <w:bCs/>
          <w:szCs w:val="22"/>
        </w:rPr>
        <w:t>The PBAC recommended that the same restrictions apply to fosaprepitant listings as currentl</w:t>
      </w:r>
      <w:r w:rsidR="00463A5E">
        <w:rPr>
          <w:bCs/>
          <w:szCs w:val="22"/>
        </w:rPr>
        <w:t>y apply to aprepitant listings:</w:t>
      </w:r>
    </w:p>
    <w:p w:rsidR="00F0599D" w:rsidRPr="00E34D7A" w:rsidRDefault="00F0599D" w:rsidP="00F0599D">
      <w:pPr>
        <w:pStyle w:val="ListParagraph"/>
        <w:numPr>
          <w:ilvl w:val="0"/>
          <w:numId w:val="26"/>
        </w:numPr>
        <w:tabs>
          <w:tab w:val="left" w:pos="709"/>
        </w:tabs>
        <w:spacing w:after="120"/>
        <w:ind w:left="993" w:hanging="284"/>
        <w:rPr>
          <w:szCs w:val="22"/>
        </w:rPr>
      </w:pPr>
      <w:r w:rsidRPr="00E34D7A">
        <w:rPr>
          <w:szCs w:val="22"/>
        </w:rPr>
        <w:t>Primary prophylaxis prior to highly emetogenic chemotherapy (HEC) or prior to breast cancer chemotherapy with cycloph</w:t>
      </w:r>
      <w:r w:rsidR="00463A5E">
        <w:rPr>
          <w:szCs w:val="22"/>
        </w:rPr>
        <w:t>osphamide and an anthracycline.</w:t>
      </w:r>
    </w:p>
    <w:p w:rsidR="00F0599D" w:rsidRPr="00E34D7A" w:rsidRDefault="00F0599D" w:rsidP="00F0599D">
      <w:pPr>
        <w:pStyle w:val="ListParagraph"/>
        <w:numPr>
          <w:ilvl w:val="0"/>
          <w:numId w:val="26"/>
        </w:numPr>
        <w:tabs>
          <w:tab w:val="left" w:pos="993"/>
        </w:tabs>
        <w:spacing w:after="120"/>
        <w:ind w:left="1134" w:hanging="425"/>
        <w:rPr>
          <w:szCs w:val="22"/>
        </w:rPr>
      </w:pPr>
      <w:r w:rsidRPr="00E34D7A">
        <w:rPr>
          <w:szCs w:val="22"/>
        </w:rPr>
        <w:t>Secondary prophylaxis prior to moderately emetogenic chemotherapy (MEC).</w:t>
      </w:r>
    </w:p>
    <w:p w:rsidR="00F0599D" w:rsidRPr="00E34D7A" w:rsidRDefault="00F0599D" w:rsidP="00F0599D">
      <w:pPr>
        <w:pStyle w:val="ListParagraph"/>
        <w:numPr>
          <w:ilvl w:val="0"/>
          <w:numId w:val="26"/>
        </w:numPr>
        <w:tabs>
          <w:tab w:val="left" w:pos="993"/>
        </w:tabs>
        <w:spacing w:after="120"/>
        <w:ind w:left="1134" w:hanging="425"/>
        <w:rPr>
          <w:szCs w:val="22"/>
        </w:rPr>
      </w:pPr>
      <w:r w:rsidRPr="00E34D7A">
        <w:rPr>
          <w:szCs w:val="22"/>
        </w:rPr>
        <w:t>Primary prophylaxis prior to administration of carboplatin/oxaliplatin regimens.</w:t>
      </w:r>
    </w:p>
    <w:p w:rsidR="00F0599D" w:rsidRPr="00E34D7A" w:rsidRDefault="00F0599D" w:rsidP="00F0599D">
      <w:pPr>
        <w:pStyle w:val="ListParagraph"/>
        <w:rPr>
          <w:bCs/>
          <w:szCs w:val="22"/>
          <w:highlight w:val="yellow"/>
        </w:rPr>
      </w:pPr>
    </w:p>
    <w:p w:rsidR="001B034A" w:rsidRPr="00E34D7A" w:rsidRDefault="001B034A" w:rsidP="001B034A">
      <w:pPr>
        <w:pStyle w:val="ListParagraph"/>
        <w:numPr>
          <w:ilvl w:val="1"/>
          <w:numId w:val="5"/>
        </w:numPr>
        <w:rPr>
          <w:szCs w:val="22"/>
        </w:rPr>
      </w:pPr>
      <w:r w:rsidRPr="00E34D7A">
        <w:rPr>
          <w:bCs/>
          <w:szCs w:val="22"/>
        </w:rPr>
        <w:t xml:space="preserve">The PBAC recommended that the listings </w:t>
      </w:r>
      <w:r w:rsidR="00C0711A" w:rsidRPr="00E34D7A">
        <w:rPr>
          <w:bCs/>
          <w:szCs w:val="22"/>
        </w:rPr>
        <w:t xml:space="preserve">should </w:t>
      </w:r>
      <w:r w:rsidRPr="00E34D7A">
        <w:rPr>
          <w:bCs/>
          <w:szCs w:val="22"/>
        </w:rPr>
        <w:t>provide a maximum quantity of 1 vial (150 mg), with 5 repeats</w:t>
      </w:r>
      <w:r w:rsidR="00C0711A" w:rsidRPr="00E34D7A">
        <w:rPr>
          <w:bCs/>
          <w:szCs w:val="22"/>
        </w:rPr>
        <w:t xml:space="preserve">, and that the aprepitant </w:t>
      </w:r>
      <w:r w:rsidRPr="00E34D7A">
        <w:rPr>
          <w:bCs/>
          <w:szCs w:val="22"/>
        </w:rPr>
        <w:t xml:space="preserve">Prescribing Instruction </w:t>
      </w:r>
      <w:r w:rsidR="00C0711A" w:rsidRPr="00E34D7A">
        <w:rPr>
          <w:bCs/>
          <w:szCs w:val="22"/>
        </w:rPr>
        <w:t>should be amended for the fosaprepitant listings as follows</w:t>
      </w:r>
      <w:r w:rsidRPr="00E34D7A">
        <w:rPr>
          <w:bCs/>
          <w:szCs w:val="22"/>
        </w:rPr>
        <w:t>: “</w:t>
      </w:r>
      <w:r w:rsidRPr="00E34D7A">
        <w:rPr>
          <w:szCs w:val="22"/>
        </w:rPr>
        <w:t>No more than 1 vial of fosaprepitant 150 mg will be authorised per cycle of cytotoxic chemotherapy.”</w:t>
      </w:r>
    </w:p>
    <w:p w:rsidR="0020381E" w:rsidRPr="00E34D7A" w:rsidRDefault="0020381E" w:rsidP="0020381E">
      <w:pPr>
        <w:widowControl w:val="0"/>
        <w:ind w:left="720"/>
        <w:contextualSpacing/>
        <w:jc w:val="both"/>
        <w:rPr>
          <w:rFonts w:ascii="Arial" w:hAnsi="Arial" w:cs="Arial"/>
          <w:bCs/>
          <w:snapToGrid w:val="0"/>
          <w:sz w:val="22"/>
          <w:szCs w:val="22"/>
          <w:highlight w:val="yellow"/>
        </w:rPr>
      </w:pPr>
    </w:p>
    <w:p w:rsidR="0020381E" w:rsidRPr="00E34D7A" w:rsidRDefault="00411871" w:rsidP="0020381E">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The PBAC agreed with the submission that the appropriate comparator was aprepitant one-day regimen (165 mg tablet).</w:t>
      </w:r>
    </w:p>
    <w:p w:rsidR="0020381E" w:rsidRPr="00E34D7A" w:rsidRDefault="0020381E" w:rsidP="0020381E">
      <w:pPr>
        <w:widowControl w:val="0"/>
        <w:ind w:left="720"/>
        <w:contextualSpacing/>
        <w:jc w:val="both"/>
        <w:rPr>
          <w:rFonts w:ascii="Arial" w:hAnsi="Arial" w:cs="Arial"/>
          <w:bCs/>
          <w:snapToGrid w:val="0"/>
          <w:sz w:val="22"/>
          <w:szCs w:val="22"/>
          <w:highlight w:val="yellow"/>
        </w:rPr>
      </w:pPr>
    </w:p>
    <w:p w:rsidR="0020381E" w:rsidRPr="00E34D7A" w:rsidRDefault="00C56AAD" w:rsidP="0020381E">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 xml:space="preserve">The PBAC considered that evidence presented in the submission, and previously considered by the PBAC in consideration of fosaprepitant and aprepitant, was supportive of the claim that </w:t>
      </w:r>
      <w:r w:rsidRPr="00E34D7A">
        <w:rPr>
          <w:rFonts w:ascii="Arial" w:hAnsi="Arial" w:cs="Arial"/>
          <w:sz w:val="22"/>
          <w:szCs w:val="22"/>
        </w:rPr>
        <w:t>fosaprepitant</w:t>
      </w:r>
      <w:r w:rsidRPr="00E34D7A">
        <w:rPr>
          <w:rFonts w:ascii="Arial" w:hAnsi="Arial" w:cs="Arial"/>
          <w:i/>
          <w:sz w:val="22"/>
          <w:szCs w:val="22"/>
        </w:rPr>
        <w:t xml:space="preserve"> </w:t>
      </w:r>
      <w:r w:rsidRPr="00E34D7A">
        <w:rPr>
          <w:rFonts w:ascii="Arial" w:hAnsi="Arial" w:cs="Arial"/>
          <w:sz w:val="22"/>
          <w:szCs w:val="22"/>
        </w:rPr>
        <w:t>has non-inferior comparative effectiveness and non-inferior safety compared with aprepitant.</w:t>
      </w:r>
    </w:p>
    <w:p w:rsidR="000F2769" w:rsidRPr="00E34D7A" w:rsidRDefault="000F2769" w:rsidP="000F2769">
      <w:pPr>
        <w:pStyle w:val="ListParagraph"/>
        <w:rPr>
          <w:bCs/>
          <w:szCs w:val="22"/>
          <w:highlight w:val="yellow"/>
        </w:rPr>
      </w:pPr>
    </w:p>
    <w:p w:rsidR="000F2769" w:rsidRPr="00E34D7A" w:rsidRDefault="000F2769" w:rsidP="000F2769">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 xml:space="preserve">The PBAC </w:t>
      </w:r>
      <w:r w:rsidR="0095646C" w:rsidRPr="00E34D7A">
        <w:rPr>
          <w:rFonts w:ascii="Arial" w:hAnsi="Arial" w:cs="Arial"/>
          <w:bCs/>
          <w:snapToGrid w:val="0"/>
          <w:sz w:val="22"/>
          <w:szCs w:val="22"/>
        </w:rPr>
        <w:t xml:space="preserve">considered </w:t>
      </w:r>
      <w:r w:rsidRPr="00E34D7A">
        <w:rPr>
          <w:rFonts w:ascii="Arial" w:hAnsi="Arial" w:cs="Arial"/>
          <w:bCs/>
          <w:snapToGrid w:val="0"/>
          <w:sz w:val="22"/>
          <w:szCs w:val="22"/>
        </w:rPr>
        <w:t xml:space="preserve">that PBS listing of fosaprepitant was unlikely to grow the market for anti-emetic therapy. Rather, it would likely be prescribed as a substitute for PBS-listed aprepitant. The PBAC </w:t>
      </w:r>
      <w:r w:rsidR="0095646C" w:rsidRPr="00E34D7A">
        <w:rPr>
          <w:rFonts w:ascii="Arial" w:hAnsi="Arial" w:cs="Arial"/>
          <w:bCs/>
          <w:snapToGrid w:val="0"/>
          <w:sz w:val="22"/>
          <w:szCs w:val="22"/>
        </w:rPr>
        <w:t xml:space="preserve">also considered </w:t>
      </w:r>
      <w:r w:rsidRPr="00E34D7A">
        <w:rPr>
          <w:rFonts w:ascii="Arial" w:hAnsi="Arial" w:cs="Arial"/>
          <w:bCs/>
          <w:snapToGrid w:val="0"/>
          <w:sz w:val="22"/>
          <w:szCs w:val="22"/>
        </w:rPr>
        <w:t>that the intravenous formulation has a clinical place</w:t>
      </w:r>
      <w:r w:rsidR="0095646C" w:rsidRPr="00E34D7A">
        <w:rPr>
          <w:rFonts w:ascii="Arial" w:hAnsi="Arial" w:cs="Arial"/>
          <w:bCs/>
          <w:snapToGrid w:val="0"/>
          <w:sz w:val="22"/>
          <w:szCs w:val="22"/>
        </w:rPr>
        <w:t>, particularly</w:t>
      </w:r>
      <w:r w:rsidRPr="00E34D7A">
        <w:rPr>
          <w:rFonts w:ascii="Arial" w:hAnsi="Arial" w:cs="Arial"/>
          <w:bCs/>
          <w:snapToGrid w:val="0"/>
          <w:sz w:val="22"/>
          <w:szCs w:val="22"/>
        </w:rPr>
        <w:t xml:space="preserve"> </w:t>
      </w:r>
      <w:r w:rsidR="0095646C" w:rsidRPr="00E34D7A">
        <w:rPr>
          <w:rFonts w:ascii="Arial" w:hAnsi="Arial" w:cs="Arial"/>
          <w:bCs/>
          <w:snapToGrid w:val="0"/>
          <w:sz w:val="22"/>
          <w:szCs w:val="22"/>
        </w:rPr>
        <w:t>for</w:t>
      </w:r>
      <w:r w:rsidRPr="00E34D7A">
        <w:rPr>
          <w:rFonts w:ascii="Arial" w:hAnsi="Arial" w:cs="Arial"/>
          <w:bCs/>
          <w:snapToGrid w:val="0"/>
          <w:sz w:val="22"/>
          <w:szCs w:val="22"/>
        </w:rPr>
        <w:t xml:space="preserve"> patients with swallowing difficulties</w:t>
      </w:r>
      <w:r w:rsidR="0095646C" w:rsidRPr="00E34D7A">
        <w:rPr>
          <w:rFonts w:ascii="Arial" w:hAnsi="Arial" w:cs="Arial"/>
          <w:bCs/>
          <w:snapToGrid w:val="0"/>
          <w:sz w:val="22"/>
          <w:szCs w:val="22"/>
        </w:rPr>
        <w:t xml:space="preserve">, or difficulties absorbing the </w:t>
      </w:r>
      <w:r w:rsidR="008B2716">
        <w:rPr>
          <w:rFonts w:ascii="Arial" w:hAnsi="Arial" w:cs="Arial"/>
          <w:bCs/>
          <w:snapToGrid w:val="0"/>
          <w:sz w:val="22"/>
          <w:szCs w:val="22"/>
        </w:rPr>
        <w:t xml:space="preserve">drug from the </w:t>
      </w:r>
      <w:r w:rsidR="0095646C" w:rsidRPr="00E34D7A">
        <w:rPr>
          <w:rFonts w:ascii="Arial" w:hAnsi="Arial" w:cs="Arial"/>
          <w:bCs/>
          <w:snapToGrid w:val="0"/>
          <w:sz w:val="22"/>
          <w:szCs w:val="22"/>
        </w:rPr>
        <w:t xml:space="preserve">oral </w:t>
      </w:r>
      <w:r w:rsidR="008B2716">
        <w:rPr>
          <w:rFonts w:ascii="Arial" w:hAnsi="Arial" w:cs="Arial"/>
          <w:bCs/>
          <w:snapToGrid w:val="0"/>
          <w:sz w:val="22"/>
          <w:szCs w:val="22"/>
        </w:rPr>
        <w:t>form</w:t>
      </w:r>
      <w:r w:rsidR="0095646C" w:rsidRPr="00E34D7A">
        <w:rPr>
          <w:rFonts w:ascii="Arial" w:hAnsi="Arial" w:cs="Arial"/>
          <w:bCs/>
          <w:snapToGrid w:val="0"/>
          <w:sz w:val="22"/>
          <w:szCs w:val="22"/>
        </w:rPr>
        <w:t>,</w:t>
      </w:r>
      <w:r w:rsidRPr="00E34D7A">
        <w:rPr>
          <w:rFonts w:ascii="Arial" w:hAnsi="Arial" w:cs="Arial"/>
          <w:bCs/>
          <w:snapToGrid w:val="0"/>
          <w:sz w:val="22"/>
          <w:szCs w:val="22"/>
        </w:rPr>
        <w:t xml:space="preserve"> and </w:t>
      </w:r>
      <w:r w:rsidR="0095646C" w:rsidRPr="00E34D7A">
        <w:rPr>
          <w:rFonts w:ascii="Arial" w:hAnsi="Arial" w:cs="Arial"/>
          <w:bCs/>
          <w:snapToGrid w:val="0"/>
          <w:sz w:val="22"/>
          <w:szCs w:val="22"/>
        </w:rPr>
        <w:t xml:space="preserve">some </w:t>
      </w:r>
      <w:r w:rsidRPr="00E34D7A">
        <w:rPr>
          <w:rFonts w:ascii="Arial" w:hAnsi="Arial" w:cs="Arial"/>
          <w:bCs/>
          <w:snapToGrid w:val="0"/>
          <w:sz w:val="22"/>
          <w:szCs w:val="22"/>
        </w:rPr>
        <w:t>children.</w:t>
      </w:r>
    </w:p>
    <w:p w:rsidR="000F2769" w:rsidRPr="00E34D7A" w:rsidRDefault="000F2769" w:rsidP="000F2769">
      <w:pPr>
        <w:pStyle w:val="ListParagraph"/>
        <w:rPr>
          <w:bCs/>
          <w:szCs w:val="22"/>
        </w:rPr>
      </w:pPr>
    </w:p>
    <w:p w:rsidR="00FF43F5" w:rsidRPr="00E34D7A" w:rsidRDefault="00FF43F5" w:rsidP="00FF43F5">
      <w:pPr>
        <w:pStyle w:val="ListParagraph"/>
        <w:numPr>
          <w:ilvl w:val="1"/>
          <w:numId w:val="5"/>
        </w:numPr>
        <w:rPr>
          <w:snapToGrid/>
          <w:szCs w:val="22"/>
        </w:rPr>
      </w:pPr>
      <w:r w:rsidRPr="00E34D7A">
        <w:rPr>
          <w:snapToGrid/>
          <w:szCs w:val="22"/>
        </w:rPr>
        <w:t xml:space="preserve">The PBAC recommended that the fosaprepitant listing for use with </w:t>
      </w:r>
      <w:r w:rsidRPr="00E34D7A">
        <w:rPr>
          <w:snapToGrid/>
          <w:szCs w:val="22"/>
        </w:rPr>
        <w:lastRenderedPageBreak/>
        <w:t xml:space="preserve">carboplatin/oxaliplatin regimens from the first chemotherapy cycle, without having a prior episode of CINV, should also be included in the </w:t>
      </w:r>
      <w:r w:rsidR="006C143D" w:rsidRPr="00E34D7A">
        <w:rPr>
          <w:snapToGrid/>
          <w:szCs w:val="22"/>
        </w:rPr>
        <w:t xml:space="preserve">existing </w:t>
      </w:r>
      <w:r w:rsidRPr="00E34D7A">
        <w:rPr>
          <w:snapToGrid/>
          <w:szCs w:val="22"/>
        </w:rPr>
        <w:t>aprepitant RSA.</w:t>
      </w:r>
    </w:p>
    <w:p w:rsidR="000F2769" w:rsidRPr="00E34D7A" w:rsidRDefault="000F2769" w:rsidP="00E34D7A">
      <w:pPr>
        <w:rPr>
          <w:bCs/>
          <w:snapToGrid w:val="0"/>
          <w:szCs w:val="22"/>
          <w:highlight w:val="yellow"/>
        </w:rPr>
      </w:pPr>
    </w:p>
    <w:p w:rsidR="0020381E" w:rsidRPr="00E34D7A" w:rsidRDefault="00C616E1" w:rsidP="0020381E">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 xml:space="preserve">The PBAC recommended that under Section 101(3BA) of the </w:t>
      </w:r>
      <w:r w:rsidRPr="00E34D7A">
        <w:rPr>
          <w:rFonts w:ascii="Arial" w:hAnsi="Arial" w:cs="Arial"/>
          <w:bCs/>
          <w:i/>
          <w:snapToGrid w:val="0"/>
          <w:sz w:val="22"/>
          <w:szCs w:val="22"/>
        </w:rPr>
        <w:t xml:space="preserve">National Health Act 1953, </w:t>
      </w:r>
      <w:r w:rsidRPr="00E34D7A">
        <w:rPr>
          <w:rFonts w:ascii="Arial" w:hAnsi="Arial" w:cs="Arial"/>
          <w:bCs/>
          <w:snapToGrid w:val="0"/>
          <w:sz w:val="22"/>
          <w:szCs w:val="22"/>
        </w:rPr>
        <w:t>fosaprepitant</w:t>
      </w:r>
      <w:r w:rsidR="0020381E" w:rsidRPr="00E34D7A">
        <w:rPr>
          <w:rFonts w:ascii="Arial" w:hAnsi="Arial" w:cs="Arial"/>
          <w:bCs/>
          <w:snapToGrid w:val="0"/>
          <w:sz w:val="22"/>
          <w:szCs w:val="22"/>
        </w:rPr>
        <w:t xml:space="preserve"> should be treated as interchangeable on an individual patient basis with </w:t>
      </w:r>
      <w:r w:rsidR="00463A5E">
        <w:rPr>
          <w:rFonts w:ascii="Arial" w:hAnsi="Arial" w:cs="Arial"/>
          <w:bCs/>
          <w:snapToGrid w:val="0"/>
          <w:sz w:val="22"/>
          <w:szCs w:val="22"/>
        </w:rPr>
        <w:t>aprepitant.</w:t>
      </w:r>
    </w:p>
    <w:p w:rsidR="0020381E" w:rsidRPr="00E34D7A" w:rsidRDefault="0020381E" w:rsidP="0020381E">
      <w:pPr>
        <w:widowControl w:val="0"/>
        <w:ind w:left="720"/>
        <w:contextualSpacing/>
        <w:jc w:val="both"/>
        <w:rPr>
          <w:rFonts w:ascii="Arial" w:hAnsi="Arial" w:cs="Arial"/>
          <w:bCs/>
          <w:snapToGrid w:val="0"/>
          <w:sz w:val="22"/>
          <w:szCs w:val="22"/>
          <w:highlight w:val="yellow"/>
        </w:rPr>
      </w:pPr>
    </w:p>
    <w:p w:rsidR="000E2EE5" w:rsidRPr="00E34D7A" w:rsidRDefault="0020381E" w:rsidP="000E2EE5">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 xml:space="preserve">The PBAC advised that </w:t>
      </w:r>
      <w:r w:rsidR="000E2EE5" w:rsidRPr="00E34D7A">
        <w:rPr>
          <w:rFonts w:ascii="Arial" w:hAnsi="Arial" w:cs="Arial"/>
          <w:bCs/>
          <w:snapToGrid w:val="0"/>
          <w:sz w:val="22"/>
          <w:szCs w:val="22"/>
        </w:rPr>
        <w:t xml:space="preserve">fosaprepitant is suitable for inclusion in the PBS medicines for prescribing </w:t>
      </w:r>
      <w:r w:rsidR="0095646C" w:rsidRPr="00E34D7A">
        <w:rPr>
          <w:rFonts w:ascii="Arial" w:hAnsi="Arial" w:cs="Arial"/>
          <w:bCs/>
          <w:snapToGrid w:val="0"/>
          <w:sz w:val="22"/>
          <w:szCs w:val="22"/>
        </w:rPr>
        <w:t xml:space="preserve">by nurse practitioners </w:t>
      </w:r>
      <w:r w:rsidR="000E2EE5" w:rsidRPr="00E34D7A">
        <w:rPr>
          <w:rFonts w:ascii="Arial" w:hAnsi="Arial" w:cs="Arial"/>
          <w:bCs/>
          <w:snapToGrid w:val="0"/>
          <w:sz w:val="22"/>
          <w:szCs w:val="22"/>
        </w:rPr>
        <w:t>under the General Schedule, but not under s100 CT.</w:t>
      </w:r>
    </w:p>
    <w:p w:rsidR="0020381E" w:rsidRPr="00E34D7A" w:rsidRDefault="0020381E" w:rsidP="000E2EE5">
      <w:pPr>
        <w:widowControl w:val="0"/>
        <w:contextualSpacing/>
        <w:jc w:val="both"/>
        <w:rPr>
          <w:rFonts w:ascii="Arial" w:hAnsi="Arial" w:cs="Arial"/>
          <w:bCs/>
          <w:snapToGrid w:val="0"/>
          <w:sz w:val="22"/>
          <w:szCs w:val="22"/>
          <w:highlight w:val="yellow"/>
        </w:rPr>
      </w:pPr>
    </w:p>
    <w:p w:rsidR="0020381E" w:rsidRPr="00E34D7A" w:rsidRDefault="0020381E" w:rsidP="0020381E">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The PBAC recommended that the Early Supply Rule should</w:t>
      </w:r>
      <w:r w:rsidR="003A6D54" w:rsidRPr="00E34D7A">
        <w:rPr>
          <w:rFonts w:ascii="Arial" w:hAnsi="Arial" w:cs="Arial"/>
          <w:bCs/>
          <w:snapToGrid w:val="0"/>
          <w:sz w:val="22"/>
          <w:szCs w:val="22"/>
        </w:rPr>
        <w:t xml:space="preserve"> not apply, as it does not currently apply to s100 CT listings and does not apply to </w:t>
      </w:r>
      <w:r w:rsidR="0095646C" w:rsidRPr="00E34D7A">
        <w:rPr>
          <w:rFonts w:ascii="Arial" w:hAnsi="Arial" w:cs="Arial"/>
          <w:bCs/>
          <w:snapToGrid w:val="0"/>
          <w:sz w:val="22"/>
          <w:szCs w:val="22"/>
        </w:rPr>
        <w:t xml:space="preserve">the current </w:t>
      </w:r>
      <w:r w:rsidR="003A6D54" w:rsidRPr="00E34D7A">
        <w:rPr>
          <w:rFonts w:ascii="Arial" w:hAnsi="Arial" w:cs="Arial"/>
          <w:bCs/>
          <w:snapToGrid w:val="0"/>
          <w:sz w:val="22"/>
          <w:szCs w:val="22"/>
        </w:rPr>
        <w:t>aprepitant listings.</w:t>
      </w:r>
    </w:p>
    <w:p w:rsidR="0020381E" w:rsidRPr="00E34D7A" w:rsidRDefault="0020381E" w:rsidP="0020381E">
      <w:pPr>
        <w:pStyle w:val="ListParagraph"/>
        <w:rPr>
          <w:bCs/>
          <w:szCs w:val="22"/>
          <w:highlight w:val="yellow"/>
        </w:rPr>
      </w:pPr>
    </w:p>
    <w:p w:rsidR="0020381E" w:rsidRPr="00E34D7A" w:rsidRDefault="0020381E" w:rsidP="0020381E">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The PBA</w:t>
      </w:r>
      <w:r w:rsidR="00BF27C6" w:rsidRPr="00E34D7A">
        <w:rPr>
          <w:rFonts w:ascii="Arial" w:hAnsi="Arial" w:cs="Arial"/>
          <w:bCs/>
          <w:snapToGrid w:val="0"/>
          <w:sz w:val="22"/>
          <w:szCs w:val="22"/>
        </w:rPr>
        <w:t>C noted that this submission is</w:t>
      </w:r>
      <w:r w:rsidRPr="00E34D7A">
        <w:rPr>
          <w:rFonts w:ascii="Arial" w:hAnsi="Arial" w:cs="Arial"/>
          <w:bCs/>
          <w:snapToGrid w:val="0"/>
          <w:sz w:val="22"/>
          <w:szCs w:val="22"/>
        </w:rPr>
        <w:t xml:space="preserve"> not eligible for an Independent Review</w:t>
      </w:r>
      <w:r w:rsidR="00BF27C6" w:rsidRPr="00E34D7A">
        <w:rPr>
          <w:rFonts w:ascii="Arial" w:hAnsi="Arial" w:cs="Arial"/>
          <w:bCs/>
          <w:snapToGrid w:val="0"/>
          <w:sz w:val="22"/>
          <w:szCs w:val="22"/>
        </w:rPr>
        <w:t xml:space="preserve"> as it received a positive recommendation.</w:t>
      </w:r>
    </w:p>
    <w:p w:rsidR="00F62423" w:rsidRPr="00C47DE1" w:rsidRDefault="00F62423" w:rsidP="00F62423">
      <w:pPr>
        <w:pStyle w:val="ListParagraph"/>
        <w:rPr>
          <w:szCs w:val="22"/>
        </w:rPr>
      </w:pPr>
    </w:p>
    <w:p w:rsidR="0020381E" w:rsidRPr="00E34D7A" w:rsidRDefault="0020381E" w:rsidP="0020381E">
      <w:pPr>
        <w:widowControl w:val="0"/>
        <w:contextualSpacing/>
        <w:jc w:val="both"/>
        <w:rPr>
          <w:rFonts w:ascii="Arial" w:hAnsi="Arial" w:cs="Arial"/>
          <w:b/>
          <w:bCs/>
          <w:snapToGrid w:val="0"/>
          <w:sz w:val="22"/>
          <w:szCs w:val="22"/>
        </w:rPr>
      </w:pPr>
    </w:p>
    <w:p w:rsidR="0020381E" w:rsidRPr="00E34D7A" w:rsidRDefault="0020381E" w:rsidP="0020381E">
      <w:pPr>
        <w:jc w:val="both"/>
        <w:rPr>
          <w:rFonts w:ascii="Arial" w:hAnsi="Arial" w:cs="Arial"/>
          <w:b/>
          <w:bCs/>
          <w:snapToGrid w:val="0"/>
          <w:sz w:val="22"/>
          <w:szCs w:val="22"/>
        </w:rPr>
      </w:pPr>
      <w:r w:rsidRPr="00E34D7A">
        <w:rPr>
          <w:rFonts w:ascii="Arial" w:hAnsi="Arial" w:cs="Arial"/>
          <w:b/>
          <w:bCs/>
          <w:snapToGrid w:val="0"/>
          <w:sz w:val="22"/>
          <w:szCs w:val="22"/>
        </w:rPr>
        <w:t>Outcome:</w:t>
      </w:r>
    </w:p>
    <w:p w:rsidR="0020381E" w:rsidRPr="00E34D7A" w:rsidRDefault="0020381E" w:rsidP="0020381E">
      <w:pPr>
        <w:jc w:val="both"/>
        <w:rPr>
          <w:rFonts w:ascii="Arial" w:hAnsi="Arial" w:cs="Arial"/>
          <w:bCs/>
          <w:snapToGrid w:val="0"/>
          <w:sz w:val="22"/>
          <w:szCs w:val="22"/>
        </w:rPr>
      </w:pPr>
      <w:r w:rsidRPr="00E34D7A">
        <w:rPr>
          <w:rFonts w:ascii="Arial" w:hAnsi="Arial" w:cs="Arial"/>
          <w:bCs/>
          <w:snapToGrid w:val="0"/>
          <w:sz w:val="22"/>
          <w:szCs w:val="22"/>
        </w:rPr>
        <w:t>Recommen</w:t>
      </w:r>
      <w:r w:rsidR="00E30067" w:rsidRPr="00E34D7A">
        <w:rPr>
          <w:rFonts w:ascii="Arial" w:hAnsi="Arial" w:cs="Arial"/>
          <w:bCs/>
          <w:snapToGrid w:val="0"/>
          <w:sz w:val="22"/>
          <w:szCs w:val="22"/>
        </w:rPr>
        <w:t>ded</w:t>
      </w:r>
    </w:p>
    <w:p w:rsidR="006548B8" w:rsidRPr="003E35C8" w:rsidRDefault="006548B8" w:rsidP="0020381E">
      <w:pPr>
        <w:jc w:val="both"/>
        <w:rPr>
          <w:rFonts w:ascii="Arial" w:hAnsi="Arial"/>
          <w:sz w:val="22"/>
          <w:szCs w:val="22"/>
        </w:rPr>
      </w:pPr>
    </w:p>
    <w:p w:rsidR="0020381E" w:rsidRPr="00E34D7A" w:rsidRDefault="0020381E" w:rsidP="0020381E">
      <w:pPr>
        <w:widowControl w:val="0"/>
        <w:jc w:val="both"/>
        <w:rPr>
          <w:rFonts w:ascii="Arial" w:hAnsi="Arial" w:cs="Arial"/>
          <w:bCs/>
          <w:snapToGrid w:val="0"/>
          <w:sz w:val="22"/>
          <w:szCs w:val="22"/>
          <w:highlight w:val="yellow"/>
        </w:rPr>
      </w:pPr>
    </w:p>
    <w:p w:rsidR="0020381E" w:rsidRPr="00E34D7A" w:rsidRDefault="0020381E" w:rsidP="00595919">
      <w:pPr>
        <w:pStyle w:val="PBACHeading1"/>
        <w:rPr>
          <w:b w:val="0"/>
          <w:bCs/>
        </w:rPr>
      </w:pPr>
      <w:r w:rsidRPr="00E34D7A">
        <w:rPr>
          <w:bCs/>
        </w:rPr>
        <w:t>Recommended listing</w:t>
      </w:r>
    </w:p>
    <w:p w:rsidR="0020381E" w:rsidRPr="00E34D7A" w:rsidRDefault="0020381E" w:rsidP="0020381E">
      <w:pPr>
        <w:jc w:val="both"/>
        <w:rPr>
          <w:rFonts w:ascii="Arial" w:hAnsi="Arial" w:cs="Arial"/>
          <w:b/>
          <w:bCs/>
          <w:i/>
          <w:snapToGrid w:val="0"/>
          <w:sz w:val="22"/>
          <w:szCs w:val="22"/>
        </w:rPr>
      </w:pPr>
    </w:p>
    <w:p w:rsidR="0020381E" w:rsidRPr="00E34D7A" w:rsidRDefault="0020381E" w:rsidP="00E30067">
      <w:pPr>
        <w:widowControl w:val="0"/>
        <w:numPr>
          <w:ilvl w:val="1"/>
          <w:numId w:val="5"/>
        </w:numPr>
        <w:contextualSpacing/>
        <w:jc w:val="both"/>
        <w:rPr>
          <w:rFonts w:ascii="Arial" w:hAnsi="Arial" w:cs="Arial"/>
          <w:bCs/>
          <w:snapToGrid w:val="0"/>
          <w:sz w:val="22"/>
          <w:szCs w:val="22"/>
        </w:rPr>
      </w:pPr>
      <w:r w:rsidRPr="00E34D7A">
        <w:rPr>
          <w:rFonts w:ascii="Arial" w:hAnsi="Arial" w:cs="Arial"/>
          <w:bCs/>
          <w:snapToGrid w:val="0"/>
          <w:sz w:val="22"/>
          <w:szCs w:val="22"/>
        </w:rPr>
        <w:t>Add new item:</w:t>
      </w:r>
    </w:p>
    <w:p w:rsidR="0020381E" w:rsidRPr="00E34D7A" w:rsidRDefault="0020381E" w:rsidP="0020381E">
      <w:pPr>
        <w:widowControl w:val="0"/>
        <w:jc w:val="both"/>
        <w:rPr>
          <w:rFonts w:ascii="Arial" w:hAnsi="Arial" w:cs="Arial"/>
          <w:b/>
          <w:bCs/>
          <w:snapToGrid w:val="0"/>
          <w:sz w:val="22"/>
          <w:szCs w:val="22"/>
          <w:highlight w:val="yellow"/>
        </w:rPr>
      </w:pPr>
    </w:p>
    <w:tbl>
      <w:tblPr>
        <w:tblW w:w="4534" w:type="pct"/>
        <w:tblInd w:w="737" w:type="dxa"/>
        <w:tblLayout w:type="fixed"/>
        <w:tblCellMar>
          <w:left w:w="28" w:type="dxa"/>
          <w:right w:w="28" w:type="dxa"/>
        </w:tblCellMar>
        <w:tblLook w:val="04A0" w:firstRow="1" w:lastRow="0" w:firstColumn="1" w:lastColumn="0" w:noHBand="0" w:noVBand="1"/>
      </w:tblPr>
      <w:tblGrid>
        <w:gridCol w:w="2126"/>
        <w:gridCol w:w="661"/>
        <w:gridCol w:w="865"/>
        <w:gridCol w:w="15"/>
        <w:gridCol w:w="797"/>
        <w:gridCol w:w="838"/>
        <w:gridCol w:w="1537"/>
        <w:gridCol w:w="1385"/>
        <w:gridCol w:w="12"/>
      </w:tblGrid>
      <w:tr w:rsidR="00F62423" w:rsidRPr="00E34D7A" w:rsidTr="003E2379">
        <w:trPr>
          <w:cantSplit/>
          <w:trHeight w:val="20"/>
        </w:trPr>
        <w:tc>
          <w:tcPr>
            <w:tcW w:w="1692" w:type="pct"/>
            <w:gridSpan w:val="2"/>
            <w:tcBorders>
              <w:top w:val="nil"/>
              <w:left w:val="nil"/>
              <w:bottom w:val="single" w:sz="4" w:space="0" w:color="auto"/>
              <w:right w:val="nil"/>
            </w:tcBorders>
            <w:hideMark/>
          </w:tcPr>
          <w:p w:rsidR="00F62423" w:rsidRPr="00E34D7A" w:rsidRDefault="00F62423" w:rsidP="003E2379">
            <w:pPr>
              <w:keepNext/>
              <w:rPr>
                <w:rFonts w:ascii="Arial Narrow" w:hAnsi="Arial Narrow"/>
                <w:b/>
                <w:sz w:val="20"/>
              </w:rPr>
            </w:pPr>
            <w:r w:rsidRPr="00E34D7A">
              <w:rPr>
                <w:rFonts w:ascii="Arial Narrow" w:hAnsi="Arial Narrow"/>
                <w:b/>
                <w:sz w:val="20"/>
              </w:rPr>
              <w:t>Name, Restriction,</w:t>
            </w:r>
          </w:p>
          <w:p w:rsidR="00F62423" w:rsidRPr="00E34D7A" w:rsidRDefault="00F62423" w:rsidP="003E2379">
            <w:pPr>
              <w:keepNext/>
              <w:rPr>
                <w:rFonts w:ascii="Arial Narrow" w:hAnsi="Arial Narrow"/>
                <w:b/>
                <w:sz w:val="20"/>
              </w:rPr>
            </w:pPr>
            <w:r w:rsidRPr="00E34D7A">
              <w:rPr>
                <w:rFonts w:ascii="Arial Narrow" w:hAnsi="Arial Narrow"/>
                <w:b/>
                <w:sz w:val="20"/>
              </w:rPr>
              <w:t>Manner of administration and form</w:t>
            </w:r>
          </w:p>
        </w:tc>
        <w:tc>
          <w:tcPr>
            <w:tcW w:w="534" w:type="pct"/>
            <w:gridSpan w:val="2"/>
            <w:tcBorders>
              <w:top w:val="nil"/>
              <w:left w:val="nil"/>
              <w:bottom w:val="single" w:sz="4" w:space="0" w:color="auto"/>
              <w:right w:val="nil"/>
            </w:tcBorders>
            <w:hideMark/>
          </w:tcPr>
          <w:p w:rsidR="00F62423" w:rsidRPr="00E34D7A" w:rsidRDefault="00F62423" w:rsidP="003E2379">
            <w:pPr>
              <w:keepNext/>
              <w:jc w:val="center"/>
              <w:rPr>
                <w:rFonts w:ascii="Arial Narrow" w:hAnsi="Arial Narrow"/>
                <w:b/>
                <w:sz w:val="20"/>
              </w:rPr>
            </w:pPr>
            <w:r w:rsidRPr="00E34D7A">
              <w:rPr>
                <w:rFonts w:ascii="Arial Narrow" w:hAnsi="Arial Narrow"/>
                <w:b/>
                <w:sz w:val="20"/>
              </w:rPr>
              <w:t>Max. Qty (units)</w:t>
            </w:r>
          </w:p>
        </w:tc>
        <w:tc>
          <w:tcPr>
            <w:tcW w:w="484" w:type="pct"/>
            <w:tcBorders>
              <w:top w:val="nil"/>
              <w:left w:val="nil"/>
              <w:bottom w:val="single" w:sz="4" w:space="0" w:color="auto"/>
              <w:right w:val="nil"/>
            </w:tcBorders>
          </w:tcPr>
          <w:p w:rsidR="00F62423" w:rsidRPr="00E34D7A" w:rsidRDefault="00F62423" w:rsidP="003E2379">
            <w:pPr>
              <w:keepNext/>
              <w:jc w:val="center"/>
              <w:rPr>
                <w:rFonts w:ascii="Arial Narrow" w:hAnsi="Arial Narrow"/>
                <w:b/>
                <w:sz w:val="20"/>
              </w:rPr>
            </w:pPr>
            <w:r w:rsidRPr="00E34D7A">
              <w:rPr>
                <w:rFonts w:ascii="Arial Narrow" w:hAnsi="Arial Narrow"/>
                <w:b/>
                <w:sz w:val="20"/>
              </w:rPr>
              <w:t>Max. Qty (packs)</w:t>
            </w:r>
          </w:p>
        </w:tc>
        <w:tc>
          <w:tcPr>
            <w:tcW w:w="509" w:type="pct"/>
            <w:tcBorders>
              <w:top w:val="nil"/>
              <w:left w:val="nil"/>
              <w:bottom w:val="single" w:sz="4" w:space="0" w:color="auto"/>
              <w:right w:val="nil"/>
            </w:tcBorders>
            <w:hideMark/>
          </w:tcPr>
          <w:p w:rsidR="00F62423" w:rsidRPr="00E34D7A" w:rsidRDefault="00F62423" w:rsidP="003E2379">
            <w:pPr>
              <w:keepNext/>
              <w:jc w:val="center"/>
              <w:rPr>
                <w:rFonts w:ascii="Arial Narrow" w:hAnsi="Arial Narrow"/>
                <w:b/>
                <w:sz w:val="20"/>
              </w:rPr>
            </w:pPr>
            <w:r w:rsidRPr="00E34D7A">
              <w:rPr>
                <w:rFonts w:ascii="Arial Narrow" w:hAnsi="Arial Narrow"/>
                <w:b/>
                <w:sz w:val="20"/>
              </w:rPr>
              <w:t>№.of</w:t>
            </w:r>
          </w:p>
          <w:p w:rsidR="00F62423" w:rsidRPr="00E34D7A" w:rsidRDefault="00F62423" w:rsidP="003E2379">
            <w:pPr>
              <w:keepNext/>
              <w:jc w:val="center"/>
              <w:rPr>
                <w:rFonts w:ascii="Arial Narrow" w:hAnsi="Arial Narrow"/>
                <w:b/>
                <w:sz w:val="20"/>
              </w:rPr>
            </w:pPr>
            <w:r w:rsidRPr="00E34D7A">
              <w:rPr>
                <w:rFonts w:ascii="Arial Narrow" w:hAnsi="Arial Narrow"/>
                <w:b/>
                <w:sz w:val="20"/>
              </w:rPr>
              <w:t>Rpts</w:t>
            </w:r>
          </w:p>
        </w:tc>
        <w:tc>
          <w:tcPr>
            <w:tcW w:w="1781" w:type="pct"/>
            <w:gridSpan w:val="3"/>
            <w:tcBorders>
              <w:top w:val="nil"/>
              <w:left w:val="nil"/>
              <w:bottom w:val="single" w:sz="4" w:space="0" w:color="auto"/>
              <w:right w:val="nil"/>
            </w:tcBorders>
            <w:hideMark/>
          </w:tcPr>
          <w:p w:rsidR="00F62423" w:rsidRPr="00E34D7A" w:rsidRDefault="00F62423" w:rsidP="003E2379">
            <w:pPr>
              <w:keepNext/>
              <w:jc w:val="center"/>
              <w:rPr>
                <w:rFonts w:ascii="Arial Narrow" w:hAnsi="Arial Narrow"/>
                <w:b/>
                <w:sz w:val="20"/>
              </w:rPr>
            </w:pPr>
            <w:r w:rsidRPr="00E34D7A">
              <w:rPr>
                <w:rFonts w:ascii="Arial Narrow" w:hAnsi="Arial Narrow"/>
                <w:b/>
                <w:sz w:val="20"/>
              </w:rPr>
              <w:t>Proprietary Name and Manufacturer</w:t>
            </w:r>
          </w:p>
        </w:tc>
      </w:tr>
      <w:tr w:rsidR="00F62423" w:rsidRPr="00E34D7A" w:rsidTr="003E2379">
        <w:trPr>
          <w:cantSplit/>
          <w:trHeight w:val="20"/>
        </w:trPr>
        <w:tc>
          <w:tcPr>
            <w:tcW w:w="1692" w:type="pct"/>
            <w:gridSpan w:val="2"/>
            <w:hideMark/>
          </w:tcPr>
          <w:p w:rsidR="00F62423" w:rsidRPr="00E34D7A" w:rsidRDefault="005A0834" w:rsidP="003E2379">
            <w:pPr>
              <w:keepNext/>
              <w:rPr>
                <w:rFonts w:ascii="Arial Narrow" w:hAnsi="Arial Narrow"/>
                <w:smallCaps/>
                <w:sz w:val="20"/>
              </w:rPr>
            </w:pPr>
            <w:r w:rsidRPr="00E34D7A">
              <w:rPr>
                <w:rFonts w:ascii="Arial Narrow" w:hAnsi="Arial Narrow"/>
                <w:smallCaps/>
                <w:sz w:val="20"/>
              </w:rPr>
              <w:t>Fosaprepitant</w:t>
            </w:r>
          </w:p>
          <w:p w:rsidR="00F62423" w:rsidRPr="00E34D7A" w:rsidRDefault="005A0834" w:rsidP="003E2379">
            <w:pPr>
              <w:keepNext/>
              <w:rPr>
                <w:rFonts w:ascii="Arial Narrow" w:hAnsi="Arial Narrow"/>
                <w:b/>
                <w:bCs/>
                <w:sz w:val="20"/>
              </w:rPr>
            </w:pPr>
            <w:r w:rsidRPr="00E34D7A">
              <w:rPr>
                <w:rFonts w:ascii="Arial Narrow" w:hAnsi="Arial Narrow"/>
                <w:sz w:val="20"/>
              </w:rPr>
              <w:t>Fosaprepitant 150 mg injection, 1 vial</w:t>
            </w:r>
          </w:p>
        </w:tc>
        <w:tc>
          <w:tcPr>
            <w:tcW w:w="525" w:type="pct"/>
            <w:vAlign w:val="center"/>
          </w:tcPr>
          <w:p w:rsidR="00F62423" w:rsidRPr="00E34D7A" w:rsidRDefault="002200F6" w:rsidP="003E2379">
            <w:pPr>
              <w:keepNext/>
              <w:jc w:val="center"/>
              <w:rPr>
                <w:rFonts w:ascii="Arial Narrow" w:hAnsi="Arial Narrow"/>
                <w:sz w:val="20"/>
              </w:rPr>
            </w:pPr>
            <w:r w:rsidRPr="00E34D7A">
              <w:rPr>
                <w:rFonts w:ascii="Arial Narrow" w:hAnsi="Arial Narrow"/>
                <w:sz w:val="20"/>
              </w:rPr>
              <w:t>1</w:t>
            </w:r>
          </w:p>
        </w:tc>
        <w:tc>
          <w:tcPr>
            <w:tcW w:w="493" w:type="pct"/>
            <w:gridSpan w:val="2"/>
            <w:vAlign w:val="center"/>
          </w:tcPr>
          <w:p w:rsidR="00F62423" w:rsidRPr="00E34D7A" w:rsidRDefault="00F62423" w:rsidP="003E2379">
            <w:pPr>
              <w:keepNext/>
              <w:jc w:val="center"/>
              <w:rPr>
                <w:rFonts w:ascii="Arial Narrow" w:hAnsi="Arial Narrow"/>
                <w:sz w:val="20"/>
              </w:rPr>
            </w:pPr>
            <w:r w:rsidRPr="00E34D7A">
              <w:rPr>
                <w:rFonts w:ascii="Arial Narrow" w:hAnsi="Arial Narrow"/>
                <w:sz w:val="20"/>
              </w:rPr>
              <w:t>1</w:t>
            </w:r>
          </w:p>
        </w:tc>
        <w:tc>
          <w:tcPr>
            <w:tcW w:w="509" w:type="pct"/>
            <w:vAlign w:val="center"/>
          </w:tcPr>
          <w:p w:rsidR="00F62423" w:rsidRPr="00E34D7A" w:rsidRDefault="002200F6" w:rsidP="003E2379">
            <w:pPr>
              <w:keepNext/>
              <w:jc w:val="center"/>
              <w:rPr>
                <w:rFonts w:ascii="Arial Narrow" w:hAnsi="Arial Narrow"/>
                <w:sz w:val="20"/>
              </w:rPr>
            </w:pPr>
            <w:r w:rsidRPr="00E34D7A">
              <w:rPr>
                <w:rFonts w:ascii="Arial Narrow" w:hAnsi="Arial Narrow"/>
                <w:sz w:val="20"/>
              </w:rPr>
              <w:t>5</w:t>
            </w:r>
          </w:p>
        </w:tc>
        <w:tc>
          <w:tcPr>
            <w:tcW w:w="933" w:type="pct"/>
            <w:vAlign w:val="center"/>
            <w:hideMark/>
          </w:tcPr>
          <w:p w:rsidR="00F62423" w:rsidRPr="00E34D7A" w:rsidRDefault="002200F6" w:rsidP="003E2379">
            <w:pPr>
              <w:keepNext/>
              <w:jc w:val="center"/>
              <w:rPr>
                <w:rFonts w:ascii="Arial Narrow" w:hAnsi="Arial Narrow"/>
                <w:sz w:val="20"/>
              </w:rPr>
            </w:pPr>
            <w:r w:rsidRPr="00E34D7A">
              <w:rPr>
                <w:rFonts w:ascii="Arial Narrow" w:hAnsi="Arial Narrow"/>
                <w:sz w:val="20"/>
              </w:rPr>
              <w:t>Emend IV</w:t>
            </w:r>
            <w:r w:rsidR="00F62423" w:rsidRPr="00E34D7A">
              <w:rPr>
                <w:rFonts w:ascii="Arial Narrow" w:hAnsi="Arial Narrow"/>
                <w:sz w:val="20"/>
              </w:rPr>
              <w:t>®</w:t>
            </w:r>
          </w:p>
        </w:tc>
        <w:tc>
          <w:tcPr>
            <w:tcW w:w="848" w:type="pct"/>
            <w:gridSpan w:val="2"/>
            <w:vAlign w:val="center"/>
            <w:hideMark/>
          </w:tcPr>
          <w:p w:rsidR="00F62423" w:rsidRPr="00E34D7A" w:rsidRDefault="002200F6" w:rsidP="003E2379">
            <w:pPr>
              <w:keepNext/>
              <w:jc w:val="center"/>
              <w:rPr>
                <w:rFonts w:ascii="Arial Narrow" w:hAnsi="Arial Narrow"/>
                <w:sz w:val="20"/>
              </w:rPr>
            </w:pPr>
            <w:r w:rsidRPr="00E34D7A">
              <w:rPr>
                <w:rFonts w:ascii="Arial Narrow" w:hAnsi="Arial Narrow"/>
                <w:sz w:val="20"/>
              </w:rPr>
              <w:t>Merck Sharp &amp; Dohme (Australia) Pty Ltd</w:t>
            </w:r>
          </w:p>
        </w:tc>
      </w:tr>
      <w:tr w:rsidR="00F62423" w:rsidRPr="00E34D7A" w:rsidTr="007B5048">
        <w:tblPrEx>
          <w:tblCellMar>
            <w:left w:w="108" w:type="dxa"/>
            <w:right w:w="108" w:type="dxa"/>
          </w:tblCellMar>
          <w:tblLook w:val="0000" w:firstRow="0" w:lastRow="0" w:firstColumn="0" w:lastColumn="0" w:noHBand="0" w:noVBand="0"/>
        </w:tblPrEx>
        <w:trPr>
          <w:gridAfter w:val="1"/>
          <w:wAfter w:w="7" w:type="pct"/>
          <w:cantSplit/>
          <w:trHeight w:val="20"/>
        </w:trPr>
        <w:tc>
          <w:tcPr>
            <w:tcW w:w="1291"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b/>
                <w:sz w:val="20"/>
              </w:rPr>
            </w:pPr>
            <w:r w:rsidRPr="00E34D7A">
              <w:rPr>
                <w:rFonts w:ascii="Arial Narrow" w:hAnsi="Arial Narrow"/>
                <w:b/>
                <w:sz w:val="20"/>
              </w:rPr>
              <w:t>Category /  Program:</w:t>
            </w:r>
          </w:p>
        </w:tc>
        <w:tc>
          <w:tcPr>
            <w:tcW w:w="3702" w:type="pct"/>
            <w:gridSpan w:val="7"/>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sz w:val="20"/>
              </w:rPr>
            </w:pPr>
            <w:r w:rsidRPr="00E34D7A">
              <w:rPr>
                <w:rFonts w:ascii="Arial Narrow" w:hAnsi="Arial Narrow"/>
                <w:sz w:val="20"/>
              </w:rPr>
              <w:t>GENERAL – General Schedule (Code GE)</w:t>
            </w:r>
          </w:p>
          <w:p w:rsidR="00F62423" w:rsidRPr="00E34D7A" w:rsidRDefault="00F62423" w:rsidP="003E2379">
            <w:pPr>
              <w:rPr>
                <w:rFonts w:ascii="Arial Narrow" w:hAnsi="Arial Narrow"/>
                <w:sz w:val="20"/>
              </w:rPr>
            </w:pPr>
            <w:r w:rsidRPr="00E34D7A">
              <w:rPr>
                <w:rFonts w:ascii="Arial Narrow" w:hAnsi="Arial Narrow"/>
                <w:sz w:val="20"/>
              </w:rPr>
              <w:t xml:space="preserve">Section 100 – </w:t>
            </w:r>
            <w:r w:rsidR="00AC7A07" w:rsidRPr="00E34D7A">
              <w:rPr>
                <w:rFonts w:ascii="Arial Narrow" w:hAnsi="Arial Narrow"/>
                <w:sz w:val="20"/>
              </w:rPr>
              <w:t>Efficient Funding of Chemotherapy – Related Benefits</w:t>
            </w:r>
          </w:p>
        </w:tc>
      </w:tr>
      <w:tr w:rsidR="00F62423" w:rsidRPr="00E34D7A" w:rsidTr="007B5048">
        <w:tblPrEx>
          <w:tblCellMar>
            <w:left w:w="108" w:type="dxa"/>
            <w:right w:w="108" w:type="dxa"/>
          </w:tblCellMar>
          <w:tblLook w:val="0000" w:firstRow="0" w:lastRow="0" w:firstColumn="0" w:lastColumn="0" w:noHBand="0" w:noVBand="0"/>
        </w:tblPrEx>
        <w:trPr>
          <w:gridAfter w:val="1"/>
          <w:wAfter w:w="7" w:type="pct"/>
          <w:cantSplit/>
          <w:trHeight w:val="20"/>
        </w:trPr>
        <w:tc>
          <w:tcPr>
            <w:tcW w:w="1291"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b/>
                <w:sz w:val="20"/>
              </w:rPr>
            </w:pPr>
            <w:r w:rsidRPr="00E34D7A">
              <w:rPr>
                <w:rFonts w:ascii="Arial Narrow" w:hAnsi="Arial Narrow"/>
                <w:b/>
                <w:sz w:val="20"/>
              </w:rPr>
              <w:t>Prescriber type:</w:t>
            </w:r>
          </w:p>
        </w:tc>
        <w:tc>
          <w:tcPr>
            <w:tcW w:w="3702" w:type="pct"/>
            <w:gridSpan w:val="7"/>
            <w:tcBorders>
              <w:top w:val="single" w:sz="4" w:space="0" w:color="auto"/>
              <w:left w:val="single" w:sz="4" w:space="0" w:color="auto"/>
              <w:bottom w:val="single" w:sz="4" w:space="0" w:color="auto"/>
              <w:right w:val="single" w:sz="4" w:space="0" w:color="auto"/>
            </w:tcBorders>
          </w:tcPr>
          <w:p w:rsidR="00AF1E89" w:rsidRPr="00E34D7A" w:rsidRDefault="00F62423" w:rsidP="003E2379">
            <w:pPr>
              <w:rPr>
                <w:rFonts w:ascii="Arial Narrow" w:hAnsi="Arial Narrow"/>
                <w:sz w:val="20"/>
              </w:rPr>
            </w:pPr>
            <w:r w:rsidRPr="00E34D7A">
              <w:rPr>
                <w:rFonts w:ascii="Arial Narrow" w:hAnsi="Arial Narrow"/>
                <w:sz w:val="20"/>
              </w:rPr>
              <w:fldChar w:fldCharType="begin">
                <w:ffData>
                  <w:name w:val=""/>
                  <w:enabled/>
                  <w:calcOnExit w:val="0"/>
                  <w:checkBox>
                    <w:sizeAuto/>
                    <w:default w:val="1"/>
                  </w:checkBox>
                </w:ffData>
              </w:fldChar>
            </w:r>
            <w:r w:rsidRPr="00E34D7A">
              <w:rPr>
                <w:rFonts w:ascii="Arial Narrow" w:hAnsi="Arial Narrow"/>
                <w:sz w:val="20"/>
              </w:rPr>
              <w:instrText xml:space="preserve"> FORMCHECKBOX </w:instrText>
            </w:r>
            <w:r w:rsidR="00392090">
              <w:rPr>
                <w:rFonts w:ascii="Arial Narrow" w:hAnsi="Arial Narrow"/>
                <w:sz w:val="20"/>
              </w:rPr>
            </w:r>
            <w:r w:rsidR="00392090">
              <w:rPr>
                <w:rFonts w:ascii="Arial Narrow" w:hAnsi="Arial Narrow"/>
                <w:sz w:val="20"/>
              </w:rPr>
              <w:fldChar w:fldCharType="separate"/>
            </w:r>
            <w:r w:rsidRPr="00E34D7A">
              <w:rPr>
                <w:rFonts w:ascii="Arial Narrow" w:hAnsi="Arial Narrow"/>
                <w:sz w:val="20"/>
              </w:rPr>
              <w:fldChar w:fldCharType="end"/>
            </w:r>
            <w:r w:rsidRPr="00E34D7A">
              <w:rPr>
                <w:rFonts w:ascii="Arial Narrow" w:hAnsi="Arial Narrow"/>
                <w:sz w:val="20"/>
              </w:rPr>
              <w:t xml:space="preserve">Medical Practitioners  </w:t>
            </w:r>
          </w:p>
          <w:p w:rsidR="00F62423" w:rsidRPr="00E34D7A" w:rsidRDefault="00F62423" w:rsidP="003E2379">
            <w:pPr>
              <w:rPr>
                <w:rFonts w:ascii="Arial Narrow" w:hAnsi="Arial Narrow"/>
                <w:sz w:val="20"/>
              </w:rPr>
            </w:pPr>
            <w:r w:rsidRPr="00E34D7A">
              <w:rPr>
                <w:rFonts w:ascii="Arial Narrow" w:hAnsi="Arial Narrow"/>
                <w:sz w:val="20"/>
              </w:rPr>
              <w:fldChar w:fldCharType="begin">
                <w:ffData>
                  <w:name w:val=""/>
                  <w:enabled/>
                  <w:calcOnExit w:val="0"/>
                  <w:checkBox>
                    <w:sizeAuto/>
                    <w:default w:val="1"/>
                  </w:checkBox>
                </w:ffData>
              </w:fldChar>
            </w:r>
            <w:r w:rsidRPr="00E34D7A">
              <w:rPr>
                <w:rFonts w:ascii="Arial Narrow" w:hAnsi="Arial Narrow"/>
                <w:sz w:val="20"/>
              </w:rPr>
              <w:instrText xml:space="preserve"> FORMCHECKBOX </w:instrText>
            </w:r>
            <w:r w:rsidR="00392090">
              <w:rPr>
                <w:rFonts w:ascii="Arial Narrow" w:hAnsi="Arial Narrow"/>
                <w:sz w:val="20"/>
              </w:rPr>
            </w:r>
            <w:r w:rsidR="00392090">
              <w:rPr>
                <w:rFonts w:ascii="Arial Narrow" w:hAnsi="Arial Narrow"/>
                <w:sz w:val="20"/>
              </w:rPr>
              <w:fldChar w:fldCharType="separate"/>
            </w:r>
            <w:r w:rsidRPr="00E34D7A">
              <w:rPr>
                <w:rFonts w:ascii="Arial Narrow" w:hAnsi="Arial Narrow"/>
                <w:sz w:val="20"/>
              </w:rPr>
              <w:fldChar w:fldCharType="end"/>
            </w:r>
            <w:r w:rsidRPr="00E34D7A">
              <w:rPr>
                <w:rFonts w:ascii="Arial Narrow" w:hAnsi="Arial Narrow"/>
                <w:sz w:val="20"/>
              </w:rPr>
              <w:t>Nurse practitioners (GE listing</w:t>
            </w:r>
            <w:r w:rsidR="00AF1E89" w:rsidRPr="00E34D7A">
              <w:rPr>
                <w:rFonts w:ascii="Arial Narrow" w:hAnsi="Arial Narrow"/>
                <w:sz w:val="20"/>
              </w:rPr>
              <w:t>s</w:t>
            </w:r>
            <w:r w:rsidRPr="00E34D7A">
              <w:rPr>
                <w:rFonts w:ascii="Arial Narrow" w:hAnsi="Arial Narrow"/>
                <w:sz w:val="20"/>
              </w:rPr>
              <w:t xml:space="preserve"> only)</w:t>
            </w:r>
          </w:p>
        </w:tc>
      </w:tr>
      <w:tr w:rsidR="00AC7A07" w:rsidRPr="00E34D7A" w:rsidTr="007B5048">
        <w:tblPrEx>
          <w:tblCellMar>
            <w:left w:w="108" w:type="dxa"/>
            <w:right w:w="108" w:type="dxa"/>
          </w:tblCellMar>
          <w:tblLook w:val="0000" w:firstRow="0" w:lastRow="0" w:firstColumn="0" w:lastColumn="0" w:noHBand="0" w:noVBand="0"/>
        </w:tblPrEx>
        <w:trPr>
          <w:gridAfter w:val="1"/>
          <w:wAfter w:w="7" w:type="pct"/>
          <w:cantSplit/>
          <w:trHeight w:val="20"/>
        </w:trPr>
        <w:tc>
          <w:tcPr>
            <w:tcW w:w="1291"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b/>
                <w:sz w:val="20"/>
              </w:rPr>
            </w:pPr>
            <w:r w:rsidRPr="00E34D7A">
              <w:rPr>
                <w:rFonts w:ascii="Arial Narrow" w:hAnsi="Arial Narrow"/>
                <w:b/>
                <w:sz w:val="20"/>
              </w:rPr>
              <w:t>PBS Indication:</w:t>
            </w:r>
          </w:p>
        </w:tc>
        <w:tc>
          <w:tcPr>
            <w:tcW w:w="3702" w:type="pct"/>
            <w:gridSpan w:val="7"/>
            <w:tcBorders>
              <w:top w:val="single" w:sz="4" w:space="0" w:color="auto"/>
              <w:left w:val="single" w:sz="4" w:space="0" w:color="auto"/>
              <w:bottom w:val="single" w:sz="4" w:space="0" w:color="auto"/>
              <w:right w:val="single" w:sz="4" w:space="0" w:color="auto"/>
            </w:tcBorders>
          </w:tcPr>
          <w:p w:rsidR="00F62423" w:rsidRPr="00E34D7A" w:rsidRDefault="00AC7A07" w:rsidP="003E2379">
            <w:pPr>
              <w:rPr>
                <w:rFonts w:ascii="Arial Narrow" w:hAnsi="Arial Narrow"/>
                <w:sz w:val="20"/>
              </w:rPr>
            </w:pPr>
            <w:r w:rsidRPr="00E34D7A">
              <w:rPr>
                <w:rFonts w:ascii="Arial Narrow" w:hAnsi="Arial Narrow"/>
                <w:sz w:val="20"/>
              </w:rPr>
              <w:t>Nausea and vomiting</w:t>
            </w:r>
          </w:p>
        </w:tc>
      </w:tr>
      <w:tr w:rsidR="007B5048" w:rsidRPr="00E34D7A" w:rsidTr="007B5048">
        <w:tblPrEx>
          <w:tblCellMar>
            <w:left w:w="108" w:type="dxa"/>
            <w:right w:w="108" w:type="dxa"/>
          </w:tblCellMar>
          <w:tblLook w:val="0000" w:firstRow="0" w:lastRow="0" w:firstColumn="0" w:lastColumn="0" w:noHBand="0" w:noVBand="0"/>
        </w:tblPrEx>
        <w:trPr>
          <w:gridAfter w:val="1"/>
          <w:wAfter w:w="7" w:type="pct"/>
          <w:cantSplit/>
          <w:trHeight w:val="20"/>
        </w:trPr>
        <w:tc>
          <w:tcPr>
            <w:tcW w:w="1291"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i/>
                <w:sz w:val="20"/>
              </w:rPr>
            </w:pPr>
            <w:r w:rsidRPr="00E34D7A">
              <w:rPr>
                <w:rFonts w:ascii="Arial Narrow" w:hAnsi="Arial Narrow"/>
                <w:b/>
                <w:sz w:val="20"/>
              </w:rPr>
              <w:t>Restriction Level / Method:</w:t>
            </w:r>
          </w:p>
        </w:tc>
        <w:tc>
          <w:tcPr>
            <w:tcW w:w="3702" w:type="pct"/>
            <w:gridSpan w:val="7"/>
            <w:tcBorders>
              <w:top w:val="single" w:sz="4" w:space="0" w:color="auto"/>
              <w:left w:val="single" w:sz="4" w:space="0" w:color="auto"/>
              <w:bottom w:val="single" w:sz="4" w:space="0" w:color="auto"/>
              <w:right w:val="single" w:sz="4" w:space="0" w:color="auto"/>
            </w:tcBorders>
          </w:tcPr>
          <w:p w:rsidR="00F62423" w:rsidRPr="00E34D7A" w:rsidRDefault="00F62423" w:rsidP="007B5048">
            <w:pPr>
              <w:rPr>
                <w:rFonts w:ascii="Arial Narrow" w:hAnsi="Arial Narrow"/>
                <w:sz w:val="20"/>
              </w:rPr>
            </w:pPr>
            <w:r w:rsidRPr="00E34D7A">
              <w:rPr>
                <w:rFonts w:ascii="Arial Narrow" w:hAnsi="Arial Narrow"/>
                <w:sz w:val="20"/>
              </w:rPr>
              <w:fldChar w:fldCharType="begin">
                <w:ffData>
                  <w:name w:val=""/>
                  <w:enabled/>
                  <w:calcOnExit w:val="0"/>
                  <w:checkBox>
                    <w:sizeAuto/>
                    <w:default w:val="1"/>
                  </w:checkBox>
                </w:ffData>
              </w:fldChar>
            </w:r>
            <w:r w:rsidRPr="00E34D7A">
              <w:rPr>
                <w:rFonts w:ascii="Arial Narrow" w:hAnsi="Arial Narrow"/>
                <w:sz w:val="20"/>
              </w:rPr>
              <w:instrText xml:space="preserve"> FORMCHECKBOX </w:instrText>
            </w:r>
            <w:r w:rsidR="00392090">
              <w:rPr>
                <w:rFonts w:ascii="Arial Narrow" w:hAnsi="Arial Narrow"/>
                <w:sz w:val="20"/>
              </w:rPr>
            </w:r>
            <w:r w:rsidR="00392090">
              <w:rPr>
                <w:rFonts w:ascii="Arial Narrow" w:hAnsi="Arial Narrow"/>
                <w:sz w:val="20"/>
              </w:rPr>
              <w:fldChar w:fldCharType="separate"/>
            </w:r>
            <w:r w:rsidRPr="00E34D7A">
              <w:rPr>
                <w:rFonts w:ascii="Arial Narrow" w:hAnsi="Arial Narrow"/>
                <w:sz w:val="20"/>
              </w:rPr>
              <w:fldChar w:fldCharType="end"/>
            </w:r>
            <w:r w:rsidRPr="00E34D7A">
              <w:rPr>
                <w:rFonts w:ascii="Arial Narrow" w:hAnsi="Arial Narrow"/>
                <w:sz w:val="20"/>
              </w:rPr>
              <w:t xml:space="preserve">Authority Required </w:t>
            </w:r>
            <w:r w:rsidR="007B5048" w:rsidRPr="00E34D7A">
              <w:rPr>
                <w:rFonts w:ascii="Arial Narrow" w:hAnsi="Arial Narrow"/>
                <w:sz w:val="20"/>
              </w:rPr>
              <w:t>(STREAMLINED)</w:t>
            </w:r>
          </w:p>
        </w:tc>
      </w:tr>
    </w:tbl>
    <w:p w:rsidR="007B5048" w:rsidRPr="00E34D7A" w:rsidRDefault="007B5048"/>
    <w:tbl>
      <w:tblPr>
        <w:tblW w:w="4449" w:type="pct"/>
        <w:tblInd w:w="817" w:type="dxa"/>
        <w:tblLayout w:type="fixed"/>
        <w:tblLook w:val="0000" w:firstRow="0" w:lastRow="0" w:firstColumn="0" w:lastColumn="0" w:noHBand="0" w:noVBand="0"/>
      </w:tblPr>
      <w:tblGrid>
        <w:gridCol w:w="2127"/>
        <w:gridCol w:w="6097"/>
      </w:tblGrid>
      <w:tr w:rsidR="00B409E7" w:rsidRPr="00E34D7A" w:rsidTr="007B5048">
        <w:trPr>
          <w:cantSplit/>
          <w:trHeight w:val="20"/>
        </w:trPr>
        <w:tc>
          <w:tcPr>
            <w:tcW w:w="1293"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b/>
                <w:sz w:val="20"/>
              </w:rPr>
            </w:pPr>
            <w:r w:rsidRPr="00E34D7A">
              <w:rPr>
                <w:rFonts w:ascii="Arial Narrow" w:hAnsi="Arial Narrow"/>
                <w:b/>
                <w:sz w:val="20"/>
              </w:rPr>
              <w:t>Clinical criteria:</w:t>
            </w:r>
          </w:p>
          <w:p w:rsidR="00F62423" w:rsidRPr="00E34D7A" w:rsidRDefault="00F62423" w:rsidP="003E2379">
            <w:pPr>
              <w:rPr>
                <w:rFonts w:ascii="Arial Narrow" w:hAnsi="Arial Narrow"/>
                <w:sz w:val="20"/>
              </w:rPr>
            </w:pPr>
          </w:p>
        </w:tc>
        <w:tc>
          <w:tcPr>
            <w:tcW w:w="3707" w:type="pct"/>
            <w:tcBorders>
              <w:top w:val="single" w:sz="4" w:space="0" w:color="auto"/>
              <w:left w:val="single" w:sz="4" w:space="0" w:color="auto"/>
              <w:bottom w:val="single" w:sz="4" w:space="0" w:color="auto"/>
              <w:right w:val="single" w:sz="4" w:space="0" w:color="auto"/>
            </w:tcBorders>
          </w:tcPr>
          <w:p w:rsidR="00F62423" w:rsidRPr="00E34D7A" w:rsidRDefault="007B5048" w:rsidP="000B4E54">
            <w:pPr>
              <w:tabs>
                <w:tab w:val="left" w:pos="5881"/>
              </w:tabs>
              <w:rPr>
                <w:rFonts w:ascii="Arial Narrow" w:hAnsi="Arial Narrow"/>
                <w:sz w:val="20"/>
              </w:rPr>
            </w:pPr>
            <w:r w:rsidRPr="00E34D7A">
              <w:rPr>
                <w:rFonts w:ascii="Arial Narrow" w:hAnsi="Arial Narrow"/>
                <w:sz w:val="20"/>
              </w:rPr>
              <w:t>The condition must be associated with cytotoxic chemotherapy being used to treat malignancy,</w:t>
            </w:r>
          </w:p>
          <w:p w:rsidR="007B5048" w:rsidRPr="00E34D7A" w:rsidRDefault="007B5048" w:rsidP="003E2379">
            <w:pPr>
              <w:rPr>
                <w:rFonts w:ascii="Arial Narrow" w:hAnsi="Arial Narrow"/>
                <w:sz w:val="20"/>
              </w:rPr>
            </w:pPr>
            <w:r w:rsidRPr="00E34D7A">
              <w:rPr>
                <w:rFonts w:ascii="Arial Narrow" w:hAnsi="Arial Narrow"/>
                <w:sz w:val="20"/>
              </w:rPr>
              <w:t>AND</w:t>
            </w:r>
          </w:p>
          <w:p w:rsidR="007B5048" w:rsidRPr="00E34D7A" w:rsidRDefault="007B5048" w:rsidP="003E2379">
            <w:pPr>
              <w:rPr>
                <w:rFonts w:ascii="Arial Narrow" w:hAnsi="Arial Narrow"/>
                <w:sz w:val="20"/>
              </w:rPr>
            </w:pPr>
            <w:r w:rsidRPr="00E34D7A">
              <w:rPr>
                <w:rFonts w:ascii="Arial Narrow" w:hAnsi="Arial Narrow"/>
                <w:sz w:val="20"/>
              </w:rPr>
              <w:t>The treatment must be in combination with a 5-hydroxytryptamine receptor (5HT3) antagonist and dexamethasone,</w:t>
            </w:r>
          </w:p>
          <w:p w:rsidR="007B5048" w:rsidRPr="00E34D7A" w:rsidRDefault="007B5048" w:rsidP="003E2379">
            <w:pPr>
              <w:rPr>
                <w:rFonts w:ascii="Arial Narrow" w:hAnsi="Arial Narrow"/>
                <w:sz w:val="20"/>
              </w:rPr>
            </w:pPr>
            <w:r w:rsidRPr="00E34D7A">
              <w:rPr>
                <w:rFonts w:ascii="Arial Narrow" w:hAnsi="Arial Narrow"/>
                <w:sz w:val="20"/>
              </w:rPr>
              <w:t>AND</w:t>
            </w:r>
          </w:p>
          <w:p w:rsidR="007B5048" w:rsidRPr="00E34D7A" w:rsidRDefault="007B5048" w:rsidP="003E2379">
            <w:pPr>
              <w:rPr>
                <w:rFonts w:ascii="Arial Narrow" w:hAnsi="Arial Narrow"/>
                <w:sz w:val="20"/>
              </w:rPr>
            </w:pPr>
            <w:r w:rsidRPr="00E34D7A">
              <w:rPr>
                <w:rFonts w:ascii="Arial Narrow" w:hAnsi="Arial Narrow"/>
                <w:sz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B409E7" w:rsidRPr="00E34D7A" w:rsidTr="007B5048">
        <w:trPr>
          <w:cantSplit/>
          <w:trHeight w:val="20"/>
        </w:trPr>
        <w:tc>
          <w:tcPr>
            <w:tcW w:w="1293" w:type="pct"/>
            <w:tcBorders>
              <w:top w:val="single" w:sz="4" w:space="0" w:color="auto"/>
              <w:left w:val="single" w:sz="4" w:space="0" w:color="auto"/>
              <w:bottom w:val="single" w:sz="4" w:space="0" w:color="auto"/>
              <w:right w:val="single" w:sz="4" w:space="0" w:color="auto"/>
            </w:tcBorders>
          </w:tcPr>
          <w:p w:rsidR="007B5048" w:rsidRPr="00E34D7A" w:rsidRDefault="007B5048" w:rsidP="003E2379">
            <w:pPr>
              <w:rPr>
                <w:rFonts w:ascii="Arial Narrow" w:hAnsi="Arial Narrow"/>
                <w:b/>
                <w:sz w:val="20"/>
              </w:rPr>
            </w:pPr>
            <w:r w:rsidRPr="00E34D7A">
              <w:rPr>
                <w:rFonts w:ascii="Arial Narrow" w:hAnsi="Arial Narrow"/>
                <w:b/>
                <w:sz w:val="20"/>
              </w:rPr>
              <w:t>Prescribing Instructions</w:t>
            </w:r>
          </w:p>
        </w:tc>
        <w:tc>
          <w:tcPr>
            <w:tcW w:w="3707" w:type="pct"/>
            <w:tcBorders>
              <w:top w:val="single" w:sz="4" w:space="0" w:color="auto"/>
              <w:left w:val="single" w:sz="4" w:space="0" w:color="auto"/>
              <w:bottom w:val="single" w:sz="4" w:space="0" w:color="auto"/>
              <w:right w:val="single" w:sz="4" w:space="0" w:color="auto"/>
            </w:tcBorders>
          </w:tcPr>
          <w:p w:rsidR="007B5048" w:rsidRPr="00E34D7A" w:rsidRDefault="007B5048" w:rsidP="003E2379">
            <w:pPr>
              <w:rPr>
                <w:rFonts w:ascii="Arial Narrow" w:hAnsi="Arial Narrow"/>
                <w:sz w:val="20"/>
              </w:rPr>
            </w:pPr>
            <w:r w:rsidRPr="00E34D7A">
              <w:rPr>
                <w:rFonts w:ascii="Arial Narrow" w:hAnsi="Arial Narrow"/>
                <w:sz w:val="20"/>
              </w:rPr>
              <w:t xml:space="preserve">No more than </w:t>
            </w:r>
            <w:r w:rsidR="007D61D8" w:rsidRPr="00E34D7A">
              <w:rPr>
                <w:rFonts w:ascii="Arial Narrow" w:hAnsi="Arial Narrow"/>
                <w:sz w:val="20"/>
              </w:rPr>
              <w:t xml:space="preserve">1 vial of fosaprepitant 150 mg </w:t>
            </w:r>
            <w:r w:rsidRPr="00E34D7A">
              <w:rPr>
                <w:rFonts w:ascii="Arial Narrow" w:hAnsi="Arial Narrow"/>
                <w:sz w:val="20"/>
              </w:rPr>
              <w:t>will be authorised per cycle of cytotoxic chemotherapy.</w:t>
            </w:r>
          </w:p>
        </w:tc>
      </w:tr>
      <w:tr w:rsidR="00B409E7" w:rsidRPr="00E34D7A" w:rsidTr="007B5048">
        <w:trPr>
          <w:cantSplit/>
          <w:trHeight w:val="515"/>
        </w:trPr>
        <w:tc>
          <w:tcPr>
            <w:tcW w:w="1293" w:type="pct"/>
            <w:tcBorders>
              <w:top w:val="single" w:sz="4" w:space="0" w:color="auto"/>
              <w:left w:val="single" w:sz="4" w:space="0" w:color="auto"/>
              <w:bottom w:val="single" w:sz="4" w:space="0" w:color="auto"/>
              <w:right w:val="single" w:sz="4" w:space="0" w:color="auto"/>
            </w:tcBorders>
          </w:tcPr>
          <w:p w:rsidR="00F62423" w:rsidRPr="00E34D7A" w:rsidRDefault="00F62423" w:rsidP="003E2379">
            <w:pPr>
              <w:rPr>
                <w:rFonts w:ascii="Arial Narrow" w:hAnsi="Arial Narrow"/>
                <w:b/>
                <w:sz w:val="20"/>
              </w:rPr>
            </w:pPr>
            <w:r w:rsidRPr="00E34D7A">
              <w:rPr>
                <w:rFonts w:ascii="Arial Narrow" w:hAnsi="Arial Narrow"/>
                <w:b/>
                <w:sz w:val="20"/>
              </w:rPr>
              <w:lastRenderedPageBreak/>
              <w:t>Administrative Advice</w:t>
            </w:r>
          </w:p>
          <w:p w:rsidR="00F62423" w:rsidRPr="00E34D7A" w:rsidRDefault="00F62423" w:rsidP="003E2379">
            <w:pPr>
              <w:rPr>
                <w:rFonts w:ascii="Arial Narrow" w:hAnsi="Arial Narrow"/>
                <w:i/>
                <w:sz w:val="20"/>
              </w:rPr>
            </w:pPr>
          </w:p>
        </w:tc>
        <w:tc>
          <w:tcPr>
            <w:tcW w:w="3707" w:type="pct"/>
            <w:tcBorders>
              <w:top w:val="single" w:sz="4" w:space="0" w:color="auto"/>
              <w:left w:val="single" w:sz="4" w:space="0" w:color="auto"/>
              <w:bottom w:val="single" w:sz="4" w:space="0" w:color="auto"/>
              <w:right w:val="single" w:sz="4" w:space="0" w:color="auto"/>
            </w:tcBorders>
          </w:tcPr>
          <w:p w:rsidR="00F62423" w:rsidRPr="00E34D7A" w:rsidRDefault="0009438E" w:rsidP="003E2379">
            <w:pPr>
              <w:tabs>
                <w:tab w:val="left" w:pos="571"/>
              </w:tabs>
              <w:rPr>
                <w:rFonts w:ascii="Arial Narrow" w:hAnsi="Arial Narrow"/>
                <w:sz w:val="20"/>
              </w:rPr>
            </w:pPr>
            <w:r w:rsidRPr="00E34D7A">
              <w:rPr>
                <w:rFonts w:ascii="Arial Narrow" w:hAnsi="Arial Narrow"/>
                <w:sz w:val="20"/>
              </w:rPr>
              <w:t>This drug</w:t>
            </w:r>
            <w:r w:rsidR="007B5048" w:rsidRPr="00E34D7A">
              <w:rPr>
                <w:rFonts w:ascii="Arial Narrow" w:hAnsi="Arial Narrow"/>
                <w:sz w:val="20"/>
              </w:rPr>
              <w:t xml:space="preserve"> is not PBS-subsidised for nausea and vomiting associated with radiotherapy being used to treat malignancy.</w:t>
            </w:r>
          </w:p>
          <w:p w:rsidR="007B5048" w:rsidRPr="00E34D7A" w:rsidRDefault="007B5048" w:rsidP="003E2379">
            <w:pPr>
              <w:tabs>
                <w:tab w:val="left" w:pos="571"/>
              </w:tabs>
              <w:rPr>
                <w:rFonts w:ascii="Arial Narrow" w:hAnsi="Arial Narrow"/>
                <w:sz w:val="20"/>
              </w:rPr>
            </w:pPr>
            <w:r w:rsidRPr="00E34D7A">
              <w:rPr>
                <w:rFonts w:ascii="Arial Narrow" w:hAnsi="Arial Narrow"/>
                <w:sz w:val="20"/>
              </w:rPr>
              <w:t>No increase in the maximum quantity or number of units may be authorised.</w:t>
            </w:r>
          </w:p>
          <w:p w:rsidR="007B5048" w:rsidRPr="00E34D7A" w:rsidRDefault="007B5048" w:rsidP="003E2379">
            <w:pPr>
              <w:tabs>
                <w:tab w:val="left" w:pos="571"/>
              </w:tabs>
              <w:rPr>
                <w:rFonts w:ascii="Arial Narrow" w:hAnsi="Arial Narrow"/>
                <w:sz w:val="20"/>
              </w:rPr>
            </w:pPr>
            <w:r w:rsidRPr="00E34D7A">
              <w:rPr>
                <w:rFonts w:ascii="Arial Narrow" w:hAnsi="Arial Narrow"/>
                <w:sz w:val="20"/>
              </w:rPr>
              <w:t>No increase in the maximum number of repeats may be authorised.</w:t>
            </w:r>
          </w:p>
        </w:tc>
      </w:tr>
    </w:tbl>
    <w:p w:rsidR="0020381E" w:rsidRPr="00E34D7A" w:rsidRDefault="0020381E" w:rsidP="0020381E">
      <w:pPr>
        <w:widowControl w:val="0"/>
        <w:jc w:val="both"/>
        <w:rPr>
          <w:rFonts w:ascii="Arial" w:hAnsi="Arial" w:cs="Arial"/>
          <w:bCs/>
          <w:snapToGrid w:val="0"/>
          <w:sz w:val="22"/>
          <w:szCs w:val="22"/>
        </w:rPr>
      </w:pPr>
    </w:p>
    <w:p w:rsidR="00AF1E89" w:rsidRPr="00E34D7A" w:rsidRDefault="00AF1E89" w:rsidP="0020381E">
      <w:pPr>
        <w:widowControl w:val="0"/>
        <w:jc w:val="both"/>
        <w:rPr>
          <w:rFonts w:ascii="Arial" w:hAnsi="Arial" w:cs="Arial"/>
          <w:bCs/>
          <w:snapToGrid w:val="0"/>
          <w:sz w:val="22"/>
          <w:szCs w:val="22"/>
        </w:rPr>
      </w:pPr>
    </w:p>
    <w:tbl>
      <w:tblPr>
        <w:tblW w:w="4449" w:type="pct"/>
        <w:tblInd w:w="817" w:type="dxa"/>
        <w:tblLayout w:type="fixed"/>
        <w:tblLook w:val="0000" w:firstRow="0" w:lastRow="0" w:firstColumn="0" w:lastColumn="0" w:noHBand="0" w:noVBand="0"/>
      </w:tblPr>
      <w:tblGrid>
        <w:gridCol w:w="2127"/>
        <w:gridCol w:w="6097"/>
      </w:tblGrid>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5F6C62" w:rsidRPr="00E34D7A" w:rsidRDefault="005F6C62" w:rsidP="003E2379">
            <w:pPr>
              <w:rPr>
                <w:rFonts w:ascii="Arial Narrow" w:hAnsi="Arial Narrow"/>
                <w:b/>
                <w:sz w:val="20"/>
              </w:rPr>
            </w:pPr>
            <w:r w:rsidRPr="00E34D7A">
              <w:rPr>
                <w:rFonts w:ascii="Arial Narrow" w:hAnsi="Arial Narrow"/>
                <w:b/>
                <w:sz w:val="20"/>
              </w:rPr>
              <w:t>Clinical criteria:</w:t>
            </w:r>
          </w:p>
          <w:p w:rsidR="005F6C62" w:rsidRPr="00E34D7A" w:rsidRDefault="005F6C62" w:rsidP="003E2379">
            <w:pPr>
              <w:rPr>
                <w:rFonts w:ascii="Arial Narrow" w:hAnsi="Arial Narrow"/>
                <w:sz w:val="20"/>
              </w:rPr>
            </w:pPr>
          </w:p>
        </w:tc>
        <w:tc>
          <w:tcPr>
            <w:tcW w:w="3707" w:type="pct"/>
            <w:tcBorders>
              <w:top w:val="single" w:sz="4" w:space="0" w:color="auto"/>
              <w:left w:val="single" w:sz="4" w:space="0" w:color="auto"/>
              <w:bottom w:val="single" w:sz="4" w:space="0" w:color="auto"/>
              <w:right w:val="single" w:sz="4" w:space="0" w:color="auto"/>
            </w:tcBorders>
          </w:tcPr>
          <w:p w:rsidR="005F6C62" w:rsidRPr="00E34D7A" w:rsidRDefault="005F6C62" w:rsidP="003E2379">
            <w:pPr>
              <w:rPr>
                <w:rFonts w:ascii="Arial Narrow" w:hAnsi="Arial Narrow"/>
                <w:sz w:val="20"/>
              </w:rPr>
            </w:pPr>
            <w:r w:rsidRPr="00E34D7A">
              <w:rPr>
                <w:rFonts w:ascii="Arial Narrow" w:hAnsi="Arial Narrow"/>
                <w:sz w:val="20"/>
              </w:rPr>
              <w:t>The condition must be associated with cytotoxic chemotherapy being used to treat breast cancer,</w:t>
            </w:r>
          </w:p>
          <w:p w:rsidR="005F6C62" w:rsidRPr="00E34D7A" w:rsidRDefault="005F6C62" w:rsidP="003E2379">
            <w:pPr>
              <w:rPr>
                <w:rFonts w:ascii="Arial Narrow" w:hAnsi="Arial Narrow"/>
                <w:sz w:val="20"/>
              </w:rPr>
            </w:pPr>
            <w:r w:rsidRPr="00E34D7A">
              <w:rPr>
                <w:rFonts w:ascii="Arial Narrow" w:hAnsi="Arial Narrow"/>
                <w:sz w:val="20"/>
              </w:rPr>
              <w:t>AND</w:t>
            </w:r>
          </w:p>
          <w:p w:rsidR="005F6C62" w:rsidRPr="00E34D7A" w:rsidRDefault="005F6C62" w:rsidP="003E2379">
            <w:pPr>
              <w:rPr>
                <w:rFonts w:ascii="Arial Narrow" w:hAnsi="Arial Narrow"/>
                <w:sz w:val="20"/>
              </w:rPr>
            </w:pPr>
            <w:r w:rsidRPr="00E34D7A">
              <w:rPr>
                <w:rFonts w:ascii="Arial Narrow" w:hAnsi="Arial Narrow"/>
                <w:sz w:val="20"/>
              </w:rPr>
              <w:t>The treatment must be in combination with a 5-hydroxytryptamine receptor (5HT3) antagonist and dexamethasone,</w:t>
            </w:r>
          </w:p>
          <w:p w:rsidR="005F6C62" w:rsidRPr="00E34D7A" w:rsidRDefault="005F6C62" w:rsidP="003E2379">
            <w:pPr>
              <w:rPr>
                <w:rFonts w:ascii="Arial Narrow" w:hAnsi="Arial Narrow"/>
                <w:sz w:val="20"/>
              </w:rPr>
            </w:pPr>
            <w:r w:rsidRPr="00E34D7A">
              <w:rPr>
                <w:rFonts w:ascii="Arial Narrow" w:hAnsi="Arial Narrow"/>
                <w:sz w:val="20"/>
              </w:rPr>
              <w:t>AND</w:t>
            </w:r>
          </w:p>
          <w:p w:rsidR="005F6C62" w:rsidRPr="00E34D7A" w:rsidRDefault="005F6C62" w:rsidP="003E2379">
            <w:pPr>
              <w:rPr>
                <w:rFonts w:ascii="Arial Narrow" w:hAnsi="Arial Narrow"/>
                <w:sz w:val="20"/>
              </w:rPr>
            </w:pPr>
            <w:r w:rsidRPr="00E34D7A">
              <w:rPr>
                <w:rFonts w:ascii="Arial Narrow" w:hAnsi="Arial Narrow"/>
                <w:sz w:val="20"/>
              </w:rPr>
              <w:t>Patient must be scheduled to be co-administered cyclophosphamide and an anthracycline.</w:t>
            </w:r>
          </w:p>
        </w:tc>
      </w:tr>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5F6C62" w:rsidRPr="00E34D7A" w:rsidRDefault="005F6C62" w:rsidP="003E2379">
            <w:pPr>
              <w:rPr>
                <w:rFonts w:ascii="Arial Narrow" w:hAnsi="Arial Narrow"/>
                <w:b/>
                <w:sz w:val="20"/>
              </w:rPr>
            </w:pPr>
            <w:r w:rsidRPr="00E34D7A">
              <w:rPr>
                <w:rFonts w:ascii="Arial Narrow" w:hAnsi="Arial Narrow"/>
                <w:b/>
                <w:sz w:val="20"/>
              </w:rPr>
              <w:t>Prescribing Instructions</w:t>
            </w:r>
          </w:p>
        </w:tc>
        <w:tc>
          <w:tcPr>
            <w:tcW w:w="3707" w:type="pct"/>
            <w:tcBorders>
              <w:top w:val="single" w:sz="4" w:space="0" w:color="auto"/>
              <w:left w:val="single" w:sz="4" w:space="0" w:color="auto"/>
              <w:bottom w:val="single" w:sz="4" w:space="0" w:color="auto"/>
              <w:right w:val="single" w:sz="4" w:space="0" w:color="auto"/>
            </w:tcBorders>
          </w:tcPr>
          <w:p w:rsidR="005F6C62" w:rsidRPr="00E34D7A" w:rsidRDefault="005F6C62" w:rsidP="003E2379">
            <w:pPr>
              <w:rPr>
                <w:rFonts w:ascii="Arial Narrow" w:hAnsi="Arial Narrow"/>
                <w:sz w:val="20"/>
              </w:rPr>
            </w:pPr>
            <w:r w:rsidRPr="00E34D7A">
              <w:rPr>
                <w:rFonts w:ascii="Arial Narrow" w:hAnsi="Arial Narrow"/>
                <w:sz w:val="20"/>
              </w:rPr>
              <w:t xml:space="preserve">No more than </w:t>
            </w:r>
            <w:r w:rsidR="007D61D8" w:rsidRPr="00E34D7A">
              <w:rPr>
                <w:rFonts w:ascii="Arial Narrow" w:hAnsi="Arial Narrow"/>
                <w:sz w:val="20"/>
              </w:rPr>
              <w:t xml:space="preserve">1 vial of fosaprepitant 150 mg </w:t>
            </w:r>
            <w:r w:rsidRPr="00E34D7A">
              <w:rPr>
                <w:rFonts w:ascii="Arial Narrow" w:hAnsi="Arial Narrow"/>
                <w:sz w:val="20"/>
              </w:rPr>
              <w:t>will be authorised per cycle of cytotoxic chemotherapy.</w:t>
            </w:r>
          </w:p>
        </w:tc>
      </w:tr>
      <w:tr w:rsidR="00B409E7" w:rsidRPr="00E34D7A" w:rsidTr="003E2379">
        <w:trPr>
          <w:cantSplit/>
          <w:trHeight w:val="515"/>
        </w:trPr>
        <w:tc>
          <w:tcPr>
            <w:tcW w:w="1293" w:type="pct"/>
            <w:tcBorders>
              <w:top w:val="single" w:sz="4" w:space="0" w:color="auto"/>
              <w:left w:val="single" w:sz="4" w:space="0" w:color="auto"/>
              <w:bottom w:val="single" w:sz="4" w:space="0" w:color="auto"/>
              <w:right w:val="single" w:sz="4" w:space="0" w:color="auto"/>
            </w:tcBorders>
          </w:tcPr>
          <w:p w:rsidR="005F6C62" w:rsidRPr="00E34D7A" w:rsidRDefault="005F6C62" w:rsidP="003E2379">
            <w:pPr>
              <w:rPr>
                <w:rFonts w:ascii="Arial Narrow" w:hAnsi="Arial Narrow"/>
                <w:b/>
                <w:sz w:val="20"/>
              </w:rPr>
            </w:pPr>
            <w:r w:rsidRPr="00E34D7A">
              <w:rPr>
                <w:rFonts w:ascii="Arial Narrow" w:hAnsi="Arial Narrow"/>
                <w:b/>
                <w:sz w:val="20"/>
              </w:rPr>
              <w:t>Administrative Advice</w:t>
            </w:r>
          </w:p>
          <w:p w:rsidR="005F6C62" w:rsidRPr="00E34D7A" w:rsidRDefault="005F6C62" w:rsidP="003E2379">
            <w:pPr>
              <w:rPr>
                <w:rFonts w:ascii="Arial Narrow" w:hAnsi="Arial Narrow"/>
                <w:i/>
                <w:sz w:val="20"/>
              </w:rPr>
            </w:pPr>
          </w:p>
        </w:tc>
        <w:tc>
          <w:tcPr>
            <w:tcW w:w="3707" w:type="pct"/>
            <w:tcBorders>
              <w:top w:val="single" w:sz="4" w:space="0" w:color="auto"/>
              <w:left w:val="single" w:sz="4" w:space="0" w:color="auto"/>
              <w:bottom w:val="single" w:sz="4" w:space="0" w:color="auto"/>
              <w:right w:val="single" w:sz="4" w:space="0" w:color="auto"/>
            </w:tcBorders>
          </w:tcPr>
          <w:p w:rsidR="005F6C62" w:rsidRPr="00E34D7A" w:rsidRDefault="0009438E" w:rsidP="003E2379">
            <w:pPr>
              <w:tabs>
                <w:tab w:val="left" w:pos="571"/>
              </w:tabs>
              <w:rPr>
                <w:rFonts w:ascii="Arial Narrow" w:hAnsi="Arial Narrow"/>
                <w:sz w:val="20"/>
              </w:rPr>
            </w:pPr>
            <w:r w:rsidRPr="00E34D7A">
              <w:rPr>
                <w:rFonts w:ascii="Arial Narrow" w:hAnsi="Arial Narrow"/>
                <w:sz w:val="20"/>
              </w:rPr>
              <w:t>This drug</w:t>
            </w:r>
            <w:r w:rsidR="005F6C62" w:rsidRPr="00E34D7A">
              <w:rPr>
                <w:rFonts w:ascii="Arial Narrow" w:hAnsi="Arial Narrow"/>
                <w:sz w:val="20"/>
              </w:rPr>
              <w:t xml:space="preserve"> is not PBS-subsidised for nausea and vomiting associated with radiotherapy being used to treat malignancy.</w:t>
            </w:r>
          </w:p>
          <w:p w:rsidR="005F6C62" w:rsidRPr="00E34D7A" w:rsidRDefault="005F6C62" w:rsidP="003E2379">
            <w:pPr>
              <w:tabs>
                <w:tab w:val="left" w:pos="571"/>
              </w:tabs>
              <w:rPr>
                <w:rFonts w:ascii="Arial Narrow" w:hAnsi="Arial Narrow"/>
                <w:sz w:val="20"/>
              </w:rPr>
            </w:pPr>
            <w:r w:rsidRPr="00E34D7A">
              <w:rPr>
                <w:rFonts w:ascii="Arial Narrow" w:hAnsi="Arial Narrow"/>
                <w:sz w:val="20"/>
              </w:rPr>
              <w:t>No increase in the maximum quantity or number of units may be authorised.</w:t>
            </w:r>
          </w:p>
          <w:p w:rsidR="005F6C62" w:rsidRPr="00E34D7A" w:rsidRDefault="005F6C62" w:rsidP="003E2379">
            <w:pPr>
              <w:tabs>
                <w:tab w:val="left" w:pos="571"/>
              </w:tabs>
              <w:rPr>
                <w:rFonts w:ascii="Arial Narrow" w:hAnsi="Arial Narrow"/>
                <w:sz w:val="20"/>
              </w:rPr>
            </w:pPr>
            <w:r w:rsidRPr="00E34D7A">
              <w:rPr>
                <w:rFonts w:ascii="Arial Narrow" w:hAnsi="Arial Narrow"/>
                <w:sz w:val="20"/>
              </w:rPr>
              <w:t>No increase in the maximum number of repeats may be authorised.</w:t>
            </w:r>
          </w:p>
        </w:tc>
      </w:tr>
    </w:tbl>
    <w:p w:rsidR="005F6C62" w:rsidRPr="00E34D7A" w:rsidRDefault="005F6C62" w:rsidP="0020381E">
      <w:pPr>
        <w:widowControl w:val="0"/>
        <w:jc w:val="both"/>
        <w:rPr>
          <w:rFonts w:ascii="Arial" w:hAnsi="Arial" w:cs="Arial"/>
          <w:bCs/>
          <w:snapToGrid w:val="0"/>
          <w:sz w:val="22"/>
          <w:szCs w:val="22"/>
        </w:rPr>
      </w:pPr>
    </w:p>
    <w:p w:rsidR="00AF1E89" w:rsidRPr="00E34D7A" w:rsidRDefault="00AF1E89" w:rsidP="0020381E">
      <w:pPr>
        <w:widowControl w:val="0"/>
        <w:jc w:val="both"/>
        <w:rPr>
          <w:rFonts w:ascii="Arial" w:hAnsi="Arial" w:cs="Arial"/>
          <w:bCs/>
          <w:snapToGrid w:val="0"/>
          <w:sz w:val="22"/>
          <w:szCs w:val="22"/>
        </w:rPr>
      </w:pPr>
    </w:p>
    <w:tbl>
      <w:tblPr>
        <w:tblW w:w="4449" w:type="pct"/>
        <w:tblInd w:w="817" w:type="dxa"/>
        <w:tblLayout w:type="fixed"/>
        <w:tblLook w:val="0000" w:firstRow="0" w:lastRow="0" w:firstColumn="0" w:lastColumn="0" w:noHBand="0" w:noVBand="0"/>
      </w:tblPr>
      <w:tblGrid>
        <w:gridCol w:w="2127"/>
        <w:gridCol w:w="6097"/>
      </w:tblGrid>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t>Clinical criteria:</w:t>
            </w:r>
          </w:p>
          <w:p w:rsidR="00AC6DB7" w:rsidRPr="00E34D7A" w:rsidRDefault="00AC6DB7" w:rsidP="003E2379">
            <w:pPr>
              <w:rPr>
                <w:rFonts w:ascii="Arial Narrow" w:hAnsi="Arial Narrow"/>
                <w:sz w:val="20"/>
              </w:rPr>
            </w:pPr>
          </w:p>
        </w:tc>
        <w:tc>
          <w:tcPr>
            <w:tcW w:w="3707"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sz w:val="20"/>
              </w:rPr>
            </w:pPr>
            <w:r w:rsidRPr="00E34D7A">
              <w:rPr>
                <w:rFonts w:ascii="Arial Narrow" w:hAnsi="Arial Narrow"/>
                <w:sz w:val="20"/>
              </w:rPr>
              <w:t>The condition must be associated with moderately emetogenic cytotoxic chemotherapy being used to treat malignancy,</w:t>
            </w:r>
          </w:p>
          <w:p w:rsidR="00AC6DB7" w:rsidRPr="00E34D7A" w:rsidRDefault="00AC6DB7" w:rsidP="003E2379">
            <w:pPr>
              <w:rPr>
                <w:rFonts w:ascii="Arial Narrow" w:hAnsi="Arial Narrow"/>
                <w:sz w:val="20"/>
              </w:rPr>
            </w:pPr>
            <w:r w:rsidRPr="00E34D7A">
              <w:rPr>
                <w:rFonts w:ascii="Arial Narrow" w:hAnsi="Arial Narrow"/>
                <w:sz w:val="20"/>
              </w:rPr>
              <w:t>AND</w:t>
            </w:r>
          </w:p>
          <w:p w:rsidR="00AC6DB7" w:rsidRPr="00E34D7A" w:rsidRDefault="00AC6DB7" w:rsidP="003E2379">
            <w:pPr>
              <w:rPr>
                <w:rFonts w:ascii="Arial Narrow" w:hAnsi="Arial Narrow"/>
                <w:sz w:val="20"/>
              </w:rPr>
            </w:pPr>
            <w:r w:rsidRPr="00E34D7A">
              <w:rPr>
                <w:rFonts w:ascii="Arial Narrow" w:hAnsi="Arial Narrow"/>
                <w:sz w:val="20"/>
              </w:rPr>
              <w:t>The treatment must be in combination with a 5-hydroxytryptamine receptor (5HT3) antagonist and dexamethasone,</w:t>
            </w:r>
          </w:p>
          <w:p w:rsidR="00AC6DB7" w:rsidRPr="00E34D7A" w:rsidRDefault="00AC6DB7" w:rsidP="003E2379">
            <w:pPr>
              <w:rPr>
                <w:rFonts w:ascii="Arial Narrow" w:hAnsi="Arial Narrow"/>
                <w:sz w:val="20"/>
              </w:rPr>
            </w:pPr>
            <w:r w:rsidRPr="00E34D7A">
              <w:rPr>
                <w:rFonts w:ascii="Arial Narrow" w:hAnsi="Arial Narrow"/>
                <w:sz w:val="20"/>
              </w:rPr>
              <w:t>AND</w:t>
            </w:r>
          </w:p>
          <w:p w:rsidR="00AC6DB7" w:rsidRPr="00E34D7A" w:rsidRDefault="00AC6DB7" w:rsidP="003E2379">
            <w:pPr>
              <w:rPr>
                <w:rFonts w:ascii="Arial Narrow" w:hAnsi="Arial Narrow"/>
                <w:sz w:val="20"/>
              </w:rPr>
            </w:pPr>
            <w:r w:rsidRPr="00E34D7A">
              <w:rPr>
                <w:rFonts w:ascii="Arial Narrow" w:hAnsi="Arial Narrow"/>
                <w:sz w:val="20"/>
              </w:rPr>
              <w:t>Patient must have had a prior episode of chemotherapy induced nausea or vomiting,</w:t>
            </w:r>
          </w:p>
          <w:p w:rsidR="00AC6DB7" w:rsidRPr="00E34D7A" w:rsidRDefault="00AC6DB7" w:rsidP="003E2379">
            <w:pPr>
              <w:rPr>
                <w:rFonts w:ascii="Arial Narrow" w:hAnsi="Arial Narrow"/>
                <w:sz w:val="20"/>
              </w:rPr>
            </w:pPr>
            <w:r w:rsidRPr="00E34D7A">
              <w:rPr>
                <w:rFonts w:ascii="Arial Narrow" w:hAnsi="Arial Narrow"/>
                <w:sz w:val="20"/>
              </w:rPr>
              <w:t>AND</w:t>
            </w:r>
          </w:p>
          <w:p w:rsidR="00AC6DB7" w:rsidRPr="00E34D7A" w:rsidRDefault="00AC6DB7" w:rsidP="003E2379">
            <w:pPr>
              <w:rPr>
                <w:rFonts w:ascii="Arial Narrow" w:hAnsi="Arial Narrow"/>
                <w:sz w:val="20"/>
              </w:rPr>
            </w:pPr>
            <w:r w:rsidRPr="00E34D7A">
              <w:rPr>
                <w:rFonts w:ascii="Arial Narrow" w:hAnsi="Arial Narrow"/>
                <w:sz w:val="20"/>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tc>
      </w:tr>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t>Prescribing Instructions</w:t>
            </w:r>
          </w:p>
        </w:tc>
        <w:tc>
          <w:tcPr>
            <w:tcW w:w="3707" w:type="pct"/>
            <w:tcBorders>
              <w:top w:val="single" w:sz="4" w:space="0" w:color="auto"/>
              <w:left w:val="single" w:sz="4" w:space="0" w:color="auto"/>
              <w:bottom w:val="single" w:sz="4" w:space="0" w:color="auto"/>
              <w:right w:val="single" w:sz="4" w:space="0" w:color="auto"/>
            </w:tcBorders>
          </w:tcPr>
          <w:p w:rsidR="007D61D8" w:rsidRPr="00E34D7A" w:rsidRDefault="007D61D8" w:rsidP="007D61D8">
            <w:pPr>
              <w:rPr>
                <w:rFonts w:ascii="Arial Narrow" w:hAnsi="Arial Narrow"/>
                <w:sz w:val="20"/>
              </w:rPr>
            </w:pPr>
            <w:r w:rsidRPr="00E34D7A">
              <w:rPr>
                <w:rFonts w:ascii="Arial Narrow" w:hAnsi="Arial Narrow"/>
                <w:sz w:val="20"/>
              </w:rPr>
              <w:t>No more than 1 vial of fosaprepitant 150 mg will be authorised per cycle of cytotoxic chemotherapy.</w:t>
            </w:r>
          </w:p>
          <w:p w:rsidR="00AC6DB7" w:rsidRPr="00E34D7A" w:rsidRDefault="00AC6DB7" w:rsidP="003E2379">
            <w:pPr>
              <w:rPr>
                <w:rFonts w:ascii="Arial Narrow" w:hAnsi="Arial Narrow"/>
                <w:sz w:val="20"/>
              </w:rPr>
            </w:pPr>
            <w:r w:rsidRPr="00E34D7A">
              <w:rPr>
                <w:rFonts w:ascii="Arial Narrow" w:hAnsi="Arial Narrow"/>
                <w:sz w:val="20"/>
              </w:rPr>
              <w:t xml:space="preserve">Concomitant use of a 5HT3 antagonist should not occur with </w:t>
            </w:r>
            <w:r w:rsidR="0009438E" w:rsidRPr="00E34D7A">
              <w:rPr>
                <w:rFonts w:ascii="Arial Narrow" w:hAnsi="Arial Narrow"/>
                <w:sz w:val="20"/>
              </w:rPr>
              <w:t>fos</w:t>
            </w:r>
            <w:r w:rsidRPr="00E34D7A">
              <w:rPr>
                <w:rFonts w:ascii="Arial Narrow" w:hAnsi="Arial Narrow"/>
                <w:sz w:val="20"/>
              </w:rPr>
              <w:t>aprepitant on days 2 and 3 of any chemotherapy cycle.</w:t>
            </w:r>
          </w:p>
        </w:tc>
      </w:tr>
      <w:tr w:rsidR="00B409E7" w:rsidRPr="00E34D7A" w:rsidTr="003E2379">
        <w:trPr>
          <w:cantSplit/>
          <w:trHeight w:val="515"/>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t>Administrative Advice</w:t>
            </w:r>
          </w:p>
          <w:p w:rsidR="00AC6DB7" w:rsidRPr="00E34D7A" w:rsidRDefault="00AC6DB7" w:rsidP="003E2379">
            <w:pPr>
              <w:rPr>
                <w:rFonts w:ascii="Arial Narrow" w:hAnsi="Arial Narrow"/>
                <w:i/>
                <w:sz w:val="20"/>
              </w:rPr>
            </w:pPr>
          </w:p>
        </w:tc>
        <w:tc>
          <w:tcPr>
            <w:tcW w:w="3707" w:type="pct"/>
            <w:tcBorders>
              <w:top w:val="single" w:sz="4" w:space="0" w:color="auto"/>
              <w:left w:val="single" w:sz="4" w:space="0" w:color="auto"/>
              <w:bottom w:val="single" w:sz="4" w:space="0" w:color="auto"/>
              <w:right w:val="single" w:sz="4" w:space="0" w:color="auto"/>
            </w:tcBorders>
          </w:tcPr>
          <w:p w:rsidR="00AC6DB7" w:rsidRPr="00E34D7A" w:rsidRDefault="0009438E" w:rsidP="003E2379">
            <w:pPr>
              <w:tabs>
                <w:tab w:val="left" w:pos="571"/>
              </w:tabs>
              <w:rPr>
                <w:rFonts w:ascii="Arial Narrow" w:hAnsi="Arial Narrow"/>
                <w:sz w:val="20"/>
              </w:rPr>
            </w:pPr>
            <w:r w:rsidRPr="00E34D7A">
              <w:rPr>
                <w:rFonts w:ascii="Arial Narrow" w:hAnsi="Arial Narrow"/>
                <w:sz w:val="20"/>
              </w:rPr>
              <w:t>This drug</w:t>
            </w:r>
            <w:r w:rsidR="00AC6DB7" w:rsidRPr="00E34D7A">
              <w:rPr>
                <w:rFonts w:ascii="Arial Narrow" w:hAnsi="Arial Narrow"/>
                <w:sz w:val="20"/>
              </w:rPr>
              <w:t xml:space="preserve"> is not PBS-subsidised for nausea and vomiting associated with radiotherapy being used to treat malignancy.</w:t>
            </w:r>
          </w:p>
          <w:p w:rsidR="00AC6DB7" w:rsidRPr="00E34D7A" w:rsidRDefault="00AC6DB7" w:rsidP="003E2379">
            <w:pPr>
              <w:tabs>
                <w:tab w:val="left" w:pos="571"/>
              </w:tabs>
              <w:rPr>
                <w:rFonts w:ascii="Arial Narrow" w:hAnsi="Arial Narrow"/>
                <w:sz w:val="20"/>
              </w:rPr>
            </w:pPr>
            <w:r w:rsidRPr="00E34D7A">
              <w:rPr>
                <w:rFonts w:ascii="Arial Narrow" w:hAnsi="Arial Narrow"/>
                <w:sz w:val="20"/>
              </w:rPr>
              <w:t>No increase in the maximum quantity or number of units may be authorised.</w:t>
            </w:r>
          </w:p>
          <w:p w:rsidR="00AC6DB7" w:rsidRPr="00E34D7A" w:rsidRDefault="00AC6DB7" w:rsidP="003E2379">
            <w:pPr>
              <w:tabs>
                <w:tab w:val="left" w:pos="571"/>
              </w:tabs>
              <w:rPr>
                <w:rFonts w:ascii="Arial Narrow" w:hAnsi="Arial Narrow"/>
                <w:sz w:val="20"/>
              </w:rPr>
            </w:pPr>
            <w:r w:rsidRPr="00E34D7A">
              <w:rPr>
                <w:rFonts w:ascii="Arial Narrow" w:hAnsi="Arial Narrow"/>
                <w:sz w:val="20"/>
              </w:rPr>
              <w:t>No increase in the maximum number of repeats may be authorised.</w:t>
            </w:r>
          </w:p>
        </w:tc>
      </w:tr>
    </w:tbl>
    <w:p w:rsidR="00EF6E5A" w:rsidRPr="00E34D7A" w:rsidRDefault="00EF6E5A" w:rsidP="0020381E">
      <w:pPr>
        <w:pStyle w:val="ListParagraph"/>
        <w:ind w:left="360"/>
        <w:rPr>
          <w:rFonts w:ascii="Calibri" w:hAnsi="Calibri" w:cs="Calibri"/>
        </w:rPr>
      </w:pPr>
    </w:p>
    <w:p w:rsidR="00AF1E89" w:rsidRPr="00E34D7A" w:rsidRDefault="00AF1E89" w:rsidP="0020381E">
      <w:pPr>
        <w:pStyle w:val="ListParagraph"/>
        <w:ind w:left="360"/>
        <w:rPr>
          <w:rFonts w:ascii="Calibri" w:hAnsi="Calibri" w:cs="Calibri"/>
        </w:rPr>
      </w:pPr>
    </w:p>
    <w:tbl>
      <w:tblPr>
        <w:tblW w:w="4449" w:type="pct"/>
        <w:tblInd w:w="817" w:type="dxa"/>
        <w:tblLayout w:type="fixed"/>
        <w:tblLook w:val="0000" w:firstRow="0" w:lastRow="0" w:firstColumn="0" w:lastColumn="0" w:noHBand="0" w:noVBand="0"/>
      </w:tblPr>
      <w:tblGrid>
        <w:gridCol w:w="2127"/>
        <w:gridCol w:w="6097"/>
      </w:tblGrid>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t>Clinical criteria:</w:t>
            </w:r>
          </w:p>
          <w:p w:rsidR="00AC6DB7" w:rsidRPr="00E34D7A" w:rsidRDefault="00AC6DB7" w:rsidP="003E2379">
            <w:pPr>
              <w:rPr>
                <w:rFonts w:ascii="Arial Narrow" w:hAnsi="Arial Narrow"/>
                <w:sz w:val="20"/>
              </w:rPr>
            </w:pPr>
          </w:p>
        </w:tc>
        <w:tc>
          <w:tcPr>
            <w:tcW w:w="3707"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sz w:val="20"/>
              </w:rPr>
            </w:pPr>
            <w:r w:rsidRPr="00E34D7A">
              <w:rPr>
                <w:rFonts w:ascii="Arial Narrow" w:hAnsi="Arial Narrow"/>
                <w:sz w:val="20"/>
              </w:rPr>
              <w:t>The condition must be associated with cytotoxic chemotherapy being used to treat malignancy,</w:t>
            </w:r>
          </w:p>
          <w:p w:rsidR="00AC6DB7" w:rsidRPr="00E34D7A" w:rsidRDefault="00AC6DB7" w:rsidP="003E2379">
            <w:pPr>
              <w:rPr>
                <w:rFonts w:ascii="Arial Narrow" w:hAnsi="Arial Narrow"/>
                <w:sz w:val="20"/>
              </w:rPr>
            </w:pPr>
            <w:r w:rsidRPr="00E34D7A">
              <w:rPr>
                <w:rFonts w:ascii="Arial Narrow" w:hAnsi="Arial Narrow"/>
                <w:sz w:val="20"/>
              </w:rPr>
              <w:t>AND</w:t>
            </w:r>
          </w:p>
          <w:p w:rsidR="00AC6DB7" w:rsidRPr="00E34D7A" w:rsidRDefault="00AC6DB7" w:rsidP="003E2379">
            <w:pPr>
              <w:rPr>
                <w:rFonts w:ascii="Arial Narrow" w:hAnsi="Arial Narrow"/>
                <w:sz w:val="20"/>
              </w:rPr>
            </w:pPr>
            <w:r w:rsidRPr="00E34D7A">
              <w:rPr>
                <w:rFonts w:ascii="Arial Narrow" w:hAnsi="Arial Narrow"/>
                <w:sz w:val="20"/>
              </w:rPr>
              <w:t>The treatment must be in combination with a 5-hydroxytryptamine receptor (5HT3) antagonist and dexamethasone on day 1 of a chemotherapy cycle,</w:t>
            </w:r>
          </w:p>
          <w:p w:rsidR="00AC6DB7" w:rsidRPr="00E34D7A" w:rsidRDefault="00AC6DB7" w:rsidP="003E2379">
            <w:pPr>
              <w:rPr>
                <w:rFonts w:ascii="Arial Narrow" w:hAnsi="Arial Narrow"/>
                <w:sz w:val="20"/>
              </w:rPr>
            </w:pPr>
            <w:r w:rsidRPr="00E34D7A">
              <w:rPr>
                <w:rFonts w:ascii="Arial Narrow" w:hAnsi="Arial Narrow"/>
                <w:sz w:val="20"/>
              </w:rPr>
              <w:t>AND</w:t>
            </w:r>
          </w:p>
          <w:p w:rsidR="00AC6DB7" w:rsidRPr="00E34D7A" w:rsidRDefault="00AC6DB7" w:rsidP="003E2379">
            <w:pPr>
              <w:rPr>
                <w:rFonts w:ascii="Arial Narrow" w:hAnsi="Arial Narrow"/>
                <w:sz w:val="20"/>
              </w:rPr>
            </w:pPr>
            <w:r w:rsidRPr="00E34D7A">
              <w:rPr>
                <w:rFonts w:ascii="Arial Narrow" w:hAnsi="Arial Narrow"/>
                <w:sz w:val="20"/>
              </w:rPr>
              <w:t>Patient must be scheduled to be administered a chemotherapy regimen that includes either carboplatin or oxaliplatin.</w:t>
            </w:r>
          </w:p>
        </w:tc>
      </w:tr>
      <w:tr w:rsidR="00B409E7" w:rsidRPr="00E34D7A" w:rsidTr="003E2379">
        <w:trPr>
          <w:cantSplit/>
          <w:trHeight w:val="20"/>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lastRenderedPageBreak/>
              <w:t>Prescribing Instructions</w:t>
            </w:r>
          </w:p>
        </w:tc>
        <w:tc>
          <w:tcPr>
            <w:tcW w:w="3707"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sz w:val="20"/>
              </w:rPr>
            </w:pPr>
            <w:r w:rsidRPr="00E34D7A">
              <w:rPr>
                <w:rFonts w:ascii="Arial Narrow" w:hAnsi="Arial Narrow"/>
                <w:sz w:val="20"/>
              </w:rPr>
              <w:t xml:space="preserve">No more than </w:t>
            </w:r>
            <w:r w:rsidR="007D61D8" w:rsidRPr="00E34D7A">
              <w:rPr>
                <w:rFonts w:ascii="Arial Narrow" w:hAnsi="Arial Narrow"/>
                <w:sz w:val="20"/>
              </w:rPr>
              <w:t xml:space="preserve">1 vial of fosaprepitant 150 mg </w:t>
            </w:r>
            <w:r w:rsidRPr="00E34D7A">
              <w:rPr>
                <w:rFonts w:ascii="Arial Narrow" w:hAnsi="Arial Narrow"/>
                <w:sz w:val="20"/>
              </w:rPr>
              <w:t>will be authorised per cycle of cytotoxic chemotherapy.</w:t>
            </w:r>
          </w:p>
          <w:p w:rsidR="00AC6DB7" w:rsidRPr="00E34D7A" w:rsidRDefault="00AC6DB7" w:rsidP="003E2379">
            <w:pPr>
              <w:rPr>
                <w:rFonts w:ascii="Arial Narrow" w:hAnsi="Arial Narrow"/>
                <w:sz w:val="20"/>
              </w:rPr>
            </w:pPr>
            <w:r w:rsidRPr="00E34D7A">
              <w:rPr>
                <w:rFonts w:ascii="Arial Narrow" w:hAnsi="Arial Narrow"/>
                <w:sz w:val="20"/>
              </w:rPr>
              <w:t xml:space="preserve">Concomitant use of a 5HT3 antagonist should not occur with </w:t>
            </w:r>
            <w:r w:rsidR="0009438E" w:rsidRPr="00E34D7A">
              <w:rPr>
                <w:rFonts w:ascii="Arial Narrow" w:hAnsi="Arial Narrow"/>
                <w:sz w:val="20"/>
              </w:rPr>
              <w:t>fos</w:t>
            </w:r>
            <w:r w:rsidRPr="00E34D7A">
              <w:rPr>
                <w:rFonts w:ascii="Arial Narrow" w:hAnsi="Arial Narrow"/>
                <w:sz w:val="20"/>
              </w:rPr>
              <w:t>aprepitant on days 2 and 3 of any chemotherapy cycle.</w:t>
            </w:r>
          </w:p>
        </w:tc>
      </w:tr>
      <w:tr w:rsidR="00B409E7" w:rsidRPr="00E34D7A" w:rsidTr="003E2379">
        <w:trPr>
          <w:cantSplit/>
          <w:trHeight w:val="515"/>
        </w:trPr>
        <w:tc>
          <w:tcPr>
            <w:tcW w:w="1293" w:type="pct"/>
            <w:tcBorders>
              <w:top w:val="single" w:sz="4" w:space="0" w:color="auto"/>
              <w:left w:val="single" w:sz="4" w:space="0" w:color="auto"/>
              <w:bottom w:val="single" w:sz="4" w:space="0" w:color="auto"/>
              <w:right w:val="single" w:sz="4" w:space="0" w:color="auto"/>
            </w:tcBorders>
          </w:tcPr>
          <w:p w:rsidR="00AC6DB7" w:rsidRPr="00E34D7A" w:rsidRDefault="00AC6DB7" w:rsidP="003E2379">
            <w:pPr>
              <w:rPr>
                <w:rFonts w:ascii="Arial Narrow" w:hAnsi="Arial Narrow"/>
                <w:b/>
                <w:sz w:val="20"/>
              </w:rPr>
            </w:pPr>
            <w:r w:rsidRPr="00E34D7A">
              <w:rPr>
                <w:rFonts w:ascii="Arial Narrow" w:hAnsi="Arial Narrow"/>
                <w:b/>
                <w:sz w:val="20"/>
              </w:rPr>
              <w:t>Administrative Advice</w:t>
            </w:r>
          </w:p>
          <w:p w:rsidR="00AC6DB7" w:rsidRPr="00E34D7A" w:rsidRDefault="00AC6DB7" w:rsidP="003E2379">
            <w:pPr>
              <w:rPr>
                <w:rFonts w:ascii="Arial Narrow" w:hAnsi="Arial Narrow"/>
                <w:i/>
                <w:sz w:val="20"/>
              </w:rPr>
            </w:pPr>
          </w:p>
        </w:tc>
        <w:tc>
          <w:tcPr>
            <w:tcW w:w="3707" w:type="pct"/>
            <w:tcBorders>
              <w:top w:val="single" w:sz="4" w:space="0" w:color="auto"/>
              <w:left w:val="single" w:sz="4" w:space="0" w:color="auto"/>
              <w:bottom w:val="single" w:sz="4" w:space="0" w:color="auto"/>
              <w:right w:val="single" w:sz="4" w:space="0" w:color="auto"/>
            </w:tcBorders>
          </w:tcPr>
          <w:p w:rsidR="00AC6DB7" w:rsidRPr="00E34D7A" w:rsidRDefault="0009438E" w:rsidP="003E2379">
            <w:pPr>
              <w:tabs>
                <w:tab w:val="left" w:pos="571"/>
              </w:tabs>
              <w:rPr>
                <w:rFonts w:ascii="Arial Narrow" w:hAnsi="Arial Narrow"/>
                <w:sz w:val="20"/>
              </w:rPr>
            </w:pPr>
            <w:r w:rsidRPr="00E34D7A">
              <w:rPr>
                <w:rFonts w:ascii="Arial Narrow" w:hAnsi="Arial Narrow"/>
                <w:sz w:val="20"/>
              </w:rPr>
              <w:t>This drug</w:t>
            </w:r>
            <w:r w:rsidR="00AC6DB7" w:rsidRPr="00E34D7A">
              <w:rPr>
                <w:rFonts w:ascii="Arial Narrow" w:hAnsi="Arial Narrow"/>
                <w:sz w:val="20"/>
              </w:rPr>
              <w:t xml:space="preserve"> is not PBS-subsidised for nausea and vomiting associated with radiotherapy being used to treat malignancy.</w:t>
            </w:r>
          </w:p>
          <w:p w:rsidR="00AC6DB7" w:rsidRPr="00E34D7A" w:rsidRDefault="00AC6DB7" w:rsidP="003E2379">
            <w:pPr>
              <w:tabs>
                <w:tab w:val="left" w:pos="571"/>
              </w:tabs>
              <w:rPr>
                <w:rFonts w:ascii="Arial Narrow" w:hAnsi="Arial Narrow"/>
                <w:sz w:val="20"/>
              </w:rPr>
            </w:pPr>
            <w:r w:rsidRPr="00E34D7A">
              <w:rPr>
                <w:rFonts w:ascii="Arial Narrow" w:hAnsi="Arial Narrow"/>
                <w:sz w:val="20"/>
              </w:rPr>
              <w:t>No increase in the maximum quantity or number of units may be authorised.</w:t>
            </w:r>
          </w:p>
          <w:p w:rsidR="00AC6DB7" w:rsidRPr="00E34D7A" w:rsidRDefault="00AC6DB7" w:rsidP="003E2379">
            <w:pPr>
              <w:tabs>
                <w:tab w:val="left" w:pos="571"/>
              </w:tabs>
              <w:rPr>
                <w:rFonts w:ascii="Arial Narrow" w:hAnsi="Arial Narrow"/>
                <w:sz w:val="20"/>
              </w:rPr>
            </w:pPr>
            <w:r w:rsidRPr="00E34D7A">
              <w:rPr>
                <w:rFonts w:ascii="Arial Narrow" w:hAnsi="Arial Narrow"/>
                <w:sz w:val="20"/>
              </w:rPr>
              <w:t>No increase in the maximum number of repeats may be authorised.</w:t>
            </w:r>
          </w:p>
        </w:tc>
      </w:tr>
    </w:tbl>
    <w:p w:rsidR="00EF6E5A" w:rsidRPr="00E34D7A" w:rsidRDefault="00EF6E5A" w:rsidP="0020381E">
      <w:pPr>
        <w:pStyle w:val="ListParagraph"/>
        <w:ind w:left="360"/>
        <w:rPr>
          <w:rFonts w:ascii="Calibri" w:hAnsi="Calibri" w:cs="Calibri"/>
        </w:rPr>
      </w:pPr>
    </w:p>
    <w:p w:rsidR="0099187E" w:rsidRPr="0099187E" w:rsidRDefault="0099187E" w:rsidP="006D04D1">
      <w:pPr>
        <w:pStyle w:val="PBACHeading1"/>
        <w:rPr>
          <w:rFonts w:eastAsiaTheme="minorHAnsi" w:cstheme="minorBidi"/>
          <w:b w:val="0"/>
        </w:rPr>
      </w:pPr>
      <w:r w:rsidRPr="0099187E">
        <w:rPr>
          <w:rFonts w:eastAsiaTheme="minorHAnsi" w:cstheme="minorBidi"/>
        </w:rPr>
        <w:t>Context for Decision</w:t>
      </w:r>
    </w:p>
    <w:p w:rsidR="0099187E" w:rsidRPr="0099187E" w:rsidRDefault="0099187E" w:rsidP="0099187E">
      <w:pPr>
        <w:spacing w:line="276" w:lineRule="auto"/>
        <w:ind w:left="426"/>
        <w:jc w:val="both"/>
        <w:rPr>
          <w:rFonts w:ascii="Arial" w:eastAsiaTheme="minorHAnsi" w:hAnsi="Arial" w:cs="Arial"/>
          <w:sz w:val="22"/>
          <w:szCs w:val="22"/>
          <w:lang w:eastAsia="en-US"/>
        </w:rPr>
      </w:pPr>
    </w:p>
    <w:p w:rsidR="0099187E" w:rsidRPr="0099187E" w:rsidRDefault="0099187E" w:rsidP="0099187E">
      <w:pPr>
        <w:spacing w:line="276" w:lineRule="auto"/>
        <w:ind w:left="426"/>
        <w:jc w:val="both"/>
        <w:rPr>
          <w:rFonts w:ascii="Arial" w:eastAsiaTheme="minorHAnsi" w:hAnsi="Arial" w:cs="Arial"/>
          <w:sz w:val="22"/>
          <w:szCs w:val="22"/>
          <w:lang w:eastAsia="en-US"/>
        </w:rPr>
      </w:pPr>
      <w:r w:rsidRPr="0099187E">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9187E" w:rsidRPr="0099187E" w:rsidRDefault="0099187E" w:rsidP="0099187E">
      <w:pPr>
        <w:spacing w:after="200" w:line="276" w:lineRule="auto"/>
        <w:ind w:left="426"/>
        <w:jc w:val="both"/>
        <w:rPr>
          <w:rFonts w:ascii="Arial" w:eastAsiaTheme="minorHAnsi" w:hAnsi="Arial" w:cs="Arial"/>
          <w:sz w:val="22"/>
          <w:szCs w:val="22"/>
          <w:lang w:eastAsia="en-US"/>
        </w:rPr>
      </w:pPr>
    </w:p>
    <w:p w:rsidR="0099187E" w:rsidRPr="0099187E" w:rsidRDefault="0099187E" w:rsidP="006D04D1">
      <w:pPr>
        <w:pStyle w:val="PBACHeading1"/>
        <w:rPr>
          <w:rFonts w:eastAsiaTheme="minorHAnsi" w:cstheme="minorBidi"/>
          <w:b w:val="0"/>
        </w:rPr>
      </w:pPr>
      <w:r w:rsidRPr="0099187E">
        <w:rPr>
          <w:rFonts w:eastAsiaTheme="minorHAnsi" w:cstheme="minorBidi"/>
        </w:rPr>
        <w:t xml:space="preserve"> Sponsor’s Comment</w:t>
      </w:r>
    </w:p>
    <w:p w:rsidR="0099187E" w:rsidRPr="0099187E" w:rsidRDefault="0099187E" w:rsidP="0099187E">
      <w:pPr>
        <w:spacing w:line="276" w:lineRule="auto"/>
        <w:ind w:left="426"/>
        <w:jc w:val="both"/>
        <w:rPr>
          <w:rFonts w:ascii="Arial" w:eastAsiaTheme="minorHAnsi" w:hAnsi="Arial" w:cs="Arial"/>
          <w:bCs/>
          <w:sz w:val="22"/>
          <w:szCs w:val="22"/>
          <w:highlight w:val="yellow"/>
          <w:lang w:val="en-GB" w:eastAsia="en-US"/>
        </w:rPr>
      </w:pPr>
    </w:p>
    <w:p w:rsidR="0099187E" w:rsidRPr="0099187E" w:rsidRDefault="0099187E" w:rsidP="0099187E">
      <w:pPr>
        <w:spacing w:after="120" w:line="276" w:lineRule="auto"/>
        <w:ind w:left="426"/>
        <w:jc w:val="both"/>
        <w:rPr>
          <w:rFonts w:ascii="Arial" w:eastAsiaTheme="minorHAnsi" w:hAnsi="Arial" w:cs="Arial"/>
          <w:bCs/>
          <w:sz w:val="22"/>
          <w:szCs w:val="22"/>
          <w:lang w:eastAsia="en-US"/>
        </w:rPr>
      </w:pPr>
      <w:r w:rsidRPr="0099187E">
        <w:rPr>
          <w:rFonts w:ascii="Arial" w:eastAsiaTheme="minorHAnsi" w:hAnsi="Arial" w:cs="Arial"/>
          <w:bCs/>
          <w:sz w:val="22"/>
          <w:szCs w:val="22"/>
          <w:lang w:eastAsia="en-US"/>
        </w:rPr>
        <w:t>The sponsor had no comment.</w:t>
      </w:r>
    </w:p>
    <w:p w:rsidR="00810911" w:rsidRPr="00E34D7A" w:rsidRDefault="00810911" w:rsidP="00810911">
      <w:pPr>
        <w:rPr>
          <w:szCs w:val="22"/>
        </w:rPr>
      </w:pPr>
    </w:p>
    <w:sectPr w:rsidR="00810911" w:rsidRPr="00E34D7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39" w:rsidRDefault="00907139">
      <w:r>
        <w:separator/>
      </w:r>
    </w:p>
    <w:p w:rsidR="00907139" w:rsidRDefault="00907139"/>
  </w:endnote>
  <w:endnote w:type="continuationSeparator" w:id="0">
    <w:p w:rsidR="00907139" w:rsidRDefault="00907139">
      <w:r>
        <w:continuationSeparator/>
      </w:r>
    </w:p>
    <w:p w:rsidR="00907139" w:rsidRDefault="00907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7F3C" w:rsidTr="005A3173">
      <w:trPr>
        <w:trHeight w:val="151"/>
      </w:trPr>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7F3C" w:rsidRPr="005A3173" w:rsidRDefault="009B7F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r>
    <w:tr w:rsidR="009B7F3C" w:rsidTr="005A3173">
      <w:trPr>
        <w:trHeight w:val="150"/>
      </w:trPr>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0" w:type="auto"/>
          <w:vMerge/>
          <w:vAlign w:val="center"/>
          <w:hideMark/>
        </w:tcPr>
        <w:p w:rsidR="009B7F3C" w:rsidRPr="005A3173" w:rsidRDefault="009B7F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r>
  </w:tbl>
  <w:p w:rsidR="009B7F3C" w:rsidRDefault="009B7F3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F3C" w:rsidRDefault="009B7F3C">
    <w:pPr>
      <w:pStyle w:val="Footer"/>
    </w:pPr>
  </w:p>
  <w:p w:rsidR="009B7F3C" w:rsidRDefault="009B7F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1E5054" w:rsidRDefault="001E5054" w:rsidP="001E5054">
        <w:pPr>
          <w:pStyle w:val="Footer"/>
          <w:ind w:left="360"/>
          <w:jc w:val="center"/>
          <w:rPr>
            <w:rFonts w:ascii="Arial" w:hAnsi="Arial" w:cs="Arial"/>
            <w:noProof/>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392090">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B7F3C" w:rsidTr="005A3173">
      <w:trPr>
        <w:trHeight w:val="151"/>
      </w:trPr>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7F3C" w:rsidRPr="005A3173" w:rsidRDefault="009B7F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r>
    <w:tr w:rsidR="009B7F3C" w:rsidTr="005A3173">
      <w:trPr>
        <w:trHeight w:val="150"/>
      </w:trPr>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0" w:type="auto"/>
          <w:vMerge/>
          <w:vAlign w:val="center"/>
          <w:hideMark/>
        </w:tcPr>
        <w:p w:rsidR="009B7F3C" w:rsidRPr="005A3173" w:rsidRDefault="009B7F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7F3C" w:rsidTr="005A3173">
      <w:trPr>
        <w:trHeight w:val="151"/>
      </w:trPr>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7F3C" w:rsidRPr="005A3173" w:rsidRDefault="009B7F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7F3C" w:rsidRPr="005A3173" w:rsidRDefault="009B7F3C" w:rsidP="005A3173">
          <w:pPr>
            <w:pStyle w:val="Header"/>
            <w:spacing w:line="276" w:lineRule="auto"/>
            <w:rPr>
              <w:rFonts w:ascii="Calibri" w:eastAsia="MS Gothic" w:hAnsi="Calibri"/>
              <w:b/>
              <w:bCs/>
              <w:color w:val="4F81BD"/>
            </w:rPr>
          </w:pPr>
        </w:p>
      </w:tc>
    </w:tr>
    <w:tr w:rsidR="009B7F3C" w:rsidTr="005A3173">
      <w:trPr>
        <w:trHeight w:val="150"/>
      </w:trPr>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c>
        <w:tcPr>
          <w:tcW w:w="0" w:type="auto"/>
          <w:vMerge/>
          <w:vAlign w:val="center"/>
          <w:hideMark/>
        </w:tcPr>
        <w:p w:rsidR="009B7F3C" w:rsidRPr="005A3173" w:rsidRDefault="009B7F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7F3C" w:rsidRPr="005A3173" w:rsidRDefault="009B7F3C" w:rsidP="005A3173">
          <w:pPr>
            <w:pStyle w:val="Header"/>
            <w:spacing w:line="276" w:lineRule="auto"/>
            <w:rPr>
              <w:rFonts w:ascii="Calibri" w:eastAsia="MS Gothic" w:hAnsi="Calibri"/>
              <w:b/>
              <w:bCs/>
              <w:color w:val="4F81BD"/>
            </w:rPr>
          </w:pPr>
        </w:p>
      </w:tc>
    </w:tr>
  </w:tbl>
  <w:p w:rsidR="009B7F3C" w:rsidRPr="007C0F57" w:rsidRDefault="009B7F3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B7F3C" w:rsidRPr="007C0F57" w:rsidRDefault="009B7F3C" w:rsidP="007C0F57">
    <w:pPr>
      <w:pStyle w:val="Footer"/>
      <w:jc w:val="center"/>
      <w:rPr>
        <w:b/>
        <w:i/>
        <w:sz w:val="20"/>
        <w:szCs w:val="20"/>
      </w:rPr>
    </w:pPr>
    <w:r w:rsidRPr="007C0F57">
      <w:rPr>
        <w:b/>
        <w:i/>
        <w:sz w:val="20"/>
        <w:szCs w:val="20"/>
      </w:rPr>
      <w:t>Commercial-in-Confidence</w:t>
    </w:r>
  </w:p>
  <w:p w:rsidR="009B7F3C" w:rsidRDefault="009B7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39" w:rsidRDefault="00907139">
      <w:r>
        <w:separator/>
      </w:r>
    </w:p>
    <w:p w:rsidR="00907139" w:rsidRDefault="00907139"/>
  </w:footnote>
  <w:footnote w:type="continuationSeparator" w:id="0">
    <w:p w:rsidR="00907139" w:rsidRDefault="00907139">
      <w:r>
        <w:continuationSeparator/>
      </w:r>
    </w:p>
    <w:p w:rsidR="00907139" w:rsidRDefault="009071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B7F3C" w:rsidRPr="008E0D90" w:rsidTr="00A06225">
      <w:trPr>
        <w:trHeight w:val="151"/>
      </w:trPr>
      <w:tc>
        <w:tcPr>
          <w:tcW w:w="2389" w:type="pct"/>
          <w:tcBorders>
            <w:top w:val="nil"/>
            <w:left w:val="nil"/>
            <w:bottom w:val="single" w:sz="4" w:space="0" w:color="4F81BD"/>
            <w:right w:val="nil"/>
          </w:tcBorders>
        </w:tcPr>
        <w:p w:rsidR="009B7F3C" w:rsidRPr="00A06225" w:rsidRDefault="009B7F3C">
          <w:pPr>
            <w:pStyle w:val="Header"/>
            <w:spacing w:line="276" w:lineRule="auto"/>
            <w:rPr>
              <w:rFonts w:ascii="Cambria" w:eastAsia="MS Gothic" w:hAnsi="Cambria"/>
              <w:b/>
              <w:bCs/>
              <w:color w:val="4F81BD"/>
            </w:rPr>
          </w:pPr>
        </w:p>
      </w:tc>
      <w:tc>
        <w:tcPr>
          <w:tcW w:w="333" w:type="pct"/>
          <w:vMerge w:val="restart"/>
          <w:noWrap/>
          <w:vAlign w:val="center"/>
          <w:hideMark/>
        </w:tcPr>
        <w:p w:rsidR="009B7F3C" w:rsidRPr="00A06225" w:rsidRDefault="009B7F3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B7F3C" w:rsidRPr="00A06225" w:rsidRDefault="009B7F3C">
          <w:pPr>
            <w:pStyle w:val="Header"/>
            <w:spacing w:line="276" w:lineRule="auto"/>
            <w:rPr>
              <w:rFonts w:ascii="Cambria" w:eastAsia="MS Gothic" w:hAnsi="Cambria"/>
              <w:b/>
              <w:bCs/>
              <w:color w:val="4F81BD"/>
            </w:rPr>
          </w:pPr>
        </w:p>
      </w:tc>
    </w:tr>
    <w:tr w:rsidR="009B7F3C" w:rsidRPr="008E0D90" w:rsidTr="00A06225">
      <w:trPr>
        <w:trHeight w:val="150"/>
      </w:trPr>
      <w:tc>
        <w:tcPr>
          <w:tcW w:w="2389" w:type="pct"/>
          <w:tcBorders>
            <w:top w:val="single" w:sz="4" w:space="0" w:color="4F81BD"/>
            <w:left w:val="nil"/>
            <w:bottom w:val="nil"/>
            <w:right w:val="nil"/>
          </w:tcBorders>
        </w:tcPr>
        <w:p w:rsidR="009B7F3C" w:rsidRPr="00A06225" w:rsidRDefault="009B7F3C">
          <w:pPr>
            <w:pStyle w:val="Header"/>
            <w:spacing w:line="276" w:lineRule="auto"/>
            <w:rPr>
              <w:rFonts w:ascii="Cambria" w:eastAsia="MS Gothic" w:hAnsi="Cambria"/>
              <w:b/>
              <w:bCs/>
              <w:color w:val="4F81BD"/>
            </w:rPr>
          </w:pPr>
        </w:p>
      </w:tc>
      <w:tc>
        <w:tcPr>
          <w:tcW w:w="0" w:type="auto"/>
          <w:vMerge/>
          <w:vAlign w:val="center"/>
          <w:hideMark/>
        </w:tcPr>
        <w:p w:rsidR="009B7F3C" w:rsidRPr="00A06225" w:rsidRDefault="009B7F3C">
          <w:pPr>
            <w:rPr>
              <w:rFonts w:ascii="Cambria" w:hAnsi="Cambria"/>
              <w:color w:val="4F81BD"/>
              <w:sz w:val="22"/>
              <w:szCs w:val="22"/>
            </w:rPr>
          </w:pPr>
        </w:p>
      </w:tc>
      <w:tc>
        <w:tcPr>
          <w:tcW w:w="2278" w:type="pct"/>
          <w:tcBorders>
            <w:top w:val="single" w:sz="4" w:space="0" w:color="4F81BD"/>
            <w:left w:val="nil"/>
            <w:bottom w:val="nil"/>
            <w:right w:val="nil"/>
          </w:tcBorders>
        </w:tcPr>
        <w:p w:rsidR="009B7F3C" w:rsidRPr="00A06225" w:rsidRDefault="009B7F3C">
          <w:pPr>
            <w:pStyle w:val="Header"/>
            <w:spacing w:line="276" w:lineRule="auto"/>
            <w:rPr>
              <w:rFonts w:ascii="Cambria" w:eastAsia="MS Gothic" w:hAnsi="Cambria"/>
              <w:b/>
              <w:bCs/>
              <w:color w:val="4F81BD"/>
            </w:rPr>
          </w:pPr>
        </w:p>
      </w:tc>
    </w:tr>
  </w:tbl>
  <w:p w:rsidR="009B7F3C" w:rsidRDefault="009B7F3C">
    <w:pPr>
      <w:pStyle w:val="Header"/>
    </w:pPr>
  </w:p>
  <w:p w:rsidR="009B7F3C" w:rsidRDefault="009B7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3C" w:rsidRDefault="008865D7" w:rsidP="00C27B54">
    <w:pPr>
      <w:pStyle w:val="Header"/>
      <w:ind w:left="360"/>
      <w:jc w:val="center"/>
      <w:rPr>
        <w:rFonts w:ascii="Arial" w:hAnsi="Arial" w:cs="Arial"/>
        <w:i/>
        <w:color w:val="808080"/>
        <w:sz w:val="22"/>
      </w:rPr>
    </w:pPr>
    <w:r>
      <w:rPr>
        <w:rFonts w:ascii="Arial" w:hAnsi="Arial" w:cs="Arial"/>
        <w:i/>
        <w:color w:val="808080"/>
        <w:sz w:val="22"/>
      </w:rPr>
      <w:t>Public Summary Document</w:t>
    </w:r>
    <w:r w:rsidR="007A16BD">
      <w:rPr>
        <w:rFonts w:ascii="Arial" w:hAnsi="Arial" w:cs="Arial"/>
        <w:i/>
        <w:color w:val="808080"/>
        <w:sz w:val="22"/>
      </w:rPr>
      <w:t xml:space="preserve"> </w:t>
    </w:r>
    <w:r w:rsidR="001E5054" w:rsidRPr="00DF217D">
      <w:rPr>
        <w:rFonts w:ascii="Arial" w:hAnsi="Arial" w:cs="Arial"/>
        <w:i/>
        <w:color w:val="808080"/>
        <w:sz w:val="22"/>
      </w:rPr>
      <w:t xml:space="preserve">– </w:t>
    </w:r>
    <w:r w:rsidR="001E5054">
      <w:rPr>
        <w:rFonts w:ascii="Arial" w:hAnsi="Arial" w:cs="Arial"/>
        <w:i/>
        <w:color w:val="808080"/>
        <w:sz w:val="22"/>
      </w:rPr>
      <w:t xml:space="preserve">November 2016 </w:t>
    </w:r>
    <w:r w:rsidR="001E5054" w:rsidRPr="00DF217D">
      <w:rPr>
        <w:rFonts w:ascii="Arial" w:hAnsi="Arial" w:cs="Arial"/>
        <w:i/>
        <w:color w:val="808080"/>
        <w:sz w:val="22"/>
      </w:rPr>
      <w:t>PBAC</w:t>
    </w:r>
    <w:r w:rsidR="001E5054">
      <w:rPr>
        <w:rFonts w:ascii="Arial" w:hAnsi="Arial" w:cs="Arial"/>
        <w:i/>
        <w:color w:val="808080"/>
        <w:sz w:val="22"/>
      </w:rPr>
      <w:t xml:space="preserve"> </w:t>
    </w:r>
    <w:r w:rsidR="001E5054" w:rsidRPr="00DF217D">
      <w:rPr>
        <w:rFonts w:ascii="Arial" w:hAnsi="Arial" w:cs="Arial"/>
        <w:i/>
        <w:color w:val="808080"/>
        <w:sz w:val="22"/>
      </w:rPr>
      <w:t>Meeting</w:t>
    </w:r>
  </w:p>
  <w:p w:rsidR="00C27B54" w:rsidRPr="00C27B54" w:rsidRDefault="00C27B54" w:rsidP="00C27B54">
    <w:pPr>
      <w:pStyle w:val="Header"/>
      <w:ind w:left="360"/>
      <w:jc w:val="center"/>
      <w:rPr>
        <w:rFonts w:ascii="Arial" w:hAnsi="Arial"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54" w:rsidRDefault="00AF0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F7430CB"/>
    <w:multiLevelType w:val="hybridMultilevel"/>
    <w:tmpl w:val="25C8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020EF"/>
    <w:multiLevelType w:val="hybridMultilevel"/>
    <w:tmpl w:val="4A203DBE"/>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356CA7"/>
    <w:multiLevelType w:val="hybridMultilevel"/>
    <w:tmpl w:val="32F0A9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765609"/>
    <w:multiLevelType w:val="hybridMultilevel"/>
    <w:tmpl w:val="BF76BC66"/>
    <w:lvl w:ilvl="0" w:tplc="6F9C1102">
      <w:start w:val="1"/>
      <w:numFmt w:val="lowerLetter"/>
      <w:lvlText w:val="%1."/>
      <w:lvlJc w:val="left"/>
      <w:pPr>
        <w:ind w:left="1080" w:hanging="720"/>
      </w:pPr>
      <w:rPr>
        <w:rFonts w:hint="default"/>
      </w:rPr>
    </w:lvl>
    <w:lvl w:ilvl="1" w:tplc="4EE63E6C">
      <w:start w:val="2"/>
      <w:numFmt w:val="bullet"/>
      <w:lvlText w:val="•"/>
      <w:lvlJc w:val="left"/>
      <w:pPr>
        <w:ind w:left="1815" w:hanging="735"/>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4D033C"/>
    <w:multiLevelType w:val="multilevel"/>
    <w:tmpl w:val="D1C4E2A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B0C4658"/>
    <w:multiLevelType w:val="hybridMultilevel"/>
    <w:tmpl w:val="D91A58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7"/>
  </w:num>
  <w:num w:numId="5">
    <w:abstractNumId w:val="20"/>
  </w:num>
  <w:num w:numId="6">
    <w:abstractNumId w:val="7"/>
  </w:num>
  <w:num w:numId="7">
    <w:abstractNumId w:val="15"/>
  </w:num>
  <w:num w:numId="8">
    <w:abstractNumId w:val="4"/>
  </w:num>
  <w:num w:numId="9">
    <w:abstractNumId w:val="14"/>
  </w:num>
  <w:num w:numId="10">
    <w:abstractNumId w:val="12"/>
  </w:num>
  <w:num w:numId="11">
    <w:abstractNumId w:val="10"/>
  </w:num>
  <w:num w:numId="12">
    <w:abstractNumId w:val="1"/>
  </w:num>
  <w:num w:numId="13">
    <w:abstractNumId w:val="0"/>
  </w:num>
  <w:num w:numId="14">
    <w:abstractNumId w:val="20"/>
  </w:num>
  <w:num w:numId="15">
    <w:abstractNumId w:val="21"/>
  </w:num>
  <w:num w:numId="16">
    <w:abstractNumId w:val="19"/>
  </w:num>
  <w:num w:numId="17">
    <w:abstractNumId w:val="13"/>
  </w:num>
  <w:num w:numId="18">
    <w:abstractNumId w:val="16"/>
  </w:num>
  <w:num w:numId="19">
    <w:abstractNumId w:val="20"/>
  </w:num>
  <w:num w:numId="20">
    <w:abstractNumId w:val="18"/>
  </w:num>
  <w:num w:numId="21">
    <w:abstractNumId w:val="5"/>
  </w:num>
  <w:num w:numId="22">
    <w:abstractNumId w:val="2"/>
  </w:num>
  <w:num w:numId="23">
    <w:abstractNumId w:val="9"/>
  </w:num>
  <w:num w:numId="24">
    <w:abstractNumId w:val="20"/>
  </w:num>
  <w:num w:numId="25">
    <w:abstractNumId w:val="20"/>
  </w:num>
  <w:num w:numId="26">
    <w:abstractNumId w:val="11"/>
  </w:num>
  <w:num w:numId="27">
    <w:abstractNumId w:val="20"/>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213"/>
    <w:rsid w:val="000025AD"/>
    <w:rsid w:val="000044F4"/>
    <w:rsid w:val="00013F26"/>
    <w:rsid w:val="000147C7"/>
    <w:rsid w:val="0002464A"/>
    <w:rsid w:val="0003106B"/>
    <w:rsid w:val="00032B8A"/>
    <w:rsid w:val="000421A1"/>
    <w:rsid w:val="0004240E"/>
    <w:rsid w:val="0004447A"/>
    <w:rsid w:val="00045E26"/>
    <w:rsid w:val="000514B5"/>
    <w:rsid w:val="00060E64"/>
    <w:rsid w:val="00066755"/>
    <w:rsid w:val="00077143"/>
    <w:rsid w:val="00084DCD"/>
    <w:rsid w:val="0009381E"/>
    <w:rsid w:val="0009438E"/>
    <w:rsid w:val="000969AD"/>
    <w:rsid w:val="000B27FE"/>
    <w:rsid w:val="000B3A91"/>
    <w:rsid w:val="000B4E54"/>
    <w:rsid w:val="000B558D"/>
    <w:rsid w:val="000B5CD2"/>
    <w:rsid w:val="000C3EDB"/>
    <w:rsid w:val="000C6996"/>
    <w:rsid w:val="000D23BA"/>
    <w:rsid w:val="000E2EE5"/>
    <w:rsid w:val="000E681E"/>
    <w:rsid w:val="000F1399"/>
    <w:rsid w:val="000F2769"/>
    <w:rsid w:val="000F467C"/>
    <w:rsid w:val="000F4E6A"/>
    <w:rsid w:val="000F7A49"/>
    <w:rsid w:val="00105CF0"/>
    <w:rsid w:val="001107BF"/>
    <w:rsid w:val="00124077"/>
    <w:rsid w:val="0012417C"/>
    <w:rsid w:val="0014185F"/>
    <w:rsid w:val="00142395"/>
    <w:rsid w:val="00142714"/>
    <w:rsid w:val="001452ED"/>
    <w:rsid w:val="00154FB3"/>
    <w:rsid w:val="001602C0"/>
    <w:rsid w:val="00161202"/>
    <w:rsid w:val="001766DD"/>
    <w:rsid w:val="001830CE"/>
    <w:rsid w:val="00184ADD"/>
    <w:rsid w:val="0018643B"/>
    <w:rsid w:val="001931E7"/>
    <w:rsid w:val="00194DEC"/>
    <w:rsid w:val="00196307"/>
    <w:rsid w:val="00197C06"/>
    <w:rsid w:val="001B017F"/>
    <w:rsid w:val="001B034A"/>
    <w:rsid w:val="001B385C"/>
    <w:rsid w:val="001B5129"/>
    <w:rsid w:val="001B58B1"/>
    <w:rsid w:val="001C1195"/>
    <w:rsid w:val="001C1C69"/>
    <w:rsid w:val="001C5240"/>
    <w:rsid w:val="001E5054"/>
    <w:rsid w:val="002032E7"/>
    <w:rsid w:val="0020381E"/>
    <w:rsid w:val="00206C9F"/>
    <w:rsid w:val="00213CFB"/>
    <w:rsid w:val="002200F6"/>
    <w:rsid w:val="0022103D"/>
    <w:rsid w:val="00233DD5"/>
    <w:rsid w:val="00234BF1"/>
    <w:rsid w:val="00243AD0"/>
    <w:rsid w:val="002458D7"/>
    <w:rsid w:val="0024604B"/>
    <w:rsid w:val="002503DB"/>
    <w:rsid w:val="00271BA1"/>
    <w:rsid w:val="00277505"/>
    <w:rsid w:val="002805E5"/>
    <w:rsid w:val="0028696B"/>
    <w:rsid w:val="0029458F"/>
    <w:rsid w:val="002A104C"/>
    <w:rsid w:val="002A4960"/>
    <w:rsid w:val="002B1AE6"/>
    <w:rsid w:val="002B30F8"/>
    <w:rsid w:val="002B3F80"/>
    <w:rsid w:val="002C212F"/>
    <w:rsid w:val="002D7F1C"/>
    <w:rsid w:val="002E2D96"/>
    <w:rsid w:val="002E3153"/>
    <w:rsid w:val="002E4403"/>
    <w:rsid w:val="002E72CA"/>
    <w:rsid w:val="002F150A"/>
    <w:rsid w:val="002F4D7F"/>
    <w:rsid w:val="002F7417"/>
    <w:rsid w:val="00300AD6"/>
    <w:rsid w:val="003017B3"/>
    <w:rsid w:val="00301B6A"/>
    <w:rsid w:val="00302139"/>
    <w:rsid w:val="003027EA"/>
    <w:rsid w:val="00305E02"/>
    <w:rsid w:val="00315DAF"/>
    <w:rsid w:val="00317ED1"/>
    <w:rsid w:val="00326E79"/>
    <w:rsid w:val="003367EF"/>
    <w:rsid w:val="00341AE4"/>
    <w:rsid w:val="00362013"/>
    <w:rsid w:val="003652D9"/>
    <w:rsid w:val="003655EB"/>
    <w:rsid w:val="00372142"/>
    <w:rsid w:val="003726A0"/>
    <w:rsid w:val="0037675E"/>
    <w:rsid w:val="003768A1"/>
    <w:rsid w:val="003872CF"/>
    <w:rsid w:val="00391003"/>
    <w:rsid w:val="00392090"/>
    <w:rsid w:val="00394E3D"/>
    <w:rsid w:val="00395233"/>
    <w:rsid w:val="0039782C"/>
    <w:rsid w:val="003A5B4A"/>
    <w:rsid w:val="003A6D54"/>
    <w:rsid w:val="003B23C5"/>
    <w:rsid w:val="003B2A75"/>
    <w:rsid w:val="003B533E"/>
    <w:rsid w:val="003B61C3"/>
    <w:rsid w:val="003C28F8"/>
    <w:rsid w:val="003C6440"/>
    <w:rsid w:val="003D4AC4"/>
    <w:rsid w:val="003D63B7"/>
    <w:rsid w:val="003E006A"/>
    <w:rsid w:val="003E35C8"/>
    <w:rsid w:val="003E468B"/>
    <w:rsid w:val="003F2D09"/>
    <w:rsid w:val="003F5C8C"/>
    <w:rsid w:val="00405BAC"/>
    <w:rsid w:val="00406578"/>
    <w:rsid w:val="00411871"/>
    <w:rsid w:val="004129F5"/>
    <w:rsid w:val="00420B3B"/>
    <w:rsid w:val="00426D69"/>
    <w:rsid w:val="0043724C"/>
    <w:rsid w:val="0044385D"/>
    <w:rsid w:val="004465BD"/>
    <w:rsid w:val="00447689"/>
    <w:rsid w:val="00454D35"/>
    <w:rsid w:val="00455E20"/>
    <w:rsid w:val="00457A20"/>
    <w:rsid w:val="00463A5E"/>
    <w:rsid w:val="00465F62"/>
    <w:rsid w:val="00466ADA"/>
    <w:rsid w:val="00470FCF"/>
    <w:rsid w:val="00476245"/>
    <w:rsid w:val="00481D8F"/>
    <w:rsid w:val="00485940"/>
    <w:rsid w:val="00487E8E"/>
    <w:rsid w:val="004966A1"/>
    <w:rsid w:val="004A2484"/>
    <w:rsid w:val="004A5A85"/>
    <w:rsid w:val="004B092B"/>
    <w:rsid w:val="004B5640"/>
    <w:rsid w:val="004C1BD7"/>
    <w:rsid w:val="004C691D"/>
    <w:rsid w:val="004D3874"/>
    <w:rsid w:val="004E692D"/>
    <w:rsid w:val="004F3027"/>
    <w:rsid w:val="004F5F15"/>
    <w:rsid w:val="00501554"/>
    <w:rsid w:val="00513A7D"/>
    <w:rsid w:val="00514CD7"/>
    <w:rsid w:val="00520610"/>
    <w:rsid w:val="005319B2"/>
    <w:rsid w:val="00532C74"/>
    <w:rsid w:val="00534E2E"/>
    <w:rsid w:val="005354CE"/>
    <w:rsid w:val="00537787"/>
    <w:rsid w:val="00544552"/>
    <w:rsid w:val="0054559F"/>
    <w:rsid w:val="00546FC8"/>
    <w:rsid w:val="00552364"/>
    <w:rsid w:val="00553D2F"/>
    <w:rsid w:val="00561654"/>
    <w:rsid w:val="005641DA"/>
    <w:rsid w:val="005714C9"/>
    <w:rsid w:val="00572F83"/>
    <w:rsid w:val="00581932"/>
    <w:rsid w:val="005839C0"/>
    <w:rsid w:val="0058589B"/>
    <w:rsid w:val="00586518"/>
    <w:rsid w:val="00586D0B"/>
    <w:rsid w:val="00586FA6"/>
    <w:rsid w:val="00593A6F"/>
    <w:rsid w:val="00594F28"/>
    <w:rsid w:val="00595919"/>
    <w:rsid w:val="005963AB"/>
    <w:rsid w:val="005963BB"/>
    <w:rsid w:val="005A0834"/>
    <w:rsid w:val="005A3173"/>
    <w:rsid w:val="005A3223"/>
    <w:rsid w:val="005A3DA3"/>
    <w:rsid w:val="005A52C4"/>
    <w:rsid w:val="005B24E7"/>
    <w:rsid w:val="005B47B1"/>
    <w:rsid w:val="005D03AB"/>
    <w:rsid w:val="005D39A0"/>
    <w:rsid w:val="005D3F72"/>
    <w:rsid w:val="005D4846"/>
    <w:rsid w:val="005D5017"/>
    <w:rsid w:val="005D56B5"/>
    <w:rsid w:val="005E59D6"/>
    <w:rsid w:val="005E644E"/>
    <w:rsid w:val="005E795E"/>
    <w:rsid w:val="005F076A"/>
    <w:rsid w:val="005F1AD2"/>
    <w:rsid w:val="005F2B92"/>
    <w:rsid w:val="005F3B31"/>
    <w:rsid w:val="005F6C62"/>
    <w:rsid w:val="00601A91"/>
    <w:rsid w:val="00602BA3"/>
    <w:rsid w:val="00607430"/>
    <w:rsid w:val="00614159"/>
    <w:rsid w:val="00617C00"/>
    <w:rsid w:val="006263BF"/>
    <w:rsid w:val="006271EC"/>
    <w:rsid w:val="0062748A"/>
    <w:rsid w:val="00630A2C"/>
    <w:rsid w:val="00631157"/>
    <w:rsid w:val="006330AE"/>
    <w:rsid w:val="00651169"/>
    <w:rsid w:val="00653D69"/>
    <w:rsid w:val="006548B8"/>
    <w:rsid w:val="00654A5C"/>
    <w:rsid w:val="006622D4"/>
    <w:rsid w:val="00670A76"/>
    <w:rsid w:val="006711AA"/>
    <w:rsid w:val="006719F6"/>
    <w:rsid w:val="00672B57"/>
    <w:rsid w:val="00675622"/>
    <w:rsid w:val="006804E3"/>
    <w:rsid w:val="006838A1"/>
    <w:rsid w:val="006838E0"/>
    <w:rsid w:val="006871DB"/>
    <w:rsid w:val="006906A9"/>
    <w:rsid w:val="006906DB"/>
    <w:rsid w:val="00690AB8"/>
    <w:rsid w:val="0069309F"/>
    <w:rsid w:val="00693768"/>
    <w:rsid w:val="006A12A5"/>
    <w:rsid w:val="006A5BF1"/>
    <w:rsid w:val="006B0D94"/>
    <w:rsid w:val="006B485D"/>
    <w:rsid w:val="006C08C4"/>
    <w:rsid w:val="006C143D"/>
    <w:rsid w:val="006C708E"/>
    <w:rsid w:val="006C7A19"/>
    <w:rsid w:val="006D04D1"/>
    <w:rsid w:val="006D1B2F"/>
    <w:rsid w:val="006D6EC7"/>
    <w:rsid w:val="006E4CEC"/>
    <w:rsid w:val="006E6260"/>
    <w:rsid w:val="006E7101"/>
    <w:rsid w:val="006F1B1A"/>
    <w:rsid w:val="006F22CA"/>
    <w:rsid w:val="006F5125"/>
    <w:rsid w:val="00712FB8"/>
    <w:rsid w:val="007174BB"/>
    <w:rsid w:val="00724CA0"/>
    <w:rsid w:val="007355A3"/>
    <w:rsid w:val="007529F5"/>
    <w:rsid w:val="00763E26"/>
    <w:rsid w:val="0076420C"/>
    <w:rsid w:val="0077171B"/>
    <w:rsid w:val="007747C6"/>
    <w:rsid w:val="007753C2"/>
    <w:rsid w:val="007838B8"/>
    <w:rsid w:val="00784CAA"/>
    <w:rsid w:val="007863D8"/>
    <w:rsid w:val="007936EA"/>
    <w:rsid w:val="007A16BD"/>
    <w:rsid w:val="007A26A6"/>
    <w:rsid w:val="007A2FC9"/>
    <w:rsid w:val="007B189F"/>
    <w:rsid w:val="007B256C"/>
    <w:rsid w:val="007B5048"/>
    <w:rsid w:val="007C0F57"/>
    <w:rsid w:val="007C40B6"/>
    <w:rsid w:val="007C729F"/>
    <w:rsid w:val="007D61D8"/>
    <w:rsid w:val="007E1D28"/>
    <w:rsid w:val="007E28B4"/>
    <w:rsid w:val="007E6F44"/>
    <w:rsid w:val="007F155C"/>
    <w:rsid w:val="007F2641"/>
    <w:rsid w:val="007F56FE"/>
    <w:rsid w:val="007F7C36"/>
    <w:rsid w:val="00806796"/>
    <w:rsid w:val="00810345"/>
    <w:rsid w:val="00810911"/>
    <w:rsid w:val="0081503C"/>
    <w:rsid w:val="008151D6"/>
    <w:rsid w:val="00816B18"/>
    <w:rsid w:val="00823F00"/>
    <w:rsid w:val="00826F6D"/>
    <w:rsid w:val="00837361"/>
    <w:rsid w:val="008378AA"/>
    <w:rsid w:val="00856DDD"/>
    <w:rsid w:val="00863E68"/>
    <w:rsid w:val="00881FA6"/>
    <w:rsid w:val="00882085"/>
    <w:rsid w:val="00882E12"/>
    <w:rsid w:val="00883188"/>
    <w:rsid w:val="008865D7"/>
    <w:rsid w:val="00893074"/>
    <w:rsid w:val="0089736F"/>
    <w:rsid w:val="00897D58"/>
    <w:rsid w:val="008A1956"/>
    <w:rsid w:val="008A1C28"/>
    <w:rsid w:val="008A4937"/>
    <w:rsid w:val="008A50F1"/>
    <w:rsid w:val="008B2716"/>
    <w:rsid w:val="008B4407"/>
    <w:rsid w:val="008C1DC8"/>
    <w:rsid w:val="008D1B5C"/>
    <w:rsid w:val="008D3C82"/>
    <w:rsid w:val="008D447E"/>
    <w:rsid w:val="008D79AE"/>
    <w:rsid w:val="008D7A41"/>
    <w:rsid w:val="008E0520"/>
    <w:rsid w:val="008E3680"/>
    <w:rsid w:val="008E5870"/>
    <w:rsid w:val="008E6750"/>
    <w:rsid w:val="008E6E0C"/>
    <w:rsid w:val="008F1434"/>
    <w:rsid w:val="008F4992"/>
    <w:rsid w:val="008F7355"/>
    <w:rsid w:val="00906761"/>
    <w:rsid w:val="009067B7"/>
    <w:rsid w:val="00907139"/>
    <w:rsid w:val="0091071D"/>
    <w:rsid w:val="00920144"/>
    <w:rsid w:val="00927C81"/>
    <w:rsid w:val="00930937"/>
    <w:rsid w:val="00931D8A"/>
    <w:rsid w:val="00932887"/>
    <w:rsid w:val="00933E6C"/>
    <w:rsid w:val="00940786"/>
    <w:rsid w:val="00942160"/>
    <w:rsid w:val="00945D59"/>
    <w:rsid w:val="00945DFF"/>
    <w:rsid w:val="0094743F"/>
    <w:rsid w:val="00947F78"/>
    <w:rsid w:val="009504DF"/>
    <w:rsid w:val="0095146F"/>
    <w:rsid w:val="00953A3A"/>
    <w:rsid w:val="0095646C"/>
    <w:rsid w:val="009564B2"/>
    <w:rsid w:val="009602C5"/>
    <w:rsid w:val="00962223"/>
    <w:rsid w:val="00962E72"/>
    <w:rsid w:val="00970E19"/>
    <w:rsid w:val="00974C21"/>
    <w:rsid w:val="00984DCE"/>
    <w:rsid w:val="0099187E"/>
    <w:rsid w:val="009929C0"/>
    <w:rsid w:val="00993157"/>
    <w:rsid w:val="009A521F"/>
    <w:rsid w:val="009B0F31"/>
    <w:rsid w:val="009B0F67"/>
    <w:rsid w:val="009B6915"/>
    <w:rsid w:val="009B7F3C"/>
    <w:rsid w:val="009C703C"/>
    <w:rsid w:val="009C7E47"/>
    <w:rsid w:val="009D3CAA"/>
    <w:rsid w:val="009E113F"/>
    <w:rsid w:val="009F4E46"/>
    <w:rsid w:val="009F5B65"/>
    <w:rsid w:val="009F5F2E"/>
    <w:rsid w:val="009F61EF"/>
    <w:rsid w:val="00A06225"/>
    <w:rsid w:val="00A11857"/>
    <w:rsid w:val="00A128E6"/>
    <w:rsid w:val="00A152AF"/>
    <w:rsid w:val="00A23990"/>
    <w:rsid w:val="00A37C8D"/>
    <w:rsid w:val="00A5273B"/>
    <w:rsid w:val="00A5309C"/>
    <w:rsid w:val="00A53A9D"/>
    <w:rsid w:val="00A55FEE"/>
    <w:rsid w:val="00A62C1A"/>
    <w:rsid w:val="00A63C29"/>
    <w:rsid w:val="00A6426D"/>
    <w:rsid w:val="00A70622"/>
    <w:rsid w:val="00A70977"/>
    <w:rsid w:val="00A73D02"/>
    <w:rsid w:val="00A76253"/>
    <w:rsid w:val="00A77613"/>
    <w:rsid w:val="00A831E8"/>
    <w:rsid w:val="00A8390C"/>
    <w:rsid w:val="00A928BD"/>
    <w:rsid w:val="00A94B5D"/>
    <w:rsid w:val="00AA4D1C"/>
    <w:rsid w:val="00AA66BA"/>
    <w:rsid w:val="00AB704C"/>
    <w:rsid w:val="00AC193C"/>
    <w:rsid w:val="00AC29E2"/>
    <w:rsid w:val="00AC2FA7"/>
    <w:rsid w:val="00AC5206"/>
    <w:rsid w:val="00AC6DB7"/>
    <w:rsid w:val="00AC7A07"/>
    <w:rsid w:val="00AE1197"/>
    <w:rsid w:val="00AE11A5"/>
    <w:rsid w:val="00AE13E2"/>
    <w:rsid w:val="00AF0154"/>
    <w:rsid w:val="00AF1E89"/>
    <w:rsid w:val="00AF68CC"/>
    <w:rsid w:val="00B1059E"/>
    <w:rsid w:val="00B1418D"/>
    <w:rsid w:val="00B17309"/>
    <w:rsid w:val="00B205AA"/>
    <w:rsid w:val="00B22E84"/>
    <w:rsid w:val="00B25F75"/>
    <w:rsid w:val="00B269D2"/>
    <w:rsid w:val="00B409E7"/>
    <w:rsid w:val="00B40EEF"/>
    <w:rsid w:val="00B43E90"/>
    <w:rsid w:val="00B467DC"/>
    <w:rsid w:val="00B51116"/>
    <w:rsid w:val="00B549D4"/>
    <w:rsid w:val="00B56118"/>
    <w:rsid w:val="00B6075F"/>
    <w:rsid w:val="00B6773F"/>
    <w:rsid w:val="00B71C73"/>
    <w:rsid w:val="00B75D2A"/>
    <w:rsid w:val="00B75DC6"/>
    <w:rsid w:val="00B801BA"/>
    <w:rsid w:val="00B84A87"/>
    <w:rsid w:val="00B941B4"/>
    <w:rsid w:val="00B94AFA"/>
    <w:rsid w:val="00BB3998"/>
    <w:rsid w:val="00BB69F5"/>
    <w:rsid w:val="00BB7EC3"/>
    <w:rsid w:val="00BC3769"/>
    <w:rsid w:val="00BC4B9A"/>
    <w:rsid w:val="00BC7968"/>
    <w:rsid w:val="00BD205D"/>
    <w:rsid w:val="00BD2F42"/>
    <w:rsid w:val="00BD784C"/>
    <w:rsid w:val="00BE393E"/>
    <w:rsid w:val="00BE7ED7"/>
    <w:rsid w:val="00BF030A"/>
    <w:rsid w:val="00BF27C6"/>
    <w:rsid w:val="00BF3F5F"/>
    <w:rsid w:val="00BF4CB6"/>
    <w:rsid w:val="00BF7EA5"/>
    <w:rsid w:val="00C00DA7"/>
    <w:rsid w:val="00C05D89"/>
    <w:rsid w:val="00C06EF6"/>
    <w:rsid w:val="00C0711A"/>
    <w:rsid w:val="00C11CAE"/>
    <w:rsid w:val="00C12768"/>
    <w:rsid w:val="00C17D12"/>
    <w:rsid w:val="00C20BCF"/>
    <w:rsid w:val="00C25073"/>
    <w:rsid w:val="00C25CB6"/>
    <w:rsid w:val="00C27B54"/>
    <w:rsid w:val="00C27B58"/>
    <w:rsid w:val="00C35996"/>
    <w:rsid w:val="00C43815"/>
    <w:rsid w:val="00C47DE1"/>
    <w:rsid w:val="00C5342C"/>
    <w:rsid w:val="00C56AAD"/>
    <w:rsid w:val="00C603D4"/>
    <w:rsid w:val="00C616E1"/>
    <w:rsid w:val="00C6256A"/>
    <w:rsid w:val="00C64AE1"/>
    <w:rsid w:val="00C73B53"/>
    <w:rsid w:val="00C837CE"/>
    <w:rsid w:val="00C83808"/>
    <w:rsid w:val="00C91449"/>
    <w:rsid w:val="00C91BD6"/>
    <w:rsid w:val="00C92D10"/>
    <w:rsid w:val="00C94A5A"/>
    <w:rsid w:val="00CB2947"/>
    <w:rsid w:val="00CB7A60"/>
    <w:rsid w:val="00CC0675"/>
    <w:rsid w:val="00CC4DE9"/>
    <w:rsid w:val="00CE10C4"/>
    <w:rsid w:val="00CE27B5"/>
    <w:rsid w:val="00CE3EE8"/>
    <w:rsid w:val="00CF1AC1"/>
    <w:rsid w:val="00CF1F7D"/>
    <w:rsid w:val="00CF775F"/>
    <w:rsid w:val="00D0321E"/>
    <w:rsid w:val="00D05E75"/>
    <w:rsid w:val="00D102F2"/>
    <w:rsid w:val="00D10621"/>
    <w:rsid w:val="00D1455A"/>
    <w:rsid w:val="00D21B76"/>
    <w:rsid w:val="00D3138B"/>
    <w:rsid w:val="00D3280C"/>
    <w:rsid w:val="00D3406A"/>
    <w:rsid w:val="00D469B2"/>
    <w:rsid w:val="00D55770"/>
    <w:rsid w:val="00D659AA"/>
    <w:rsid w:val="00D66E8D"/>
    <w:rsid w:val="00D7190B"/>
    <w:rsid w:val="00D741EB"/>
    <w:rsid w:val="00D77CDB"/>
    <w:rsid w:val="00D84934"/>
    <w:rsid w:val="00D85262"/>
    <w:rsid w:val="00D86D06"/>
    <w:rsid w:val="00D91271"/>
    <w:rsid w:val="00D93FD3"/>
    <w:rsid w:val="00D97AD3"/>
    <w:rsid w:val="00DA2CB5"/>
    <w:rsid w:val="00DA4BAC"/>
    <w:rsid w:val="00DA5DFC"/>
    <w:rsid w:val="00DD2308"/>
    <w:rsid w:val="00DD4FD0"/>
    <w:rsid w:val="00DE0911"/>
    <w:rsid w:val="00DE36FC"/>
    <w:rsid w:val="00DE6706"/>
    <w:rsid w:val="00DE6D27"/>
    <w:rsid w:val="00DF217D"/>
    <w:rsid w:val="00DF26A7"/>
    <w:rsid w:val="00E028F5"/>
    <w:rsid w:val="00E15627"/>
    <w:rsid w:val="00E164B3"/>
    <w:rsid w:val="00E16910"/>
    <w:rsid w:val="00E2003F"/>
    <w:rsid w:val="00E21B1F"/>
    <w:rsid w:val="00E30067"/>
    <w:rsid w:val="00E34D7A"/>
    <w:rsid w:val="00E369F6"/>
    <w:rsid w:val="00E40FB2"/>
    <w:rsid w:val="00E46CBE"/>
    <w:rsid w:val="00E47FA6"/>
    <w:rsid w:val="00E50E42"/>
    <w:rsid w:val="00E52DE7"/>
    <w:rsid w:val="00E647EA"/>
    <w:rsid w:val="00E65E54"/>
    <w:rsid w:val="00E75040"/>
    <w:rsid w:val="00E80155"/>
    <w:rsid w:val="00E82A2B"/>
    <w:rsid w:val="00E848C0"/>
    <w:rsid w:val="00E85CD2"/>
    <w:rsid w:val="00E90C43"/>
    <w:rsid w:val="00E91B96"/>
    <w:rsid w:val="00E941A1"/>
    <w:rsid w:val="00E95CE3"/>
    <w:rsid w:val="00E972BD"/>
    <w:rsid w:val="00E97A70"/>
    <w:rsid w:val="00EA2825"/>
    <w:rsid w:val="00EB5088"/>
    <w:rsid w:val="00EC244F"/>
    <w:rsid w:val="00EC266E"/>
    <w:rsid w:val="00EC6D9B"/>
    <w:rsid w:val="00ED1644"/>
    <w:rsid w:val="00ED2593"/>
    <w:rsid w:val="00ED3697"/>
    <w:rsid w:val="00ED37AD"/>
    <w:rsid w:val="00ED5422"/>
    <w:rsid w:val="00ED6FF9"/>
    <w:rsid w:val="00EE11D1"/>
    <w:rsid w:val="00EE6C54"/>
    <w:rsid w:val="00EF44A0"/>
    <w:rsid w:val="00EF4FED"/>
    <w:rsid w:val="00EF6E5A"/>
    <w:rsid w:val="00F0018E"/>
    <w:rsid w:val="00F036F1"/>
    <w:rsid w:val="00F050BD"/>
    <w:rsid w:val="00F05657"/>
    <w:rsid w:val="00F0599D"/>
    <w:rsid w:val="00F25578"/>
    <w:rsid w:val="00F258E5"/>
    <w:rsid w:val="00F300BC"/>
    <w:rsid w:val="00F3334E"/>
    <w:rsid w:val="00F43287"/>
    <w:rsid w:val="00F50EC4"/>
    <w:rsid w:val="00F57A6D"/>
    <w:rsid w:val="00F62423"/>
    <w:rsid w:val="00F638CC"/>
    <w:rsid w:val="00F64CC1"/>
    <w:rsid w:val="00F7003F"/>
    <w:rsid w:val="00F8247A"/>
    <w:rsid w:val="00F931E0"/>
    <w:rsid w:val="00F95795"/>
    <w:rsid w:val="00F9602F"/>
    <w:rsid w:val="00F9629A"/>
    <w:rsid w:val="00F96943"/>
    <w:rsid w:val="00FA085D"/>
    <w:rsid w:val="00FA5883"/>
    <w:rsid w:val="00FA6055"/>
    <w:rsid w:val="00FA6171"/>
    <w:rsid w:val="00FB10D5"/>
    <w:rsid w:val="00FB322F"/>
    <w:rsid w:val="00FB442F"/>
    <w:rsid w:val="00FB760B"/>
    <w:rsid w:val="00FC1929"/>
    <w:rsid w:val="00FC5B46"/>
    <w:rsid w:val="00FD01A1"/>
    <w:rsid w:val="00FE0E94"/>
    <w:rsid w:val="00FE2A3D"/>
    <w:rsid w:val="00FE5566"/>
    <w:rsid w:val="00FF00BD"/>
    <w:rsid w:val="00FF1ED4"/>
    <w:rsid w:val="00FF2801"/>
    <w:rsid w:val="00FF31F1"/>
    <w:rsid w:val="00FF43F5"/>
    <w:rsid w:val="00FF6E75"/>
    <w:rsid w:val="00FF7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COMtbl-textCentred">
    <w:name w:val="COMtbl-text Centred"/>
    <w:basedOn w:val="Normal"/>
    <w:qFormat/>
    <w:rsid w:val="00EC6D9B"/>
    <w:pPr>
      <w:widowControl w:val="0"/>
      <w:tabs>
        <w:tab w:val="left" w:pos="720"/>
      </w:tabs>
      <w:jc w:val="center"/>
    </w:pPr>
    <w:rPr>
      <w:rFonts w:ascii="Arial Narrow" w:hAnsi="Arial Narrow" w:cs="Arial"/>
      <w:snapToGrid w:val="0"/>
      <w:sz w:val="20"/>
      <w:szCs w:val="20"/>
      <w:lang w:eastAsia="en-US"/>
    </w:rPr>
  </w:style>
  <w:style w:type="paragraph" w:styleId="Revision">
    <w:name w:val="Revision"/>
    <w:hidden/>
    <w:uiPriority w:val="71"/>
    <w:rsid w:val="00F969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COMtbl-textCentred">
    <w:name w:val="COMtbl-text Centred"/>
    <w:basedOn w:val="Normal"/>
    <w:qFormat/>
    <w:rsid w:val="00EC6D9B"/>
    <w:pPr>
      <w:widowControl w:val="0"/>
      <w:tabs>
        <w:tab w:val="left" w:pos="720"/>
      </w:tabs>
      <w:jc w:val="center"/>
    </w:pPr>
    <w:rPr>
      <w:rFonts w:ascii="Arial Narrow" w:hAnsi="Arial Narrow" w:cs="Arial"/>
      <w:snapToGrid w:val="0"/>
      <w:sz w:val="20"/>
      <w:szCs w:val="20"/>
      <w:lang w:eastAsia="en-US"/>
    </w:rPr>
  </w:style>
  <w:style w:type="paragraph" w:styleId="Revision">
    <w:name w:val="Revision"/>
    <w:hidden/>
    <w:uiPriority w:val="71"/>
    <w:rsid w:val="00F96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88BF-F2B6-4CDF-A00D-88F4070D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2784</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2017-02-06T01:02:00Z</dcterms:created>
  <dcterms:modified xsi:type="dcterms:W3CDTF">2017-02-17T04:24:00Z</dcterms:modified>
</cp:coreProperties>
</file>