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F43" w:rsidRPr="00127F43" w:rsidRDefault="00504C22" w:rsidP="00043B55">
      <w:pPr>
        <w:pStyle w:val="Title"/>
        <w:ind w:left="720" w:hanging="720"/>
        <w:rPr>
          <w:szCs w:val="28"/>
        </w:rPr>
      </w:pPr>
      <w:bookmarkStart w:id="0" w:name="_GoBack"/>
      <w:bookmarkEnd w:id="0"/>
      <w:r>
        <w:rPr>
          <w:szCs w:val="28"/>
        </w:rPr>
        <w:t>7.15</w:t>
      </w:r>
      <w:r w:rsidR="007C0F57" w:rsidRPr="006D6EC7">
        <w:rPr>
          <w:szCs w:val="28"/>
        </w:rPr>
        <w:tab/>
      </w:r>
      <w:r w:rsidR="00E3036A">
        <w:rPr>
          <w:szCs w:val="28"/>
        </w:rPr>
        <w:t xml:space="preserve">HIGHLY PURIFIED </w:t>
      </w:r>
      <w:r w:rsidR="001259A2">
        <w:rPr>
          <w:szCs w:val="28"/>
        </w:rPr>
        <w:t>HUMAN MENOPAUSAL GONADOTROPHIN</w:t>
      </w:r>
      <w:proofErr w:type="gramStart"/>
      <w:r w:rsidR="001259A2">
        <w:rPr>
          <w:szCs w:val="28"/>
        </w:rPr>
        <w:t>,</w:t>
      </w:r>
      <w:proofErr w:type="gramEnd"/>
      <w:r w:rsidR="008A50F1">
        <w:rPr>
          <w:szCs w:val="28"/>
        </w:rPr>
        <w:br/>
      </w:r>
      <w:r w:rsidR="008D7DE3">
        <w:rPr>
          <w:szCs w:val="28"/>
        </w:rPr>
        <w:t>p</w:t>
      </w:r>
      <w:r w:rsidR="00127F43" w:rsidRPr="00127F43">
        <w:rPr>
          <w:szCs w:val="28"/>
        </w:rPr>
        <w:t>owder for injection, 600 I.U</w:t>
      </w:r>
      <w:r w:rsidR="00521CED">
        <w:rPr>
          <w:szCs w:val="28"/>
        </w:rPr>
        <w:t>,</w:t>
      </w:r>
    </w:p>
    <w:p w:rsidR="00C27B58" w:rsidRDefault="00127F43" w:rsidP="00043B55">
      <w:pPr>
        <w:pStyle w:val="Title"/>
        <w:ind w:left="720"/>
        <w:rPr>
          <w:szCs w:val="28"/>
        </w:rPr>
      </w:pPr>
      <w:r w:rsidRPr="00127F43">
        <w:rPr>
          <w:szCs w:val="28"/>
        </w:rPr>
        <w:t>Menopur</w:t>
      </w:r>
      <w:r w:rsidRPr="008116D8">
        <w:rPr>
          <w:szCs w:val="28"/>
          <w:vertAlign w:val="superscript"/>
        </w:rPr>
        <w:t>®</w:t>
      </w:r>
      <w:proofErr w:type="gramStart"/>
      <w:r w:rsidR="008116D8">
        <w:rPr>
          <w:szCs w:val="28"/>
        </w:rPr>
        <w:t>,</w:t>
      </w:r>
      <w:proofErr w:type="gramEnd"/>
      <w:r w:rsidR="008116D8">
        <w:rPr>
          <w:szCs w:val="28"/>
        </w:rPr>
        <w:br/>
      </w:r>
      <w:r w:rsidRPr="00127F43">
        <w:rPr>
          <w:szCs w:val="28"/>
        </w:rPr>
        <w:t>Ferring Pharmaceuticals Pty Ltd</w:t>
      </w:r>
      <w:r w:rsidR="00357A39">
        <w:rPr>
          <w:szCs w:val="28"/>
        </w:rPr>
        <w:t>.</w:t>
      </w:r>
    </w:p>
    <w:p w:rsidR="00956707" w:rsidRPr="00956707" w:rsidRDefault="00956707" w:rsidP="00043B55"/>
    <w:p w:rsidR="00E15627" w:rsidRDefault="00CE10C4" w:rsidP="00043B55">
      <w:pPr>
        <w:pStyle w:val="PBACHeading1"/>
      </w:pPr>
      <w:r w:rsidRPr="00C603D4">
        <w:t xml:space="preserve">Purpose of </w:t>
      </w:r>
      <w:r w:rsidR="0004240E" w:rsidRPr="00C603D4">
        <w:t>Application</w:t>
      </w:r>
    </w:p>
    <w:p w:rsidR="008A50F1" w:rsidRPr="00E15627" w:rsidRDefault="008A50F1" w:rsidP="00043B55"/>
    <w:p w:rsidR="00F9629A" w:rsidRPr="00F9629A" w:rsidRDefault="00EF44A0" w:rsidP="00043B55">
      <w:pPr>
        <w:pStyle w:val="ListParagraph"/>
        <w:widowControl/>
        <w:numPr>
          <w:ilvl w:val="1"/>
          <w:numId w:val="5"/>
        </w:numPr>
      </w:pPr>
      <w:r w:rsidRPr="00E15627">
        <w:rPr>
          <w:szCs w:val="22"/>
        </w:rPr>
        <w:t>The mi</w:t>
      </w:r>
      <w:r w:rsidR="00FF2801" w:rsidRPr="00E15627">
        <w:rPr>
          <w:szCs w:val="22"/>
        </w:rPr>
        <w:t xml:space="preserve">nor </w:t>
      </w:r>
      <w:r w:rsidR="00E74CE0">
        <w:rPr>
          <w:szCs w:val="22"/>
        </w:rPr>
        <w:t>re</w:t>
      </w:r>
      <w:r w:rsidR="00FF2801" w:rsidRPr="00E15627">
        <w:rPr>
          <w:szCs w:val="22"/>
        </w:rPr>
        <w:t xml:space="preserve">submission </w:t>
      </w:r>
      <w:r w:rsidR="007309EA">
        <w:rPr>
          <w:szCs w:val="22"/>
        </w:rPr>
        <w:t xml:space="preserve">sought to address the issues outlined by the PBAC in their rejection of the </w:t>
      </w:r>
      <w:r w:rsidR="004C1582">
        <w:rPr>
          <w:szCs w:val="22"/>
        </w:rPr>
        <w:t>m</w:t>
      </w:r>
      <w:r w:rsidR="007309EA">
        <w:rPr>
          <w:szCs w:val="22"/>
        </w:rPr>
        <w:t xml:space="preserve">ajor submission </w:t>
      </w:r>
      <w:r w:rsidR="004C1582">
        <w:rPr>
          <w:szCs w:val="22"/>
        </w:rPr>
        <w:t>at</w:t>
      </w:r>
      <w:r w:rsidR="007309EA">
        <w:rPr>
          <w:szCs w:val="22"/>
        </w:rPr>
        <w:t xml:space="preserve"> the March 2016 meeting</w:t>
      </w:r>
      <w:r w:rsidR="004C1582">
        <w:rPr>
          <w:szCs w:val="22"/>
        </w:rPr>
        <w:t xml:space="preserve"> for highly purified</w:t>
      </w:r>
      <w:r w:rsidR="00E74CE0" w:rsidRPr="00E74CE0">
        <w:rPr>
          <w:szCs w:val="22"/>
        </w:rPr>
        <w:t xml:space="preserve"> </w:t>
      </w:r>
      <w:r w:rsidR="004C1582">
        <w:rPr>
          <w:szCs w:val="22"/>
        </w:rPr>
        <w:t xml:space="preserve">human menopausal gonadotropin (HP-hMG) </w:t>
      </w:r>
      <w:r w:rsidR="00E74CE0" w:rsidRPr="00E74CE0">
        <w:rPr>
          <w:szCs w:val="22"/>
        </w:rPr>
        <w:t>for anovulatory infertility.</w:t>
      </w:r>
    </w:p>
    <w:p w:rsidR="00EF44A0" w:rsidRPr="00C27B58" w:rsidRDefault="00EF44A0" w:rsidP="00043B55">
      <w:pPr>
        <w:pStyle w:val="NoSpacing"/>
      </w:pPr>
    </w:p>
    <w:p w:rsidR="00962223" w:rsidRPr="00962223" w:rsidRDefault="006A12A5" w:rsidP="00043B55">
      <w:pPr>
        <w:pStyle w:val="PBACHeading1"/>
      </w:pPr>
      <w:r w:rsidRPr="004A2484">
        <w:t>Requested listing</w:t>
      </w:r>
    </w:p>
    <w:p w:rsidR="006A12A5" w:rsidRPr="00882085" w:rsidRDefault="006A12A5" w:rsidP="00043B55">
      <w:pPr>
        <w:jc w:val="both"/>
        <w:rPr>
          <w:rFonts w:ascii="Arial" w:hAnsi="Arial"/>
          <w:b/>
          <w:sz w:val="22"/>
          <w:szCs w:val="22"/>
        </w:rPr>
      </w:pPr>
    </w:p>
    <w:p w:rsidR="00826F6D" w:rsidRPr="00077143" w:rsidRDefault="00EF44A0" w:rsidP="00043B55">
      <w:pPr>
        <w:pStyle w:val="ListParagraph"/>
        <w:widowControl/>
        <w:numPr>
          <w:ilvl w:val="1"/>
          <w:numId w:val="5"/>
        </w:numPr>
        <w:rPr>
          <w:szCs w:val="22"/>
        </w:rPr>
      </w:pPr>
      <w:r w:rsidRPr="00077143">
        <w:rPr>
          <w:szCs w:val="22"/>
        </w:rPr>
        <w:t xml:space="preserve">The </w:t>
      </w:r>
      <w:r w:rsidR="00E854BA">
        <w:rPr>
          <w:szCs w:val="22"/>
        </w:rPr>
        <w:t>re</w:t>
      </w:r>
      <w:r w:rsidRPr="00077143">
        <w:rPr>
          <w:szCs w:val="22"/>
        </w:rPr>
        <w:t xml:space="preserve">submission </w:t>
      </w:r>
      <w:r w:rsidR="00FF2801" w:rsidRPr="00077143">
        <w:rPr>
          <w:szCs w:val="22"/>
        </w:rPr>
        <w:t>requested</w:t>
      </w:r>
      <w:r w:rsidRPr="00077143">
        <w:rPr>
          <w:szCs w:val="22"/>
        </w:rPr>
        <w:t xml:space="preserve"> the following listing</w:t>
      </w:r>
      <w:r w:rsidR="00826F6D" w:rsidRPr="00077143">
        <w:rPr>
          <w:szCs w:val="22"/>
        </w:rPr>
        <w:t>:</w:t>
      </w:r>
      <w:r w:rsidRPr="00077143">
        <w:rPr>
          <w:szCs w:val="22"/>
        </w:rPr>
        <w:t xml:space="preserve"> </w:t>
      </w:r>
    </w:p>
    <w:p w:rsidR="00826F6D" w:rsidRPr="00C27B58" w:rsidRDefault="00826F6D" w:rsidP="00043B55">
      <w:pPr>
        <w:pStyle w:val="NoSpacing"/>
      </w:pPr>
    </w:p>
    <w:tbl>
      <w:tblPr>
        <w:tblW w:w="8363" w:type="dxa"/>
        <w:tblInd w:w="817" w:type="dxa"/>
        <w:tblLayout w:type="fixed"/>
        <w:tblLook w:val="0000" w:firstRow="0" w:lastRow="0" w:firstColumn="0" w:lastColumn="0" w:noHBand="0" w:noVBand="0"/>
      </w:tblPr>
      <w:tblGrid>
        <w:gridCol w:w="1985"/>
        <w:gridCol w:w="1134"/>
        <w:gridCol w:w="850"/>
        <w:gridCol w:w="709"/>
        <w:gridCol w:w="1276"/>
        <w:gridCol w:w="1275"/>
        <w:gridCol w:w="1134"/>
      </w:tblGrid>
      <w:tr w:rsidR="00826F6D" w:rsidRPr="0039782C" w:rsidTr="00C27B58">
        <w:trPr>
          <w:cantSplit/>
          <w:trHeight w:val="471"/>
        </w:trPr>
        <w:tc>
          <w:tcPr>
            <w:tcW w:w="3119" w:type="dxa"/>
            <w:gridSpan w:val="2"/>
            <w:tcBorders>
              <w:bottom w:val="single" w:sz="4" w:space="0" w:color="auto"/>
            </w:tcBorders>
          </w:tcPr>
          <w:p w:rsidR="00826F6D" w:rsidRPr="0039782C" w:rsidRDefault="00826F6D" w:rsidP="00043B55">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826F6D" w:rsidRPr="0039782C" w:rsidRDefault="00826F6D" w:rsidP="00043B55">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50" w:type="dxa"/>
            <w:tcBorders>
              <w:bottom w:val="single" w:sz="4" w:space="0" w:color="auto"/>
            </w:tcBorders>
          </w:tcPr>
          <w:p w:rsidR="00826F6D" w:rsidRPr="0039782C" w:rsidRDefault="00826F6D" w:rsidP="00043B55">
            <w:pPr>
              <w:keepNext/>
              <w:ind w:left="-108"/>
              <w:jc w:val="both"/>
              <w:rPr>
                <w:rFonts w:ascii="Arial Narrow" w:hAnsi="Arial Narrow" w:cs="Arial"/>
                <w:b/>
                <w:sz w:val="20"/>
                <w:szCs w:val="20"/>
              </w:rPr>
            </w:pPr>
            <w:r w:rsidRPr="0039782C">
              <w:rPr>
                <w:rFonts w:ascii="Arial Narrow" w:hAnsi="Arial Narrow" w:cs="Arial"/>
                <w:b/>
                <w:sz w:val="20"/>
                <w:szCs w:val="20"/>
              </w:rPr>
              <w:t>Max.</w:t>
            </w:r>
          </w:p>
          <w:p w:rsidR="00826F6D" w:rsidRPr="0039782C" w:rsidRDefault="00826F6D" w:rsidP="00043B55">
            <w:pPr>
              <w:keepNext/>
              <w:ind w:left="-108"/>
              <w:jc w:val="both"/>
              <w:rPr>
                <w:rFonts w:ascii="Arial Narrow" w:hAnsi="Arial Narrow" w:cs="Arial"/>
                <w:b/>
                <w:sz w:val="20"/>
                <w:szCs w:val="20"/>
              </w:rPr>
            </w:pPr>
            <w:r w:rsidRPr="0039782C">
              <w:rPr>
                <w:rFonts w:ascii="Arial Narrow" w:hAnsi="Arial Narrow" w:cs="Arial"/>
                <w:b/>
                <w:sz w:val="20"/>
                <w:szCs w:val="20"/>
              </w:rPr>
              <w:t>Qty</w:t>
            </w:r>
          </w:p>
        </w:tc>
        <w:tc>
          <w:tcPr>
            <w:tcW w:w="709" w:type="dxa"/>
            <w:tcBorders>
              <w:bottom w:val="single" w:sz="4" w:space="0" w:color="auto"/>
            </w:tcBorders>
          </w:tcPr>
          <w:p w:rsidR="00826F6D" w:rsidRPr="0039782C" w:rsidRDefault="00826F6D" w:rsidP="00043B55">
            <w:pPr>
              <w:keepNext/>
              <w:ind w:left="-108"/>
              <w:jc w:val="both"/>
              <w:rPr>
                <w:rFonts w:ascii="Arial Narrow" w:hAnsi="Arial Narrow" w:cs="Arial"/>
                <w:b/>
                <w:sz w:val="20"/>
                <w:szCs w:val="20"/>
              </w:rPr>
            </w:pPr>
            <w:r w:rsidRPr="0039782C">
              <w:rPr>
                <w:rFonts w:ascii="Arial Narrow" w:hAnsi="Arial Narrow" w:cs="Arial"/>
                <w:b/>
                <w:sz w:val="20"/>
                <w:szCs w:val="20"/>
              </w:rPr>
              <w:t>№.of</w:t>
            </w:r>
          </w:p>
          <w:p w:rsidR="00826F6D" w:rsidRPr="0039782C" w:rsidRDefault="00826F6D" w:rsidP="00043B55">
            <w:pPr>
              <w:keepNext/>
              <w:ind w:left="-108"/>
              <w:jc w:val="both"/>
              <w:rPr>
                <w:rFonts w:ascii="Arial Narrow" w:hAnsi="Arial Narrow" w:cs="Arial"/>
                <w:b/>
                <w:sz w:val="20"/>
                <w:szCs w:val="20"/>
              </w:rPr>
            </w:pPr>
            <w:r w:rsidRPr="0039782C">
              <w:rPr>
                <w:rFonts w:ascii="Arial Narrow" w:hAnsi="Arial Narrow" w:cs="Arial"/>
                <w:b/>
                <w:sz w:val="20"/>
                <w:szCs w:val="20"/>
              </w:rPr>
              <w:t>Rpts</w:t>
            </w:r>
          </w:p>
        </w:tc>
        <w:tc>
          <w:tcPr>
            <w:tcW w:w="1276" w:type="dxa"/>
            <w:tcBorders>
              <w:bottom w:val="single" w:sz="4" w:space="0" w:color="auto"/>
            </w:tcBorders>
          </w:tcPr>
          <w:p w:rsidR="00826F6D" w:rsidRPr="0039782C" w:rsidRDefault="00826F6D" w:rsidP="00043B55">
            <w:pPr>
              <w:keepNext/>
              <w:ind w:left="-108"/>
              <w:jc w:val="both"/>
              <w:rPr>
                <w:rFonts w:ascii="Arial Narrow" w:hAnsi="Arial Narrow" w:cs="Arial"/>
                <w:b/>
                <w:sz w:val="20"/>
                <w:szCs w:val="20"/>
              </w:rPr>
            </w:pPr>
            <w:r w:rsidRPr="0039782C">
              <w:rPr>
                <w:rFonts w:ascii="Arial Narrow" w:hAnsi="Arial Narrow" w:cs="Arial"/>
                <w:b/>
                <w:sz w:val="20"/>
                <w:szCs w:val="20"/>
              </w:rPr>
              <w:t>Dispensed Price for Max. Qty</w:t>
            </w:r>
          </w:p>
        </w:tc>
        <w:tc>
          <w:tcPr>
            <w:tcW w:w="2409" w:type="dxa"/>
            <w:gridSpan w:val="2"/>
            <w:tcBorders>
              <w:bottom w:val="single" w:sz="4" w:space="0" w:color="auto"/>
            </w:tcBorders>
          </w:tcPr>
          <w:p w:rsidR="00826F6D" w:rsidRPr="0039782C" w:rsidRDefault="00826F6D" w:rsidP="00043B55">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826F6D" w:rsidRPr="00260CE3" w:rsidTr="00C27B58">
        <w:trPr>
          <w:cantSplit/>
          <w:trHeight w:val="577"/>
        </w:trPr>
        <w:tc>
          <w:tcPr>
            <w:tcW w:w="3119" w:type="dxa"/>
            <w:gridSpan w:val="2"/>
          </w:tcPr>
          <w:p w:rsidR="00826F6D" w:rsidRPr="00260CE3" w:rsidRDefault="00B4191F" w:rsidP="00043B55">
            <w:pPr>
              <w:keepNext/>
              <w:ind w:left="-108"/>
              <w:jc w:val="both"/>
              <w:rPr>
                <w:rFonts w:ascii="Arial Narrow" w:hAnsi="Arial Narrow" w:cs="Arial"/>
                <w:sz w:val="20"/>
                <w:szCs w:val="20"/>
              </w:rPr>
            </w:pPr>
            <w:r>
              <w:rPr>
                <w:rFonts w:ascii="Arial Narrow" w:hAnsi="Arial Narrow" w:cs="Arial"/>
                <w:smallCaps/>
                <w:sz w:val="20"/>
                <w:szCs w:val="20"/>
              </w:rPr>
              <w:t>GONADOTROPHIN</w:t>
            </w:r>
          </w:p>
          <w:p w:rsidR="00826F6D" w:rsidRPr="00260CE3" w:rsidRDefault="005A0A3D" w:rsidP="00043B55">
            <w:pPr>
              <w:keepNext/>
              <w:ind w:left="-108"/>
              <w:jc w:val="both"/>
              <w:rPr>
                <w:rFonts w:ascii="Arial Narrow" w:hAnsi="Arial Narrow" w:cs="Arial"/>
                <w:sz w:val="20"/>
                <w:szCs w:val="20"/>
              </w:rPr>
            </w:pPr>
            <w:r w:rsidRPr="00B056AC">
              <w:rPr>
                <w:rFonts w:ascii="Arial Narrow" w:hAnsi="Arial Narrow" w:cs="Arial"/>
                <w:sz w:val="18"/>
                <w:szCs w:val="18"/>
                <w:lang w:val="en-US" w:eastAsia="en-US"/>
              </w:rPr>
              <w:t>gonadotrophin-menopausal human 600 international units injection [1 x 600 international units vial] &amp; inert substance diluent [1 x 1mL syringes], 1 pack</w:t>
            </w:r>
          </w:p>
        </w:tc>
        <w:tc>
          <w:tcPr>
            <w:tcW w:w="850" w:type="dxa"/>
          </w:tcPr>
          <w:p w:rsidR="00826F6D" w:rsidRPr="00260CE3" w:rsidRDefault="00826F6D" w:rsidP="00043B55">
            <w:pPr>
              <w:keepNext/>
              <w:ind w:left="-108"/>
              <w:jc w:val="both"/>
              <w:rPr>
                <w:rFonts w:ascii="Arial Narrow" w:hAnsi="Arial Narrow" w:cs="Arial"/>
                <w:sz w:val="20"/>
                <w:szCs w:val="20"/>
              </w:rPr>
            </w:pPr>
          </w:p>
          <w:p w:rsidR="00826F6D" w:rsidRPr="00260CE3" w:rsidRDefault="005A0A3D" w:rsidP="00043B55">
            <w:pPr>
              <w:keepNext/>
              <w:ind w:left="-108"/>
              <w:jc w:val="both"/>
              <w:rPr>
                <w:rFonts w:ascii="Arial Narrow" w:hAnsi="Arial Narrow" w:cs="Arial"/>
                <w:sz w:val="20"/>
                <w:szCs w:val="20"/>
              </w:rPr>
            </w:pPr>
            <w:r>
              <w:rPr>
                <w:rFonts w:ascii="Arial Narrow" w:hAnsi="Arial Narrow" w:cs="Arial"/>
                <w:sz w:val="20"/>
                <w:szCs w:val="20"/>
              </w:rPr>
              <w:t>3</w:t>
            </w:r>
          </w:p>
        </w:tc>
        <w:tc>
          <w:tcPr>
            <w:tcW w:w="709" w:type="dxa"/>
          </w:tcPr>
          <w:p w:rsidR="00826F6D" w:rsidRPr="00260CE3" w:rsidRDefault="00826F6D" w:rsidP="00043B55">
            <w:pPr>
              <w:keepNext/>
              <w:ind w:left="-108"/>
              <w:jc w:val="both"/>
              <w:rPr>
                <w:rFonts w:ascii="Arial Narrow" w:hAnsi="Arial Narrow" w:cs="Arial"/>
                <w:sz w:val="20"/>
                <w:szCs w:val="20"/>
              </w:rPr>
            </w:pPr>
          </w:p>
          <w:p w:rsidR="00826F6D" w:rsidRPr="00260CE3" w:rsidRDefault="005A0A3D" w:rsidP="00043B55">
            <w:pPr>
              <w:keepNext/>
              <w:ind w:left="-108"/>
              <w:jc w:val="both"/>
              <w:rPr>
                <w:rFonts w:ascii="Arial Narrow" w:hAnsi="Arial Narrow" w:cs="Arial"/>
                <w:sz w:val="20"/>
                <w:szCs w:val="20"/>
              </w:rPr>
            </w:pPr>
            <w:r>
              <w:rPr>
                <w:rFonts w:ascii="Arial Narrow" w:hAnsi="Arial Narrow" w:cs="Arial"/>
                <w:sz w:val="20"/>
                <w:szCs w:val="20"/>
              </w:rPr>
              <w:t>0</w:t>
            </w:r>
          </w:p>
        </w:tc>
        <w:tc>
          <w:tcPr>
            <w:tcW w:w="1276" w:type="dxa"/>
          </w:tcPr>
          <w:p w:rsidR="00826F6D" w:rsidRPr="00260CE3" w:rsidRDefault="00826F6D" w:rsidP="00043B55">
            <w:pPr>
              <w:keepNext/>
              <w:ind w:left="-108"/>
              <w:jc w:val="both"/>
              <w:rPr>
                <w:rFonts w:ascii="Arial Narrow" w:hAnsi="Arial Narrow" w:cs="Arial"/>
                <w:sz w:val="20"/>
                <w:szCs w:val="20"/>
              </w:rPr>
            </w:pPr>
          </w:p>
          <w:p w:rsidR="00826F6D" w:rsidRPr="00260CE3" w:rsidRDefault="00826F6D" w:rsidP="00043B55">
            <w:pPr>
              <w:keepNext/>
              <w:ind w:left="-108"/>
              <w:jc w:val="both"/>
              <w:rPr>
                <w:rFonts w:ascii="Arial Narrow" w:hAnsi="Arial Narrow" w:cs="Arial"/>
                <w:sz w:val="20"/>
                <w:szCs w:val="20"/>
              </w:rPr>
            </w:pPr>
            <w:r w:rsidRPr="00260CE3">
              <w:rPr>
                <w:rFonts w:ascii="Arial Narrow" w:hAnsi="Arial Narrow" w:cs="Arial"/>
                <w:sz w:val="20"/>
                <w:szCs w:val="20"/>
              </w:rPr>
              <w:t>$</w:t>
            </w:r>
            <w:r w:rsidR="00E73DF8">
              <w:rPr>
                <w:rFonts w:ascii="Arial Narrow" w:hAnsi="Arial Narrow" w:cs="Arial"/>
                <w:noProof/>
                <w:color w:val="000000"/>
                <w:sz w:val="20"/>
                <w:szCs w:val="20"/>
                <w:highlight w:val="black"/>
              </w:rPr>
              <w:t>''''''''''''''''</w:t>
            </w:r>
            <w:r w:rsidR="00B476D0">
              <w:rPr>
                <w:rFonts w:ascii="Arial Narrow" w:hAnsi="Arial Narrow" w:cs="Arial"/>
                <w:sz w:val="20"/>
                <w:szCs w:val="20"/>
              </w:rPr>
              <w:t>*</w:t>
            </w:r>
          </w:p>
        </w:tc>
        <w:tc>
          <w:tcPr>
            <w:tcW w:w="1275" w:type="dxa"/>
          </w:tcPr>
          <w:p w:rsidR="00C27B58" w:rsidRDefault="00C27B58" w:rsidP="00043B55">
            <w:pPr>
              <w:keepNext/>
              <w:jc w:val="both"/>
              <w:rPr>
                <w:rFonts w:ascii="Arial Narrow" w:hAnsi="Arial Narrow" w:cs="Arial"/>
                <w:sz w:val="20"/>
                <w:szCs w:val="20"/>
              </w:rPr>
            </w:pPr>
          </w:p>
          <w:p w:rsidR="00826F6D" w:rsidRPr="00260CE3" w:rsidRDefault="008A59D9" w:rsidP="00043B55">
            <w:pPr>
              <w:keepNext/>
              <w:jc w:val="both"/>
              <w:rPr>
                <w:rFonts w:ascii="Arial Narrow" w:hAnsi="Arial Narrow" w:cs="Arial"/>
                <w:sz w:val="20"/>
                <w:szCs w:val="20"/>
              </w:rPr>
            </w:pPr>
            <w:r>
              <w:rPr>
                <w:rFonts w:ascii="Arial Narrow" w:hAnsi="Arial Narrow" w:cs="Arial"/>
                <w:sz w:val="20"/>
                <w:szCs w:val="20"/>
              </w:rPr>
              <w:t>Menopur®</w:t>
            </w:r>
          </w:p>
        </w:tc>
        <w:tc>
          <w:tcPr>
            <w:tcW w:w="1134" w:type="dxa"/>
          </w:tcPr>
          <w:p w:rsidR="00C27B58" w:rsidRDefault="00C27B58" w:rsidP="00043B55">
            <w:pPr>
              <w:keepNext/>
              <w:jc w:val="both"/>
              <w:rPr>
                <w:rFonts w:ascii="Arial Narrow" w:hAnsi="Arial Narrow" w:cs="Arial"/>
                <w:sz w:val="20"/>
                <w:szCs w:val="20"/>
              </w:rPr>
            </w:pPr>
          </w:p>
          <w:p w:rsidR="00826F6D" w:rsidRPr="00260CE3" w:rsidRDefault="005A0A3D" w:rsidP="00043B55">
            <w:pPr>
              <w:keepNext/>
              <w:jc w:val="both"/>
              <w:rPr>
                <w:rFonts w:ascii="Arial Narrow" w:hAnsi="Arial Narrow" w:cs="Arial"/>
                <w:sz w:val="20"/>
                <w:szCs w:val="20"/>
              </w:rPr>
            </w:pPr>
            <w:r>
              <w:rPr>
                <w:rFonts w:ascii="Arial Narrow" w:hAnsi="Arial Narrow" w:cs="Arial"/>
                <w:sz w:val="20"/>
                <w:szCs w:val="20"/>
              </w:rPr>
              <w:t xml:space="preserve">Ferring </w:t>
            </w:r>
          </w:p>
        </w:tc>
      </w:tr>
      <w:tr w:rsidR="00826F6D" w:rsidRPr="00260CE3" w:rsidTr="00C27B58">
        <w:trPr>
          <w:cantSplit/>
          <w:trHeight w:val="360"/>
        </w:trPr>
        <w:tc>
          <w:tcPr>
            <w:tcW w:w="8363" w:type="dxa"/>
            <w:gridSpan w:val="7"/>
            <w:tcBorders>
              <w:bottom w:val="single" w:sz="4" w:space="0" w:color="auto"/>
            </w:tcBorders>
          </w:tcPr>
          <w:p w:rsidR="00826F6D" w:rsidRPr="00260CE3" w:rsidRDefault="00826F6D" w:rsidP="00043B55">
            <w:pPr>
              <w:jc w:val="both"/>
              <w:rPr>
                <w:rFonts w:ascii="Arial Narrow" w:hAnsi="Arial Narrow" w:cs="Arial"/>
                <w:sz w:val="20"/>
                <w:szCs w:val="20"/>
              </w:rPr>
            </w:pP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043B55">
            <w:pPr>
              <w:jc w:val="both"/>
              <w:rPr>
                <w:rFonts w:ascii="Arial Narrow" w:hAnsi="Arial Narrow" w:cs="Arial"/>
                <w:b/>
                <w:sz w:val="20"/>
                <w:szCs w:val="20"/>
              </w:rPr>
            </w:pPr>
            <w:r w:rsidRPr="00260CE3">
              <w:rPr>
                <w:rFonts w:ascii="Arial Narrow" w:hAnsi="Arial Narrow" w:cs="Arial"/>
                <w:b/>
                <w:sz w:val="20"/>
                <w:szCs w:val="20"/>
              </w:rPr>
              <w:t xml:space="preserve">Category / </w:t>
            </w:r>
          </w:p>
          <w:p w:rsidR="00826F6D" w:rsidRPr="00260CE3" w:rsidRDefault="00826F6D" w:rsidP="00043B55">
            <w:pPr>
              <w:jc w:val="both"/>
              <w:rPr>
                <w:rFonts w:ascii="Arial Narrow" w:hAnsi="Arial Narrow" w:cs="Arial"/>
                <w:b/>
                <w:sz w:val="20"/>
                <w:szCs w:val="20"/>
              </w:rPr>
            </w:pPr>
            <w:r w:rsidRPr="00260CE3">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826F6D" w:rsidP="00043B55">
            <w:pPr>
              <w:rPr>
                <w:rFonts w:ascii="Arial Narrow" w:hAnsi="Arial Narrow" w:cs="Arial"/>
                <w:sz w:val="20"/>
                <w:szCs w:val="20"/>
              </w:rPr>
            </w:pPr>
            <w:r w:rsidRPr="00260CE3">
              <w:rPr>
                <w:rFonts w:ascii="Arial Narrow" w:hAnsi="Arial Narrow" w:cs="Arial"/>
                <w:sz w:val="20"/>
                <w:szCs w:val="20"/>
              </w:rPr>
              <w:t>GENERAL – General Schedule (GE)</w:t>
            </w:r>
          </w:p>
          <w:p w:rsidR="00826F6D" w:rsidRPr="00260CE3" w:rsidRDefault="00826F6D" w:rsidP="00043B55">
            <w:pPr>
              <w:rPr>
                <w:rFonts w:ascii="Arial Narrow" w:hAnsi="Arial Narrow" w:cs="Arial"/>
                <w:sz w:val="20"/>
                <w:szCs w:val="20"/>
              </w:rPr>
            </w:pP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043B55">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826F6D" w:rsidP="00043B55">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340FD3">
              <w:rPr>
                <w:rFonts w:ascii="Arial Narrow" w:hAnsi="Arial Narrow" w:cs="Arial"/>
                <w:sz w:val="20"/>
                <w:szCs w:val="20"/>
              </w:rPr>
            </w:r>
            <w:r w:rsidR="00340FD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sidR="00E74CE0">
              <w:rPr>
                <w:rFonts w:ascii="Arial Narrow" w:hAnsi="Arial Narrow" w:cs="Arial"/>
                <w:sz w:val="20"/>
                <w:szCs w:val="20"/>
              </w:rPr>
              <w:fldChar w:fldCharType="begin">
                <w:ffData>
                  <w:name w:val=""/>
                  <w:enabled/>
                  <w:calcOnExit w:val="0"/>
                  <w:checkBox>
                    <w:sizeAuto/>
                    <w:default w:val="1"/>
                  </w:checkBox>
                </w:ffData>
              </w:fldChar>
            </w:r>
            <w:r w:rsidR="00E74CE0">
              <w:rPr>
                <w:rFonts w:ascii="Arial Narrow" w:hAnsi="Arial Narrow" w:cs="Arial"/>
                <w:sz w:val="20"/>
                <w:szCs w:val="20"/>
              </w:rPr>
              <w:instrText xml:space="preserve"> FORMCHECKBOX </w:instrText>
            </w:r>
            <w:r w:rsidR="00340FD3">
              <w:rPr>
                <w:rFonts w:ascii="Arial Narrow" w:hAnsi="Arial Narrow" w:cs="Arial"/>
                <w:sz w:val="20"/>
                <w:szCs w:val="20"/>
              </w:rPr>
            </w:r>
            <w:r w:rsidR="00340FD3">
              <w:rPr>
                <w:rFonts w:ascii="Arial Narrow" w:hAnsi="Arial Narrow" w:cs="Arial"/>
                <w:sz w:val="20"/>
                <w:szCs w:val="20"/>
              </w:rPr>
              <w:fldChar w:fldCharType="separate"/>
            </w:r>
            <w:r w:rsidR="00E74CE0">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340FD3">
              <w:rPr>
                <w:rFonts w:ascii="Arial Narrow" w:hAnsi="Arial Narrow" w:cs="Arial"/>
                <w:sz w:val="20"/>
                <w:szCs w:val="20"/>
              </w:rPr>
            </w:r>
            <w:r w:rsidR="00340FD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340FD3">
              <w:rPr>
                <w:rFonts w:ascii="Arial Narrow" w:hAnsi="Arial Narrow" w:cs="Arial"/>
                <w:sz w:val="20"/>
                <w:szCs w:val="20"/>
              </w:rPr>
            </w:r>
            <w:r w:rsidR="00340FD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826F6D" w:rsidRPr="00260CE3" w:rsidRDefault="00826F6D" w:rsidP="00043B55">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340FD3">
              <w:rPr>
                <w:rFonts w:ascii="Arial Narrow" w:hAnsi="Arial Narrow" w:cs="Arial"/>
                <w:sz w:val="20"/>
                <w:szCs w:val="20"/>
              </w:rPr>
            </w:r>
            <w:r w:rsidR="00340FD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043B55">
            <w:pPr>
              <w:jc w:val="both"/>
              <w:rPr>
                <w:rFonts w:ascii="Arial Narrow" w:hAnsi="Arial Narrow" w:cs="Arial"/>
                <w:b/>
                <w:sz w:val="20"/>
                <w:szCs w:val="20"/>
              </w:rPr>
            </w:pPr>
            <w:r w:rsidRPr="00260CE3">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E74CE0" w:rsidP="00043B55">
            <w:pPr>
              <w:rPr>
                <w:rFonts w:ascii="Arial Narrow" w:hAnsi="Arial Narrow" w:cs="Arial"/>
                <w:sz w:val="20"/>
                <w:szCs w:val="20"/>
              </w:rPr>
            </w:pPr>
            <w:r>
              <w:rPr>
                <w:rFonts w:ascii="Arial Narrow" w:hAnsi="Arial Narrow" w:cs="Arial"/>
                <w:sz w:val="20"/>
                <w:szCs w:val="20"/>
              </w:rPr>
              <w:t>Anovulatory infertility</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043B55">
            <w:pPr>
              <w:jc w:val="both"/>
              <w:rPr>
                <w:rFonts w:ascii="Arial Narrow" w:hAnsi="Arial Narrow" w:cs="Arial"/>
                <w:b/>
                <w:sz w:val="20"/>
                <w:szCs w:val="20"/>
              </w:rPr>
            </w:pPr>
            <w:r w:rsidRPr="00260CE3">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E74CE0" w:rsidP="00043B55">
            <w:pPr>
              <w:rPr>
                <w:rFonts w:ascii="Arial Narrow" w:hAnsi="Arial Narrow" w:cs="Arial"/>
                <w:sz w:val="20"/>
                <w:szCs w:val="20"/>
              </w:rPr>
            </w:pPr>
            <w:r>
              <w:rPr>
                <w:rFonts w:ascii="Arial Narrow" w:hAnsi="Arial Narrow" w:cs="Arial"/>
                <w:sz w:val="20"/>
                <w:szCs w:val="20"/>
              </w:rPr>
              <w:t>Anovulatory infertility</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043B55">
            <w:pPr>
              <w:rPr>
                <w:rFonts w:ascii="Arial Narrow" w:hAnsi="Arial Narrow" w:cs="Arial"/>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106BCF" w:rsidRDefault="00E74CE0" w:rsidP="00043B55">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1"/>
                  </w:checkBox>
                </w:ffData>
              </w:fldChar>
            </w:r>
            <w:bookmarkStart w:id="1" w:name="Check1"/>
            <w:r>
              <w:rPr>
                <w:rFonts w:ascii="Arial Narrow" w:hAnsi="Arial Narrow" w:cs="Arial"/>
                <w:sz w:val="20"/>
                <w:szCs w:val="20"/>
              </w:rPr>
              <w:instrText xml:space="preserve"> FORMCHECKBOX </w:instrText>
            </w:r>
            <w:r w:rsidR="00340FD3">
              <w:rPr>
                <w:rFonts w:ascii="Arial Narrow" w:hAnsi="Arial Narrow" w:cs="Arial"/>
                <w:sz w:val="20"/>
                <w:szCs w:val="20"/>
              </w:rPr>
            </w:r>
            <w:r w:rsidR="00340FD3">
              <w:rPr>
                <w:rFonts w:ascii="Arial Narrow" w:hAnsi="Arial Narrow" w:cs="Arial"/>
                <w:sz w:val="20"/>
                <w:szCs w:val="20"/>
              </w:rPr>
              <w:fldChar w:fldCharType="separate"/>
            </w:r>
            <w:r>
              <w:rPr>
                <w:rFonts w:ascii="Arial Narrow" w:hAnsi="Arial Narrow" w:cs="Arial"/>
                <w:sz w:val="20"/>
                <w:szCs w:val="20"/>
              </w:rPr>
              <w:fldChar w:fldCharType="end"/>
            </w:r>
            <w:bookmarkEnd w:id="1"/>
            <w:r w:rsidR="00826F6D" w:rsidRPr="00106BCF">
              <w:rPr>
                <w:rFonts w:ascii="Arial Narrow" w:hAnsi="Arial Narrow" w:cs="Arial"/>
                <w:sz w:val="20"/>
                <w:szCs w:val="20"/>
              </w:rPr>
              <w:t>Restricted benefit</w:t>
            </w:r>
          </w:p>
          <w:p w:rsidR="00826F6D" w:rsidRPr="00260CE3" w:rsidRDefault="00826F6D" w:rsidP="00043B55">
            <w:pPr>
              <w:rPr>
                <w:rFonts w:ascii="Arial Narrow" w:hAnsi="Arial Narrow" w:cs="Arial"/>
                <w:sz w:val="20"/>
                <w:szCs w:val="20"/>
              </w:rPr>
            </w:pP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043B55">
            <w:pPr>
              <w:jc w:val="both"/>
              <w:rPr>
                <w:rFonts w:ascii="Arial Narrow" w:hAnsi="Arial Narrow" w:cs="Arial"/>
                <w:b/>
                <w:sz w:val="20"/>
                <w:szCs w:val="20"/>
              </w:rPr>
            </w:pPr>
            <w:r w:rsidRPr="00260CE3">
              <w:rPr>
                <w:rFonts w:ascii="Arial Narrow" w:hAnsi="Arial Narrow" w:cs="Arial"/>
                <w:b/>
                <w:sz w:val="20"/>
                <w:szCs w:val="20"/>
              </w:rPr>
              <w:t>Administrative Advice</w:t>
            </w:r>
          </w:p>
          <w:p w:rsidR="00826F6D" w:rsidRPr="00260CE3" w:rsidRDefault="00826F6D" w:rsidP="00043B55">
            <w:pPr>
              <w:jc w:val="both"/>
              <w:rPr>
                <w:rFonts w:ascii="Arial Narrow" w:hAnsi="Arial Narrow" w:cs="Arial"/>
                <w:i/>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BD3B1C" w:rsidRPr="005922FA" w:rsidRDefault="00BD3B1C" w:rsidP="00043B55">
            <w:pPr>
              <w:contextualSpacing/>
              <w:rPr>
                <w:rFonts w:ascii="Arial Narrow" w:hAnsi="Arial Narrow" w:cs="Arial"/>
                <w:sz w:val="20"/>
                <w:szCs w:val="20"/>
                <w:lang w:val="en-US" w:eastAsia="en-US"/>
              </w:rPr>
            </w:pPr>
            <w:r w:rsidRPr="00B056AC">
              <w:rPr>
                <w:rFonts w:ascii="Arial Narrow" w:hAnsi="Arial Narrow" w:cs="Arial"/>
                <w:sz w:val="20"/>
                <w:szCs w:val="20"/>
                <w:lang w:val="en-US" w:eastAsia="en-US"/>
              </w:rPr>
              <w:t>Except in</w:t>
            </w:r>
            <w:r w:rsidRPr="00B056AC">
              <w:rPr>
                <w:rFonts w:ascii="Arial Narrow" w:hAnsi="Arial Narrow"/>
                <w:sz w:val="20"/>
                <w:szCs w:val="20"/>
              </w:rPr>
              <w:t xml:space="preserve"> cases of hypopituitarism or primary amenorrhoea, the patient should have been adequately treated with clomiphene citrate and/or gonadorelin and failed to have conceived.</w:t>
            </w:r>
          </w:p>
          <w:p w:rsidR="00BD3B1C" w:rsidRPr="005922FA" w:rsidRDefault="00BD3B1C" w:rsidP="00043B55">
            <w:pPr>
              <w:contextualSpacing/>
              <w:rPr>
                <w:rFonts w:ascii="Arial Narrow" w:hAnsi="Arial Narrow" w:cs="Arial"/>
                <w:sz w:val="20"/>
                <w:szCs w:val="20"/>
                <w:lang w:val="en-US" w:eastAsia="en-US"/>
              </w:rPr>
            </w:pPr>
          </w:p>
          <w:p w:rsidR="00BD3B1C" w:rsidRPr="00B056AC" w:rsidRDefault="00BD3B1C" w:rsidP="00043B55">
            <w:pPr>
              <w:contextualSpacing/>
              <w:rPr>
                <w:rFonts w:ascii="Arial Narrow" w:hAnsi="Arial Narrow"/>
                <w:sz w:val="20"/>
                <w:szCs w:val="20"/>
              </w:rPr>
            </w:pPr>
            <w:r w:rsidRPr="005922FA">
              <w:rPr>
                <w:rFonts w:ascii="Arial Narrow" w:hAnsi="Arial Narrow" w:cs="Arial"/>
                <w:sz w:val="20"/>
                <w:szCs w:val="20"/>
                <w:lang w:val="en-US" w:eastAsia="en-US"/>
              </w:rPr>
              <w:t xml:space="preserve">Women who have </w:t>
            </w:r>
            <w:r w:rsidRPr="00B056AC">
              <w:rPr>
                <w:rFonts w:ascii="Arial Narrow" w:hAnsi="Arial Narrow"/>
                <w:sz w:val="20"/>
                <w:szCs w:val="20"/>
              </w:rPr>
              <w:t>had apparent ovulation induced by other agents and have failed to conceive should have laparoscopic evidence that there is no other impediment to conception.</w:t>
            </w:r>
          </w:p>
          <w:p w:rsidR="00BD3B1C" w:rsidRPr="00B056AC" w:rsidRDefault="00BD3B1C" w:rsidP="00043B55">
            <w:pPr>
              <w:contextualSpacing/>
              <w:rPr>
                <w:rFonts w:ascii="Arial Narrow" w:hAnsi="Arial Narrow"/>
                <w:sz w:val="20"/>
                <w:szCs w:val="20"/>
              </w:rPr>
            </w:pPr>
          </w:p>
          <w:p w:rsidR="00BD3B1C" w:rsidRPr="00B056AC" w:rsidRDefault="00BD3B1C" w:rsidP="00043B55">
            <w:pPr>
              <w:contextualSpacing/>
              <w:rPr>
                <w:rFonts w:ascii="Arial Narrow" w:hAnsi="Arial Narrow"/>
                <w:sz w:val="20"/>
                <w:szCs w:val="20"/>
              </w:rPr>
            </w:pPr>
            <w:r w:rsidRPr="00B056AC">
              <w:rPr>
                <w:rFonts w:ascii="Arial Narrow" w:hAnsi="Arial Narrow"/>
                <w:sz w:val="20"/>
                <w:szCs w:val="20"/>
              </w:rPr>
              <w:t>Oligomenorrhoea should have been present for at least twelve months or amenorrhoea for at least six months prior to treatment.</w:t>
            </w:r>
          </w:p>
          <w:p w:rsidR="00BD3B1C" w:rsidRPr="00B056AC" w:rsidRDefault="00BD3B1C" w:rsidP="00043B55">
            <w:pPr>
              <w:contextualSpacing/>
              <w:rPr>
                <w:rFonts w:ascii="Arial Narrow" w:hAnsi="Arial Narrow"/>
                <w:sz w:val="20"/>
                <w:szCs w:val="20"/>
              </w:rPr>
            </w:pPr>
          </w:p>
          <w:p w:rsidR="00826F6D" w:rsidRPr="00260CE3" w:rsidRDefault="00BD3B1C" w:rsidP="00043B55">
            <w:pPr>
              <w:rPr>
                <w:rFonts w:ascii="Arial Narrow" w:hAnsi="Arial Narrow" w:cs="Arial"/>
                <w:sz w:val="20"/>
                <w:szCs w:val="20"/>
              </w:rPr>
            </w:pPr>
            <w:r w:rsidRPr="00B056AC">
              <w:rPr>
                <w:rFonts w:ascii="Arial Narrow" w:hAnsi="Arial Narrow"/>
                <w:sz w:val="20"/>
                <w:szCs w:val="20"/>
              </w:rPr>
              <w:t>Patients with hyperprolactinaemia should have had appropriate surgical or medical treatment prior to treatment.</w:t>
            </w:r>
          </w:p>
        </w:tc>
      </w:tr>
    </w:tbl>
    <w:p w:rsidR="00B476D0" w:rsidRPr="00624355" w:rsidRDefault="00B476D0" w:rsidP="00624355">
      <w:pPr>
        <w:ind w:left="709"/>
        <w:rPr>
          <w:rFonts w:ascii="Arial Narrow" w:hAnsi="Arial Narrow"/>
          <w:sz w:val="20"/>
          <w:szCs w:val="20"/>
        </w:rPr>
      </w:pPr>
      <w:r w:rsidRPr="00624355">
        <w:rPr>
          <w:rFonts w:ascii="Arial Narrow" w:hAnsi="Arial Narrow"/>
          <w:sz w:val="20"/>
          <w:szCs w:val="20"/>
        </w:rPr>
        <w:t>* The pre-PBAC response noted that since the minor resubmission there has been a reduction in the price of the comparator follitropin alfa.</w:t>
      </w:r>
      <w:r>
        <w:rPr>
          <w:rFonts w:ascii="Arial Narrow" w:hAnsi="Arial Narrow"/>
          <w:sz w:val="20"/>
          <w:szCs w:val="20"/>
        </w:rPr>
        <w:t xml:space="preserve"> The pre-PBAC response updated the requested DPMQ to $</w:t>
      </w:r>
      <w:r w:rsidR="00E73DF8">
        <w:rPr>
          <w:rFonts w:ascii="Arial Narrow" w:hAnsi="Arial Narrow"/>
          <w:noProof/>
          <w:color w:val="000000"/>
          <w:sz w:val="20"/>
          <w:szCs w:val="20"/>
          <w:highlight w:val="black"/>
        </w:rPr>
        <w:t>''''''''''''''''</w:t>
      </w:r>
      <w:r>
        <w:rPr>
          <w:rFonts w:ascii="Arial Narrow" w:hAnsi="Arial Narrow"/>
          <w:sz w:val="20"/>
          <w:szCs w:val="20"/>
        </w:rPr>
        <w:t xml:space="preserve"> </w:t>
      </w:r>
      <w:r w:rsidR="00896E8F">
        <w:rPr>
          <w:rFonts w:ascii="Arial Narrow" w:hAnsi="Arial Narrow"/>
          <w:sz w:val="20"/>
          <w:szCs w:val="20"/>
        </w:rPr>
        <w:t>(</w:t>
      </w:r>
      <w:r>
        <w:rPr>
          <w:rFonts w:ascii="Arial Narrow" w:hAnsi="Arial Narrow"/>
          <w:sz w:val="20"/>
          <w:szCs w:val="20"/>
        </w:rPr>
        <w:t>or $</w:t>
      </w:r>
      <w:r w:rsidR="00E73DF8">
        <w:rPr>
          <w:rFonts w:ascii="Arial Narrow" w:hAnsi="Arial Narrow"/>
          <w:noProof/>
          <w:color w:val="000000"/>
          <w:sz w:val="20"/>
          <w:szCs w:val="20"/>
          <w:highlight w:val="black"/>
        </w:rPr>
        <w:t>'''''''''''''''</w:t>
      </w:r>
      <w:r>
        <w:rPr>
          <w:rFonts w:ascii="Arial Narrow" w:hAnsi="Arial Narrow"/>
          <w:sz w:val="20"/>
          <w:szCs w:val="20"/>
        </w:rPr>
        <w:t xml:space="preserve"> with a maximum quantity of 4</w:t>
      </w:r>
      <w:r w:rsidR="00896E8F">
        <w:rPr>
          <w:rFonts w:ascii="Arial Narrow" w:hAnsi="Arial Narrow"/>
          <w:sz w:val="20"/>
          <w:szCs w:val="20"/>
        </w:rPr>
        <w:t>)</w:t>
      </w:r>
      <w:r>
        <w:rPr>
          <w:rFonts w:ascii="Arial Narrow" w:hAnsi="Arial Narrow"/>
          <w:sz w:val="20"/>
          <w:szCs w:val="20"/>
        </w:rPr>
        <w:t>.</w:t>
      </w:r>
    </w:p>
    <w:p w:rsidR="00B476D0" w:rsidRDefault="00B476D0" w:rsidP="00737989">
      <w:pPr>
        <w:pStyle w:val="ListParagraph"/>
        <w:widowControl/>
      </w:pPr>
    </w:p>
    <w:p w:rsidR="00896E8F" w:rsidRDefault="00896E8F" w:rsidP="00737989">
      <w:pPr>
        <w:pStyle w:val="ListParagraph"/>
        <w:widowControl/>
      </w:pPr>
    </w:p>
    <w:p w:rsidR="00CE10C4" w:rsidRPr="00C603D4" w:rsidRDefault="00CE10C4" w:rsidP="00043B55">
      <w:pPr>
        <w:pStyle w:val="PBACHeading1"/>
      </w:pPr>
      <w:r w:rsidRPr="00C603D4">
        <w:t>Background</w:t>
      </w:r>
    </w:p>
    <w:p w:rsidR="00C603D4" w:rsidRPr="00C603D4" w:rsidRDefault="00C603D4" w:rsidP="00043B55">
      <w:pPr>
        <w:pStyle w:val="ListParagraph"/>
        <w:widowControl/>
        <w:rPr>
          <w:i/>
          <w:szCs w:val="22"/>
        </w:rPr>
      </w:pPr>
    </w:p>
    <w:p w:rsidR="00EC634D" w:rsidRPr="00882085" w:rsidRDefault="008856C3" w:rsidP="00043B55">
      <w:pPr>
        <w:pStyle w:val="ListParagraph"/>
        <w:widowControl/>
        <w:numPr>
          <w:ilvl w:val="1"/>
          <w:numId w:val="5"/>
        </w:numPr>
      </w:pPr>
      <w:r>
        <w:t xml:space="preserve">HP-hMG </w:t>
      </w:r>
      <w:r w:rsidR="00EC634D">
        <w:t>was TGA registered in July 2011</w:t>
      </w:r>
      <w:r w:rsidR="00EC634D" w:rsidRPr="00E10FEC">
        <w:t xml:space="preserve"> </w:t>
      </w:r>
      <w:r w:rsidR="00EC634D">
        <w:t xml:space="preserve">for women with anovulatory infertility, and controlled ovarian hyperstimulation as part of an </w:t>
      </w:r>
      <w:r w:rsidR="00EC634D" w:rsidRPr="00143839">
        <w:t xml:space="preserve">Assisted Reproductive Technology </w:t>
      </w:r>
      <w:r w:rsidR="00B70DBE">
        <w:t>(ART) treatment program.</w:t>
      </w:r>
    </w:p>
    <w:p w:rsidR="006B0D94" w:rsidRPr="00882085" w:rsidRDefault="006B0D94" w:rsidP="00043B55">
      <w:pPr>
        <w:pStyle w:val="ListParagraph"/>
        <w:widowControl/>
        <w:rPr>
          <w:szCs w:val="22"/>
        </w:rPr>
      </w:pPr>
    </w:p>
    <w:p w:rsidR="00210717" w:rsidRDefault="00A159AF" w:rsidP="00043B55">
      <w:pPr>
        <w:pStyle w:val="ListParagraph"/>
        <w:widowControl/>
        <w:numPr>
          <w:ilvl w:val="1"/>
          <w:numId w:val="5"/>
        </w:numPr>
        <w:rPr>
          <w:szCs w:val="22"/>
        </w:rPr>
      </w:pPr>
      <w:r>
        <w:rPr>
          <w:szCs w:val="22"/>
        </w:rPr>
        <w:t xml:space="preserve">In </w:t>
      </w:r>
      <w:r w:rsidR="00210717" w:rsidRPr="00976835">
        <w:rPr>
          <w:szCs w:val="22"/>
        </w:rPr>
        <w:t xml:space="preserve">March 2012, the PBAC recommended listing HP-hMG as an Authority required item under Section 100 </w:t>
      </w:r>
      <w:r>
        <w:rPr>
          <w:szCs w:val="22"/>
        </w:rPr>
        <w:t>(</w:t>
      </w:r>
      <w:r w:rsidR="00210717" w:rsidRPr="00976835">
        <w:rPr>
          <w:szCs w:val="22"/>
        </w:rPr>
        <w:t>IVF program</w:t>
      </w:r>
      <w:r>
        <w:rPr>
          <w:szCs w:val="22"/>
        </w:rPr>
        <w:t>)</w:t>
      </w:r>
      <w:r w:rsidR="00210717" w:rsidRPr="00976835">
        <w:rPr>
          <w:szCs w:val="22"/>
        </w:rPr>
        <w:t xml:space="preserve"> for use as part of ART. Listing was on a cost-minimisation basis against follitropin alfa. The equi-effective doses were 1.01 IU of HP</w:t>
      </w:r>
      <w:r w:rsidR="00552E21">
        <w:rPr>
          <w:szCs w:val="22"/>
        </w:rPr>
        <w:t>-hMG and 1 IU follitropin alfa.</w:t>
      </w:r>
      <w:r w:rsidR="00FA4D46">
        <w:rPr>
          <w:szCs w:val="22"/>
        </w:rPr>
        <w:t xml:space="preserve"> F</w:t>
      </w:r>
      <w:r w:rsidR="00FA4D46" w:rsidRPr="00C72DB6">
        <w:t xml:space="preserve">or the ART indication HP-hMG was listed at a lower price per IU compared with follitropin alfa to reflect the dose relativity of 1.01:1 and additional wastage. </w:t>
      </w:r>
      <w:r w:rsidR="00FA4D46">
        <w:t xml:space="preserve">Specifically, HP-hMG was listed with an AEMP per IU that was </w:t>
      </w:r>
      <w:r w:rsidR="00FA4D46" w:rsidRPr="00C72DB6">
        <w:t>7.8%</w:t>
      </w:r>
      <w:r w:rsidR="00FA4D46">
        <w:t xml:space="preserve"> lower than for </w:t>
      </w:r>
      <w:r w:rsidR="00FA4D46" w:rsidRPr="00C72DB6">
        <w:t>follitropin alfa</w:t>
      </w:r>
      <w:r w:rsidR="00FA4D46">
        <w:t>.</w:t>
      </w:r>
    </w:p>
    <w:p w:rsidR="00D15095" w:rsidRPr="00D15095" w:rsidRDefault="00D15095" w:rsidP="00043B55">
      <w:pPr>
        <w:pStyle w:val="ListParagraph"/>
        <w:widowControl/>
        <w:rPr>
          <w:szCs w:val="22"/>
        </w:rPr>
      </w:pPr>
    </w:p>
    <w:p w:rsidR="000F6ED8" w:rsidRPr="00235AD0" w:rsidRDefault="00D15095" w:rsidP="00043B55">
      <w:pPr>
        <w:pStyle w:val="ListParagraph"/>
        <w:widowControl/>
        <w:numPr>
          <w:ilvl w:val="1"/>
          <w:numId w:val="5"/>
        </w:numPr>
        <w:rPr>
          <w:szCs w:val="22"/>
        </w:rPr>
      </w:pPr>
      <w:r w:rsidRPr="00976835">
        <w:rPr>
          <w:szCs w:val="22"/>
        </w:rPr>
        <w:t>Two gonadotrophins are</w:t>
      </w:r>
      <w:r w:rsidR="000A783B">
        <w:rPr>
          <w:szCs w:val="22"/>
        </w:rPr>
        <w:t xml:space="preserve"> currently</w:t>
      </w:r>
      <w:r w:rsidRPr="00976835">
        <w:rPr>
          <w:szCs w:val="22"/>
        </w:rPr>
        <w:t xml:space="preserve"> listed under Section 85 for patients with anovulatory infertility, follitropin alfa and follitropin beta. </w:t>
      </w:r>
      <w:r w:rsidRPr="00976835">
        <w:t xml:space="preserve">The PBAC has previously accepted that follitropin beta is equivalent to follitropin alfa </w:t>
      </w:r>
      <w:r w:rsidRPr="00976835">
        <w:rPr>
          <w:bCs/>
        </w:rPr>
        <w:t>on a per unit basis</w:t>
      </w:r>
      <w:r w:rsidR="00737989">
        <w:rPr>
          <w:bCs/>
        </w:rPr>
        <w:t xml:space="preserve"> (therapeutic relativity sheets – 1 December 2016)</w:t>
      </w:r>
      <w:r w:rsidR="00B70DBE">
        <w:t>.</w:t>
      </w:r>
    </w:p>
    <w:p w:rsidR="008F2EC6" w:rsidRPr="00191AC6" w:rsidRDefault="008F2EC6" w:rsidP="00043B55">
      <w:pPr>
        <w:rPr>
          <w:szCs w:val="22"/>
        </w:rPr>
      </w:pPr>
    </w:p>
    <w:p w:rsidR="008D5FF2" w:rsidRDefault="00907070" w:rsidP="00043B55">
      <w:pPr>
        <w:pStyle w:val="ListParagraph"/>
        <w:widowControl/>
        <w:numPr>
          <w:ilvl w:val="1"/>
          <w:numId w:val="5"/>
        </w:numPr>
        <w:rPr>
          <w:szCs w:val="22"/>
        </w:rPr>
      </w:pPr>
      <w:r>
        <w:t xml:space="preserve">The PBAC rejected </w:t>
      </w:r>
      <w:r w:rsidR="008D7DE3">
        <w:t>HP-hMG</w:t>
      </w:r>
      <w:r w:rsidR="004C1582">
        <w:t xml:space="preserve"> </w:t>
      </w:r>
      <w:r>
        <w:t xml:space="preserve">in </w:t>
      </w:r>
      <w:r w:rsidR="00C56B96" w:rsidRPr="00890ECB">
        <w:rPr>
          <w:szCs w:val="22"/>
        </w:rPr>
        <w:t>March 2016 for the treatment of anovulatory infertility</w:t>
      </w:r>
      <w:r w:rsidR="007A2D5F">
        <w:rPr>
          <w:szCs w:val="22"/>
        </w:rPr>
        <w:t xml:space="preserve"> (gonadotrophin public summary document (PSD), March 2016 PBAC meeting)</w:t>
      </w:r>
      <w:r w:rsidR="00C56B96" w:rsidRPr="00890ECB">
        <w:rPr>
          <w:szCs w:val="22"/>
        </w:rPr>
        <w:t>.</w:t>
      </w:r>
      <w:r w:rsidR="00E447EB" w:rsidRPr="00890ECB">
        <w:rPr>
          <w:szCs w:val="22"/>
        </w:rPr>
        <w:t xml:space="preserve"> T</w:t>
      </w:r>
      <w:r w:rsidR="00CD613B" w:rsidRPr="00890ECB">
        <w:rPr>
          <w:szCs w:val="22"/>
        </w:rPr>
        <w:t xml:space="preserve">he PBAC considered </w:t>
      </w:r>
      <w:r w:rsidR="00180BBC" w:rsidRPr="00890ECB">
        <w:rPr>
          <w:szCs w:val="22"/>
        </w:rPr>
        <w:t xml:space="preserve">that extending the listing of </w:t>
      </w:r>
      <w:r w:rsidR="008D7DE3">
        <w:rPr>
          <w:szCs w:val="22"/>
        </w:rPr>
        <w:t>HP-hMG</w:t>
      </w:r>
      <w:r w:rsidR="00180BBC" w:rsidRPr="00890ECB">
        <w:rPr>
          <w:szCs w:val="22"/>
        </w:rPr>
        <w:t xml:space="preserve"> would not address any unmet clinical need. </w:t>
      </w:r>
      <w:r w:rsidR="007F1BE1" w:rsidRPr="00890ECB">
        <w:rPr>
          <w:szCs w:val="22"/>
        </w:rPr>
        <w:t>The</w:t>
      </w:r>
      <w:r w:rsidR="006C0933" w:rsidRPr="00890ECB">
        <w:rPr>
          <w:szCs w:val="22"/>
        </w:rPr>
        <w:t xml:space="preserve"> evidence presented in the </w:t>
      </w:r>
      <w:r w:rsidR="000B4019" w:rsidRPr="00890ECB">
        <w:rPr>
          <w:szCs w:val="22"/>
        </w:rPr>
        <w:t xml:space="preserve">March 2016 </w:t>
      </w:r>
      <w:r w:rsidR="006C0933" w:rsidRPr="00890ECB">
        <w:rPr>
          <w:szCs w:val="22"/>
        </w:rPr>
        <w:t>submission did not adequately support a claim of non-inferiority to th</w:t>
      </w:r>
      <w:r w:rsidR="007F1BE1" w:rsidRPr="00890ECB">
        <w:rPr>
          <w:szCs w:val="22"/>
        </w:rPr>
        <w:t>e comparator, follitropin alfa</w:t>
      </w:r>
      <w:r w:rsidR="00E420A5">
        <w:rPr>
          <w:szCs w:val="22"/>
        </w:rPr>
        <w:t>,</w:t>
      </w:r>
      <w:r w:rsidR="007F1BE1" w:rsidRPr="00890ECB">
        <w:rPr>
          <w:szCs w:val="22"/>
        </w:rPr>
        <w:t xml:space="preserve"> and t</w:t>
      </w:r>
      <w:r w:rsidR="00D2707C" w:rsidRPr="00890ECB">
        <w:rPr>
          <w:szCs w:val="22"/>
        </w:rPr>
        <w:t>he PBAC considered that there was considerable uncertainty regarding the equi</w:t>
      </w:r>
      <w:r w:rsidR="00C56B96" w:rsidRPr="00890ECB">
        <w:rPr>
          <w:szCs w:val="22"/>
        </w:rPr>
        <w:noBreakHyphen/>
      </w:r>
      <w:r w:rsidR="00D2707C" w:rsidRPr="00AE20C2">
        <w:rPr>
          <w:szCs w:val="22"/>
        </w:rPr>
        <w:t>effective doses.</w:t>
      </w:r>
    </w:p>
    <w:p w:rsidR="00A20DFB" w:rsidRPr="00074352" w:rsidRDefault="00A20DFB" w:rsidP="00043B55">
      <w:pPr>
        <w:rPr>
          <w:szCs w:val="22"/>
        </w:rPr>
      </w:pPr>
    </w:p>
    <w:p w:rsidR="007309EA" w:rsidRPr="00637A4E" w:rsidRDefault="007309EA" w:rsidP="00043B55">
      <w:pPr>
        <w:pStyle w:val="ListParagraph"/>
        <w:widowControl/>
        <w:numPr>
          <w:ilvl w:val="1"/>
          <w:numId w:val="5"/>
        </w:numPr>
        <w:rPr>
          <w:szCs w:val="22"/>
        </w:rPr>
      </w:pPr>
      <w:r>
        <w:t>A summary of the previous submission, the PBAC</w:t>
      </w:r>
      <w:r w:rsidR="001E53B1">
        <w:t>’</w:t>
      </w:r>
      <w:r>
        <w:t xml:space="preserve">s view, and the current resubmission is provided in </w:t>
      </w:r>
      <w:r w:rsidR="00A92773">
        <w:t>T</w:t>
      </w:r>
      <w:r>
        <w:t xml:space="preserve">able </w:t>
      </w:r>
      <w:r w:rsidR="00591067">
        <w:t>1</w:t>
      </w:r>
      <w:r>
        <w:t>.</w:t>
      </w:r>
    </w:p>
    <w:p w:rsidR="00BA035C" w:rsidRDefault="00BA035C" w:rsidP="00043B55">
      <w:pPr>
        <w:pStyle w:val="ListParagraph"/>
        <w:widowControl/>
        <w:rPr>
          <w:szCs w:val="22"/>
        </w:rPr>
      </w:pPr>
    </w:p>
    <w:p w:rsidR="008A7D27" w:rsidRDefault="00AE503F" w:rsidP="00B70DBE">
      <w:pPr>
        <w:pStyle w:val="ListParagraph"/>
        <w:keepNext/>
        <w:widowControl/>
        <w:ind w:left="0" w:firstLine="709"/>
        <w:jc w:val="left"/>
      </w:pPr>
      <w:r w:rsidRPr="00AE503F">
        <w:rPr>
          <w:rFonts w:ascii="Arial Narrow" w:hAnsi="Arial Narrow"/>
          <w:b/>
          <w:sz w:val="20"/>
        </w:rPr>
        <w:t xml:space="preserve">Table 1: </w:t>
      </w:r>
      <w:r>
        <w:rPr>
          <w:rFonts w:ascii="Arial Narrow" w:hAnsi="Arial Narrow"/>
          <w:b/>
          <w:sz w:val="20"/>
        </w:rPr>
        <w:t xml:space="preserve">PBAC issues </w:t>
      </w:r>
      <w:r w:rsidR="00A2373A">
        <w:rPr>
          <w:rFonts w:ascii="Arial Narrow" w:hAnsi="Arial Narrow"/>
          <w:b/>
          <w:sz w:val="20"/>
        </w:rPr>
        <w:t xml:space="preserve">in previous submission and how </w:t>
      </w:r>
      <w:r w:rsidR="0040232B">
        <w:rPr>
          <w:rFonts w:ascii="Arial Narrow" w:hAnsi="Arial Narrow"/>
          <w:b/>
          <w:sz w:val="20"/>
        </w:rPr>
        <w:t xml:space="preserve">the </w:t>
      </w:r>
      <w:r w:rsidR="00A2373A">
        <w:rPr>
          <w:rFonts w:ascii="Arial Narrow" w:hAnsi="Arial Narrow"/>
          <w:b/>
          <w:sz w:val="20"/>
        </w:rPr>
        <w:t>current resubmission addresses them</w:t>
      </w:r>
    </w:p>
    <w:tbl>
      <w:tblPr>
        <w:tblStyle w:val="TableGrid"/>
        <w:tblW w:w="0" w:type="auto"/>
        <w:tblInd w:w="817" w:type="dxa"/>
        <w:tblLook w:val="04A0" w:firstRow="1" w:lastRow="0" w:firstColumn="1" w:lastColumn="0" w:noHBand="0" w:noVBand="1"/>
        <w:tblCaption w:val="Summary of previous submission(s) and resubmission"/>
        <w:tblDescription w:val="Summary of PBAC issues in previous submission and how they are addressed in the resbusmission."/>
      </w:tblPr>
      <w:tblGrid>
        <w:gridCol w:w="1249"/>
        <w:gridCol w:w="2426"/>
        <w:gridCol w:w="2374"/>
        <w:gridCol w:w="2376"/>
      </w:tblGrid>
      <w:tr w:rsidR="00045348" w:rsidRPr="00E07C52" w:rsidTr="00642FA5">
        <w:trPr>
          <w:trHeight w:val="518"/>
          <w:tblHeader/>
        </w:trPr>
        <w:tc>
          <w:tcPr>
            <w:tcW w:w="1276" w:type="dxa"/>
          </w:tcPr>
          <w:p w:rsidR="00045348" w:rsidRPr="00E07C52" w:rsidRDefault="00045348" w:rsidP="00B70DBE">
            <w:pPr>
              <w:keepNext/>
              <w:jc w:val="center"/>
              <w:rPr>
                <w:rFonts w:ascii="Arial Narrow" w:hAnsi="Arial Narrow"/>
                <w:b/>
                <w:sz w:val="20"/>
                <w:szCs w:val="20"/>
              </w:rPr>
            </w:pPr>
            <w:r w:rsidRPr="00E07C52">
              <w:rPr>
                <w:rFonts w:ascii="Arial Narrow" w:hAnsi="Arial Narrow"/>
                <w:b/>
                <w:sz w:val="20"/>
                <w:szCs w:val="20"/>
              </w:rPr>
              <w:t>PBAC Issues</w:t>
            </w:r>
          </w:p>
        </w:tc>
        <w:tc>
          <w:tcPr>
            <w:tcW w:w="2485" w:type="dxa"/>
          </w:tcPr>
          <w:p w:rsidR="00045348" w:rsidRDefault="00045348" w:rsidP="00B70DBE">
            <w:pPr>
              <w:keepNext/>
              <w:jc w:val="center"/>
              <w:rPr>
                <w:rFonts w:ascii="Arial Narrow" w:hAnsi="Arial Narrow"/>
                <w:b/>
                <w:sz w:val="20"/>
                <w:szCs w:val="20"/>
              </w:rPr>
            </w:pPr>
            <w:r w:rsidRPr="00E07C52">
              <w:rPr>
                <w:rFonts w:ascii="Arial Narrow" w:hAnsi="Arial Narrow"/>
                <w:b/>
                <w:sz w:val="20"/>
                <w:szCs w:val="20"/>
              </w:rPr>
              <w:t>Sponsors claim</w:t>
            </w:r>
          </w:p>
          <w:p w:rsidR="00045348" w:rsidRPr="00E07C52" w:rsidRDefault="00045348" w:rsidP="00B70DBE">
            <w:pPr>
              <w:keepNext/>
              <w:jc w:val="center"/>
              <w:rPr>
                <w:rFonts w:ascii="Arial Narrow" w:hAnsi="Arial Narrow"/>
                <w:b/>
                <w:sz w:val="20"/>
                <w:szCs w:val="20"/>
              </w:rPr>
            </w:pPr>
            <w:r w:rsidRPr="00E07C52">
              <w:rPr>
                <w:rFonts w:ascii="Arial Narrow" w:hAnsi="Arial Narrow"/>
                <w:b/>
                <w:sz w:val="20"/>
                <w:szCs w:val="20"/>
              </w:rPr>
              <w:t>March 2016 Submission</w:t>
            </w:r>
          </w:p>
        </w:tc>
        <w:tc>
          <w:tcPr>
            <w:tcW w:w="2485" w:type="dxa"/>
          </w:tcPr>
          <w:p w:rsidR="00045348" w:rsidRDefault="00045348" w:rsidP="00B70DBE">
            <w:pPr>
              <w:keepNext/>
              <w:jc w:val="center"/>
              <w:rPr>
                <w:rFonts w:ascii="Arial Narrow" w:hAnsi="Arial Narrow"/>
                <w:b/>
                <w:sz w:val="20"/>
                <w:szCs w:val="20"/>
              </w:rPr>
            </w:pPr>
            <w:r>
              <w:rPr>
                <w:rFonts w:ascii="Arial Narrow" w:hAnsi="Arial Narrow"/>
                <w:b/>
                <w:sz w:val="20"/>
                <w:szCs w:val="20"/>
              </w:rPr>
              <w:t>PBAC view</w:t>
            </w:r>
          </w:p>
          <w:p w:rsidR="00045348" w:rsidRPr="00E07C52" w:rsidRDefault="00045348" w:rsidP="00B70DBE">
            <w:pPr>
              <w:keepNext/>
              <w:jc w:val="center"/>
              <w:rPr>
                <w:rFonts w:ascii="Arial Narrow" w:hAnsi="Arial Narrow"/>
                <w:b/>
                <w:sz w:val="20"/>
                <w:szCs w:val="20"/>
              </w:rPr>
            </w:pPr>
            <w:r w:rsidRPr="00E07C52">
              <w:rPr>
                <w:rFonts w:ascii="Arial Narrow" w:hAnsi="Arial Narrow"/>
                <w:b/>
                <w:sz w:val="20"/>
                <w:szCs w:val="20"/>
              </w:rPr>
              <w:t>March 2016 Submission</w:t>
            </w:r>
          </w:p>
        </w:tc>
        <w:tc>
          <w:tcPr>
            <w:tcW w:w="2485" w:type="dxa"/>
          </w:tcPr>
          <w:p w:rsidR="00045348" w:rsidRDefault="00045348" w:rsidP="00B70DBE">
            <w:pPr>
              <w:keepNext/>
              <w:jc w:val="center"/>
              <w:rPr>
                <w:rFonts w:ascii="Arial Narrow" w:hAnsi="Arial Narrow"/>
                <w:b/>
                <w:sz w:val="20"/>
                <w:szCs w:val="20"/>
              </w:rPr>
            </w:pPr>
            <w:r w:rsidRPr="00E07C52">
              <w:rPr>
                <w:rFonts w:ascii="Arial Narrow" w:hAnsi="Arial Narrow"/>
                <w:b/>
                <w:sz w:val="20"/>
                <w:szCs w:val="20"/>
              </w:rPr>
              <w:t>Current resubmission</w:t>
            </w:r>
          </w:p>
          <w:p w:rsidR="00045348" w:rsidRPr="00E07C52" w:rsidRDefault="00045348" w:rsidP="00B70DBE">
            <w:pPr>
              <w:keepNext/>
              <w:jc w:val="center"/>
              <w:rPr>
                <w:rFonts w:ascii="Arial Narrow" w:hAnsi="Arial Narrow"/>
                <w:b/>
                <w:sz w:val="20"/>
                <w:szCs w:val="20"/>
              </w:rPr>
            </w:pPr>
            <w:r w:rsidRPr="00E07C52">
              <w:rPr>
                <w:rFonts w:ascii="Arial Narrow" w:hAnsi="Arial Narrow"/>
                <w:b/>
                <w:sz w:val="20"/>
                <w:szCs w:val="20"/>
              </w:rPr>
              <w:t>November 2016</w:t>
            </w:r>
          </w:p>
        </w:tc>
      </w:tr>
      <w:tr w:rsidR="00045348" w:rsidRPr="00E07C52" w:rsidTr="00642FA5">
        <w:trPr>
          <w:trHeight w:val="560"/>
        </w:trPr>
        <w:tc>
          <w:tcPr>
            <w:tcW w:w="1276" w:type="dxa"/>
          </w:tcPr>
          <w:p w:rsidR="00045348" w:rsidRPr="00E07C52" w:rsidRDefault="00045348" w:rsidP="00624355">
            <w:pPr>
              <w:rPr>
                <w:rFonts w:ascii="Arial Narrow" w:hAnsi="Arial Narrow"/>
                <w:b/>
                <w:sz w:val="20"/>
                <w:szCs w:val="20"/>
              </w:rPr>
            </w:pPr>
            <w:r w:rsidRPr="00E07C52">
              <w:rPr>
                <w:rFonts w:ascii="Arial Narrow" w:hAnsi="Arial Narrow"/>
                <w:b/>
                <w:sz w:val="20"/>
                <w:szCs w:val="20"/>
              </w:rPr>
              <w:t>Clinical need</w:t>
            </w:r>
          </w:p>
        </w:tc>
        <w:tc>
          <w:tcPr>
            <w:tcW w:w="2485" w:type="dxa"/>
          </w:tcPr>
          <w:p w:rsidR="00045348" w:rsidRPr="00E07C52" w:rsidRDefault="00045348" w:rsidP="00624355">
            <w:pPr>
              <w:pStyle w:val="ListParagraph"/>
              <w:widowControl/>
              <w:numPr>
                <w:ilvl w:val="0"/>
                <w:numId w:val="18"/>
              </w:numPr>
              <w:ind w:left="197" w:hanging="197"/>
              <w:jc w:val="left"/>
              <w:rPr>
                <w:rFonts w:ascii="Arial Narrow" w:hAnsi="Arial Narrow"/>
                <w:sz w:val="20"/>
              </w:rPr>
            </w:pPr>
            <w:r w:rsidRPr="00E07C52">
              <w:rPr>
                <w:rFonts w:ascii="Arial Narrow" w:hAnsi="Arial Narrow"/>
                <w:sz w:val="20"/>
              </w:rPr>
              <w:t>The sponsor argued that there is a strong rationale for the listing of a gonadotrophin containing LH activity for anovulatory infertility.</w:t>
            </w:r>
          </w:p>
          <w:p w:rsidR="00045348" w:rsidRPr="00045348" w:rsidRDefault="00045348" w:rsidP="00FA4D46">
            <w:pPr>
              <w:pStyle w:val="ListParagraph"/>
              <w:widowControl/>
              <w:ind w:left="197"/>
              <w:jc w:val="left"/>
              <w:rPr>
                <w:rFonts w:ascii="Arial Narrow" w:hAnsi="Arial Narrow"/>
                <w:sz w:val="20"/>
              </w:rPr>
            </w:pPr>
            <w:r w:rsidRPr="00E07C52">
              <w:rPr>
                <w:rFonts w:ascii="Arial Narrow" w:hAnsi="Arial Narrow"/>
                <w:sz w:val="20"/>
              </w:rPr>
              <w:t xml:space="preserve">The sponsor claimed that </w:t>
            </w:r>
            <w:r w:rsidR="00FA4D46">
              <w:rPr>
                <w:rFonts w:ascii="Arial Narrow" w:hAnsi="Arial Narrow"/>
                <w:sz w:val="20"/>
              </w:rPr>
              <w:t>HP-hMG</w:t>
            </w:r>
            <w:r w:rsidR="00FA4D46" w:rsidRPr="00E07C52">
              <w:rPr>
                <w:rFonts w:ascii="Arial Narrow" w:hAnsi="Arial Narrow"/>
                <w:sz w:val="20"/>
              </w:rPr>
              <w:t xml:space="preserve"> </w:t>
            </w:r>
            <w:r w:rsidRPr="00E07C52">
              <w:rPr>
                <w:rFonts w:ascii="Arial Narrow" w:hAnsi="Arial Narrow"/>
                <w:sz w:val="20"/>
              </w:rPr>
              <w:t>contains FSH activity and LH activity in a 1:1 ratio, unlike follitropin alfa which only contains FSH activity and possesses different pharmacodynamics effects.</w:t>
            </w:r>
          </w:p>
        </w:tc>
        <w:tc>
          <w:tcPr>
            <w:tcW w:w="2485" w:type="dxa"/>
          </w:tcPr>
          <w:p w:rsidR="00045348" w:rsidRPr="00C86398" w:rsidRDefault="00045348" w:rsidP="00624355">
            <w:pPr>
              <w:pStyle w:val="ListParagraph"/>
              <w:widowControl/>
              <w:numPr>
                <w:ilvl w:val="0"/>
                <w:numId w:val="18"/>
              </w:numPr>
              <w:ind w:left="197" w:hanging="197"/>
              <w:jc w:val="left"/>
              <w:rPr>
                <w:rFonts w:ascii="Arial Narrow" w:hAnsi="Arial Narrow"/>
                <w:sz w:val="20"/>
              </w:rPr>
            </w:pPr>
            <w:r w:rsidRPr="00E07C52">
              <w:rPr>
                <w:rFonts w:ascii="Arial Narrow" w:hAnsi="Arial Narrow"/>
                <w:sz w:val="20"/>
              </w:rPr>
              <w:t xml:space="preserve">The PBAC decided not to recommend extending the listing of </w:t>
            </w:r>
            <w:r>
              <w:rPr>
                <w:rFonts w:ascii="Arial Narrow" w:hAnsi="Arial Narrow"/>
                <w:sz w:val="20"/>
              </w:rPr>
              <w:t>HP-hMG</w:t>
            </w:r>
            <w:r w:rsidRPr="00E07C52">
              <w:rPr>
                <w:rFonts w:ascii="Arial Narrow" w:hAnsi="Arial Narrow"/>
                <w:sz w:val="20"/>
              </w:rPr>
              <w:t xml:space="preserve"> as this would not address any unmet clinical need for anovulatory infertility.</w:t>
            </w:r>
          </w:p>
        </w:tc>
        <w:tc>
          <w:tcPr>
            <w:tcW w:w="2485" w:type="dxa"/>
          </w:tcPr>
          <w:p w:rsidR="00045348" w:rsidRDefault="00045348" w:rsidP="00624355">
            <w:pPr>
              <w:pStyle w:val="ListParagraph"/>
              <w:widowControl/>
              <w:numPr>
                <w:ilvl w:val="0"/>
                <w:numId w:val="18"/>
              </w:numPr>
              <w:ind w:left="197" w:hanging="197"/>
              <w:jc w:val="left"/>
              <w:rPr>
                <w:rFonts w:ascii="Arial Narrow" w:hAnsi="Arial Narrow"/>
                <w:sz w:val="20"/>
              </w:rPr>
            </w:pPr>
            <w:r w:rsidRPr="00E07C52">
              <w:rPr>
                <w:rFonts w:ascii="Arial Narrow" w:hAnsi="Arial Narrow"/>
                <w:sz w:val="20"/>
              </w:rPr>
              <w:t>The resubmission disagreed with the PBAC comments and again argued that there is a strong rationale for the listing of a gonadotrophin containing LH activity for anovulatory infertility.</w:t>
            </w:r>
          </w:p>
          <w:p w:rsidR="00045348" w:rsidRPr="00BD6DA6" w:rsidRDefault="00045348" w:rsidP="00624355">
            <w:pPr>
              <w:pStyle w:val="ListParagraph"/>
              <w:widowControl/>
              <w:numPr>
                <w:ilvl w:val="0"/>
                <w:numId w:val="18"/>
              </w:numPr>
              <w:ind w:left="197" w:hanging="197"/>
              <w:jc w:val="left"/>
              <w:rPr>
                <w:rFonts w:ascii="Arial Narrow" w:hAnsi="Arial Narrow"/>
                <w:sz w:val="20"/>
              </w:rPr>
            </w:pPr>
            <w:r w:rsidRPr="00E07C52">
              <w:rPr>
                <w:rFonts w:ascii="Arial Narrow" w:hAnsi="Arial Narrow"/>
                <w:sz w:val="20"/>
              </w:rPr>
              <w:t xml:space="preserve">The resubmission provided evidence in the form of statements from clinicians supporting the clinical need for </w:t>
            </w:r>
            <w:r>
              <w:rPr>
                <w:rFonts w:ascii="Arial Narrow" w:hAnsi="Arial Narrow"/>
                <w:sz w:val="20"/>
              </w:rPr>
              <w:t>HP-hMG</w:t>
            </w:r>
            <w:r w:rsidRPr="00E07C52">
              <w:rPr>
                <w:rFonts w:ascii="Arial Narrow" w:hAnsi="Arial Narrow"/>
                <w:sz w:val="20"/>
              </w:rPr>
              <w:t xml:space="preserve"> for treatment of anovulatory infertility.</w:t>
            </w:r>
          </w:p>
        </w:tc>
      </w:tr>
      <w:tr w:rsidR="00045348" w:rsidRPr="00E07C52" w:rsidTr="00642FA5">
        <w:trPr>
          <w:trHeight w:val="875"/>
        </w:trPr>
        <w:tc>
          <w:tcPr>
            <w:tcW w:w="1276" w:type="dxa"/>
          </w:tcPr>
          <w:p w:rsidR="00045348" w:rsidRPr="00E07C52" w:rsidRDefault="00045348" w:rsidP="00624355">
            <w:pPr>
              <w:rPr>
                <w:rFonts w:ascii="Arial Narrow" w:hAnsi="Arial Narrow"/>
                <w:b/>
                <w:sz w:val="20"/>
                <w:szCs w:val="20"/>
              </w:rPr>
            </w:pPr>
            <w:r>
              <w:rPr>
                <w:rFonts w:ascii="Arial Narrow" w:hAnsi="Arial Narrow"/>
                <w:b/>
                <w:sz w:val="20"/>
                <w:szCs w:val="20"/>
              </w:rPr>
              <w:lastRenderedPageBreak/>
              <w:t xml:space="preserve">Clinical claim: </w:t>
            </w:r>
            <w:r w:rsidRPr="00E07C52">
              <w:rPr>
                <w:rFonts w:ascii="Arial Narrow" w:hAnsi="Arial Narrow"/>
                <w:b/>
                <w:sz w:val="20"/>
                <w:szCs w:val="20"/>
              </w:rPr>
              <w:t>Non-inferiority</w:t>
            </w:r>
          </w:p>
          <w:p w:rsidR="00045348" w:rsidRPr="00E07C52" w:rsidRDefault="00045348" w:rsidP="00624355">
            <w:pPr>
              <w:rPr>
                <w:rFonts w:ascii="Arial Narrow" w:hAnsi="Arial Narrow"/>
                <w:sz w:val="20"/>
                <w:szCs w:val="20"/>
              </w:rPr>
            </w:pPr>
          </w:p>
        </w:tc>
        <w:tc>
          <w:tcPr>
            <w:tcW w:w="2485" w:type="dxa"/>
          </w:tcPr>
          <w:p w:rsidR="00045348" w:rsidRPr="00AE20C2" w:rsidRDefault="00045348" w:rsidP="00624355">
            <w:pPr>
              <w:pStyle w:val="ListParagraph"/>
              <w:widowControl/>
              <w:numPr>
                <w:ilvl w:val="0"/>
                <w:numId w:val="18"/>
              </w:numPr>
              <w:ind w:left="197" w:hanging="197"/>
              <w:jc w:val="left"/>
              <w:rPr>
                <w:rFonts w:ascii="Arial Narrow" w:hAnsi="Arial Narrow"/>
                <w:sz w:val="20"/>
              </w:rPr>
            </w:pPr>
            <w:r w:rsidRPr="00E07C52">
              <w:rPr>
                <w:rFonts w:ascii="Arial Narrow" w:hAnsi="Arial Narrow"/>
                <w:sz w:val="20"/>
              </w:rPr>
              <w:t xml:space="preserve">The sponsor described </w:t>
            </w:r>
            <w:r>
              <w:rPr>
                <w:rFonts w:ascii="Arial Narrow" w:hAnsi="Arial Narrow"/>
                <w:sz w:val="20"/>
              </w:rPr>
              <w:t>HP-hMG</w:t>
            </w:r>
            <w:r w:rsidRPr="00E07C52">
              <w:rPr>
                <w:rFonts w:ascii="Arial Narrow" w:hAnsi="Arial Narrow"/>
                <w:sz w:val="20"/>
              </w:rPr>
              <w:t xml:space="preserve"> as </w:t>
            </w:r>
            <w:r w:rsidRPr="00AE20C2">
              <w:rPr>
                <w:rFonts w:ascii="Arial Narrow" w:hAnsi="Arial Narrow"/>
                <w:sz w:val="20"/>
              </w:rPr>
              <w:t xml:space="preserve">non-inferior in terms of comparative effectiveness and comparative safety over follitropin alfa. </w:t>
            </w:r>
          </w:p>
          <w:p w:rsidR="00045348" w:rsidRPr="001259A2" w:rsidRDefault="00045348" w:rsidP="00624355">
            <w:pPr>
              <w:pStyle w:val="ListParagraph"/>
              <w:widowControl/>
              <w:numPr>
                <w:ilvl w:val="0"/>
                <w:numId w:val="18"/>
              </w:numPr>
              <w:ind w:left="197" w:hanging="197"/>
              <w:jc w:val="left"/>
              <w:rPr>
                <w:rFonts w:ascii="Arial Narrow" w:hAnsi="Arial Narrow"/>
                <w:sz w:val="20"/>
              </w:rPr>
            </w:pPr>
            <w:r w:rsidRPr="00E07C52">
              <w:rPr>
                <w:rFonts w:ascii="Arial Narrow" w:hAnsi="Arial Narrow"/>
                <w:sz w:val="20"/>
              </w:rPr>
              <w:t>The sponsor claimed that the non</w:t>
            </w:r>
            <w:r w:rsidRPr="00E07C52">
              <w:rPr>
                <w:rFonts w:ascii="Arial Narrow" w:hAnsi="Arial Narrow"/>
                <w:sz w:val="20"/>
              </w:rPr>
              <w:noBreakHyphen/>
              <w:t xml:space="preserve">inferiority margin of 20% </w:t>
            </w:r>
            <w:r w:rsidR="004C1582">
              <w:rPr>
                <w:rFonts w:ascii="Arial Narrow" w:hAnsi="Arial Narrow"/>
                <w:sz w:val="20"/>
              </w:rPr>
              <w:t xml:space="preserve">for the ovulation rate </w:t>
            </w:r>
            <w:r w:rsidRPr="00E07C52">
              <w:rPr>
                <w:rFonts w:ascii="Arial Narrow" w:hAnsi="Arial Narrow"/>
                <w:sz w:val="20"/>
              </w:rPr>
              <w:t>is clinically acceptable as this had been used in a previous clinical trial CS2002.</w:t>
            </w:r>
          </w:p>
        </w:tc>
        <w:tc>
          <w:tcPr>
            <w:tcW w:w="2485" w:type="dxa"/>
          </w:tcPr>
          <w:p w:rsidR="00045348" w:rsidRPr="00E07C52" w:rsidRDefault="00045348" w:rsidP="00624355">
            <w:pPr>
              <w:pStyle w:val="ListParagraph"/>
              <w:widowControl/>
              <w:numPr>
                <w:ilvl w:val="0"/>
                <w:numId w:val="18"/>
              </w:numPr>
              <w:ind w:left="197" w:hanging="197"/>
              <w:jc w:val="left"/>
              <w:rPr>
                <w:rFonts w:ascii="Arial Narrow" w:hAnsi="Arial Narrow"/>
                <w:sz w:val="20"/>
              </w:rPr>
            </w:pPr>
            <w:r w:rsidRPr="00E07C52">
              <w:rPr>
                <w:rFonts w:ascii="Arial Narrow" w:hAnsi="Arial Narrow"/>
                <w:sz w:val="20"/>
              </w:rPr>
              <w:t xml:space="preserve">The PBAC considered that the evidence presented in the submission did not adequately support a claim of non-inferiority. </w:t>
            </w:r>
          </w:p>
          <w:p w:rsidR="005076E2" w:rsidRDefault="00045348" w:rsidP="00624355">
            <w:pPr>
              <w:pStyle w:val="ListParagraph"/>
              <w:widowControl/>
              <w:numPr>
                <w:ilvl w:val="0"/>
                <w:numId w:val="18"/>
              </w:numPr>
              <w:ind w:left="197" w:hanging="197"/>
              <w:jc w:val="left"/>
              <w:rPr>
                <w:rFonts w:ascii="Arial Narrow" w:hAnsi="Arial Narrow"/>
                <w:sz w:val="20"/>
              </w:rPr>
            </w:pPr>
            <w:r w:rsidRPr="00E07C52">
              <w:rPr>
                <w:rFonts w:ascii="Arial Narrow" w:hAnsi="Arial Narrow"/>
                <w:sz w:val="20"/>
              </w:rPr>
              <w:t>The PBAC noted that the non</w:t>
            </w:r>
            <w:r w:rsidRPr="00E07C52">
              <w:rPr>
                <w:rFonts w:ascii="Arial Narrow" w:hAnsi="Arial Narrow"/>
                <w:sz w:val="20"/>
              </w:rPr>
              <w:noBreakHyphen/>
              <w:t xml:space="preserve">inferiority margin of </w:t>
            </w:r>
          </w:p>
          <w:p w:rsidR="00045348" w:rsidRDefault="00045348" w:rsidP="00624355">
            <w:pPr>
              <w:pStyle w:val="ListParagraph"/>
              <w:widowControl/>
              <w:ind w:left="197"/>
              <w:jc w:val="left"/>
              <w:rPr>
                <w:rFonts w:ascii="Arial Narrow" w:hAnsi="Arial Narrow"/>
                <w:sz w:val="20"/>
              </w:rPr>
            </w:pPr>
            <w:r w:rsidRPr="00E07C52">
              <w:rPr>
                <w:rFonts w:ascii="Arial Narrow" w:hAnsi="Arial Narrow"/>
                <w:sz w:val="20"/>
              </w:rPr>
              <w:t>-20% was met for the primary outcome of ovulation rate</w:t>
            </w:r>
            <w:r w:rsidR="00452015">
              <w:rPr>
                <w:rFonts w:ascii="Arial Narrow" w:hAnsi="Arial Narrow"/>
                <w:sz w:val="20"/>
              </w:rPr>
              <w:t xml:space="preserve">, although </w:t>
            </w:r>
            <w:r w:rsidRPr="00E07C52">
              <w:rPr>
                <w:rFonts w:ascii="Arial Narrow" w:hAnsi="Arial Narrow"/>
                <w:sz w:val="20"/>
              </w:rPr>
              <w:t xml:space="preserve">considered the </w:t>
            </w:r>
            <w:r w:rsidR="00452015">
              <w:rPr>
                <w:rFonts w:ascii="Arial Narrow" w:hAnsi="Arial Narrow"/>
                <w:sz w:val="20"/>
              </w:rPr>
              <w:t>CI</w:t>
            </w:r>
            <w:r w:rsidRPr="00E07C52">
              <w:rPr>
                <w:rFonts w:ascii="Arial Narrow" w:hAnsi="Arial Narrow"/>
                <w:sz w:val="20"/>
              </w:rPr>
              <w:t xml:space="preserve"> around the main difference to be wide (-1.43% </w:t>
            </w:r>
            <w:r w:rsidR="00FA4D46">
              <w:rPr>
                <w:rFonts w:ascii="Arial Narrow" w:hAnsi="Arial Narrow"/>
                <w:sz w:val="20"/>
              </w:rPr>
              <w:t>[</w:t>
            </w:r>
            <w:r w:rsidRPr="00E07C52">
              <w:rPr>
                <w:rFonts w:ascii="Arial Narrow" w:hAnsi="Arial Narrow"/>
                <w:sz w:val="20"/>
              </w:rPr>
              <w:t xml:space="preserve">95% CI: </w:t>
            </w:r>
            <w:r w:rsidR="00F14875">
              <w:rPr>
                <w:rFonts w:ascii="Arial Narrow" w:hAnsi="Arial Narrow"/>
                <w:sz w:val="20"/>
              </w:rPr>
              <w:noBreakHyphen/>
            </w:r>
            <w:r w:rsidRPr="00E07C52">
              <w:rPr>
                <w:rFonts w:ascii="Arial Narrow" w:hAnsi="Arial Narrow"/>
                <w:sz w:val="20"/>
              </w:rPr>
              <w:t>12.0, 9.1</w:t>
            </w:r>
            <w:r w:rsidR="00FA4D46">
              <w:rPr>
                <w:rFonts w:ascii="Arial Narrow" w:hAnsi="Arial Narrow"/>
                <w:sz w:val="20"/>
              </w:rPr>
              <w:t>]</w:t>
            </w:r>
            <w:r w:rsidRPr="00E07C52">
              <w:rPr>
                <w:rFonts w:ascii="Arial Narrow" w:hAnsi="Arial Narrow"/>
                <w:sz w:val="20"/>
              </w:rPr>
              <w:t>)</w:t>
            </w:r>
            <w:r w:rsidR="00452015">
              <w:rPr>
                <w:rFonts w:ascii="Arial Narrow" w:hAnsi="Arial Narrow"/>
                <w:sz w:val="20"/>
              </w:rPr>
              <w:t>.</w:t>
            </w:r>
          </w:p>
          <w:p w:rsidR="00045348" w:rsidRPr="00AC130B" w:rsidRDefault="00452015" w:rsidP="00624355">
            <w:pPr>
              <w:pStyle w:val="ListParagraph"/>
              <w:widowControl/>
              <w:numPr>
                <w:ilvl w:val="0"/>
                <w:numId w:val="18"/>
              </w:numPr>
              <w:ind w:left="197" w:hanging="197"/>
              <w:jc w:val="left"/>
              <w:rPr>
                <w:rFonts w:ascii="Arial Narrow" w:hAnsi="Arial Narrow"/>
                <w:sz w:val="20"/>
              </w:rPr>
            </w:pPr>
            <w:r w:rsidRPr="00AC130B">
              <w:rPr>
                <w:rFonts w:ascii="Arial Narrow" w:hAnsi="Arial Narrow"/>
                <w:sz w:val="20"/>
              </w:rPr>
              <w:t xml:space="preserve">The PBAC noted that for the patient relevant outcome of live births and ongoing pregnancy, the lower confidence interval exceeded the 10% non-inferiority margin previously accepted by the PBAC. </w:t>
            </w:r>
          </w:p>
        </w:tc>
        <w:tc>
          <w:tcPr>
            <w:tcW w:w="2485" w:type="dxa"/>
          </w:tcPr>
          <w:p w:rsidR="00045348" w:rsidRPr="00C86398" w:rsidRDefault="00045348" w:rsidP="00624355">
            <w:pPr>
              <w:pStyle w:val="ListParagraph"/>
              <w:widowControl/>
              <w:numPr>
                <w:ilvl w:val="0"/>
                <w:numId w:val="18"/>
              </w:numPr>
              <w:ind w:left="197" w:hanging="197"/>
              <w:jc w:val="left"/>
              <w:rPr>
                <w:rFonts w:ascii="Arial Narrow" w:hAnsi="Arial Narrow"/>
                <w:sz w:val="20"/>
              </w:rPr>
            </w:pPr>
            <w:r w:rsidRPr="00E07C52">
              <w:rPr>
                <w:rFonts w:ascii="Arial Narrow" w:hAnsi="Arial Narrow"/>
                <w:sz w:val="20"/>
              </w:rPr>
              <w:t xml:space="preserve">The resubmission provided no new clinical data and argued that a high quality randomised trial </w:t>
            </w:r>
            <w:r w:rsidR="00B24A41">
              <w:rPr>
                <w:rFonts w:ascii="Arial Narrow" w:hAnsi="Arial Narrow"/>
                <w:sz w:val="20"/>
              </w:rPr>
              <w:t>(</w:t>
            </w:r>
            <w:r w:rsidR="00B24A41" w:rsidRPr="00E07C52">
              <w:rPr>
                <w:rFonts w:ascii="Arial Narrow" w:hAnsi="Arial Narrow"/>
                <w:sz w:val="20"/>
              </w:rPr>
              <w:t>CS2002</w:t>
            </w:r>
            <w:r w:rsidR="00B24A41">
              <w:rPr>
                <w:rFonts w:ascii="Arial Narrow" w:hAnsi="Arial Narrow"/>
                <w:sz w:val="20"/>
              </w:rPr>
              <w:t xml:space="preserve">) </w:t>
            </w:r>
            <w:r w:rsidRPr="00E07C52">
              <w:rPr>
                <w:rFonts w:ascii="Arial Narrow" w:hAnsi="Arial Narrow"/>
                <w:sz w:val="20"/>
              </w:rPr>
              <w:t>has demonstrated</w:t>
            </w:r>
            <w:r>
              <w:rPr>
                <w:rFonts w:ascii="Arial Narrow" w:hAnsi="Arial Narrow"/>
                <w:sz w:val="20"/>
              </w:rPr>
              <w:t xml:space="preserve"> </w:t>
            </w:r>
            <w:r w:rsidRPr="00E05895">
              <w:rPr>
                <w:rFonts w:ascii="Arial Narrow" w:hAnsi="Arial Narrow"/>
                <w:sz w:val="20"/>
              </w:rPr>
              <w:t xml:space="preserve">non-inferiority of efficacy in comparison to </w:t>
            </w:r>
            <w:r w:rsidR="00E24AD1" w:rsidRPr="00E05895">
              <w:rPr>
                <w:rFonts w:ascii="Arial Narrow" w:hAnsi="Arial Narrow"/>
                <w:sz w:val="20"/>
              </w:rPr>
              <w:t>follitropin</w:t>
            </w:r>
            <w:r w:rsidRPr="00E05895">
              <w:rPr>
                <w:rFonts w:ascii="Arial Narrow" w:hAnsi="Arial Narrow"/>
                <w:sz w:val="20"/>
              </w:rPr>
              <w:t xml:space="preserve"> alfa.</w:t>
            </w:r>
          </w:p>
        </w:tc>
      </w:tr>
      <w:tr w:rsidR="00045348" w:rsidRPr="00E07C52" w:rsidTr="00642FA5">
        <w:trPr>
          <w:trHeight w:val="560"/>
        </w:trPr>
        <w:tc>
          <w:tcPr>
            <w:tcW w:w="1276" w:type="dxa"/>
          </w:tcPr>
          <w:p w:rsidR="00045348" w:rsidRPr="00E07C52" w:rsidRDefault="00045348" w:rsidP="00043B55">
            <w:pPr>
              <w:keepNext/>
              <w:rPr>
                <w:rFonts w:ascii="Arial Narrow" w:hAnsi="Arial Narrow"/>
                <w:b/>
                <w:sz w:val="20"/>
                <w:szCs w:val="20"/>
              </w:rPr>
            </w:pPr>
            <w:r w:rsidRPr="00E07C52">
              <w:rPr>
                <w:rFonts w:ascii="Arial Narrow" w:hAnsi="Arial Narrow"/>
                <w:b/>
                <w:sz w:val="20"/>
                <w:szCs w:val="20"/>
              </w:rPr>
              <w:t>Equi-effective dose</w:t>
            </w:r>
          </w:p>
        </w:tc>
        <w:tc>
          <w:tcPr>
            <w:tcW w:w="2485" w:type="dxa"/>
          </w:tcPr>
          <w:p w:rsidR="00045348" w:rsidRPr="00510BD5" w:rsidRDefault="00045348" w:rsidP="00043B55">
            <w:pPr>
              <w:pStyle w:val="ListParagraph"/>
              <w:keepNext/>
              <w:widowControl/>
              <w:numPr>
                <w:ilvl w:val="0"/>
                <w:numId w:val="18"/>
              </w:numPr>
              <w:ind w:left="197" w:hanging="197"/>
              <w:jc w:val="left"/>
              <w:rPr>
                <w:rFonts w:ascii="Arial Narrow" w:hAnsi="Arial Narrow"/>
                <w:sz w:val="20"/>
              </w:rPr>
            </w:pPr>
            <w:r w:rsidRPr="00510BD5">
              <w:rPr>
                <w:rFonts w:ascii="Arial Narrow" w:hAnsi="Arial Narrow"/>
                <w:sz w:val="20"/>
              </w:rPr>
              <w:t xml:space="preserve">1 IU of HP-hMG and 1 IU of follitropin alfa over a treatment cycle based on CS002. </w:t>
            </w:r>
          </w:p>
        </w:tc>
        <w:tc>
          <w:tcPr>
            <w:tcW w:w="2485" w:type="dxa"/>
          </w:tcPr>
          <w:p w:rsidR="00045348" w:rsidRPr="00E07C52" w:rsidRDefault="00045348" w:rsidP="00043B55">
            <w:pPr>
              <w:pStyle w:val="ListParagraph"/>
              <w:keepNext/>
              <w:widowControl/>
              <w:numPr>
                <w:ilvl w:val="0"/>
                <w:numId w:val="18"/>
              </w:numPr>
              <w:ind w:left="197" w:hanging="197"/>
              <w:jc w:val="left"/>
              <w:rPr>
                <w:rFonts w:ascii="Arial Narrow" w:hAnsi="Arial Narrow"/>
                <w:sz w:val="20"/>
              </w:rPr>
            </w:pPr>
            <w:r w:rsidRPr="00E07C52">
              <w:rPr>
                <w:rFonts w:ascii="Arial Narrow" w:hAnsi="Arial Narrow"/>
                <w:sz w:val="20"/>
              </w:rPr>
              <w:t xml:space="preserve">The PBAC considered that there was considerable uncertainty regarding the equi-effective doses. </w:t>
            </w:r>
          </w:p>
          <w:p w:rsidR="00045348" w:rsidRPr="00E07C52" w:rsidRDefault="00045348" w:rsidP="00043B55">
            <w:pPr>
              <w:pStyle w:val="ListParagraph"/>
              <w:keepNext/>
              <w:widowControl/>
              <w:numPr>
                <w:ilvl w:val="0"/>
                <w:numId w:val="18"/>
              </w:numPr>
              <w:ind w:left="197" w:hanging="197"/>
              <w:jc w:val="left"/>
              <w:rPr>
                <w:rFonts w:ascii="Arial Narrow" w:hAnsi="Arial Narrow"/>
                <w:sz w:val="20"/>
              </w:rPr>
            </w:pPr>
            <w:r w:rsidRPr="00E07C52">
              <w:rPr>
                <w:rFonts w:ascii="Arial Narrow" w:hAnsi="Arial Narrow"/>
                <w:sz w:val="20"/>
              </w:rPr>
              <w:t>The evaluator and ESC advised different equi</w:t>
            </w:r>
            <w:r w:rsidRPr="00E07C52">
              <w:rPr>
                <w:rFonts w:ascii="Arial Narrow" w:hAnsi="Arial Narrow"/>
                <w:sz w:val="20"/>
              </w:rPr>
              <w:noBreakHyphen/>
              <w:t xml:space="preserve">effective dose ratios (1.46:1 [mean ITT] and 1.32:1 [median ITT], respectively). </w:t>
            </w:r>
          </w:p>
        </w:tc>
        <w:tc>
          <w:tcPr>
            <w:tcW w:w="2485" w:type="dxa"/>
          </w:tcPr>
          <w:p w:rsidR="00045348" w:rsidRPr="00883BDF" w:rsidRDefault="00452015" w:rsidP="00883BDF">
            <w:pPr>
              <w:pStyle w:val="ListParagraph"/>
              <w:keepNext/>
              <w:widowControl/>
              <w:numPr>
                <w:ilvl w:val="0"/>
                <w:numId w:val="18"/>
              </w:numPr>
              <w:ind w:left="197" w:hanging="197"/>
              <w:jc w:val="left"/>
              <w:rPr>
                <w:rFonts w:ascii="Arial Narrow" w:hAnsi="Arial Narrow"/>
                <w:sz w:val="20"/>
              </w:rPr>
            </w:pPr>
            <w:r w:rsidRPr="000737AD">
              <w:rPr>
                <w:rFonts w:ascii="Arial Narrow" w:hAnsi="Arial Narrow"/>
                <w:sz w:val="20"/>
              </w:rPr>
              <w:t>1</w:t>
            </w:r>
            <w:r>
              <w:rPr>
                <w:rFonts w:ascii="Arial Narrow" w:hAnsi="Arial Narrow"/>
                <w:sz w:val="20"/>
              </w:rPr>
              <w:t>.14</w:t>
            </w:r>
            <w:r w:rsidRPr="000737AD">
              <w:rPr>
                <w:rFonts w:ascii="Arial Narrow" w:hAnsi="Arial Narrow"/>
                <w:sz w:val="20"/>
              </w:rPr>
              <w:t xml:space="preserve"> IU of HP-hMG and 1 IU of follitropin alfa </w:t>
            </w:r>
            <w:r>
              <w:rPr>
                <w:rFonts w:ascii="Arial Narrow" w:hAnsi="Arial Narrow"/>
                <w:sz w:val="20"/>
              </w:rPr>
              <w:t>based on</w:t>
            </w:r>
            <w:r w:rsidR="00045348" w:rsidRPr="00E07C52">
              <w:rPr>
                <w:rFonts w:ascii="Arial Narrow" w:hAnsi="Arial Narrow"/>
                <w:sz w:val="20"/>
              </w:rPr>
              <w:t xml:space="preserve"> the ratio of median doses from the per protocol population.</w:t>
            </w:r>
          </w:p>
        </w:tc>
      </w:tr>
      <w:tr w:rsidR="00045348" w:rsidRPr="00E07C52" w:rsidTr="00642FA5">
        <w:trPr>
          <w:trHeight w:val="310"/>
        </w:trPr>
        <w:tc>
          <w:tcPr>
            <w:tcW w:w="1276" w:type="dxa"/>
          </w:tcPr>
          <w:p w:rsidR="00045348" w:rsidRPr="00E07C52" w:rsidRDefault="00045348" w:rsidP="00043B55">
            <w:pPr>
              <w:rPr>
                <w:rFonts w:ascii="Arial Narrow" w:hAnsi="Arial Narrow"/>
                <w:b/>
                <w:sz w:val="20"/>
                <w:szCs w:val="20"/>
              </w:rPr>
            </w:pPr>
            <w:r w:rsidRPr="00E07C52">
              <w:rPr>
                <w:rFonts w:ascii="Arial Narrow" w:hAnsi="Arial Narrow"/>
                <w:b/>
                <w:sz w:val="20"/>
                <w:szCs w:val="20"/>
              </w:rPr>
              <w:t>Wastage and financial issues</w:t>
            </w:r>
          </w:p>
        </w:tc>
        <w:tc>
          <w:tcPr>
            <w:tcW w:w="2485" w:type="dxa"/>
          </w:tcPr>
          <w:p w:rsidR="00045348" w:rsidRPr="00E07C52" w:rsidRDefault="00045348" w:rsidP="00043B55">
            <w:pPr>
              <w:pStyle w:val="ListParagraph"/>
              <w:widowControl/>
              <w:numPr>
                <w:ilvl w:val="0"/>
                <w:numId w:val="18"/>
              </w:numPr>
              <w:ind w:left="197" w:hanging="197"/>
              <w:jc w:val="left"/>
              <w:rPr>
                <w:rFonts w:ascii="Arial Narrow" w:hAnsi="Arial Narrow"/>
                <w:sz w:val="20"/>
              </w:rPr>
            </w:pPr>
            <w:r w:rsidRPr="00E07C52">
              <w:rPr>
                <w:rFonts w:ascii="Arial Narrow" w:hAnsi="Arial Narrow"/>
                <w:sz w:val="20"/>
              </w:rPr>
              <w:t xml:space="preserve">The sponsor claimed that the majority of substitution of </w:t>
            </w:r>
            <w:r>
              <w:rPr>
                <w:rFonts w:ascii="Arial Narrow" w:hAnsi="Arial Narrow"/>
                <w:sz w:val="20"/>
              </w:rPr>
              <w:t>HP-hMG</w:t>
            </w:r>
            <w:r w:rsidRPr="00E07C52">
              <w:rPr>
                <w:rFonts w:ascii="Arial Narrow" w:hAnsi="Arial Narrow"/>
                <w:sz w:val="20"/>
              </w:rPr>
              <w:t xml:space="preserve"> for the currently supplied </w:t>
            </w:r>
            <w:r w:rsidR="00FA4D46">
              <w:rPr>
                <w:rFonts w:ascii="Arial Narrow" w:hAnsi="Arial Narrow"/>
                <w:sz w:val="20"/>
              </w:rPr>
              <w:t>gonadotrophin</w:t>
            </w:r>
            <w:r w:rsidR="00FA4D46" w:rsidRPr="00E07C52">
              <w:rPr>
                <w:rFonts w:ascii="Arial Narrow" w:hAnsi="Arial Narrow"/>
                <w:sz w:val="20"/>
              </w:rPr>
              <w:t xml:space="preserve"> </w:t>
            </w:r>
            <w:r w:rsidRPr="00E07C52">
              <w:rPr>
                <w:rFonts w:ascii="Arial Narrow" w:hAnsi="Arial Narrow"/>
                <w:sz w:val="20"/>
              </w:rPr>
              <w:t>products is expected for 900IU and that there is no difference in the quantity supplied per script. Therefore, indicating there is no expected change in wastage.</w:t>
            </w:r>
          </w:p>
          <w:p w:rsidR="00045348" w:rsidRPr="00E07C52" w:rsidRDefault="00045348" w:rsidP="00043B55">
            <w:pPr>
              <w:pStyle w:val="ListParagraph"/>
              <w:widowControl/>
              <w:numPr>
                <w:ilvl w:val="0"/>
                <w:numId w:val="18"/>
              </w:numPr>
              <w:ind w:left="197" w:hanging="197"/>
              <w:jc w:val="left"/>
            </w:pPr>
            <w:r w:rsidRPr="00E07C52">
              <w:rPr>
                <w:rFonts w:ascii="Arial Narrow" w:hAnsi="Arial Narrow"/>
                <w:sz w:val="20"/>
              </w:rPr>
              <w:t>The sponsor claimed that should a total dose of 1200IU be prescribed, clinicians can prescribe 2 packs in place of 2 packs of Puregon 600IU, where wastage would be identical.</w:t>
            </w:r>
          </w:p>
        </w:tc>
        <w:tc>
          <w:tcPr>
            <w:tcW w:w="2485" w:type="dxa"/>
          </w:tcPr>
          <w:p w:rsidR="00045348" w:rsidRPr="00E07C52" w:rsidRDefault="00045348" w:rsidP="00043B55">
            <w:pPr>
              <w:pStyle w:val="ListParagraph"/>
              <w:widowControl/>
              <w:numPr>
                <w:ilvl w:val="0"/>
                <w:numId w:val="18"/>
              </w:numPr>
              <w:ind w:left="197" w:hanging="197"/>
              <w:jc w:val="left"/>
              <w:rPr>
                <w:rFonts w:ascii="Arial Narrow" w:hAnsi="Arial Narrow"/>
                <w:sz w:val="20"/>
              </w:rPr>
            </w:pPr>
            <w:r w:rsidRPr="00E07C52">
              <w:rPr>
                <w:rFonts w:ascii="Arial Narrow" w:hAnsi="Arial Narrow"/>
                <w:sz w:val="20"/>
              </w:rPr>
              <w:t xml:space="preserve">The PBAC noted that the proportion of patients requiring a second prescription was likely to be higher with </w:t>
            </w:r>
            <w:r>
              <w:rPr>
                <w:rFonts w:ascii="Arial Narrow" w:hAnsi="Arial Narrow"/>
                <w:sz w:val="20"/>
              </w:rPr>
              <w:t>HP-hMG</w:t>
            </w:r>
            <w:r w:rsidRPr="00E07C52">
              <w:rPr>
                <w:rFonts w:ascii="Arial Narrow" w:hAnsi="Arial Narrow"/>
                <w:sz w:val="20"/>
              </w:rPr>
              <w:t xml:space="preserve"> compared to follitropin alfa due to the potential requirement for higher doses.</w:t>
            </w:r>
          </w:p>
          <w:p w:rsidR="00045348" w:rsidRPr="00E07C52" w:rsidRDefault="00045348" w:rsidP="00043B55">
            <w:pPr>
              <w:pStyle w:val="ListParagraph"/>
              <w:widowControl/>
              <w:numPr>
                <w:ilvl w:val="0"/>
                <w:numId w:val="18"/>
              </w:numPr>
              <w:ind w:left="197" w:hanging="197"/>
              <w:jc w:val="left"/>
              <w:rPr>
                <w:rFonts w:ascii="Arial Narrow" w:hAnsi="Arial Narrow"/>
                <w:sz w:val="20"/>
              </w:rPr>
            </w:pPr>
            <w:r w:rsidRPr="00E07C52">
              <w:rPr>
                <w:rFonts w:ascii="Arial Narrow" w:hAnsi="Arial Narrow"/>
                <w:sz w:val="20"/>
              </w:rPr>
              <w:t xml:space="preserve">The PBAC noted that there was potential for more wastage as </w:t>
            </w:r>
            <w:r>
              <w:rPr>
                <w:rFonts w:ascii="Arial Narrow" w:hAnsi="Arial Narrow"/>
                <w:sz w:val="20"/>
              </w:rPr>
              <w:t>HP-hMG</w:t>
            </w:r>
            <w:r w:rsidRPr="00E07C52">
              <w:rPr>
                <w:rFonts w:ascii="Arial Narrow" w:hAnsi="Arial Narrow"/>
                <w:sz w:val="20"/>
              </w:rPr>
              <w:t xml:space="preserve"> is only available </w:t>
            </w:r>
            <w:proofErr w:type="gramStart"/>
            <w:r w:rsidRPr="00E07C52">
              <w:rPr>
                <w:rFonts w:ascii="Arial Narrow" w:hAnsi="Arial Narrow"/>
                <w:sz w:val="20"/>
              </w:rPr>
              <w:t>in one strength</w:t>
            </w:r>
            <w:proofErr w:type="gramEnd"/>
            <w:r w:rsidRPr="00E07C52">
              <w:rPr>
                <w:rFonts w:ascii="Arial Narrow" w:hAnsi="Arial Narrow"/>
                <w:sz w:val="20"/>
              </w:rPr>
              <w:t xml:space="preserve">, while follitropin alfa is available in three strengths. </w:t>
            </w:r>
          </w:p>
        </w:tc>
        <w:tc>
          <w:tcPr>
            <w:tcW w:w="2485" w:type="dxa"/>
          </w:tcPr>
          <w:p w:rsidR="00045348" w:rsidRDefault="006319A6" w:rsidP="00043B55">
            <w:pPr>
              <w:pStyle w:val="ListParagraph"/>
              <w:widowControl/>
              <w:numPr>
                <w:ilvl w:val="0"/>
                <w:numId w:val="18"/>
              </w:numPr>
              <w:ind w:left="197" w:hanging="197"/>
              <w:jc w:val="left"/>
              <w:rPr>
                <w:rFonts w:ascii="Arial Narrow" w:hAnsi="Arial Narrow"/>
                <w:sz w:val="20"/>
              </w:rPr>
            </w:pPr>
            <w:r>
              <w:rPr>
                <w:rFonts w:ascii="Arial Narrow" w:hAnsi="Arial Narrow"/>
                <w:sz w:val="20"/>
              </w:rPr>
              <w:t>The sponsor claims cost savings based on a comparison of the DPMQ for HP-hMG versus follitropin alfa.</w:t>
            </w:r>
          </w:p>
          <w:p w:rsidR="006314C8" w:rsidRPr="001259A2" w:rsidRDefault="006314C8" w:rsidP="006314C8">
            <w:pPr>
              <w:pStyle w:val="ListParagraph"/>
              <w:widowControl/>
              <w:numPr>
                <w:ilvl w:val="0"/>
                <w:numId w:val="18"/>
              </w:numPr>
              <w:ind w:left="197" w:hanging="197"/>
              <w:jc w:val="left"/>
              <w:rPr>
                <w:rFonts w:ascii="Arial Narrow" w:hAnsi="Arial Narrow"/>
                <w:sz w:val="20"/>
              </w:rPr>
            </w:pPr>
            <w:r>
              <w:rPr>
                <w:rFonts w:ascii="Arial Narrow" w:hAnsi="Arial Narrow"/>
                <w:sz w:val="20"/>
              </w:rPr>
              <w:t>The resubmission requested that if PBAC remains of the opinion that the equi-effective dose ratio should be the median of the ITT population rather than the median of the PP population, the maximum quantity should be increased to 4 to ensure sufficient drug per script for a cycle and to avoid a second prescription.</w:t>
            </w:r>
          </w:p>
        </w:tc>
      </w:tr>
      <w:tr w:rsidR="00452015" w:rsidRPr="00E07C52" w:rsidTr="00642FA5">
        <w:trPr>
          <w:trHeight w:val="310"/>
        </w:trPr>
        <w:tc>
          <w:tcPr>
            <w:tcW w:w="1276" w:type="dxa"/>
          </w:tcPr>
          <w:p w:rsidR="00452015" w:rsidRPr="00E07C52" w:rsidRDefault="00452015" w:rsidP="00043B55">
            <w:pPr>
              <w:rPr>
                <w:rFonts w:ascii="Arial Narrow" w:hAnsi="Arial Narrow"/>
                <w:b/>
                <w:sz w:val="20"/>
                <w:szCs w:val="20"/>
              </w:rPr>
            </w:pPr>
            <w:r>
              <w:rPr>
                <w:rFonts w:ascii="Arial Narrow" w:hAnsi="Arial Narrow"/>
                <w:b/>
                <w:sz w:val="20"/>
                <w:szCs w:val="20"/>
              </w:rPr>
              <w:t>Outcome</w:t>
            </w:r>
          </w:p>
        </w:tc>
        <w:tc>
          <w:tcPr>
            <w:tcW w:w="2485" w:type="dxa"/>
          </w:tcPr>
          <w:p w:rsidR="00452015" w:rsidRPr="00E07C52" w:rsidRDefault="00452015" w:rsidP="00043B55">
            <w:pPr>
              <w:pStyle w:val="ListParagraph"/>
              <w:widowControl/>
              <w:ind w:left="197"/>
              <w:jc w:val="left"/>
              <w:rPr>
                <w:rFonts w:ascii="Arial Narrow" w:hAnsi="Arial Narrow"/>
                <w:sz w:val="20"/>
              </w:rPr>
            </w:pPr>
          </w:p>
        </w:tc>
        <w:tc>
          <w:tcPr>
            <w:tcW w:w="2485" w:type="dxa"/>
          </w:tcPr>
          <w:p w:rsidR="00452015" w:rsidRPr="001259A2" w:rsidRDefault="006C7B16" w:rsidP="00043B55">
            <w:pPr>
              <w:pStyle w:val="ListParagraph"/>
              <w:widowControl/>
              <w:numPr>
                <w:ilvl w:val="0"/>
                <w:numId w:val="18"/>
              </w:numPr>
              <w:ind w:left="197" w:hanging="197"/>
              <w:jc w:val="left"/>
              <w:rPr>
                <w:rFonts w:ascii="Arial Narrow" w:hAnsi="Arial Narrow"/>
                <w:sz w:val="20"/>
              </w:rPr>
            </w:pPr>
            <w:r>
              <w:rPr>
                <w:rFonts w:ascii="Arial Narrow" w:hAnsi="Arial Narrow"/>
                <w:sz w:val="20"/>
              </w:rPr>
              <w:t xml:space="preserve">Submission </w:t>
            </w:r>
            <w:r w:rsidR="00452015">
              <w:rPr>
                <w:rFonts w:ascii="Arial Narrow" w:hAnsi="Arial Narrow"/>
                <w:sz w:val="20"/>
              </w:rPr>
              <w:t>rejected</w:t>
            </w:r>
            <w:r>
              <w:rPr>
                <w:rFonts w:ascii="Arial Narrow" w:hAnsi="Arial Narrow"/>
                <w:sz w:val="20"/>
              </w:rPr>
              <w:t xml:space="preserve">. </w:t>
            </w:r>
            <w:r w:rsidR="00452015" w:rsidRPr="001259A2">
              <w:rPr>
                <w:rFonts w:ascii="Arial Narrow" w:hAnsi="Arial Narrow"/>
                <w:sz w:val="20"/>
              </w:rPr>
              <w:t xml:space="preserve">The </w:t>
            </w:r>
            <w:r w:rsidR="00452015" w:rsidRPr="001259A2">
              <w:rPr>
                <w:rFonts w:ascii="Arial Narrow" w:hAnsi="Arial Narrow"/>
                <w:sz w:val="20"/>
              </w:rPr>
              <w:lastRenderedPageBreak/>
              <w:t>PBAC advised that should the sponsor wish to make a resubmission (in the absence of new data), the sponsor could propose a claim of inferior comparative effectiveness to follitropin alfa.</w:t>
            </w:r>
          </w:p>
        </w:tc>
        <w:tc>
          <w:tcPr>
            <w:tcW w:w="2485" w:type="dxa"/>
          </w:tcPr>
          <w:p w:rsidR="00452015" w:rsidRDefault="00452015" w:rsidP="00043B55">
            <w:pPr>
              <w:pStyle w:val="ListParagraph"/>
              <w:widowControl/>
              <w:numPr>
                <w:ilvl w:val="0"/>
                <w:numId w:val="18"/>
              </w:numPr>
              <w:ind w:left="197" w:hanging="197"/>
              <w:jc w:val="left"/>
              <w:rPr>
                <w:rFonts w:ascii="Arial Narrow" w:hAnsi="Arial Narrow"/>
                <w:sz w:val="20"/>
              </w:rPr>
            </w:pPr>
            <w:r>
              <w:rPr>
                <w:rFonts w:ascii="Arial Narrow" w:hAnsi="Arial Narrow"/>
                <w:sz w:val="20"/>
              </w:rPr>
              <w:lastRenderedPageBreak/>
              <w:t>No new data provided.</w:t>
            </w:r>
          </w:p>
          <w:p w:rsidR="00452015" w:rsidRPr="00E07C52" w:rsidRDefault="00452015" w:rsidP="00043B55">
            <w:pPr>
              <w:pStyle w:val="ListParagraph"/>
              <w:widowControl/>
              <w:numPr>
                <w:ilvl w:val="0"/>
                <w:numId w:val="18"/>
              </w:numPr>
              <w:ind w:left="197" w:hanging="197"/>
              <w:jc w:val="left"/>
              <w:rPr>
                <w:rFonts w:ascii="Arial Narrow" w:hAnsi="Arial Narrow"/>
                <w:sz w:val="20"/>
              </w:rPr>
            </w:pPr>
            <w:r>
              <w:rPr>
                <w:rFonts w:ascii="Arial Narrow" w:hAnsi="Arial Narrow"/>
                <w:sz w:val="20"/>
              </w:rPr>
              <w:lastRenderedPageBreak/>
              <w:t>The clinical claim is unchanged from the March 2016 submission.</w:t>
            </w:r>
          </w:p>
        </w:tc>
      </w:tr>
    </w:tbl>
    <w:p w:rsidR="009B23EA" w:rsidRPr="00624355" w:rsidRDefault="007A2D5F" w:rsidP="00043B55">
      <w:pPr>
        <w:ind w:left="709"/>
        <w:contextualSpacing/>
        <w:jc w:val="both"/>
        <w:rPr>
          <w:rFonts w:ascii="Arial Narrow" w:hAnsi="Arial Narrow"/>
          <w:sz w:val="18"/>
          <w:szCs w:val="18"/>
        </w:rPr>
      </w:pPr>
      <w:r w:rsidRPr="00624355">
        <w:rPr>
          <w:rFonts w:ascii="Arial Narrow" w:hAnsi="Arial Narrow"/>
          <w:sz w:val="18"/>
          <w:szCs w:val="18"/>
        </w:rPr>
        <w:lastRenderedPageBreak/>
        <w:t>Source: gonadotrophin PSD, March 2016 PBAC meeting</w:t>
      </w:r>
      <w:r>
        <w:rPr>
          <w:rFonts w:ascii="Arial Narrow" w:hAnsi="Arial Narrow"/>
          <w:sz w:val="18"/>
          <w:szCs w:val="18"/>
        </w:rPr>
        <w:t>;</w:t>
      </w:r>
      <w:r w:rsidRPr="007A2D5F">
        <w:rPr>
          <w:rFonts w:ascii="Arial Narrow" w:hAnsi="Arial Narrow"/>
          <w:sz w:val="18"/>
          <w:szCs w:val="18"/>
        </w:rPr>
        <w:t xml:space="preserve"> and minor resubmission.</w:t>
      </w:r>
    </w:p>
    <w:p w:rsidR="007A2D5F" w:rsidRDefault="007A2D5F" w:rsidP="00043B55">
      <w:pPr>
        <w:ind w:left="709"/>
        <w:contextualSpacing/>
        <w:jc w:val="both"/>
        <w:rPr>
          <w:rFonts w:ascii="Arial" w:hAnsi="Arial"/>
          <w:i/>
          <w:sz w:val="22"/>
          <w:szCs w:val="22"/>
          <w:highlight w:val="yellow"/>
        </w:rPr>
      </w:pPr>
    </w:p>
    <w:p w:rsidR="007309EA" w:rsidRDefault="009B23EA" w:rsidP="00043B55">
      <w:pPr>
        <w:ind w:left="709"/>
        <w:contextualSpacing/>
        <w:jc w:val="both"/>
        <w:rPr>
          <w:rFonts w:ascii="Arial" w:hAnsi="Arial"/>
          <w:i/>
          <w:sz w:val="22"/>
          <w:szCs w:val="22"/>
        </w:rPr>
      </w:pPr>
      <w:r w:rsidRPr="007B431F">
        <w:rPr>
          <w:rFonts w:ascii="Arial" w:hAnsi="Arial"/>
          <w:i/>
          <w:sz w:val="22"/>
          <w:szCs w:val="22"/>
        </w:rPr>
        <w:t>For more detail on PBAC’s vi</w:t>
      </w:r>
      <w:r w:rsidR="009633F4" w:rsidRPr="007B431F">
        <w:rPr>
          <w:rFonts w:ascii="Arial" w:hAnsi="Arial"/>
          <w:i/>
          <w:sz w:val="22"/>
          <w:szCs w:val="22"/>
        </w:rPr>
        <w:t>ew, see section 7 “PBAC outcome</w:t>
      </w:r>
      <w:r w:rsidR="00F34720">
        <w:rPr>
          <w:rFonts w:ascii="Arial" w:hAnsi="Arial"/>
          <w:i/>
          <w:sz w:val="22"/>
          <w:szCs w:val="22"/>
        </w:rPr>
        <w:t>”.</w:t>
      </w:r>
    </w:p>
    <w:p w:rsidR="008A1956" w:rsidRPr="00882085" w:rsidRDefault="008A1956" w:rsidP="00043B55">
      <w:pPr>
        <w:jc w:val="both"/>
        <w:rPr>
          <w:rFonts w:ascii="Arial" w:hAnsi="Arial"/>
          <w:b/>
          <w:sz w:val="22"/>
          <w:szCs w:val="22"/>
        </w:rPr>
      </w:pPr>
    </w:p>
    <w:p w:rsidR="00CE10C4" w:rsidRPr="00C603D4" w:rsidRDefault="00CE10C4" w:rsidP="00740501">
      <w:pPr>
        <w:pStyle w:val="PBACHeading1"/>
        <w:keepNext/>
      </w:pPr>
      <w:r w:rsidRPr="00C603D4">
        <w:t>Clinical place for the proposed ther</w:t>
      </w:r>
      <w:r w:rsidR="006A12A5" w:rsidRPr="00C603D4">
        <w:t>apy</w:t>
      </w:r>
    </w:p>
    <w:p w:rsidR="00CE10C4" w:rsidRPr="00882085" w:rsidRDefault="00CE10C4" w:rsidP="00740501">
      <w:pPr>
        <w:keepNext/>
        <w:jc w:val="both"/>
        <w:rPr>
          <w:rFonts w:ascii="Arial" w:hAnsi="Arial"/>
          <w:sz w:val="22"/>
          <w:szCs w:val="22"/>
        </w:rPr>
      </w:pPr>
    </w:p>
    <w:p w:rsidR="00A577E3" w:rsidRDefault="00A577E3" w:rsidP="00043B55">
      <w:pPr>
        <w:pStyle w:val="ListParagraph"/>
        <w:widowControl/>
        <w:numPr>
          <w:ilvl w:val="1"/>
          <w:numId w:val="5"/>
        </w:numPr>
      </w:pPr>
      <w:r>
        <w:t>G</w:t>
      </w:r>
      <w:r w:rsidRPr="0062576D">
        <w:t xml:space="preserve">onadotrophins </w:t>
      </w:r>
      <w:r>
        <w:t>are used as a</w:t>
      </w:r>
      <w:r w:rsidRPr="0062576D">
        <w:t xml:space="preserve"> second-line treatment </w:t>
      </w:r>
      <w:r>
        <w:t>for o</w:t>
      </w:r>
      <w:r w:rsidRPr="0062576D">
        <w:t>vulation induction in women who do not ovulate or conceive on clomiphene citrate. Follit</w:t>
      </w:r>
      <w:r>
        <w:t>ropin alfa and follitropin beta</w:t>
      </w:r>
      <w:r w:rsidRPr="0062576D">
        <w:t xml:space="preserve"> are follicle stimulating hormones (FSH) </w:t>
      </w:r>
      <w:r>
        <w:t xml:space="preserve">and are </w:t>
      </w:r>
      <w:r w:rsidRPr="0062576D">
        <w:t xml:space="preserve">used to assist follicular growth and ovulation. </w:t>
      </w:r>
    </w:p>
    <w:p w:rsidR="00B34DAF" w:rsidRDefault="00B34DAF" w:rsidP="00043B55">
      <w:pPr>
        <w:pStyle w:val="ListParagraph"/>
        <w:widowControl/>
      </w:pPr>
    </w:p>
    <w:p w:rsidR="0086680C" w:rsidRDefault="008D7DE3" w:rsidP="00043B55">
      <w:pPr>
        <w:pStyle w:val="ListParagraph"/>
        <w:widowControl/>
        <w:numPr>
          <w:ilvl w:val="1"/>
          <w:numId w:val="5"/>
        </w:numPr>
      </w:pPr>
      <w:r w:rsidRPr="00967D19">
        <w:t>HP-hMG</w:t>
      </w:r>
      <w:r w:rsidR="00DC4A63">
        <w:t xml:space="preserve">, which contains both FSH and luteinising hormone (LH) activity, </w:t>
      </w:r>
      <w:r w:rsidR="00DC4A63" w:rsidRPr="00BF1BC9">
        <w:rPr>
          <w:szCs w:val="22"/>
        </w:rPr>
        <w:t>induces ovarian follicular growth and development as well as gonadal steroid production in women who do not have primary ovarian failure</w:t>
      </w:r>
      <w:r w:rsidR="00D55ECE">
        <w:rPr>
          <w:szCs w:val="22"/>
        </w:rPr>
        <w:t xml:space="preserve"> and</w:t>
      </w:r>
      <w:r w:rsidR="00F45A64" w:rsidRPr="00967D19">
        <w:t xml:space="preserve"> </w:t>
      </w:r>
      <w:r w:rsidR="00B34DAF" w:rsidRPr="00967D19">
        <w:t>is proposed as an alternative gonadotrophin.</w:t>
      </w:r>
      <w:r w:rsidR="0032703D" w:rsidRPr="00967D19">
        <w:t xml:space="preserve"> </w:t>
      </w:r>
      <w:r w:rsidR="00D55ECE" w:rsidRPr="00967D19">
        <w:t>Th</w:t>
      </w:r>
      <w:r w:rsidR="00D55ECE">
        <w:t xml:space="preserve">e clinical </w:t>
      </w:r>
      <w:r w:rsidR="00CE4198">
        <w:t>place</w:t>
      </w:r>
      <w:r w:rsidR="00D55ECE" w:rsidRPr="00967D19">
        <w:t xml:space="preserve"> </w:t>
      </w:r>
      <w:r w:rsidR="00D55ECE">
        <w:t xml:space="preserve">was </w:t>
      </w:r>
      <w:r w:rsidR="009A75E2" w:rsidRPr="00967D19">
        <w:t xml:space="preserve">unchanged </w:t>
      </w:r>
      <w:r w:rsidR="00D55ECE">
        <w:t xml:space="preserve">compared with </w:t>
      </w:r>
      <w:r w:rsidR="009A75E2" w:rsidRPr="00967D19">
        <w:t>the March 2016 submission.</w:t>
      </w:r>
    </w:p>
    <w:p w:rsidR="00CE4198" w:rsidRDefault="00CE4198" w:rsidP="00624355">
      <w:pPr>
        <w:pStyle w:val="ListParagraph"/>
      </w:pPr>
    </w:p>
    <w:p w:rsidR="00CE4198" w:rsidRPr="007138B7" w:rsidRDefault="00CE4198" w:rsidP="00CE4198">
      <w:pPr>
        <w:pStyle w:val="ListParagraph"/>
        <w:widowControl/>
        <w:numPr>
          <w:ilvl w:val="1"/>
          <w:numId w:val="5"/>
        </w:numPr>
      </w:pPr>
      <w:r>
        <w:t>In March 2016, t</w:t>
      </w:r>
      <w:r w:rsidRPr="00CE4198">
        <w:t xml:space="preserve">he PBAC </w:t>
      </w:r>
      <w:r>
        <w:t xml:space="preserve">considered that </w:t>
      </w:r>
      <w:r w:rsidRPr="00CE4198">
        <w:t>extending the listing of HP-hMG would not address any unmet clinical need for anovulatory infertility</w:t>
      </w:r>
      <w:r>
        <w:t>. The minor resubmission presented statements from clinicians addressing the need for a gonadotrophin containing LH for anovulatory infertility</w:t>
      </w:r>
      <w:r w:rsidR="00FA4D46">
        <w:t xml:space="preserve"> and specifically the need for women with low LH levels</w:t>
      </w:r>
      <w:r>
        <w:t xml:space="preserve">. </w:t>
      </w:r>
      <w:r w:rsidRPr="007138B7">
        <w:rPr>
          <w:szCs w:val="22"/>
        </w:rPr>
        <w:t xml:space="preserve">The </w:t>
      </w:r>
      <w:r>
        <w:rPr>
          <w:szCs w:val="22"/>
        </w:rPr>
        <w:t xml:space="preserve">minor resubmission </w:t>
      </w:r>
      <w:r w:rsidR="00B4029C">
        <w:rPr>
          <w:szCs w:val="22"/>
        </w:rPr>
        <w:t>claimed that HP</w:t>
      </w:r>
      <w:r w:rsidR="00B4029C">
        <w:rPr>
          <w:szCs w:val="22"/>
        </w:rPr>
        <w:noBreakHyphen/>
      </w:r>
      <w:r w:rsidRPr="007138B7">
        <w:rPr>
          <w:szCs w:val="22"/>
        </w:rPr>
        <w:t>hMG</w:t>
      </w:r>
      <w:r>
        <w:t xml:space="preserve"> was associated with the development of fewer follicles, which would lead to more single live births and reduced risk of interrupted cycles due to excessive ovarian response or risk of </w:t>
      </w:r>
      <w:r w:rsidRPr="00327BB6">
        <w:t>ovarian hyperstimulation syndrome</w:t>
      </w:r>
      <w:r>
        <w:t>.</w:t>
      </w:r>
    </w:p>
    <w:p w:rsidR="00D869F6" w:rsidRDefault="00D869F6" w:rsidP="00043B55">
      <w:pPr>
        <w:pStyle w:val="Header"/>
        <w:tabs>
          <w:tab w:val="clear" w:pos="4153"/>
          <w:tab w:val="clear" w:pos="8306"/>
        </w:tabs>
        <w:jc w:val="both"/>
        <w:rPr>
          <w:rFonts w:ascii="Arial" w:hAnsi="Arial"/>
          <w:sz w:val="22"/>
          <w:szCs w:val="22"/>
        </w:rPr>
      </w:pPr>
    </w:p>
    <w:p w:rsidR="00BF726E" w:rsidRPr="00882085" w:rsidRDefault="00BF726E" w:rsidP="00043B55">
      <w:pPr>
        <w:pStyle w:val="Header"/>
        <w:tabs>
          <w:tab w:val="clear" w:pos="4153"/>
          <w:tab w:val="clear" w:pos="8306"/>
        </w:tabs>
        <w:jc w:val="both"/>
        <w:rPr>
          <w:rFonts w:ascii="Arial" w:hAnsi="Arial"/>
          <w:sz w:val="22"/>
          <w:szCs w:val="22"/>
        </w:rPr>
      </w:pPr>
    </w:p>
    <w:p w:rsidR="005A3173" w:rsidRPr="00882085" w:rsidRDefault="005A3173" w:rsidP="00043B55">
      <w:pPr>
        <w:pStyle w:val="PBACHeading1"/>
      </w:pPr>
      <w:r w:rsidRPr="00882085">
        <w:t>Comparator</w:t>
      </w:r>
    </w:p>
    <w:p w:rsidR="005A3173" w:rsidRPr="00882085" w:rsidRDefault="005A3173" w:rsidP="00043B55">
      <w:pPr>
        <w:pStyle w:val="Header"/>
        <w:tabs>
          <w:tab w:val="clear" w:pos="4153"/>
          <w:tab w:val="clear" w:pos="8306"/>
        </w:tabs>
        <w:jc w:val="both"/>
        <w:rPr>
          <w:rFonts w:ascii="Arial" w:hAnsi="Arial"/>
          <w:b/>
          <w:sz w:val="22"/>
          <w:szCs w:val="22"/>
        </w:rPr>
      </w:pPr>
    </w:p>
    <w:p w:rsidR="00BB7EC3" w:rsidRDefault="00476245" w:rsidP="00043B55">
      <w:pPr>
        <w:pStyle w:val="ListParagraph"/>
        <w:widowControl/>
        <w:numPr>
          <w:ilvl w:val="1"/>
          <w:numId w:val="5"/>
        </w:numPr>
      </w:pPr>
      <w:r>
        <w:rPr>
          <w:szCs w:val="22"/>
        </w:rPr>
        <w:t xml:space="preserve">The major submission considered by the PBAC in </w:t>
      </w:r>
      <w:r w:rsidR="00447A01">
        <w:rPr>
          <w:szCs w:val="22"/>
        </w:rPr>
        <w:t xml:space="preserve">March 2016 </w:t>
      </w:r>
      <w:r w:rsidR="00FF2801">
        <w:rPr>
          <w:szCs w:val="22"/>
        </w:rPr>
        <w:t xml:space="preserve">nominated </w:t>
      </w:r>
      <w:r w:rsidR="00447A01">
        <w:rPr>
          <w:szCs w:val="22"/>
        </w:rPr>
        <w:t>follitropin alfa as the main comparator</w:t>
      </w:r>
      <w:r w:rsidR="00F53894">
        <w:rPr>
          <w:szCs w:val="22"/>
        </w:rPr>
        <w:t xml:space="preserve">. </w:t>
      </w:r>
      <w:r w:rsidR="00A61F9C">
        <w:rPr>
          <w:szCs w:val="22"/>
        </w:rPr>
        <w:t>This</w:t>
      </w:r>
      <w:r w:rsidR="00F53894" w:rsidRPr="008D7DE3">
        <w:rPr>
          <w:szCs w:val="22"/>
        </w:rPr>
        <w:t xml:space="preserve"> was considered appropriate </w:t>
      </w:r>
      <w:r w:rsidR="006F3055">
        <w:rPr>
          <w:szCs w:val="22"/>
        </w:rPr>
        <w:t>by the PBAC. The comparator was</w:t>
      </w:r>
      <w:r w:rsidR="00447A01">
        <w:rPr>
          <w:szCs w:val="22"/>
        </w:rPr>
        <w:t xml:space="preserve"> unchanged</w:t>
      </w:r>
      <w:r w:rsidR="00A61F9C">
        <w:rPr>
          <w:szCs w:val="22"/>
        </w:rPr>
        <w:t xml:space="preserve"> in the </w:t>
      </w:r>
      <w:r w:rsidR="006F3055">
        <w:rPr>
          <w:szCs w:val="22"/>
        </w:rPr>
        <w:t>minor</w:t>
      </w:r>
      <w:r w:rsidR="00A61F9C">
        <w:rPr>
          <w:szCs w:val="22"/>
        </w:rPr>
        <w:t xml:space="preserve"> resubmission</w:t>
      </w:r>
      <w:r w:rsidR="003E333B">
        <w:rPr>
          <w:szCs w:val="22"/>
        </w:rPr>
        <w:t>.</w:t>
      </w:r>
    </w:p>
    <w:p w:rsidR="007E568F" w:rsidRDefault="007E568F" w:rsidP="00043B55">
      <w:pPr>
        <w:jc w:val="both"/>
        <w:rPr>
          <w:rFonts w:ascii="Arial" w:hAnsi="Arial"/>
          <w:sz w:val="22"/>
          <w:szCs w:val="22"/>
        </w:rPr>
      </w:pPr>
    </w:p>
    <w:p w:rsidR="00BF726E" w:rsidRDefault="00BF726E" w:rsidP="00043B55">
      <w:pPr>
        <w:jc w:val="both"/>
        <w:rPr>
          <w:rFonts w:ascii="Arial" w:hAnsi="Arial"/>
          <w:sz w:val="22"/>
          <w:szCs w:val="22"/>
        </w:rPr>
      </w:pPr>
    </w:p>
    <w:p w:rsidR="001E53B1" w:rsidRDefault="001E53B1" w:rsidP="00043B55">
      <w:pPr>
        <w:pStyle w:val="PBACHeading1"/>
      </w:pPr>
      <w:bookmarkStart w:id="2" w:name="_Toc398708604"/>
      <w:r w:rsidRPr="00B73618">
        <w:t>Consideration of the evidence</w:t>
      </w:r>
      <w:bookmarkEnd w:id="2"/>
    </w:p>
    <w:p w:rsidR="00206981" w:rsidRDefault="00206981" w:rsidP="00043B55"/>
    <w:p w:rsidR="00B034AD" w:rsidRDefault="00B034AD" w:rsidP="00043B55">
      <w:pPr>
        <w:pStyle w:val="Heading2"/>
      </w:pPr>
      <w:r w:rsidRPr="00206981">
        <w:t>Sponsor hearing</w:t>
      </w:r>
    </w:p>
    <w:p w:rsidR="00206981" w:rsidRPr="00206981" w:rsidRDefault="00206981" w:rsidP="00043B55"/>
    <w:p w:rsidR="00BE00A1" w:rsidRPr="004E6224" w:rsidRDefault="00BE00A1" w:rsidP="00043B55">
      <w:pPr>
        <w:numPr>
          <w:ilvl w:val="1"/>
          <w:numId w:val="5"/>
        </w:numPr>
        <w:contextualSpacing/>
        <w:jc w:val="both"/>
        <w:rPr>
          <w:rFonts w:ascii="Arial" w:hAnsi="Arial" w:cs="Arial"/>
          <w:bCs/>
          <w:snapToGrid w:val="0"/>
          <w:sz w:val="22"/>
          <w:szCs w:val="22"/>
        </w:rPr>
      </w:pPr>
      <w:r w:rsidRPr="004E6224">
        <w:rPr>
          <w:rFonts w:ascii="Arial" w:hAnsi="Arial" w:cs="Arial"/>
          <w:bCs/>
          <w:snapToGrid w:val="0"/>
          <w:sz w:val="22"/>
          <w:szCs w:val="22"/>
        </w:rPr>
        <w:t xml:space="preserve">There was no hearing for this item as </w:t>
      </w:r>
      <w:r w:rsidR="00D81DC0">
        <w:rPr>
          <w:rFonts w:ascii="Arial" w:hAnsi="Arial" w:cs="Arial"/>
          <w:bCs/>
          <w:snapToGrid w:val="0"/>
          <w:sz w:val="22"/>
          <w:szCs w:val="22"/>
        </w:rPr>
        <w:t>it was a minor submission.</w:t>
      </w:r>
    </w:p>
    <w:p w:rsidR="00B6039E" w:rsidRPr="003A49F2" w:rsidRDefault="00B6039E" w:rsidP="00043B55">
      <w:pPr>
        <w:jc w:val="both"/>
        <w:rPr>
          <w:rFonts w:ascii="Arial" w:hAnsi="Arial" w:cs="Arial"/>
          <w:bCs/>
          <w:snapToGrid w:val="0"/>
          <w:sz w:val="22"/>
          <w:szCs w:val="22"/>
          <w:highlight w:val="yellow"/>
        </w:rPr>
      </w:pPr>
    </w:p>
    <w:p w:rsidR="00B034AD" w:rsidRDefault="00B034AD" w:rsidP="00043B55">
      <w:pPr>
        <w:pStyle w:val="Heading2"/>
      </w:pPr>
      <w:r w:rsidRPr="00206981">
        <w:lastRenderedPageBreak/>
        <w:t>Consumer comments</w:t>
      </w:r>
    </w:p>
    <w:p w:rsidR="00206981" w:rsidRPr="00206981" w:rsidRDefault="00206981" w:rsidP="00043B55"/>
    <w:p w:rsidR="00B745C5" w:rsidRPr="00F64AE5" w:rsidRDefault="004E6224" w:rsidP="00043B55">
      <w:pPr>
        <w:numPr>
          <w:ilvl w:val="1"/>
          <w:numId w:val="5"/>
        </w:numPr>
        <w:contextualSpacing/>
        <w:jc w:val="both"/>
        <w:rPr>
          <w:rFonts w:ascii="Arial" w:hAnsi="Arial" w:cs="Arial"/>
          <w:bCs/>
          <w:snapToGrid w:val="0"/>
          <w:sz w:val="22"/>
          <w:szCs w:val="22"/>
        </w:rPr>
      </w:pPr>
      <w:r w:rsidRPr="004E6224">
        <w:rPr>
          <w:rFonts w:ascii="Arial" w:hAnsi="Arial" w:cs="Arial"/>
          <w:bCs/>
          <w:snapToGrid w:val="0"/>
          <w:sz w:val="22"/>
          <w:szCs w:val="22"/>
        </w:rPr>
        <w:t xml:space="preserve">The PBAC noted and welcomed the input from </w:t>
      </w:r>
      <w:r w:rsidR="004104BE">
        <w:rPr>
          <w:rFonts w:ascii="Arial" w:hAnsi="Arial" w:cs="Arial"/>
          <w:bCs/>
          <w:snapToGrid w:val="0"/>
          <w:sz w:val="22"/>
          <w:szCs w:val="22"/>
        </w:rPr>
        <w:t>one</w:t>
      </w:r>
      <w:r w:rsidR="00611A06">
        <w:rPr>
          <w:rFonts w:ascii="Arial" w:hAnsi="Arial" w:cs="Arial"/>
          <w:bCs/>
          <w:snapToGrid w:val="0"/>
          <w:sz w:val="22"/>
          <w:szCs w:val="22"/>
        </w:rPr>
        <w:t xml:space="preserve"> </w:t>
      </w:r>
      <w:r w:rsidRPr="004E6224">
        <w:rPr>
          <w:rFonts w:ascii="Arial" w:hAnsi="Arial" w:cs="Arial"/>
          <w:bCs/>
          <w:snapToGrid w:val="0"/>
          <w:sz w:val="22"/>
          <w:szCs w:val="22"/>
        </w:rPr>
        <w:t>health care professional</w:t>
      </w:r>
      <w:r w:rsidR="00611A06">
        <w:rPr>
          <w:rFonts w:ascii="Arial" w:hAnsi="Arial" w:cs="Arial"/>
          <w:bCs/>
          <w:snapToGrid w:val="0"/>
          <w:sz w:val="22"/>
          <w:szCs w:val="22"/>
        </w:rPr>
        <w:t xml:space="preserve"> </w:t>
      </w:r>
      <w:r w:rsidRPr="004E6224">
        <w:rPr>
          <w:rFonts w:ascii="Arial" w:hAnsi="Arial" w:cs="Arial"/>
          <w:bCs/>
          <w:snapToGrid w:val="0"/>
          <w:sz w:val="22"/>
          <w:szCs w:val="22"/>
        </w:rPr>
        <w:t xml:space="preserve">via the Consumer Comments facility on the PBS website. </w:t>
      </w:r>
      <w:r w:rsidR="00EC43F0">
        <w:rPr>
          <w:rFonts w:ascii="Arial" w:hAnsi="Arial" w:cs="Arial"/>
          <w:bCs/>
          <w:snapToGrid w:val="0"/>
          <w:sz w:val="22"/>
          <w:szCs w:val="22"/>
        </w:rPr>
        <w:t xml:space="preserve">The comment </w:t>
      </w:r>
      <w:r w:rsidR="00E420A5">
        <w:rPr>
          <w:rFonts w:ascii="Arial" w:hAnsi="Arial" w:cs="Arial"/>
          <w:bCs/>
          <w:snapToGrid w:val="0"/>
          <w:sz w:val="22"/>
          <w:szCs w:val="22"/>
        </w:rPr>
        <w:t xml:space="preserve">indicated that patients with low </w:t>
      </w:r>
      <w:r w:rsidR="00042CF6">
        <w:rPr>
          <w:rFonts w:ascii="Arial" w:hAnsi="Arial" w:cs="Arial"/>
          <w:bCs/>
          <w:snapToGrid w:val="0"/>
          <w:sz w:val="22"/>
          <w:szCs w:val="22"/>
        </w:rPr>
        <w:t xml:space="preserve">levels of </w:t>
      </w:r>
      <w:r w:rsidR="00E420A5">
        <w:rPr>
          <w:rFonts w:ascii="Arial" w:hAnsi="Arial" w:cs="Arial"/>
          <w:bCs/>
          <w:snapToGrid w:val="0"/>
          <w:sz w:val="22"/>
          <w:szCs w:val="22"/>
        </w:rPr>
        <w:t xml:space="preserve">LH benefit </w:t>
      </w:r>
      <w:r w:rsidR="00042CF6">
        <w:rPr>
          <w:rFonts w:ascii="Arial" w:hAnsi="Arial" w:cs="Arial"/>
          <w:bCs/>
          <w:snapToGrid w:val="0"/>
          <w:sz w:val="22"/>
          <w:szCs w:val="22"/>
        </w:rPr>
        <w:t xml:space="preserve">from the combination of </w:t>
      </w:r>
      <w:r w:rsidR="00EC43F0">
        <w:rPr>
          <w:rFonts w:ascii="Arial" w:hAnsi="Arial" w:cs="Arial"/>
          <w:bCs/>
          <w:snapToGrid w:val="0"/>
          <w:sz w:val="22"/>
          <w:szCs w:val="22"/>
        </w:rPr>
        <w:t xml:space="preserve">FSH and LH </w:t>
      </w:r>
      <w:r w:rsidR="00E420A5">
        <w:rPr>
          <w:rFonts w:ascii="Arial" w:hAnsi="Arial" w:cs="Arial"/>
          <w:bCs/>
          <w:snapToGrid w:val="0"/>
          <w:sz w:val="22"/>
          <w:szCs w:val="22"/>
        </w:rPr>
        <w:t>activity</w:t>
      </w:r>
      <w:r w:rsidR="00042CF6">
        <w:rPr>
          <w:rFonts w:ascii="Arial" w:hAnsi="Arial" w:cs="Arial"/>
          <w:bCs/>
          <w:snapToGrid w:val="0"/>
          <w:sz w:val="22"/>
          <w:szCs w:val="22"/>
        </w:rPr>
        <w:t xml:space="preserve"> through </w:t>
      </w:r>
      <w:r w:rsidR="00042CF6" w:rsidRPr="00042CF6">
        <w:rPr>
          <w:rFonts w:ascii="Arial" w:hAnsi="Arial" w:cs="Arial"/>
          <w:bCs/>
          <w:snapToGrid w:val="0"/>
          <w:sz w:val="22"/>
          <w:szCs w:val="22"/>
        </w:rPr>
        <w:t>HP-hMG</w:t>
      </w:r>
      <w:r w:rsidR="00042CF6">
        <w:rPr>
          <w:rFonts w:ascii="Arial" w:hAnsi="Arial" w:cs="Arial"/>
          <w:bCs/>
          <w:snapToGrid w:val="0"/>
          <w:sz w:val="22"/>
          <w:szCs w:val="22"/>
        </w:rPr>
        <w:t xml:space="preserve"> for ovulation induction</w:t>
      </w:r>
      <w:r w:rsidR="00006292">
        <w:rPr>
          <w:rFonts w:ascii="Arial" w:hAnsi="Arial" w:cs="Arial"/>
          <w:bCs/>
          <w:snapToGrid w:val="0"/>
          <w:sz w:val="22"/>
          <w:szCs w:val="22"/>
        </w:rPr>
        <w:t xml:space="preserve">. </w:t>
      </w:r>
      <w:r w:rsidR="003A0F24">
        <w:rPr>
          <w:rFonts w:ascii="Arial" w:hAnsi="Arial" w:cs="Arial"/>
          <w:bCs/>
          <w:snapToGrid w:val="0"/>
          <w:sz w:val="22"/>
          <w:szCs w:val="22"/>
        </w:rPr>
        <w:t xml:space="preserve">The </w:t>
      </w:r>
      <w:r w:rsidR="00E420A5">
        <w:rPr>
          <w:rFonts w:ascii="Arial" w:hAnsi="Arial" w:cs="Arial"/>
          <w:bCs/>
          <w:snapToGrid w:val="0"/>
          <w:sz w:val="22"/>
          <w:szCs w:val="22"/>
        </w:rPr>
        <w:t>comment</w:t>
      </w:r>
      <w:r w:rsidR="003A0F24">
        <w:rPr>
          <w:rFonts w:ascii="Arial" w:hAnsi="Arial" w:cs="Arial"/>
          <w:bCs/>
          <w:snapToGrid w:val="0"/>
          <w:sz w:val="22"/>
          <w:szCs w:val="22"/>
        </w:rPr>
        <w:t xml:space="preserve"> </w:t>
      </w:r>
      <w:r w:rsidR="004D1739">
        <w:rPr>
          <w:rFonts w:ascii="Arial" w:hAnsi="Arial" w:cs="Arial"/>
          <w:bCs/>
          <w:snapToGrid w:val="0"/>
          <w:sz w:val="22"/>
          <w:szCs w:val="22"/>
        </w:rPr>
        <w:t xml:space="preserve">also </w:t>
      </w:r>
      <w:r w:rsidR="00F64AE5">
        <w:rPr>
          <w:rFonts w:ascii="Arial" w:hAnsi="Arial" w:cs="Arial"/>
          <w:bCs/>
          <w:snapToGrid w:val="0"/>
          <w:sz w:val="22"/>
          <w:szCs w:val="22"/>
        </w:rPr>
        <w:t xml:space="preserve">noted </w:t>
      </w:r>
      <w:r w:rsidR="00042CF6">
        <w:rPr>
          <w:rFonts w:ascii="Arial" w:hAnsi="Arial" w:cs="Arial"/>
          <w:bCs/>
          <w:snapToGrid w:val="0"/>
          <w:sz w:val="22"/>
          <w:szCs w:val="22"/>
        </w:rPr>
        <w:t xml:space="preserve">the anomaly </w:t>
      </w:r>
      <w:r w:rsidR="00F64AE5">
        <w:rPr>
          <w:rFonts w:ascii="Arial" w:hAnsi="Arial" w:cs="Arial"/>
          <w:bCs/>
          <w:snapToGrid w:val="0"/>
          <w:sz w:val="22"/>
          <w:szCs w:val="22"/>
        </w:rPr>
        <w:t xml:space="preserve">that patients are able to access subsidised </w:t>
      </w:r>
      <w:r w:rsidR="00042CF6" w:rsidRPr="00042CF6">
        <w:rPr>
          <w:rFonts w:ascii="Arial" w:hAnsi="Arial" w:cs="Arial"/>
          <w:bCs/>
          <w:snapToGrid w:val="0"/>
          <w:sz w:val="22"/>
          <w:szCs w:val="22"/>
        </w:rPr>
        <w:t>HP-hMG</w:t>
      </w:r>
      <w:r w:rsidR="00042CF6">
        <w:rPr>
          <w:rFonts w:ascii="Arial" w:hAnsi="Arial" w:cs="Arial"/>
          <w:bCs/>
          <w:snapToGrid w:val="0"/>
          <w:sz w:val="22"/>
          <w:szCs w:val="22"/>
        </w:rPr>
        <w:t xml:space="preserve"> </w:t>
      </w:r>
      <w:r w:rsidR="00F64AE5">
        <w:rPr>
          <w:rFonts w:ascii="Arial" w:hAnsi="Arial" w:cs="Arial"/>
          <w:bCs/>
          <w:snapToGrid w:val="0"/>
          <w:sz w:val="22"/>
          <w:szCs w:val="22"/>
        </w:rPr>
        <w:t xml:space="preserve">if they </w:t>
      </w:r>
      <w:r w:rsidR="00042CF6">
        <w:rPr>
          <w:rFonts w:ascii="Arial" w:hAnsi="Arial" w:cs="Arial"/>
          <w:bCs/>
          <w:snapToGrid w:val="0"/>
          <w:sz w:val="22"/>
          <w:szCs w:val="22"/>
        </w:rPr>
        <w:t xml:space="preserve">proceed </w:t>
      </w:r>
      <w:r w:rsidR="00F64AE5">
        <w:rPr>
          <w:rFonts w:ascii="Arial" w:hAnsi="Arial" w:cs="Arial"/>
          <w:bCs/>
          <w:snapToGrid w:val="0"/>
          <w:sz w:val="22"/>
          <w:szCs w:val="22"/>
        </w:rPr>
        <w:t>to IVF</w:t>
      </w:r>
      <w:r w:rsidR="00042CF6">
        <w:rPr>
          <w:rFonts w:ascii="Arial" w:hAnsi="Arial" w:cs="Arial"/>
          <w:bCs/>
          <w:snapToGrid w:val="0"/>
          <w:sz w:val="22"/>
          <w:szCs w:val="22"/>
        </w:rPr>
        <w:t xml:space="preserve"> treatment</w:t>
      </w:r>
      <w:r w:rsidR="00F64AE5">
        <w:rPr>
          <w:rFonts w:ascii="Arial" w:hAnsi="Arial" w:cs="Arial"/>
          <w:bCs/>
          <w:snapToGrid w:val="0"/>
          <w:sz w:val="22"/>
          <w:szCs w:val="22"/>
        </w:rPr>
        <w:t>.</w:t>
      </w:r>
    </w:p>
    <w:p w:rsidR="00B745C5" w:rsidRPr="00D50F42" w:rsidRDefault="00B745C5" w:rsidP="00043B55">
      <w:pPr>
        <w:ind w:left="720"/>
        <w:contextualSpacing/>
        <w:jc w:val="both"/>
        <w:rPr>
          <w:bCs/>
          <w:szCs w:val="22"/>
        </w:rPr>
      </w:pPr>
    </w:p>
    <w:p w:rsidR="00D84934" w:rsidRPr="001E53B1" w:rsidRDefault="00D84934" w:rsidP="00B4029C">
      <w:pPr>
        <w:pStyle w:val="Heading2"/>
      </w:pPr>
      <w:r w:rsidRPr="001E53B1">
        <w:t>Clinical trials</w:t>
      </w:r>
    </w:p>
    <w:p w:rsidR="00D84934" w:rsidRPr="00F9629A" w:rsidRDefault="00D84934" w:rsidP="00624355">
      <w:pPr>
        <w:keepNext/>
        <w:jc w:val="both"/>
        <w:rPr>
          <w:rFonts w:ascii="Arial" w:hAnsi="Arial"/>
          <w:sz w:val="22"/>
          <w:szCs w:val="22"/>
        </w:rPr>
      </w:pPr>
    </w:p>
    <w:p w:rsidR="004B2939" w:rsidRPr="00A92939" w:rsidRDefault="00CE36B3" w:rsidP="00043B55">
      <w:pPr>
        <w:pStyle w:val="ListParagraph"/>
        <w:widowControl/>
        <w:numPr>
          <w:ilvl w:val="1"/>
          <w:numId w:val="5"/>
        </w:numPr>
        <w:rPr>
          <w:szCs w:val="22"/>
        </w:rPr>
      </w:pPr>
      <w:r>
        <w:rPr>
          <w:szCs w:val="22"/>
        </w:rPr>
        <w:t xml:space="preserve">As a minor </w:t>
      </w:r>
      <w:r w:rsidR="00B43EDF">
        <w:rPr>
          <w:szCs w:val="22"/>
        </w:rPr>
        <w:t>re</w:t>
      </w:r>
      <w:r>
        <w:rPr>
          <w:szCs w:val="22"/>
        </w:rPr>
        <w:t>submission, no new</w:t>
      </w:r>
      <w:r w:rsidR="0076420C">
        <w:rPr>
          <w:szCs w:val="22"/>
        </w:rPr>
        <w:t xml:space="preserve"> clinical trials </w:t>
      </w:r>
      <w:r w:rsidR="00FF2801">
        <w:rPr>
          <w:szCs w:val="22"/>
        </w:rPr>
        <w:t>were</w:t>
      </w:r>
      <w:r>
        <w:rPr>
          <w:szCs w:val="22"/>
        </w:rPr>
        <w:t xml:space="preserve"> presented</w:t>
      </w:r>
      <w:r w:rsidR="0076420C">
        <w:rPr>
          <w:szCs w:val="22"/>
        </w:rPr>
        <w:t>.</w:t>
      </w:r>
      <w:r w:rsidR="0023107A">
        <w:rPr>
          <w:szCs w:val="22"/>
        </w:rPr>
        <w:t xml:space="preserve"> </w:t>
      </w:r>
      <w:r w:rsidR="005F2C87">
        <w:rPr>
          <w:szCs w:val="22"/>
        </w:rPr>
        <w:t xml:space="preserve">The minor resubmission </w:t>
      </w:r>
      <w:r w:rsidR="00B24A41">
        <w:rPr>
          <w:szCs w:val="22"/>
        </w:rPr>
        <w:t>re</w:t>
      </w:r>
      <w:r w:rsidR="005F2C87">
        <w:rPr>
          <w:szCs w:val="22"/>
        </w:rPr>
        <w:t>presented the follow</w:t>
      </w:r>
      <w:r w:rsidR="00E05895">
        <w:rPr>
          <w:szCs w:val="22"/>
        </w:rPr>
        <w:t>ing</w:t>
      </w:r>
      <w:r w:rsidR="005F2C87">
        <w:rPr>
          <w:szCs w:val="22"/>
        </w:rPr>
        <w:t xml:space="preserve"> clinical trial</w:t>
      </w:r>
      <w:r w:rsidR="00B24A41">
        <w:rPr>
          <w:szCs w:val="22"/>
        </w:rPr>
        <w:t xml:space="preserve"> from </w:t>
      </w:r>
      <w:r w:rsidR="00E05895">
        <w:rPr>
          <w:szCs w:val="22"/>
        </w:rPr>
        <w:t>the March 2016 major submission</w:t>
      </w:r>
      <w:r w:rsidR="005F2C87">
        <w:rPr>
          <w:szCs w:val="22"/>
        </w:rPr>
        <w:t>.</w:t>
      </w:r>
    </w:p>
    <w:p w:rsidR="007138B7" w:rsidRDefault="007138B7" w:rsidP="00043B55">
      <w:pPr>
        <w:rPr>
          <w:rFonts w:ascii="Arial Narrow" w:hAnsi="Arial Narrow"/>
          <w:b/>
          <w:sz w:val="20"/>
        </w:rPr>
      </w:pPr>
    </w:p>
    <w:p w:rsidR="0076420C" w:rsidRPr="00766561" w:rsidRDefault="00B679FF" w:rsidP="00043B55">
      <w:pPr>
        <w:keepNext/>
        <w:ind w:firstLine="720"/>
        <w:rPr>
          <w:rFonts w:ascii="Arial" w:hAnsi="Arial"/>
          <w:sz w:val="22"/>
          <w:szCs w:val="22"/>
        </w:rPr>
      </w:pPr>
      <w:r>
        <w:rPr>
          <w:rFonts w:ascii="Arial Narrow" w:hAnsi="Arial Narrow"/>
          <w:b/>
          <w:sz w:val="20"/>
        </w:rPr>
        <w:t xml:space="preserve">Table 2: </w:t>
      </w:r>
      <w:r w:rsidR="0076420C" w:rsidRPr="00D84934">
        <w:rPr>
          <w:rFonts w:ascii="Arial Narrow" w:hAnsi="Arial Narrow"/>
          <w:b/>
          <w:sz w:val="20"/>
        </w:rPr>
        <w:t>Trial and associated reports presented in the resubmission</w:t>
      </w:r>
    </w:p>
    <w:tbl>
      <w:tblPr>
        <w:tblW w:w="83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5670"/>
        <w:gridCol w:w="1843"/>
      </w:tblGrid>
      <w:tr w:rsidR="0076420C" w:rsidRPr="005838CB" w:rsidTr="00D77675">
        <w:trPr>
          <w:cantSplit/>
          <w:tblHeader/>
        </w:trPr>
        <w:tc>
          <w:tcPr>
            <w:tcW w:w="851" w:type="dxa"/>
          </w:tcPr>
          <w:p w:rsidR="0076420C" w:rsidRPr="005838CB" w:rsidRDefault="0076420C" w:rsidP="00043B55">
            <w:pPr>
              <w:pStyle w:val="NoSpacing"/>
              <w:keepNext/>
              <w:rPr>
                <w:rFonts w:ascii="Arial Narrow" w:hAnsi="Arial Narrow"/>
                <w:b/>
                <w:sz w:val="20"/>
              </w:rPr>
            </w:pPr>
            <w:r w:rsidRPr="005838CB">
              <w:rPr>
                <w:rFonts w:ascii="Arial Narrow" w:hAnsi="Arial Narrow"/>
                <w:b/>
                <w:sz w:val="20"/>
              </w:rPr>
              <w:t>Trial ID</w:t>
            </w:r>
          </w:p>
        </w:tc>
        <w:tc>
          <w:tcPr>
            <w:tcW w:w="5670" w:type="dxa"/>
          </w:tcPr>
          <w:p w:rsidR="0076420C" w:rsidRPr="005838CB" w:rsidRDefault="0076420C" w:rsidP="00043B55">
            <w:pPr>
              <w:keepNext/>
              <w:jc w:val="center"/>
              <w:rPr>
                <w:rFonts w:ascii="Arial Narrow" w:hAnsi="Arial Narrow"/>
                <w:b/>
                <w:sz w:val="20"/>
              </w:rPr>
            </w:pPr>
            <w:r w:rsidRPr="005838CB">
              <w:rPr>
                <w:rFonts w:ascii="Arial Narrow" w:hAnsi="Arial Narrow"/>
                <w:b/>
                <w:sz w:val="20"/>
              </w:rPr>
              <w:t>Protocol title/ Publication title</w:t>
            </w:r>
          </w:p>
        </w:tc>
        <w:tc>
          <w:tcPr>
            <w:tcW w:w="1843" w:type="dxa"/>
          </w:tcPr>
          <w:p w:rsidR="0076420C" w:rsidRPr="005838CB" w:rsidRDefault="0076420C" w:rsidP="00043B55">
            <w:pPr>
              <w:keepNext/>
              <w:rPr>
                <w:rFonts w:ascii="Arial Narrow" w:hAnsi="Arial Narrow"/>
                <w:b/>
                <w:sz w:val="20"/>
              </w:rPr>
            </w:pPr>
            <w:r w:rsidRPr="005838CB">
              <w:rPr>
                <w:rFonts w:ascii="Arial Narrow" w:hAnsi="Arial Narrow"/>
                <w:b/>
                <w:sz w:val="20"/>
              </w:rPr>
              <w:t>Publication citation</w:t>
            </w:r>
          </w:p>
        </w:tc>
      </w:tr>
      <w:tr w:rsidR="0076420C" w:rsidRPr="005838CB" w:rsidTr="00C27B58">
        <w:trPr>
          <w:cantSplit/>
        </w:trPr>
        <w:tc>
          <w:tcPr>
            <w:tcW w:w="8364" w:type="dxa"/>
            <w:gridSpan w:val="3"/>
          </w:tcPr>
          <w:p w:rsidR="0076420C" w:rsidRPr="005838CB" w:rsidRDefault="0076420C" w:rsidP="00043B55">
            <w:pPr>
              <w:pStyle w:val="NoSpacing"/>
              <w:keepNext/>
              <w:rPr>
                <w:rFonts w:ascii="Arial Narrow" w:hAnsi="Arial Narrow"/>
                <w:b/>
                <w:sz w:val="20"/>
              </w:rPr>
            </w:pPr>
            <w:r w:rsidRPr="005838CB">
              <w:rPr>
                <w:rFonts w:ascii="Arial Narrow" w:hAnsi="Arial Narrow"/>
                <w:b/>
                <w:sz w:val="20"/>
              </w:rPr>
              <w:t>Direct randomised trials</w:t>
            </w:r>
          </w:p>
        </w:tc>
      </w:tr>
      <w:tr w:rsidR="0076420C" w:rsidRPr="005838CB" w:rsidTr="00D77675">
        <w:trPr>
          <w:cantSplit/>
        </w:trPr>
        <w:tc>
          <w:tcPr>
            <w:tcW w:w="851" w:type="dxa"/>
          </w:tcPr>
          <w:p w:rsidR="0076420C" w:rsidRPr="00D84934" w:rsidRDefault="008D2DB7" w:rsidP="00043B55">
            <w:pPr>
              <w:pStyle w:val="NoSpacing"/>
              <w:keepNext/>
              <w:rPr>
                <w:rFonts w:ascii="Arial Narrow" w:hAnsi="Arial Narrow"/>
                <w:b/>
                <w:sz w:val="20"/>
              </w:rPr>
            </w:pPr>
            <w:r w:rsidRPr="00976835">
              <w:rPr>
                <w:rFonts w:ascii="Arial Narrow" w:hAnsi="Arial Narrow"/>
                <w:sz w:val="20"/>
              </w:rPr>
              <w:t>CS002</w:t>
            </w:r>
          </w:p>
        </w:tc>
        <w:tc>
          <w:tcPr>
            <w:tcW w:w="5670" w:type="dxa"/>
          </w:tcPr>
          <w:p w:rsidR="008D2DB7" w:rsidRPr="008D2DB7" w:rsidRDefault="008D2DB7" w:rsidP="00043B55">
            <w:pPr>
              <w:keepNext/>
              <w:rPr>
                <w:rFonts w:ascii="Arial Narrow" w:hAnsi="Arial Narrow" w:cs="Arial"/>
                <w:snapToGrid w:val="0"/>
                <w:sz w:val="20"/>
                <w:szCs w:val="20"/>
                <w:lang w:eastAsia="en-US"/>
              </w:rPr>
            </w:pPr>
            <w:r w:rsidRPr="008D2DB7">
              <w:rPr>
                <w:rFonts w:ascii="Arial Narrow" w:hAnsi="Arial Narrow" w:cs="Arial"/>
                <w:snapToGrid w:val="0"/>
                <w:sz w:val="20"/>
                <w:szCs w:val="20"/>
                <w:lang w:eastAsia="en-US"/>
              </w:rPr>
              <w:t>FE999906 CS002</w:t>
            </w:r>
          </w:p>
          <w:p w:rsidR="0076420C" w:rsidRDefault="0076420C" w:rsidP="00043B55">
            <w:pPr>
              <w:keepNext/>
              <w:rPr>
                <w:rFonts w:ascii="Arial Narrow" w:hAnsi="Arial Narrow"/>
                <w:b/>
                <w:sz w:val="20"/>
              </w:rPr>
            </w:pPr>
          </w:p>
          <w:p w:rsidR="008D2DB7" w:rsidRPr="008D2DB7" w:rsidRDefault="008D2DB7" w:rsidP="00043B55">
            <w:pPr>
              <w:keepNext/>
              <w:rPr>
                <w:rFonts w:ascii="Arial Narrow" w:hAnsi="Arial Narrow" w:cs="Arial"/>
                <w:snapToGrid w:val="0"/>
                <w:sz w:val="20"/>
                <w:szCs w:val="20"/>
                <w:lang w:eastAsia="en-US"/>
              </w:rPr>
            </w:pPr>
            <w:r w:rsidRPr="008D2DB7">
              <w:rPr>
                <w:rFonts w:ascii="Arial Narrow" w:hAnsi="Arial Narrow" w:cs="Arial"/>
                <w:snapToGrid w:val="0"/>
                <w:sz w:val="20"/>
                <w:szCs w:val="20"/>
                <w:lang w:eastAsia="en-US"/>
              </w:rPr>
              <w:t>A Randomized, Open-label, Assessor-blind, Parallel Group, Multi-Center, Non-inferiority Study Comparing Highly Purified Menotrophin (MENOPUR) SC and Recombinant FSH (GONAL-F) SC for Ovulation Induction Using a Chronic Low-dose Step-up Protocol in Women with WHO Group II Anovulatory Infertility Failing to Ovulate or Conceive on Clomiphene Citrate</w:t>
            </w:r>
          </w:p>
          <w:p w:rsidR="008D2DB7" w:rsidRDefault="008D2DB7" w:rsidP="00043B55">
            <w:pPr>
              <w:keepNext/>
              <w:rPr>
                <w:rFonts w:ascii="Arial Narrow" w:hAnsi="Arial Narrow"/>
                <w:b/>
                <w:sz w:val="20"/>
              </w:rPr>
            </w:pPr>
          </w:p>
          <w:p w:rsidR="008D2DB7" w:rsidRPr="008D2DB7" w:rsidRDefault="008D2DB7" w:rsidP="00043B55">
            <w:pPr>
              <w:keepNext/>
              <w:rPr>
                <w:rFonts w:ascii="Arial Narrow" w:hAnsi="Arial Narrow" w:cs="Arial"/>
                <w:snapToGrid w:val="0"/>
                <w:sz w:val="20"/>
                <w:szCs w:val="20"/>
                <w:lang w:eastAsia="en-US"/>
              </w:rPr>
            </w:pPr>
            <w:r w:rsidRPr="008D2DB7">
              <w:rPr>
                <w:rFonts w:ascii="Arial Narrow" w:hAnsi="Arial Narrow" w:cs="Arial"/>
                <w:snapToGrid w:val="0"/>
                <w:sz w:val="20"/>
                <w:szCs w:val="20"/>
                <w:lang w:eastAsia="en-US"/>
              </w:rPr>
              <w:t xml:space="preserve">Platteau P. Similar ovulation rates, but different follicular development with highly purified menotrophin compared with recombinant FSH in WHO Group II anovulatory infertility: a randomised controlled study. </w:t>
            </w:r>
          </w:p>
          <w:p w:rsidR="008D2DB7" w:rsidRDefault="008D2DB7" w:rsidP="00043B55">
            <w:pPr>
              <w:keepNext/>
              <w:rPr>
                <w:rFonts w:ascii="Arial Narrow" w:hAnsi="Arial Narrow"/>
                <w:b/>
                <w:sz w:val="20"/>
              </w:rPr>
            </w:pPr>
          </w:p>
          <w:p w:rsidR="008D2DB7" w:rsidRPr="008D2DB7" w:rsidRDefault="008D2DB7" w:rsidP="00043B55">
            <w:pPr>
              <w:keepNext/>
              <w:rPr>
                <w:rFonts w:ascii="Arial Narrow" w:hAnsi="Arial Narrow" w:cs="Arial"/>
                <w:snapToGrid w:val="0"/>
                <w:sz w:val="20"/>
                <w:szCs w:val="20"/>
                <w:lang w:eastAsia="en-US"/>
              </w:rPr>
            </w:pPr>
            <w:r w:rsidRPr="008D2DB7">
              <w:rPr>
                <w:rFonts w:ascii="Arial Narrow" w:hAnsi="Arial Narrow" w:cs="Arial"/>
                <w:snapToGrid w:val="0"/>
                <w:sz w:val="20"/>
                <w:szCs w:val="20"/>
                <w:lang w:eastAsia="en-US"/>
              </w:rPr>
              <w:t xml:space="preserve">Arce JC &amp; Smitz J: Exogenous hCG activity, but not endogenous LH activity, is positively associated with live birth rates in anovulatory infertility. </w:t>
            </w:r>
          </w:p>
          <w:p w:rsidR="008D2DB7" w:rsidRDefault="008D2DB7" w:rsidP="00043B55">
            <w:pPr>
              <w:keepNext/>
              <w:rPr>
                <w:rFonts w:ascii="Arial Narrow" w:hAnsi="Arial Narrow"/>
                <w:b/>
                <w:sz w:val="20"/>
              </w:rPr>
            </w:pPr>
          </w:p>
          <w:p w:rsidR="008D2DB7" w:rsidRPr="001E53B1" w:rsidRDefault="008D2DB7" w:rsidP="00043B55">
            <w:pPr>
              <w:keepNext/>
              <w:rPr>
                <w:rFonts w:ascii="Arial Narrow" w:hAnsi="Arial Narrow" w:cs="Arial"/>
                <w:snapToGrid w:val="0"/>
                <w:sz w:val="20"/>
                <w:szCs w:val="20"/>
                <w:lang w:eastAsia="en-US"/>
              </w:rPr>
            </w:pPr>
            <w:r w:rsidRPr="008D2DB7">
              <w:rPr>
                <w:rFonts w:ascii="Arial Narrow" w:hAnsi="Arial Narrow" w:cs="Arial"/>
                <w:snapToGrid w:val="0"/>
                <w:sz w:val="20"/>
                <w:szCs w:val="20"/>
                <w:lang w:eastAsia="en-US"/>
              </w:rPr>
              <w:t>Platteau P. Ovulation rate with a highly purified menotrophin and a recombinant FSH in women unresponsive to clomiphene citrate.</w:t>
            </w:r>
          </w:p>
        </w:tc>
        <w:tc>
          <w:tcPr>
            <w:tcW w:w="1843" w:type="dxa"/>
          </w:tcPr>
          <w:p w:rsidR="00D721A6" w:rsidRPr="00D721A6" w:rsidRDefault="00D721A6" w:rsidP="00043B55">
            <w:pPr>
              <w:keepNext/>
              <w:rPr>
                <w:rFonts w:ascii="Arial Narrow" w:hAnsi="Arial Narrow" w:cs="Arial"/>
                <w:snapToGrid w:val="0"/>
                <w:sz w:val="20"/>
                <w:szCs w:val="20"/>
                <w:lang w:eastAsia="en-US"/>
              </w:rPr>
            </w:pPr>
            <w:r w:rsidRPr="00D721A6">
              <w:rPr>
                <w:rFonts w:ascii="Arial Narrow" w:hAnsi="Arial Narrow" w:cs="Arial"/>
                <w:snapToGrid w:val="0"/>
                <w:sz w:val="20"/>
                <w:szCs w:val="20"/>
                <w:lang w:eastAsia="en-US"/>
              </w:rPr>
              <w:t xml:space="preserve">Ferring Pharmaceuticals. Internal study report. </w:t>
            </w:r>
          </w:p>
          <w:p w:rsidR="0076420C" w:rsidRDefault="00D721A6" w:rsidP="00043B55">
            <w:pPr>
              <w:keepNext/>
              <w:rPr>
                <w:rFonts w:ascii="Arial Narrow" w:hAnsi="Arial Narrow" w:cs="Arial"/>
                <w:snapToGrid w:val="0"/>
                <w:sz w:val="20"/>
                <w:szCs w:val="20"/>
                <w:lang w:eastAsia="en-US"/>
              </w:rPr>
            </w:pPr>
            <w:r w:rsidRPr="00D721A6">
              <w:rPr>
                <w:rFonts w:ascii="Arial Narrow" w:hAnsi="Arial Narrow" w:cs="Arial"/>
                <w:snapToGrid w:val="0"/>
                <w:sz w:val="20"/>
                <w:szCs w:val="20"/>
                <w:lang w:eastAsia="en-US"/>
              </w:rPr>
              <w:t>23 Feb 2005</w:t>
            </w:r>
          </w:p>
          <w:p w:rsidR="00D721A6" w:rsidRDefault="00D721A6" w:rsidP="00043B55">
            <w:pPr>
              <w:keepNext/>
              <w:rPr>
                <w:rFonts w:ascii="Arial Narrow" w:hAnsi="Arial Narrow" w:cs="Arial"/>
                <w:snapToGrid w:val="0"/>
                <w:sz w:val="20"/>
                <w:szCs w:val="20"/>
                <w:lang w:eastAsia="en-US"/>
              </w:rPr>
            </w:pPr>
          </w:p>
          <w:p w:rsidR="00D721A6" w:rsidRDefault="00D721A6" w:rsidP="00043B55">
            <w:pPr>
              <w:keepNext/>
              <w:rPr>
                <w:rFonts w:ascii="Arial Narrow" w:hAnsi="Arial Narrow" w:cs="Arial"/>
                <w:snapToGrid w:val="0"/>
                <w:sz w:val="20"/>
                <w:szCs w:val="20"/>
                <w:lang w:eastAsia="en-US"/>
              </w:rPr>
            </w:pPr>
          </w:p>
          <w:p w:rsidR="00D721A6" w:rsidRDefault="00D721A6" w:rsidP="00043B55">
            <w:pPr>
              <w:keepNext/>
              <w:rPr>
                <w:rFonts w:ascii="Arial Narrow" w:hAnsi="Arial Narrow" w:cs="Arial"/>
                <w:snapToGrid w:val="0"/>
                <w:sz w:val="20"/>
                <w:szCs w:val="20"/>
                <w:lang w:eastAsia="en-US"/>
              </w:rPr>
            </w:pPr>
          </w:p>
          <w:p w:rsidR="00D721A6" w:rsidRDefault="00D721A6" w:rsidP="00043B55">
            <w:pPr>
              <w:keepNext/>
              <w:rPr>
                <w:rFonts w:ascii="Arial Narrow" w:hAnsi="Arial Narrow" w:cs="Arial"/>
                <w:snapToGrid w:val="0"/>
                <w:sz w:val="20"/>
                <w:szCs w:val="20"/>
                <w:lang w:eastAsia="en-US"/>
              </w:rPr>
            </w:pPr>
          </w:p>
          <w:p w:rsidR="00D721A6" w:rsidRDefault="00D721A6" w:rsidP="00043B55">
            <w:pPr>
              <w:keepNext/>
              <w:rPr>
                <w:rFonts w:ascii="Arial Narrow" w:hAnsi="Arial Narrow"/>
                <w:sz w:val="20"/>
              </w:rPr>
            </w:pPr>
            <w:r w:rsidRPr="00976835">
              <w:rPr>
                <w:rFonts w:ascii="Arial Narrow" w:hAnsi="Arial Narrow"/>
                <w:sz w:val="20"/>
              </w:rPr>
              <w:t>Human Reproduction. 2006; 21 (7): 1798-1804</w:t>
            </w:r>
          </w:p>
          <w:p w:rsidR="00D721A6" w:rsidRDefault="00D721A6" w:rsidP="00043B55">
            <w:pPr>
              <w:keepNext/>
              <w:rPr>
                <w:rFonts w:ascii="Arial Narrow" w:hAnsi="Arial Narrow"/>
                <w:sz w:val="20"/>
              </w:rPr>
            </w:pPr>
          </w:p>
          <w:p w:rsidR="00D721A6" w:rsidRDefault="00D721A6" w:rsidP="00043B55">
            <w:pPr>
              <w:keepNext/>
              <w:rPr>
                <w:rFonts w:ascii="Arial Narrow" w:hAnsi="Arial Narrow"/>
                <w:sz w:val="20"/>
              </w:rPr>
            </w:pPr>
            <w:r w:rsidRPr="00976835">
              <w:rPr>
                <w:rFonts w:ascii="Arial Narrow" w:hAnsi="Arial Narrow"/>
                <w:sz w:val="20"/>
              </w:rPr>
              <w:t>Human Fertility. 2011; 14(3): 192-199.</w:t>
            </w:r>
          </w:p>
          <w:p w:rsidR="00D721A6" w:rsidRDefault="00D721A6" w:rsidP="00043B55">
            <w:pPr>
              <w:keepNext/>
              <w:rPr>
                <w:rFonts w:ascii="Arial Narrow" w:hAnsi="Arial Narrow"/>
                <w:sz w:val="20"/>
              </w:rPr>
            </w:pPr>
          </w:p>
          <w:p w:rsidR="00D721A6" w:rsidRPr="005838CB" w:rsidRDefault="00D721A6" w:rsidP="00043B55">
            <w:pPr>
              <w:keepNext/>
              <w:rPr>
                <w:rFonts w:ascii="Arial Narrow" w:hAnsi="Arial Narrow"/>
                <w:b/>
                <w:sz w:val="20"/>
              </w:rPr>
            </w:pPr>
            <w:r w:rsidRPr="00976835">
              <w:rPr>
                <w:rFonts w:ascii="Arial Narrow" w:hAnsi="Arial Narrow"/>
                <w:sz w:val="20"/>
              </w:rPr>
              <w:t>Fertility and Sterility. 2005; 84 (Suppl 1): S324-325.</w:t>
            </w:r>
          </w:p>
        </w:tc>
      </w:tr>
    </w:tbl>
    <w:p w:rsidR="0076420C" w:rsidRPr="0076420C" w:rsidRDefault="0076420C" w:rsidP="00043B55">
      <w:pPr>
        <w:pStyle w:val="tablenotes"/>
        <w:widowControl/>
        <w:ind w:firstLine="709"/>
        <w:rPr>
          <w:rFonts w:ascii="Arial Narrow" w:hAnsi="Arial Narrow"/>
          <w:sz w:val="18"/>
          <w:szCs w:val="18"/>
        </w:rPr>
      </w:pPr>
      <w:r w:rsidRPr="005838CB">
        <w:rPr>
          <w:rFonts w:ascii="Arial Narrow" w:hAnsi="Arial Narrow"/>
          <w:sz w:val="18"/>
          <w:szCs w:val="18"/>
        </w:rPr>
        <w:t xml:space="preserve">Source: </w:t>
      </w:r>
      <w:r w:rsidR="00D721A6" w:rsidRPr="00D721A6">
        <w:rPr>
          <w:rFonts w:ascii="Arial Narrow" w:hAnsi="Arial Narrow"/>
          <w:sz w:val="18"/>
          <w:szCs w:val="18"/>
        </w:rPr>
        <w:t>Table B-3 p 18 of the submission</w:t>
      </w:r>
      <w:r w:rsidR="00913EE1">
        <w:rPr>
          <w:rFonts w:ascii="Arial Narrow" w:hAnsi="Arial Narrow"/>
          <w:sz w:val="18"/>
          <w:szCs w:val="18"/>
        </w:rPr>
        <w:t xml:space="preserve"> (March 2016</w:t>
      </w:r>
      <w:r w:rsidR="006243D0">
        <w:rPr>
          <w:rFonts w:ascii="Arial Narrow" w:hAnsi="Arial Narrow"/>
          <w:sz w:val="18"/>
          <w:szCs w:val="18"/>
        </w:rPr>
        <w:t xml:space="preserve"> submission</w:t>
      </w:r>
      <w:r w:rsidR="00913EE1">
        <w:rPr>
          <w:rFonts w:ascii="Arial Narrow" w:hAnsi="Arial Narrow"/>
          <w:sz w:val="18"/>
          <w:szCs w:val="18"/>
        </w:rPr>
        <w:t>)</w:t>
      </w:r>
    </w:p>
    <w:p w:rsidR="00624355" w:rsidRDefault="00624355" w:rsidP="00043B55">
      <w:pPr>
        <w:pStyle w:val="ListParagraph"/>
        <w:widowControl/>
        <w:rPr>
          <w:szCs w:val="22"/>
        </w:rPr>
      </w:pPr>
    </w:p>
    <w:p w:rsidR="005A3173" w:rsidRPr="001E53B1" w:rsidRDefault="005A3173" w:rsidP="00043B55">
      <w:pPr>
        <w:pStyle w:val="Heading2"/>
      </w:pPr>
      <w:r w:rsidRPr="001E53B1">
        <w:t>Comparative effectiveness</w:t>
      </w:r>
    </w:p>
    <w:p w:rsidR="005A3173" w:rsidRPr="00882085" w:rsidRDefault="005A3173" w:rsidP="00043B55">
      <w:pPr>
        <w:jc w:val="both"/>
        <w:rPr>
          <w:rFonts w:ascii="Arial" w:hAnsi="Arial"/>
          <w:sz w:val="22"/>
          <w:szCs w:val="22"/>
        </w:rPr>
      </w:pPr>
    </w:p>
    <w:p w:rsidR="00A22151" w:rsidRPr="00746C06" w:rsidRDefault="009B0F67" w:rsidP="00043B55">
      <w:pPr>
        <w:pStyle w:val="ListParagraph"/>
        <w:widowControl/>
        <w:numPr>
          <w:ilvl w:val="1"/>
          <w:numId w:val="5"/>
        </w:numPr>
      </w:pPr>
      <w:r w:rsidRPr="007E1930">
        <w:rPr>
          <w:szCs w:val="22"/>
        </w:rPr>
        <w:t xml:space="preserve">The trial results remain </w:t>
      </w:r>
      <w:r w:rsidRPr="00045348">
        <w:t>unchanged</w:t>
      </w:r>
      <w:r w:rsidRPr="007E1930">
        <w:rPr>
          <w:szCs w:val="22"/>
        </w:rPr>
        <w:t xml:space="preserve"> from the previous major submission considered in </w:t>
      </w:r>
      <w:r w:rsidR="00AE7B8F" w:rsidRPr="007E1930">
        <w:rPr>
          <w:szCs w:val="22"/>
        </w:rPr>
        <w:t>March 2016</w:t>
      </w:r>
      <w:r w:rsidR="009429B9">
        <w:rPr>
          <w:szCs w:val="22"/>
        </w:rPr>
        <w:t xml:space="preserve"> (see Tables 3 and 4)</w:t>
      </w:r>
      <w:r w:rsidRPr="007E1930">
        <w:rPr>
          <w:szCs w:val="22"/>
        </w:rPr>
        <w:t xml:space="preserve">. The </w:t>
      </w:r>
      <w:r w:rsidR="00AE7B8F" w:rsidRPr="007E1930">
        <w:rPr>
          <w:szCs w:val="22"/>
        </w:rPr>
        <w:t>March 2016</w:t>
      </w:r>
      <w:r w:rsidRPr="007E1930">
        <w:rPr>
          <w:szCs w:val="22"/>
        </w:rPr>
        <w:t xml:space="preserve"> submission </w:t>
      </w:r>
      <w:r w:rsidR="009429B9">
        <w:rPr>
          <w:szCs w:val="22"/>
        </w:rPr>
        <w:t>proposed a</w:t>
      </w:r>
      <w:r w:rsidR="00A741E0">
        <w:rPr>
          <w:szCs w:val="22"/>
        </w:rPr>
        <w:t xml:space="preserve"> non-inferiority margin of -20% for ovulation rate. The minor resubmission note</w:t>
      </w:r>
      <w:r w:rsidR="00FA4D46">
        <w:rPr>
          <w:szCs w:val="22"/>
        </w:rPr>
        <w:t>d</w:t>
      </w:r>
      <w:r w:rsidR="00A741E0">
        <w:rPr>
          <w:szCs w:val="22"/>
        </w:rPr>
        <w:t xml:space="preserve"> this margin was agreed by regulatory authorities internationally.</w:t>
      </w:r>
      <w:r w:rsidR="009E239B">
        <w:rPr>
          <w:szCs w:val="22"/>
        </w:rPr>
        <w:t xml:space="preserve"> </w:t>
      </w:r>
      <w:r w:rsidR="0043664E" w:rsidRPr="00191EAB">
        <w:rPr>
          <w:bCs/>
        </w:rPr>
        <w:t xml:space="preserve">The PBAC </w:t>
      </w:r>
      <w:r w:rsidR="008C6B56">
        <w:rPr>
          <w:bCs/>
        </w:rPr>
        <w:t>previously</w:t>
      </w:r>
      <w:r w:rsidR="008C6B56" w:rsidRPr="00191EAB">
        <w:rPr>
          <w:bCs/>
        </w:rPr>
        <w:t xml:space="preserve"> </w:t>
      </w:r>
      <w:r w:rsidR="0043664E" w:rsidRPr="00191EAB">
        <w:rPr>
          <w:bCs/>
        </w:rPr>
        <w:t xml:space="preserve">considered the confidence interval around the mean difference </w:t>
      </w:r>
      <w:r w:rsidR="00391040">
        <w:rPr>
          <w:bCs/>
        </w:rPr>
        <w:t xml:space="preserve">in ovulation rate </w:t>
      </w:r>
      <w:r w:rsidR="0043664E" w:rsidRPr="00191EAB">
        <w:rPr>
          <w:bCs/>
        </w:rPr>
        <w:t>to</w:t>
      </w:r>
      <w:r w:rsidR="00E90679">
        <w:rPr>
          <w:bCs/>
        </w:rPr>
        <w:t xml:space="preserve"> be wide (-1.43% (95% CI: </w:t>
      </w:r>
      <w:r w:rsidR="00E90679">
        <w:rPr>
          <w:bCs/>
        </w:rPr>
        <w:noBreakHyphen/>
        <w:t>12.0, </w:t>
      </w:r>
      <w:r w:rsidR="0043664E" w:rsidRPr="00191EAB">
        <w:rPr>
          <w:bCs/>
        </w:rPr>
        <w:t xml:space="preserve">9.1)). </w:t>
      </w:r>
    </w:p>
    <w:p w:rsidR="00746C06" w:rsidRPr="00746C06" w:rsidRDefault="00746C06" w:rsidP="00043B55">
      <w:pPr>
        <w:pStyle w:val="ListParagraph"/>
        <w:widowControl/>
      </w:pPr>
    </w:p>
    <w:p w:rsidR="00D77675" w:rsidRDefault="00D77675">
      <w:pPr>
        <w:rPr>
          <w:rFonts w:ascii="Arial Narrow" w:hAnsi="Arial Narrow" w:cs="Arial"/>
          <w:b/>
          <w:snapToGrid w:val="0"/>
          <w:sz w:val="20"/>
          <w:szCs w:val="16"/>
          <w:lang w:eastAsia="en-US"/>
        </w:rPr>
      </w:pPr>
      <w:r>
        <w:rPr>
          <w:rFonts w:ascii="Arial Narrow" w:hAnsi="Arial Narrow" w:cs="Arial"/>
          <w:b/>
          <w:snapToGrid w:val="0"/>
          <w:sz w:val="20"/>
          <w:szCs w:val="16"/>
          <w:lang w:eastAsia="en-US"/>
        </w:rPr>
        <w:br w:type="page"/>
      </w:r>
    </w:p>
    <w:p w:rsidR="00FD309C" w:rsidRPr="00FD309C" w:rsidRDefault="00FD309C" w:rsidP="00043B55">
      <w:pPr>
        <w:keepNext/>
        <w:ind w:firstLine="720"/>
        <w:jc w:val="both"/>
        <w:rPr>
          <w:rFonts w:ascii="Arial Narrow" w:hAnsi="Arial Narrow" w:cs="Arial"/>
          <w:b/>
          <w:snapToGrid w:val="0"/>
          <w:sz w:val="20"/>
          <w:szCs w:val="16"/>
          <w:lang w:eastAsia="en-US"/>
        </w:rPr>
      </w:pPr>
      <w:r w:rsidRPr="00FD309C">
        <w:rPr>
          <w:rFonts w:ascii="Arial Narrow" w:hAnsi="Arial Narrow" w:cs="Arial"/>
          <w:b/>
          <w:snapToGrid w:val="0"/>
          <w:sz w:val="20"/>
          <w:szCs w:val="16"/>
          <w:lang w:eastAsia="en-US"/>
        </w:rPr>
        <w:lastRenderedPageBreak/>
        <w:t>Table 3: Results of the primary outcome</w:t>
      </w:r>
      <w:r w:rsidR="00E90679">
        <w:rPr>
          <w:rFonts w:ascii="Arial Narrow" w:hAnsi="Arial Narrow" w:cs="Arial"/>
          <w:b/>
          <w:snapToGrid w:val="0"/>
          <w:sz w:val="20"/>
          <w:szCs w:val="16"/>
          <w:lang w:eastAsia="en-US"/>
        </w:rPr>
        <w:t xml:space="preserve"> (ovulation rate)</w:t>
      </w:r>
      <w:r w:rsidRPr="00FD309C">
        <w:rPr>
          <w:rFonts w:ascii="Arial Narrow" w:hAnsi="Arial Narrow" w:cs="Arial"/>
          <w:b/>
          <w:snapToGrid w:val="0"/>
          <w:sz w:val="20"/>
          <w:szCs w:val="16"/>
          <w:lang w:eastAsia="en-US"/>
        </w:rPr>
        <w:t xml:space="preserve"> across the direct randomised trial</w:t>
      </w:r>
    </w:p>
    <w:tbl>
      <w:tblPr>
        <w:tblW w:w="4598"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06"/>
        <w:gridCol w:w="1949"/>
        <w:gridCol w:w="1949"/>
        <w:gridCol w:w="1948"/>
      </w:tblGrid>
      <w:tr w:rsidR="00FD309C" w:rsidRPr="00FD309C" w:rsidTr="00624355">
        <w:tc>
          <w:tcPr>
            <w:tcW w:w="1500" w:type="pct"/>
            <w:tcBorders>
              <w:bottom w:val="single" w:sz="4" w:space="0" w:color="auto"/>
            </w:tcBorders>
            <w:shd w:val="clear" w:color="auto" w:fill="auto"/>
            <w:vAlign w:val="center"/>
          </w:tcPr>
          <w:p w:rsidR="00FD309C" w:rsidRPr="00FD309C" w:rsidRDefault="00FD309C" w:rsidP="00043B55">
            <w:pPr>
              <w:keepNext/>
              <w:rPr>
                <w:rFonts w:ascii="Arial Narrow" w:hAnsi="Arial Narrow" w:cs="Arial"/>
                <w:b/>
                <w:snapToGrid w:val="0"/>
                <w:sz w:val="20"/>
                <w:szCs w:val="20"/>
                <w:lang w:val="en-US" w:eastAsia="en-US"/>
              </w:rPr>
            </w:pPr>
          </w:p>
        </w:tc>
        <w:tc>
          <w:tcPr>
            <w:tcW w:w="1167" w:type="pct"/>
            <w:tcBorders>
              <w:bottom w:val="single" w:sz="4" w:space="0" w:color="auto"/>
            </w:tcBorders>
            <w:shd w:val="clear" w:color="auto" w:fill="auto"/>
            <w:vAlign w:val="center"/>
          </w:tcPr>
          <w:p w:rsidR="00FD309C" w:rsidRPr="00FD309C" w:rsidRDefault="00FD309C" w:rsidP="00043B55">
            <w:pPr>
              <w:keepNext/>
              <w:jc w:val="center"/>
              <w:rPr>
                <w:rFonts w:ascii="Arial Narrow" w:hAnsi="Arial Narrow" w:cs="Arial"/>
                <w:b/>
                <w:snapToGrid w:val="0"/>
                <w:sz w:val="20"/>
                <w:szCs w:val="20"/>
                <w:lang w:val="en-US" w:eastAsia="en-US"/>
              </w:rPr>
            </w:pPr>
            <w:r w:rsidRPr="00FD309C">
              <w:rPr>
                <w:rFonts w:ascii="Arial Narrow" w:hAnsi="Arial Narrow" w:cs="Arial"/>
                <w:b/>
                <w:snapToGrid w:val="0"/>
                <w:sz w:val="20"/>
                <w:szCs w:val="20"/>
                <w:lang w:val="en-US" w:eastAsia="en-US"/>
              </w:rPr>
              <w:t>HP-hMG</w:t>
            </w:r>
          </w:p>
          <w:p w:rsidR="00FD309C" w:rsidRPr="00FD309C" w:rsidRDefault="00FD309C" w:rsidP="00043B55">
            <w:pPr>
              <w:keepNext/>
              <w:jc w:val="center"/>
              <w:rPr>
                <w:rFonts w:ascii="Arial Narrow" w:hAnsi="Arial Narrow" w:cs="Arial"/>
                <w:b/>
                <w:snapToGrid w:val="0"/>
                <w:sz w:val="20"/>
                <w:szCs w:val="20"/>
                <w:lang w:val="en-US" w:eastAsia="en-US"/>
              </w:rPr>
            </w:pPr>
            <w:proofErr w:type="gramStart"/>
            <w:r w:rsidRPr="00FD309C">
              <w:rPr>
                <w:rFonts w:ascii="Arial Narrow" w:hAnsi="Arial Narrow" w:cs="Arial"/>
                <w:b/>
                <w:snapToGrid w:val="0"/>
                <w:sz w:val="20"/>
                <w:szCs w:val="20"/>
                <w:lang w:val="en-US" w:eastAsia="en-US"/>
              </w:rPr>
              <w:t>n</w:t>
            </w:r>
            <w:proofErr w:type="gramEnd"/>
            <w:r w:rsidRPr="00FD309C">
              <w:rPr>
                <w:rFonts w:ascii="Arial Narrow" w:hAnsi="Arial Narrow" w:cs="Arial"/>
                <w:b/>
                <w:snapToGrid w:val="0"/>
                <w:sz w:val="20"/>
                <w:szCs w:val="20"/>
                <w:lang w:val="en-US" w:eastAsia="en-US"/>
              </w:rPr>
              <w:t xml:space="preserve"> with event/N (%)</w:t>
            </w:r>
          </w:p>
        </w:tc>
        <w:tc>
          <w:tcPr>
            <w:tcW w:w="1167" w:type="pct"/>
            <w:tcBorders>
              <w:bottom w:val="single" w:sz="4" w:space="0" w:color="auto"/>
            </w:tcBorders>
            <w:shd w:val="clear" w:color="auto" w:fill="auto"/>
            <w:vAlign w:val="center"/>
          </w:tcPr>
          <w:p w:rsidR="00FD309C" w:rsidRPr="00FD309C" w:rsidRDefault="00FD309C" w:rsidP="00043B55">
            <w:pPr>
              <w:keepNext/>
              <w:jc w:val="center"/>
              <w:rPr>
                <w:rFonts w:ascii="Arial Narrow" w:hAnsi="Arial Narrow" w:cs="Arial"/>
                <w:b/>
                <w:snapToGrid w:val="0"/>
                <w:sz w:val="20"/>
                <w:szCs w:val="20"/>
                <w:lang w:val="en-US" w:eastAsia="en-US"/>
              </w:rPr>
            </w:pPr>
            <w:r w:rsidRPr="00FD309C">
              <w:rPr>
                <w:rFonts w:ascii="Arial Narrow" w:hAnsi="Arial Narrow" w:cs="Arial"/>
                <w:b/>
                <w:snapToGrid w:val="0"/>
                <w:sz w:val="20"/>
                <w:szCs w:val="20"/>
                <w:lang w:val="en-US" w:eastAsia="en-US"/>
              </w:rPr>
              <w:t>Follitropin alfa</w:t>
            </w:r>
          </w:p>
          <w:p w:rsidR="00FD309C" w:rsidRPr="00FD309C" w:rsidRDefault="00FD309C" w:rsidP="00043B55">
            <w:pPr>
              <w:keepNext/>
              <w:jc w:val="center"/>
              <w:rPr>
                <w:rFonts w:ascii="Arial Narrow" w:hAnsi="Arial Narrow" w:cs="Arial"/>
                <w:b/>
                <w:snapToGrid w:val="0"/>
                <w:sz w:val="20"/>
                <w:szCs w:val="20"/>
                <w:lang w:val="en-US" w:eastAsia="en-US"/>
              </w:rPr>
            </w:pPr>
            <w:proofErr w:type="gramStart"/>
            <w:r w:rsidRPr="00FD309C">
              <w:rPr>
                <w:rFonts w:ascii="Arial Narrow" w:hAnsi="Arial Narrow" w:cs="Arial"/>
                <w:b/>
                <w:snapToGrid w:val="0"/>
                <w:sz w:val="20"/>
                <w:szCs w:val="20"/>
                <w:lang w:val="en-US" w:eastAsia="en-US"/>
              </w:rPr>
              <w:t>n</w:t>
            </w:r>
            <w:proofErr w:type="gramEnd"/>
            <w:r w:rsidRPr="00FD309C">
              <w:rPr>
                <w:rFonts w:ascii="Arial Narrow" w:hAnsi="Arial Narrow" w:cs="Arial"/>
                <w:b/>
                <w:snapToGrid w:val="0"/>
                <w:sz w:val="20"/>
                <w:szCs w:val="20"/>
                <w:lang w:val="en-US" w:eastAsia="en-US"/>
              </w:rPr>
              <w:t xml:space="preserve"> with event/N (%)</w:t>
            </w:r>
          </w:p>
        </w:tc>
        <w:tc>
          <w:tcPr>
            <w:tcW w:w="1166" w:type="pct"/>
            <w:tcBorders>
              <w:bottom w:val="single" w:sz="4" w:space="0" w:color="auto"/>
            </w:tcBorders>
            <w:shd w:val="clear" w:color="auto" w:fill="auto"/>
            <w:vAlign w:val="center"/>
          </w:tcPr>
          <w:p w:rsidR="00FD309C" w:rsidRPr="00FD309C" w:rsidRDefault="00FD309C" w:rsidP="00043B55">
            <w:pPr>
              <w:keepNext/>
              <w:jc w:val="center"/>
              <w:rPr>
                <w:rFonts w:ascii="Arial Narrow" w:hAnsi="Arial Narrow" w:cs="Arial"/>
                <w:b/>
                <w:snapToGrid w:val="0"/>
                <w:sz w:val="20"/>
                <w:szCs w:val="20"/>
                <w:lang w:val="en-US" w:eastAsia="en-US"/>
              </w:rPr>
            </w:pPr>
            <w:r w:rsidRPr="00FD309C">
              <w:rPr>
                <w:rFonts w:ascii="Arial Narrow" w:hAnsi="Arial Narrow" w:cs="Arial"/>
                <w:b/>
                <w:snapToGrid w:val="0"/>
                <w:sz w:val="20"/>
                <w:szCs w:val="20"/>
                <w:lang w:val="en-US" w:eastAsia="en-US"/>
              </w:rPr>
              <w:t>Mean difference</w:t>
            </w:r>
          </w:p>
          <w:p w:rsidR="00FD309C" w:rsidRPr="00FD309C" w:rsidRDefault="00FD309C" w:rsidP="00043B55">
            <w:pPr>
              <w:keepNext/>
              <w:jc w:val="center"/>
              <w:rPr>
                <w:rFonts w:ascii="Arial Narrow" w:hAnsi="Arial Narrow" w:cs="Arial"/>
                <w:b/>
                <w:snapToGrid w:val="0"/>
                <w:sz w:val="20"/>
                <w:szCs w:val="20"/>
                <w:lang w:val="en-US" w:eastAsia="en-US"/>
              </w:rPr>
            </w:pPr>
            <w:r w:rsidRPr="00FD309C">
              <w:rPr>
                <w:rFonts w:ascii="Arial Narrow" w:hAnsi="Arial Narrow" w:cs="Arial"/>
                <w:b/>
                <w:snapToGrid w:val="0"/>
                <w:sz w:val="20"/>
                <w:szCs w:val="20"/>
                <w:lang w:val="en-US" w:eastAsia="en-US"/>
              </w:rPr>
              <w:t>(95% CI)</w:t>
            </w:r>
            <w:r w:rsidRPr="00FD309C">
              <w:rPr>
                <w:rFonts w:ascii="Arial Narrow" w:hAnsi="Arial Narrow" w:cs="Arial"/>
                <w:b/>
                <w:i/>
                <w:snapToGrid w:val="0"/>
                <w:sz w:val="20"/>
                <w:szCs w:val="20"/>
                <w:lang w:val="en-US" w:eastAsia="en-US"/>
              </w:rPr>
              <w:t>*</w:t>
            </w:r>
          </w:p>
        </w:tc>
      </w:tr>
      <w:tr w:rsidR="00FD309C" w:rsidRPr="00FD309C" w:rsidTr="00624355">
        <w:tc>
          <w:tcPr>
            <w:tcW w:w="1500" w:type="pct"/>
            <w:shd w:val="clear" w:color="auto" w:fill="auto"/>
            <w:vAlign w:val="center"/>
          </w:tcPr>
          <w:p w:rsidR="00FD309C" w:rsidRPr="00FD309C" w:rsidRDefault="00FD309C" w:rsidP="00043B55">
            <w:pPr>
              <w:keepNext/>
              <w:rPr>
                <w:rFonts w:ascii="Arial Narrow" w:hAnsi="Arial Narrow" w:cs="Arial"/>
                <w:snapToGrid w:val="0"/>
                <w:sz w:val="20"/>
                <w:szCs w:val="20"/>
                <w:lang w:val="en-US" w:eastAsia="en-US"/>
              </w:rPr>
            </w:pPr>
            <w:r w:rsidRPr="00FD309C">
              <w:rPr>
                <w:rFonts w:ascii="Arial Narrow" w:hAnsi="Arial Narrow" w:cs="Arial"/>
                <w:snapToGrid w:val="0"/>
                <w:sz w:val="20"/>
                <w:szCs w:val="20"/>
                <w:lang w:val="en-US" w:eastAsia="en-US"/>
              </w:rPr>
              <w:t>PP</w:t>
            </w:r>
          </w:p>
        </w:tc>
        <w:tc>
          <w:tcPr>
            <w:tcW w:w="1167" w:type="pct"/>
            <w:shd w:val="clear" w:color="auto" w:fill="auto"/>
            <w:vAlign w:val="center"/>
          </w:tcPr>
          <w:p w:rsidR="00FD309C" w:rsidRPr="00FD309C" w:rsidRDefault="00FD309C" w:rsidP="00043B55">
            <w:pPr>
              <w:jc w:val="center"/>
              <w:rPr>
                <w:rFonts w:ascii="Arial Narrow" w:hAnsi="Arial Narrow" w:cs="Arial"/>
                <w:snapToGrid w:val="0"/>
                <w:sz w:val="20"/>
                <w:szCs w:val="20"/>
                <w:lang w:eastAsia="en-US"/>
              </w:rPr>
            </w:pPr>
            <w:r w:rsidRPr="00FD309C">
              <w:rPr>
                <w:rFonts w:ascii="Arial Narrow" w:hAnsi="Arial Narrow" w:cs="Arial"/>
                <w:snapToGrid w:val="0"/>
                <w:sz w:val="20"/>
                <w:szCs w:val="20"/>
                <w:lang w:eastAsia="en-US"/>
              </w:rPr>
              <w:t>60/70 (85.7)</w:t>
            </w:r>
          </w:p>
        </w:tc>
        <w:tc>
          <w:tcPr>
            <w:tcW w:w="1167" w:type="pct"/>
            <w:shd w:val="clear" w:color="auto" w:fill="auto"/>
            <w:vAlign w:val="center"/>
          </w:tcPr>
          <w:p w:rsidR="00FD309C" w:rsidRPr="00FD309C" w:rsidRDefault="00FD309C" w:rsidP="00043B55">
            <w:pPr>
              <w:jc w:val="center"/>
              <w:rPr>
                <w:rFonts w:ascii="Arial Narrow" w:hAnsi="Arial Narrow" w:cs="Arial"/>
                <w:snapToGrid w:val="0"/>
                <w:sz w:val="20"/>
                <w:szCs w:val="20"/>
                <w:lang w:eastAsia="en-US"/>
              </w:rPr>
            </w:pPr>
            <w:r w:rsidRPr="00FD309C">
              <w:rPr>
                <w:rFonts w:ascii="Arial Narrow" w:hAnsi="Arial Narrow" w:cs="Arial"/>
                <w:snapToGrid w:val="0"/>
                <w:sz w:val="20"/>
                <w:szCs w:val="20"/>
                <w:lang w:eastAsia="en-US"/>
              </w:rPr>
              <w:t>71/83 (85.5)</w:t>
            </w:r>
          </w:p>
        </w:tc>
        <w:tc>
          <w:tcPr>
            <w:tcW w:w="1166" w:type="pct"/>
            <w:shd w:val="clear" w:color="auto" w:fill="auto"/>
            <w:vAlign w:val="center"/>
          </w:tcPr>
          <w:p w:rsidR="00FD309C" w:rsidRPr="00FD309C" w:rsidRDefault="00FD309C" w:rsidP="00043B55">
            <w:pPr>
              <w:jc w:val="center"/>
              <w:rPr>
                <w:rFonts w:ascii="Arial Narrow" w:hAnsi="Arial Narrow" w:cs="Arial"/>
                <w:snapToGrid w:val="0"/>
                <w:sz w:val="20"/>
                <w:szCs w:val="20"/>
                <w:lang w:eastAsia="en-US"/>
              </w:rPr>
            </w:pPr>
            <w:r w:rsidRPr="00FD309C">
              <w:rPr>
                <w:rFonts w:ascii="Arial Narrow" w:hAnsi="Arial Narrow" w:cs="Arial"/>
                <w:snapToGrid w:val="0"/>
                <w:sz w:val="20"/>
                <w:szCs w:val="20"/>
                <w:lang w:eastAsia="en-US"/>
              </w:rPr>
              <w:t>0.17 (-11.0, 11.33)</w:t>
            </w:r>
          </w:p>
        </w:tc>
      </w:tr>
      <w:tr w:rsidR="00FD309C" w:rsidRPr="00FD309C" w:rsidTr="00624355">
        <w:tc>
          <w:tcPr>
            <w:tcW w:w="1500" w:type="pct"/>
            <w:shd w:val="clear" w:color="auto" w:fill="auto"/>
            <w:vAlign w:val="center"/>
          </w:tcPr>
          <w:p w:rsidR="00FD309C" w:rsidRPr="00FD309C" w:rsidRDefault="00FD309C" w:rsidP="00043B55">
            <w:pPr>
              <w:keepNext/>
              <w:rPr>
                <w:rFonts w:ascii="Arial Narrow" w:hAnsi="Arial Narrow" w:cs="Arial"/>
                <w:snapToGrid w:val="0"/>
                <w:sz w:val="20"/>
                <w:szCs w:val="20"/>
                <w:lang w:val="en-US" w:eastAsia="en-US"/>
              </w:rPr>
            </w:pPr>
            <w:r w:rsidRPr="00FD309C">
              <w:rPr>
                <w:rFonts w:ascii="Arial Narrow" w:hAnsi="Arial Narrow" w:cs="Arial"/>
                <w:snapToGrid w:val="0"/>
                <w:sz w:val="20"/>
                <w:szCs w:val="20"/>
                <w:lang w:val="en-US" w:eastAsia="en-US"/>
              </w:rPr>
              <w:t>ITT</w:t>
            </w:r>
          </w:p>
        </w:tc>
        <w:tc>
          <w:tcPr>
            <w:tcW w:w="1167" w:type="pct"/>
            <w:shd w:val="clear" w:color="auto" w:fill="auto"/>
          </w:tcPr>
          <w:p w:rsidR="00FD309C" w:rsidRPr="00FD309C" w:rsidRDefault="00FD309C" w:rsidP="00043B55">
            <w:pPr>
              <w:jc w:val="center"/>
              <w:rPr>
                <w:rFonts w:ascii="Arial Narrow" w:hAnsi="Arial Narrow" w:cs="Arial"/>
                <w:snapToGrid w:val="0"/>
                <w:sz w:val="20"/>
                <w:szCs w:val="20"/>
                <w:lang w:eastAsia="en-US"/>
              </w:rPr>
            </w:pPr>
            <w:r w:rsidRPr="00FD309C">
              <w:rPr>
                <w:rFonts w:ascii="Arial Narrow" w:hAnsi="Arial Narrow" w:cs="Arial"/>
                <w:snapToGrid w:val="0"/>
                <w:sz w:val="20"/>
                <w:szCs w:val="20"/>
                <w:lang w:eastAsia="en-US"/>
              </w:rPr>
              <w:t>76/91 (83.5)</w:t>
            </w:r>
          </w:p>
        </w:tc>
        <w:tc>
          <w:tcPr>
            <w:tcW w:w="1167" w:type="pct"/>
            <w:shd w:val="clear" w:color="auto" w:fill="auto"/>
          </w:tcPr>
          <w:p w:rsidR="00FD309C" w:rsidRPr="00FD309C" w:rsidRDefault="00FD309C" w:rsidP="00043B55">
            <w:pPr>
              <w:jc w:val="center"/>
              <w:rPr>
                <w:rFonts w:ascii="Arial Narrow" w:hAnsi="Arial Narrow" w:cs="Arial"/>
                <w:snapToGrid w:val="0"/>
                <w:sz w:val="20"/>
                <w:szCs w:val="20"/>
                <w:lang w:eastAsia="en-US"/>
              </w:rPr>
            </w:pPr>
            <w:r w:rsidRPr="00FD309C">
              <w:rPr>
                <w:rFonts w:ascii="Arial Narrow" w:hAnsi="Arial Narrow" w:cs="Arial"/>
                <w:snapToGrid w:val="0"/>
                <w:sz w:val="20"/>
                <w:szCs w:val="20"/>
                <w:lang w:eastAsia="en-US"/>
              </w:rPr>
              <w:t>79/93 (84.9)</w:t>
            </w:r>
          </w:p>
        </w:tc>
        <w:tc>
          <w:tcPr>
            <w:tcW w:w="1166" w:type="pct"/>
            <w:shd w:val="clear" w:color="auto" w:fill="auto"/>
            <w:vAlign w:val="center"/>
          </w:tcPr>
          <w:p w:rsidR="00FD309C" w:rsidRPr="00FD309C" w:rsidRDefault="00FD309C" w:rsidP="00043B55">
            <w:pPr>
              <w:jc w:val="center"/>
              <w:rPr>
                <w:rFonts w:ascii="Arial Narrow" w:hAnsi="Arial Narrow" w:cs="Arial"/>
                <w:snapToGrid w:val="0"/>
                <w:sz w:val="20"/>
                <w:szCs w:val="20"/>
                <w:lang w:eastAsia="en-US"/>
              </w:rPr>
            </w:pPr>
            <w:r w:rsidRPr="00FD309C">
              <w:rPr>
                <w:rFonts w:ascii="Arial Narrow" w:hAnsi="Arial Narrow" w:cs="Arial"/>
                <w:snapToGrid w:val="0"/>
                <w:sz w:val="20"/>
                <w:szCs w:val="20"/>
                <w:lang w:eastAsia="en-US"/>
              </w:rPr>
              <w:t>-1.43 (-12.0, 9.10)</w:t>
            </w:r>
          </w:p>
        </w:tc>
      </w:tr>
    </w:tbl>
    <w:p w:rsidR="00FD309C" w:rsidRPr="00FD309C" w:rsidRDefault="00FD309C" w:rsidP="00043B55">
      <w:pPr>
        <w:ind w:firstLine="720"/>
        <w:jc w:val="both"/>
        <w:rPr>
          <w:rFonts w:ascii="Arial Narrow" w:hAnsi="Arial Narrow" w:cs="Arial"/>
          <w:snapToGrid w:val="0"/>
          <w:sz w:val="18"/>
          <w:szCs w:val="20"/>
          <w:lang w:eastAsia="en-US"/>
        </w:rPr>
      </w:pPr>
      <w:r w:rsidRPr="00FD309C">
        <w:rPr>
          <w:rFonts w:ascii="Arial Narrow" w:hAnsi="Arial Narrow" w:cs="Arial"/>
          <w:snapToGrid w:val="0"/>
          <w:sz w:val="18"/>
          <w:szCs w:val="20"/>
          <w:lang w:eastAsia="en-US"/>
        </w:rPr>
        <w:t xml:space="preserve">Source: Table B-17, Table B-18 p48, of the </w:t>
      </w:r>
      <w:r w:rsidR="006243D0">
        <w:rPr>
          <w:rFonts w:ascii="Arial Narrow" w:hAnsi="Arial Narrow" w:cs="Arial"/>
          <w:snapToGrid w:val="0"/>
          <w:sz w:val="18"/>
          <w:szCs w:val="20"/>
          <w:lang w:eastAsia="en-US"/>
        </w:rPr>
        <w:t xml:space="preserve">March 2016 </w:t>
      </w:r>
      <w:r w:rsidRPr="00FD309C">
        <w:rPr>
          <w:rFonts w:ascii="Arial Narrow" w:hAnsi="Arial Narrow" w:cs="Arial"/>
          <w:snapToGrid w:val="0"/>
          <w:sz w:val="18"/>
          <w:szCs w:val="20"/>
          <w:lang w:eastAsia="en-US"/>
        </w:rPr>
        <w:t xml:space="preserve">submission; CS002 CSR Table 9-1 p73, Table 9-9 p81. </w:t>
      </w:r>
    </w:p>
    <w:p w:rsidR="004107FE" w:rsidRDefault="00FD309C" w:rsidP="00043B55">
      <w:pPr>
        <w:ind w:left="720"/>
        <w:jc w:val="both"/>
        <w:rPr>
          <w:rFonts w:ascii="Arial Narrow" w:hAnsi="Arial Narrow" w:cs="Arial"/>
          <w:snapToGrid w:val="0"/>
          <w:sz w:val="18"/>
          <w:szCs w:val="20"/>
          <w:lang w:eastAsia="en-US"/>
        </w:rPr>
      </w:pPr>
      <w:r w:rsidRPr="00FD309C">
        <w:rPr>
          <w:rFonts w:ascii="Arial Narrow" w:hAnsi="Arial Narrow" w:cs="Arial"/>
          <w:snapToGrid w:val="0"/>
          <w:sz w:val="18"/>
          <w:szCs w:val="20"/>
          <w:lang w:eastAsia="en-US"/>
        </w:rPr>
        <w:t>Abbreviations: CI = confidence interval; HP-hMG = highly purified human menopausal gonadotrophin; ITT = intention-to-treat; PP = per protocol.</w:t>
      </w:r>
      <w:r w:rsidRPr="006C4280">
        <w:rPr>
          <w:rFonts w:ascii="Arial Narrow" w:hAnsi="Arial Narrow" w:cs="Arial"/>
          <w:snapToGrid w:val="0"/>
          <w:sz w:val="18"/>
          <w:szCs w:val="20"/>
          <w:lang w:eastAsia="en-US"/>
        </w:rPr>
        <w:t xml:space="preserve"> </w:t>
      </w:r>
    </w:p>
    <w:p w:rsidR="00FD309C" w:rsidRPr="006C4280" w:rsidRDefault="00FD309C" w:rsidP="00043B55">
      <w:pPr>
        <w:ind w:left="720"/>
        <w:jc w:val="both"/>
        <w:rPr>
          <w:rFonts w:ascii="Arial Narrow" w:hAnsi="Arial Narrow" w:cs="Arial"/>
          <w:snapToGrid w:val="0"/>
          <w:sz w:val="18"/>
          <w:szCs w:val="20"/>
          <w:lang w:eastAsia="en-US"/>
        </w:rPr>
      </w:pPr>
      <w:r w:rsidRPr="006C4280">
        <w:rPr>
          <w:rFonts w:ascii="Arial Narrow" w:hAnsi="Arial Narrow" w:cs="Arial"/>
          <w:snapToGrid w:val="0"/>
          <w:sz w:val="18"/>
          <w:szCs w:val="20"/>
          <w:lang w:eastAsia="en-US"/>
        </w:rPr>
        <w:t>* Pre-specified non-inferiority limit = -20%</w:t>
      </w:r>
    </w:p>
    <w:p w:rsidR="00AA3259" w:rsidRPr="006C4280" w:rsidRDefault="00AA3259" w:rsidP="00043B55">
      <w:pPr>
        <w:jc w:val="both"/>
        <w:rPr>
          <w:rFonts w:ascii="Arial" w:hAnsi="Arial" w:cs="Arial"/>
          <w:snapToGrid w:val="0"/>
          <w:sz w:val="22"/>
          <w:szCs w:val="22"/>
          <w:lang w:eastAsia="en-US"/>
        </w:rPr>
      </w:pPr>
    </w:p>
    <w:p w:rsidR="00FD309C" w:rsidRPr="006C4280" w:rsidRDefault="00FD309C" w:rsidP="00043B55">
      <w:pPr>
        <w:keepNext/>
        <w:ind w:firstLine="720"/>
        <w:jc w:val="both"/>
        <w:rPr>
          <w:rFonts w:ascii="Arial Narrow" w:hAnsi="Arial Narrow" w:cs="Arial"/>
          <w:b/>
          <w:snapToGrid w:val="0"/>
          <w:sz w:val="20"/>
          <w:szCs w:val="16"/>
          <w:lang w:eastAsia="en-US"/>
        </w:rPr>
      </w:pPr>
      <w:r w:rsidRPr="006C4280">
        <w:rPr>
          <w:rFonts w:ascii="Arial Narrow" w:hAnsi="Arial Narrow" w:cs="Arial"/>
          <w:b/>
          <w:snapToGrid w:val="0"/>
          <w:sz w:val="20"/>
          <w:szCs w:val="16"/>
          <w:lang w:eastAsia="en-US"/>
        </w:rPr>
        <w:t xml:space="preserve">Table 4: Results of the patient-relevant </w:t>
      </w:r>
      <w:r w:rsidR="00E90679">
        <w:rPr>
          <w:rFonts w:ascii="Arial Narrow" w:hAnsi="Arial Narrow" w:cs="Arial"/>
          <w:b/>
          <w:snapToGrid w:val="0"/>
          <w:sz w:val="20"/>
          <w:szCs w:val="16"/>
          <w:lang w:eastAsia="en-US"/>
        </w:rPr>
        <w:t xml:space="preserve">secondary </w:t>
      </w:r>
      <w:r w:rsidRPr="006C4280">
        <w:rPr>
          <w:rFonts w:ascii="Arial Narrow" w:hAnsi="Arial Narrow" w:cs="Arial"/>
          <w:b/>
          <w:snapToGrid w:val="0"/>
          <w:sz w:val="20"/>
          <w:szCs w:val="16"/>
          <w:lang w:eastAsia="en-US"/>
        </w:rPr>
        <w:t>outcome</w:t>
      </w:r>
      <w:r w:rsidR="00E90679">
        <w:rPr>
          <w:rFonts w:ascii="Arial Narrow" w:hAnsi="Arial Narrow" w:cs="Arial"/>
          <w:b/>
          <w:snapToGrid w:val="0"/>
          <w:sz w:val="20"/>
          <w:szCs w:val="16"/>
          <w:lang w:eastAsia="en-US"/>
        </w:rPr>
        <w:t>s</w:t>
      </w:r>
      <w:r w:rsidRPr="006C4280">
        <w:rPr>
          <w:rFonts w:ascii="Arial Narrow" w:hAnsi="Arial Narrow" w:cs="Arial"/>
          <w:b/>
          <w:snapToGrid w:val="0"/>
          <w:sz w:val="20"/>
          <w:szCs w:val="16"/>
          <w:lang w:eastAsia="en-US"/>
        </w:rPr>
        <w:t xml:space="preserve"> across the direct randomised trial</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07"/>
        <w:gridCol w:w="1952"/>
        <w:gridCol w:w="1952"/>
        <w:gridCol w:w="1952"/>
      </w:tblGrid>
      <w:tr w:rsidR="00FD309C" w:rsidRPr="006C4280" w:rsidTr="00624355">
        <w:tc>
          <w:tcPr>
            <w:tcW w:w="1499" w:type="pct"/>
            <w:tcBorders>
              <w:bottom w:val="single" w:sz="4" w:space="0" w:color="auto"/>
            </w:tcBorders>
            <w:shd w:val="clear" w:color="auto" w:fill="auto"/>
            <w:vAlign w:val="center"/>
          </w:tcPr>
          <w:p w:rsidR="00FD309C" w:rsidRPr="006C4280" w:rsidRDefault="00FD309C" w:rsidP="00043B55">
            <w:pPr>
              <w:keepNext/>
              <w:rPr>
                <w:rFonts w:ascii="Arial Narrow" w:hAnsi="Arial Narrow" w:cs="Arial"/>
                <w:b/>
                <w:snapToGrid w:val="0"/>
                <w:sz w:val="20"/>
                <w:szCs w:val="20"/>
                <w:lang w:val="en-US" w:eastAsia="en-US"/>
              </w:rPr>
            </w:pPr>
          </w:p>
        </w:tc>
        <w:tc>
          <w:tcPr>
            <w:tcW w:w="1167" w:type="pct"/>
            <w:tcBorders>
              <w:bottom w:val="single" w:sz="4" w:space="0" w:color="auto"/>
            </w:tcBorders>
            <w:shd w:val="clear" w:color="auto" w:fill="auto"/>
            <w:vAlign w:val="center"/>
          </w:tcPr>
          <w:p w:rsidR="00FD309C" w:rsidRPr="006C4280" w:rsidRDefault="00FD309C" w:rsidP="00043B55">
            <w:pPr>
              <w:keepNext/>
              <w:jc w:val="center"/>
              <w:rPr>
                <w:rFonts w:ascii="Arial Narrow" w:hAnsi="Arial Narrow" w:cs="Arial"/>
                <w:b/>
                <w:snapToGrid w:val="0"/>
                <w:sz w:val="20"/>
                <w:szCs w:val="20"/>
                <w:lang w:val="en-US" w:eastAsia="en-US"/>
              </w:rPr>
            </w:pPr>
            <w:r w:rsidRPr="006C4280">
              <w:rPr>
                <w:rFonts w:ascii="Arial Narrow" w:hAnsi="Arial Narrow" w:cs="Arial"/>
                <w:b/>
                <w:snapToGrid w:val="0"/>
                <w:sz w:val="20"/>
                <w:szCs w:val="20"/>
                <w:lang w:val="en-US" w:eastAsia="en-US"/>
              </w:rPr>
              <w:t>HP-hMG</w:t>
            </w:r>
          </w:p>
          <w:p w:rsidR="00FD309C" w:rsidRPr="006C4280" w:rsidRDefault="00FD309C" w:rsidP="00043B55">
            <w:pPr>
              <w:keepNext/>
              <w:jc w:val="center"/>
              <w:rPr>
                <w:rFonts w:ascii="Arial Narrow" w:hAnsi="Arial Narrow" w:cs="Arial"/>
                <w:b/>
                <w:snapToGrid w:val="0"/>
                <w:sz w:val="20"/>
                <w:szCs w:val="20"/>
                <w:lang w:val="en-US" w:eastAsia="en-US"/>
              </w:rPr>
            </w:pPr>
            <w:proofErr w:type="gramStart"/>
            <w:r w:rsidRPr="006C4280">
              <w:rPr>
                <w:rFonts w:ascii="Arial Narrow" w:hAnsi="Arial Narrow" w:cs="Arial"/>
                <w:b/>
                <w:snapToGrid w:val="0"/>
                <w:sz w:val="20"/>
                <w:szCs w:val="20"/>
                <w:lang w:val="en-US" w:eastAsia="en-US"/>
              </w:rPr>
              <w:t>n</w:t>
            </w:r>
            <w:proofErr w:type="gramEnd"/>
            <w:r w:rsidRPr="006C4280">
              <w:rPr>
                <w:rFonts w:ascii="Arial Narrow" w:hAnsi="Arial Narrow" w:cs="Arial"/>
                <w:b/>
                <w:snapToGrid w:val="0"/>
                <w:sz w:val="20"/>
                <w:szCs w:val="20"/>
                <w:lang w:val="en-US" w:eastAsia="en-US"/>
              </w:rPr>
              <w:t xml:space="preserve"> with event/N (%)</w:t>
            </w:r>
          </w:p>
        </w:tc>
        <w:tc>
          <w:tcPr>
            <w:tcW w:w="1167" w:type="pct"/>
            <w:tcBorders>
              <w:bottom w:val="single" w:sz="4" w:space="0" w:color="auto"/>
            </w:tcBorders>
            <w:shd w:val="clear" w:color="auto" w:fill="auto"/>
            <w:vAlign w:val="center"/>
          </w:tcPr>
          <w:p w:rsidR="00FD309C" w:rsidRPr="006C4280" w:rsidRDefault="00FD309C" w:rsidP="00043B55">
            <w:pPr>
              <w:keepNext/>
              <w:jc w:val="center"/>
              <w:rPr>
                <w:rFonts w:ascii="Arial Narrow" w:hAnsi="Arial Narrow" w:cs="Arial"/>
                <w:b/>
                <w:snapToGrid w:val="0"/>
                <w:sz w:val="20"/>
                <w:szCs w:val="20"/>
                <w:lang w:val="en-US" w:eastAsia="en-US"/>
              </w:rPr>
            </w:pPr>
            <w:r w:rsidRPr="006C4280">
              <w:rPr>
                <w:rFonts w:ascii="Arial Narrow" w:hAnsi="Arial Narrow" w:cs="Arial"/>
                <w:b/>
                <w:snapToGrid w:val="0"/>
                <w:sz w:val="20"/>
                <w:szCs w:val="20"/>
                <w:lang w:val="en-US" w:eastAsia="en-US"/>
              </w:rPr>
              <w:t>Follitropin alfa</w:t>
            </w:r>
          </w:p>
          <w:p w:rsidR="00FD309C" w:rsidRPr="006C4280" w:rsidRDefault="00FD309C" w:rsidP="00043B55">
            <w:pPr>
              <w:keepNext/>
              <w:jc w:val="center"/>
              <w:rPr>
                <w:rFonts w:ascii="Arial Narrow" w:hAnsi="Arial Narrow" w:cs="Arial"/>
                <w:b/>
                <w:snapToGrid w:val="0"/>
                <w:sz w:val="20"/>
                <w:szCs w:val="20"/>
                <w:lang w:val="en-US" w:eastAsia="en-US"/>
              </w:rPr>
            </w:pPr>
            <w:proofErr w:type="gramStart"/>
            <w:r w:rsidRPr="006C4280">
              <w:rPr>
                <w:rFonts w:ascii="Arial Narrow" w:hAnsi="Arial Narrow" w:cs="Arial"/>
                <w:b/>
                <w:snapToGrid w:val="0"/>
                <w:sz w:val="20"/>
                <w:szCs w:val="20"/>
                <w:lang w:val="en-US" w:eastAsia="en-US"/>
              </w:rPr>
              <w:t>n</w:t>
            </w:r>
            <w:proofErr w:type="gramEnd"/>
            <w:r w:rsidRPr="006C4280">
              <w:rPr>
                <w:rFonts w:ascii="Arial Narrow" w:hAnsi="Arial Narrow" w:cs="Arial"/>
                <w:b/>
                <w:snapToGrid w:val="0"/>
                <w:sz w:val="20"/>
                <w:szCs w:val="20"/>
                <w:lang w:val="en-US" w:eastAsia="en-US"/>
              </w:rPr>
              <w:t xml:space="preserve"> with event/N (%) </w:t>
            </w:r>
          </w:p>
        </w:tc>
        <w:tc>
          <w:tcPr>
            <w:tcW w:w="1167" w:type="pct"/>
            <w:tcBorders>
              <w:bottom w:val="single" w:sz="4" w:space="0" w:color="auto"/>
            </w:tcBorders>
            <w:shd w:val="clear" w:color="auto" w:fill="auto"/>
            <w:vAlign w:val="center"/>
          </w:tcPr>
          <w:p w:rsidR="00FD309C" w:rsidRPr="006C4280" w:rsidRDefault="00FD309C" w:rsidP="00043B55">
            <w:pPr>
              <w:keepNext/>
              <w:jc w:val="center"/>
              <w:rPr>
                <w:rFonts w:ascii="Arial Narrow" w:hAnsi="Arial Narrow" w:cs="Arial"/>
                <w:b/>
                <w:snapToGrid w:val="0"/>
                <w:sz w:val="20"/>
                <w:szCs w:val="20"/>
                <w:lang w:val="en-US" w:eastAsia="en-US"/>
              </w:rPr>
            </w:pPr>
            <w:r w:rsidRPr="006C4280">
              <w:rPr>
                <w:rFonts w:ascii="Arial Narrow" w:hAnsi="Arial Narrow" w:cs="Arial"/>
                <w:b/>
                <w:snapToGrid w:val="0"/>
                <w:sz w:val="20"/>
                <w:szCs w:val="20"/>
                <w:lang w:val="en-US" w:eastAsia="en-US"/>
              </w:rPr>
              <w:t>Mean difference</w:t>
            </w:r>
          </w:p>
          <w:p w:rsidR="00FD309C" w:rsidRPr="006C4280" w:rsidRDefault="00FD309C" w:rsidP="00043B55">
            <w:pPr>
              <w:keepNext/>
              <w:jc w:val="center"/>
              <w:rPr>
                <w:rFonts w:ascii="Arial Narrow" w:hAnsi="Arial Narrow" w:cs="Arial"/>
                <w:b/>
                <w:snapToGrid w:val="0"/>
                <w:sz w:val="20"/>
                <w:szCs w:val="20"/>
                <w:lang w:val="en-US" w:eastAsia="en-US"/>
              </w:rPr>
            </w:pPr>
            <w:r w:rsidRPr="006C4280">
              <w:rPr>
                <w:rFonts w:ascii="Arial Narrow" w:hAnsi="Arial Narrow" w:cs="Arial"/>
                <w:b/>
                <w:snapToGrid w:val="0"/>
                <w:sz w:val="20"/>
                <w:szCs w:val="20"/>
                <w:lang w:val="en-US" w:eastAsia="en-US"/>
              </w:rPr>
              <w:t>(95% CI)*</w:t>
            </w:r>
          </w:p>
        </w:tc>
      </w:tr>
      <w:tr w:rsidR="00FD309C" w:rsidRPr="006C4280" w:rsidTr="00624355">
        <w:tc>
          <w:tcPr>
            <w:tcW w:w="1499" w:type="pct"/>
            <w:shd w:val="clear" w:color="auto" w:fill="auto"/>
            <w:vAlign w:val="center"/>
          </w:tcPr>
          <w:p w:rsidR="00FD309C" w:rsidRPr="006C4280" w:rsidRDefault="00FD309C" w:rsidP="00043B55">
            <w:pPr>
              <w:ind w:right="-108"/>
              <w:rPr>
                <w:rFonts w:ascii="Arial Narrow" w:hAnsi="Arial Narrow" w:cs="Arial"/>
                <w:snapToGrid w:val="0"/>
                <w:sz w:val="20"/>
                <w:szCs w:val="20"/>
                <w:lang w:eastAsia="en-US"/>
              </w:rPr>
            </w:pPr>
            <w:r w:rsidRPr="006C4280">
              <w:rPr>
                <w:rFonts w:ascii="Arial Narrow" w:hAnsi="Arial Narrow" w:cs="Arial"/>
                <w:snapToGrid w:val="0"/>
                <w:sz w:val="20"/>
                <w:szCs w:val="20"/>
                <w:lang w:eastAsia="en-US"/>
              </w:rPr>
              <w:t>Ongoing pregnancy (PP)</w:t>
            </w:r>
          </w:p>
        </w:tc>
        <w:tc>
          <w:tcPr>
            <w:tcW w:w="1167" w:type="pct"/>
            <w:shd w:val="clear" w:color="auto" w:fill="auto"/>
            <w:vAlign w:val="center"/>
          </w:tcPr>
          <w:p w:rsidR="00FD309C" w:rsidRPr="006C4280" w:rsidRDefault="00FD309C" w:rsidP="00043B55">
            <w:pPr>
              <w:jc w:val="center"/>
              <w:rPr>
                <w:rFonts w:ascii="Arial Narrow" w:hAnsi="Arial Narrow" w:cs="Arial"/>
                <w:snapToGrid w:val="0"/>
                <w:sz w:val="20"/>
                <w:szCs w:val="20"/>
                <w:lang w:eastAsia="en-US"/>
              </w:rPr>
            </w:pPr>
            <w:r w:rsidRPr="006C4280">
              <w:rPr>
                <w:rFonts w:ascii="Arial Narrow" w:hAnsi="Arial Narrow" w:cs="Arial"/>
                <w:snapToGrid w:val="0"/>
                <w:sz w:val="20"/>
                <w:szCs w:val="20"/>
                <w:lang w:eastAsia="en-US"/>
              </w:rPr>
              <w:t>13/70 (18.6)</w:t>
            </w:r>
          </w:p>
        </w:tc>
        <w:tc>
          <w:tcPr>
            <w:tcW w:w="1167" w:type="pct"/>
            <w:shd w:val="clear" w:color="auto" w:fill="auto"/>
            <w:vAlign w:val="center"/>
          </w:tcPr>
          <w:p w:rsidR="00FD309C" w:rsidRPr="006C4280" w:rsidRDefault="00FD309C" w:rsidP="00043B55">
            <w:pPr>
              <w:jc w:val="center"/>
              <w:rPr>
                <w:rFonts w:ascii="Arial Narrow" w:hAnsi="Arial Narrow" w:cs="Arial"/>
                <w:snapToGrid w:val="0"/>
                <w:sz w:val="20"/>
                <w:szCs w:val="20"/>
                <w:lang w:eastAsia="en-US"/>
              </w:rPr>
            </w:pPr>
            <w:r w:rsidRPr="006C4280">
              <w:rPr>
                <w:rFonts w:ascii="Arial Narrow" w:hAnsi="Arial Narrow" w:cs="Arial"/>
                <w:snapToGrid w:val="0"/>
                <w:sz w:val="20"/>
                <w:szCs w:val="20"/>
                <w:lang w:eastAsia="en-US"/>
              </w:rPr>
              <w:t>14/83 (16.9)</w:t>
            </w:r>
          </w:p>
        </w:tc>
        <w:tc>
          <w:tcPr>
            <w:tcW w:w="1167" w:type="pct"/>
            <w:shd w:val="clear" w:color="auto" w:fill="auto"/>
            <w:vAlign w:val="center"/>
          </w:tcPr>
          <w:p w:rsidR="00FD309C" w:rsidRPr="006C4280" w:rsidRDefault="00FD309C" w:rsidP="00043B55">
            <w:pPr>
              <w:jc w:val="center"/>
              <w:rPr>
                <w:rFonts w:ascii="Arial Narrow" w:hAnsi="Arial Narrow" w:cs="Arial"/>
                <w:snapToGrid w:val="0"/>
                <w:sz w:val="20"/>
                <w:szCs w:val="20"/>
                <w:lang w:eastAsia="en-US"/>
              </w:rPr>
            </w:pPr>
            <w:r w:rsidRPr="006C4280">
              <w:rPr>
                <w:rFonts w:ascii="Arial Narrow" w:hAnsi="Arial Narrow" w:cs="Arial"/>
                <w:snapToGrid w:val="0"/>
                <w:sz w:val="20"/>
                <w:szCs w:val="20"/>
                <w:lang w:eastAsia="en-US"/>
              </w:rPr>
              <w:t>1.70% (-10.5%, 13.9%)</w:t>
            </w:r>
          </w:p>
        </w:tc>
      </w:tr>
      <w:tr w:rsidR="00FD309C" w:rsidRPr="006C4280" w:rsidTr="00624355">
        <w:tc>
          <w:tcPr>
            <w:tcW w:w="1499" w:type="pct"/>
            <w:shd w:val="clear" w:color="auto" w:fill="auto"/>
            <w:vAlign w:val="center"/>
          </w:tcPr>
          <w:p w:rsidR="00FD309C" w:rsidRPr="006C4280" w:rsidRDefault="00FD309C" w:rsidP="00043B55">
            <w:pPr>
              <w:ind w:right="-108"/>
              <w:rPr>
                <w:rFonts w:ascii="Arial Narrow" w:hAnsi="Arial Narrow" w:cs="Arial"/>
                <w:snapToGrid w:val="0"/>
                <w:sz w:val="20"/>
                <w:szCs w:val="20"/>
                <w:lang w:eastAsia="en-US"/>
              </w:rPr>
            </w:pPr>
            <w:r w:rsidRPr="006C4280">
              <w:rPr>
                <w:rFonts w:ascii="Arial Narrow" w:hAnsi="Arial Narrow" w:cs="Arial"/>
                <w:snapToGrid w:val="0"/>
                <w:sz w:val="20"/>
                <w:szCs w:val="20"/>
                <w:lang w:eastAsia="en-US"/>
              </w:rPr>
              <w:t>Ongoing pregnancy (ITT)</w:t>
            </w:r>
          </w:p>
        </w:tc>
        <w:tc>
          <w:tcPr>
            <w:tcW w:w="1167" w:type="pct"/>
            <w:shd w:val="clear" w:color="auto" w:fill="auto"/>
            <w:vAlign w:val="center"/>
          </w:tcPr>
          <w:p w:rsidR="00FD309C" w:rsidRPr="006C4280" w:rsidRDefault="00FD309C" w:rsidP="00043B55">
            <w:pPr>
              <w:jc w:val="center"/>
              <w:rPr>
                <w:rFonts w:ascii="Arial Narrow" w:hAnsi="Arial Narrow" w:cs="Arial"/>
                <w:snapToGrid w:val="0"/>
                <w:sz w:val="20"/>
                <w:szCs w:val="20"/>
                <w:lang w:eastAsia="en-US"/>
              </w:rPr>
            </w:pPr>
            <w:r w:rsidRPr="006C4280">
              <w:rPr>
                <w:rFonts w:ascii="Arial Narrow" w:hAnsi="Arial Narrow" w:cs="Arial"/>
                <w:snapToGrid w:val="0"/>
                <w:sz w:val="20"/>
                <w:szCs w:val="20"/>
                <w:lang w:eastAsia="en-US"/>
              </w:rPr>
              <w:t>13/91 (14.3)</w:t>
            </w:r>
          </w:p>
        </w:tc>
        <w:tc>
          <w:tcPr>
            <w:tcW w:w="1167" w:type="pct"/>
            <w:shd w:val="clear" w:color="auto" w:fill="auto"/>
            <w:vAlign w:val="center"/>
          </w:tcPr>
          <w:p w:rsidR="00FD309C" w:rsidRPr="006C4280" w:rsidRDefault="00FD309C" w:rsidP="00043B55">
            <w:pPr>
              <w:jc w:val="center"/>
              <w:rPr>
                <w:rFonts w:ascii="Arial Narrow" w:hAnsi="Arial Narrow" w:cs="Arial"/>
                <w:snapToGrid w:val="0"/>
                <w:sz w:val="20"/>
                <w:szCs w:val="20"/>
                <w:lang w:eastAsia="en-US"/>
              </w:rPr>
            </w:pPr>
            <w:r w:rsidRPr="006C4280">
              <w:rPr>
                <w:rFonts w:ascii="Arial Narrow" w:hAnsi="Arial Narrow" w:cs="Arial"/>
                <w:snapToGrid w:val="0"/>
                <w:sz w:val="20"/>
                <w:szCs w:val="20"/>
                <w:lang w:eastAsia="en-US"/>
              </w:rPr>
              <w:t>16/93 (17.2)</w:t>
            </w:r>
          </w:p>
        </w:tc>
        <w:tc>
          <w:tcPr>
            <w:tcW w:w="1167" w:type="pct"/>
            <w:shd w:val="clear" w:color="auto" w:fill="auto"/>
            <w:vAlign w:val="center"/>
          </w:tcPr>
          <w:p w:rsidR="00FD309C" w:rsidRPr="006C4280" w:rsidRDefault="00FD309C" w:rsidP="00043B55">
            <w:pPr>
              <w:jc w:val="center"/>
              <w:rPr>
                <w:rFonts w:ascii="Arial Narrow" w:hAnsi="Arial Narrow" w:cs="Arial"/>
                <w:snapToGrid w:val="0"/>
                <w:sz w:val="20"/>
                <w:szCs w:val="20"/>
                <w:lang w:eastAsia="en-US"/>
              </w:rPr>
            </w:pPr>
            <w:r w:rsidRPr="006C4280">
              <w:rPr>
                <w:rFonts w:ascii="Arial Narrow" w:hAnsi="Arial Narrow" w:cs="Arial"/>
                <w:snapToGrid w:val="0"/>
                <w:sz w:val="20"/>
                <w:szCs w:val="20"/>
                <w:lang w:eastAsia="en-US"/>
              </w:rPr>
              <w:t>-2.92% (-13.4%, 7.59%)</w:t>
            </w:r>
          </w:p>
        </w:tc>
      </w:tr>
      <w:tr w:rsidR="00FD309C" w:rsidRPr="006C4280" w:rsidTr="00624355">
        <w:tc>
          <w:tcPr>
            <w:tcW w:w="1499" w:type="pct"/>
            <w:shd w:val="clear" w:color="auto" w:fill="auto"/>
            <w:vAlign w:val="center"/>
          </w:tcPr>
          <w:p w:rsidR="00FD309C" w:rsidRPr="006C4280" w:rsidRDefault="00FD309C" w:rsidP="00043B55">
            <w:pPr>
              <w:ind w:right="-108"/>
              <w:rPr>
                <w:rFonts w:ascii="Arial Narrow" w:hAnsi="Arial Narrow" w:cs="Arial"/>
                <w:snapToGrid w:val="0"/>
                <w:sz w:val="20"/>
                <w:szCs w:val="20"/>
                <w:lang w:eastAsia="en-US"/>
              </w:rPr>
            </w:pPr>
            <w:r w:rsidRPr="006C4280">
              <w:rPr>
                <w:rFonts w:ascii="Arial Narrow" w:hAnsi="Arial Narrow" w:cs="Arial"/>
                <w:snapToGrid w:val="0"/>
                <w:sz w:val="20"/>
                <w:szCs w:val="20"/>
                <w:lang w:eastAsia="en-US"/>
              </w:rPr>
              <w:t>Live births (ITT)</w:t>
            </w:r>
          </w:p>
        </w:tc>
        <w:tc>
          <w:tcPr>
            <w:tcW w:w="1167" w:type="pct"/>
            <w:shd w:val="clear" w:color="auto" w:fill="auto"/>
            <w:vAlign w:val="center"/>
          </w:tcPr>
          <w:p w:rsidR="00FD309C" w:rsidRPr="006C4280" w:rsidRDefault="00FD309C" w:rsidP="00043B55">
            <w:pPr>
              <w:jc w:val="center"/>
              <w:rPr>
                <w:rFonts w:ascii="Arial Narrow" w:hAnsi="Arial Narrow" w:cs="Arial"/>
                <w:snapToGrid w:val="0"/>
                <w:sz w:val="20"/>
                <w:szCs w:val="20"/>
                <w:lang w:eastAsia="en-US"/>
              </w:rPr>
            </w:pPr>
            <w:r w:rsidRPr="006C4280">
              <w:rPr>
                <w:rFonts w:ascii="Arial Narrow" w:hAnsi="Arial Narrow" w:cs="Arial"/>
                <w:snapToGrid w:val="0"/>
                <w:sz w:val="20"/>
                <w:szCs w:val="20"/>
                <w:lang w:eastAsia="en-US"/>
              </w:rPr>
              <w:t>13/91 (14.3)</w:t>
            </w:r>
          </w:p>
        </w:tc>
        <w:tc>
          <w:tcPr>
            <w:tcW w:w="1167" w:type="pct"/>
            <w:shd w:val="clear" w:color="auto" w:fill="auto"/>
            <w:vAlign w:val="center"/>
          </w:tcPr>
          <w:p w:rsidR="00FD309C" w:rsidRPr="006C4280" w:rsidRDefault="00FD309C" w:rsidP="00043B55">
            <w:pPr>
              <w:jc w:val="center"/>
              <w:rPr>
                <w:rFonts w:ascii="Arial Narrow" w:hAnsi="Arial Narrow" w:cs="Arial"/>
                <w:snapToGrid w:val="0"/>
                <w:sz w:val="20"/>
                <w:szCs w:val="20"/>
                <w:lang w:eastAsia="en-US"/>
              </w:rPr>
            </w:pPr>
            <w:r w:rsidRPr="006C4280">
              <w:rPr>
                <w:rFonts w:ascii="Arial Narrow" w:hAnsi="Arial Narrow" w:cs="Arial"/>
                <w:snapToGrid w:val="0"/>
                <w:sz w:val="20"/>
                <w:szCs w:val="20"/>
                <w:lang w:eastAsia="en-US"/>
              </w:rPr>
              <w:t>16/93 (17.2)</w:t>
            </w:r>
            <w:r w:rsidRPr="006C4280">
              <w:rPr>
                <w:rFonts w:ascii="Arial Narrow" w:hAnsi="Arial Narrow" w:cs="Arial"/>
                <w:snapToGrid w:val="0"/>
                <w:sz w:val="20"/>
                <w:szCs w:val="20"/>
                <w:vertAlign w:val="superscript"/>
                <w:lang w:eastAsia="en-US"/>
              </w:rPr>
              <w:t>a</w:t>
            </w:r>
          </w:p>
        </w:tc>
        <w:tc>
          <w:tcPr>
            <w:tcW w:w="1167" w:type="pct"/>
            <w:shd w:val="clear" w:color="auto" w:fill="auto"/>
            <w:vAlign w:val="center"/>
          </w:tcPr>
          <w:p w:rsidR="00FD309C" w:rsidRPr="006C4280" w:rsidRDefault="00FD309C" w:rsidP="00043B55">
            <w:pPr>
              <w:jc w:val="center"/>
              <w:rPr>
                <w:rFonts w:ascii="Arial Narrow" w:hAnsi="Arial Narrow" w:cs="Arial"/>
                <w:snapToGrid w:val="0"/>
                <w:sz w:val="20"/>
                <w:szCs w:val="20"/>
                <w:lang w:eastAsia="en-US"/>
              </w:rPr>
            </w:pPr>
            <w:r w:rsidRPr="006C4280">
              <w:rPr>
                <w:rFonts w:ascii="Arial Narrow" w:hAnsi="Arial Narrow" w:cs="Arial"/>
                <w:snapToGrid w:val="0"/>
                <w:sz w:val="20"/>
                <w:szCs w:val="20"/>
                <w:lang w:eastAsia="en-US"/>
              </w:rPr>
              <w:t>-2.92% (-13.4%, 7.59%)</w:t>
            </w:r>
          </w:p>
        </w:tc>
      </w:tr>
    </w:tbl>
    <w:p w:rsidR="00FD309C" w:rsidRPr="006C4280" w:rsidRDefault="00FD309C" w:rsidP="00043B55">
      <w:pPr>
        <w:ind w:firstLine="720"/>
        <w:jc w:val="both"/>
        <w:rPr>
          <w:rFonts w:ascii="Arial Narrow" w:hAnsi="Arial Narrow" w:cs="Arial"/>
          <w:snapToGrid w:val="0"/>
          <w:sz w:val="18"/>
          <w:szCs w:val="20"/>
          <w:lang w:eastAsia="en-US"/>
        </w:rPr>
      </w:pPr>
      <w:r w:rsidRPr="006C4280">
        <w:rPr>
          <w:rFonts w:ascii="Arial Narrow" w:hAnsi="Arial Narrow" w:cs="Arial"/>
          <w:snapToGrid w:val="0"/>
          <w:sz w:val="18"/>
          <w:szCs w:val="20"/>
          <w:lang w:eastAsia="en-US"/>
        </w:rPr>
        <w:t>Source: Table B-19 p50, text p51 of the</w:t>
      </w:r>
      <w:r w:rsidR="006243D0" w:rsidRPr="006C4280">
        <w:rPr>
          <w:rFonts w:ascii="Arial Narrow" w:hAnsi="Arial Narrow" w:cs="Arial"/>
          <w:snapToGrid w:val="0"/>
          <w:sz w:val="18"/>
          <w:szCs w:val="20"/>
          <w:lang w:eastAsia="en-US"/>
        </w:rPr>
        <w:t xml:space="preserve"> March 2016</w:t>
      </w:r>
      <w:r w:rsidRPr="006C4280">
        <w:rPr>
          <w:rFonts w:ascii="Arial Narrow" w:hAnsi="Arial Narrow" w:cs="Arial"/>
          <w:snapToGrid w:val="0"/>
          <w:sz w:val="18"/>
          <w:szCs w:val="20"/>
          <w:lang w:eastAsia="en-US"/>
        </w:rPr>
        <w:t xml:space="preserve"> submission; CS002 CSR Table 9-1 p73, Table 9-9 p81. </w:t>
      </w:r>
    </w:p>
    <w:p w:rsidR="00FD309C" w:rsidRPr="006C4280" w:rsidRDefault="00FD309C" w:rsidP="00043B55">
      <w:pPr>
        <w:ind w:left="720"/>
        <w:jc w:val="both"/>
        <w:rPr>
          <w:rFonts w:ascii="Arial Narrow" w:hAnsi="Arial Narrow" w:cs="Arial"/>
          <w:snapToGrid w:val="0"/>
          <w:sz w:val="18"/>
          <w:szCs w:val="20"/>
          <w:lang w:eastAsia="en-US"/>
        </w:rPr>
      </w:pPr>
      <w:r w:rsidRPr="006C4280">
        <w:rPr>
          <w:rFonts w:ascii="Arial Narrow" w:hAnsi="Arial Narrow" w:cs="Arial"/>
          <w:snapToGrid w:val="0"/>
          <w:sz w:val="18"/>
          <w:szCs w:val="20"/>
          <w:lang w:eastAsia="en-US"/>
        </w:rPr>
        <w:t>Abbreviations: CI = confidence interval; HP-hMG = highly purified human menopausal gonadotrophin; ITT = intention-to-treat; PP = per protocol.</w:t>
      </w:r>
    </w:p>
    <w:p w:rsidR="00FD309C" w:rsidRPr="006C4280" w:rsidRDefault="00FD309C" w:rsidP="00043B55">
      <w:pPr>
        <w:ind w:left="720"/>
        <w:jc w:val="both"/>
        <w:rPr>
          <w:rFonts w:ascii="Arial Narrow" w:hAnsi="Arial Narrow" w:cs="Arial"/>
          <w:snapToGrid w:val="0"/>
          <w:sz w:val="18"/>
          <w:szCs w:val="20"/>
          <w:lang w:eastAsia="en-US"/>
        </w:rPr>
      </w:pPr>
      <w:proofErr w:type="gramStart"/>
      <w:r w:rsidRPr="006C4280">
        <w:rPr>
          <w:rFonts w:ascii="Arial Narrow" w:hAnsi="Arial Narrow" w:cs="Arial"/>
          <w:snapToGrid w:val="0"/>
          <w:sz w:val="18"/>
          <w:szCs w:val="20"/>
          <w:vertAlign w:val="superscript"/>
          <w:lang w:eastAsia="en-US"/>
        </w:rPr>
        <w:t>a</w:t>
      </w:r>
      <w:proofErr w:type="gramEnd"/>
      <w:r w:rsidRPr="006C4280">
        <w:rPr>
          <w:rFonts w:ascii="Arial Narrow" w:hAnsi="Arial Narrow" w:cs="Arial"/>
          <w:snapToGrid w:val="0"/>
          <w:sz w:val="18"/>
          <w:szCs w:val="20"/>
          <w:lang w:eastAsia="en-US"/>
        </w:rPr>
        <w:t xml:space="preserve"> The CSR report Table 11-3 p116 there were 18 live-born children in the follitropin alfa group. Two subjects in the trial had multiple pregnancies which resulted in twins. There were no twin pregnancies in the HP-hMG group.</w:t>
      </w:r>
    </w:p>
    <w:p w:rsidR="00A22151" w:rsidRPr="006C4280" w:rsidRDefault="00FD309C" w:rsidP="00043B55">
      <w:pPr>
        <w:ind w:left="720"/>
        <w:jc w:val="both"/>
        <w:rPr>
          <w:rFonts w:ascii="Arial Narrow" w:hAnsi="Arial Narrow" w:cs="Arial"/>
          <w:snapToGrid w:val="0"/>
          <w:sz w:val="18"/>
          <w:szCs w:val="20"/>
          <w:lang w:eastAsia="en-US"/>
        </w:rPr>
      </w:pPr>
      <w:r w:rsidRPr="006C4280">
        <w:rPr>
          <w:rFonts w:ascii="Arial Narrow" w:hAnsi="Arial Narrow" w:cs="Arial"/>
          <w:snapToGrid w:val="0"/>
          <w:sz w:val="18"/>
          <w:szCs w:val="20"/>
          <w:lang w:eastAsia="en-US"/>
        </w:rPr>
        <w:t xml:space="preserve">* </w:t>
      </w:r>
      <w:r w:rsidR="001239D9">
        <w:rPr>
          <w:rFonts w:ascii="Arial Narrow" w:hAnsi="Arial Narrow" w:cs="Arial"/>
          <w:snapToGrid w:val="0"/>
          <w:sz w:val="18"/>
          <w:szCs w:val="20"/>
          <w:lang w:eastAsia="en-US"/>
        </w:rPr>
        <w:t xml:space="preserve">The March 2016 submission did not nominated a </w:t>
      </w:r>
      <w:r w:rsidRPr="006C4280">
        <w:rPr>
          <w:rFonts w:ascii="Arial Narrow" w:hAnsi="Arial Narrow" w:cs="Arial"/>
          <w:snapToGrid w:val="0"/>
          <w:sz w:val="18"/>
          <w:szCs w:val="20"/>
          <w:lang w:eastAsia="en-US"/>
        </w:rPr>
        <w:t xml:space="preserve">non-inferiority limit for </w:t>
      </w:r>
      <w:r w:rsidR="004107FE">
        <w:rPr>
          <w:rFonts w:ascii="Arial Narrow" w:hAnsi="Arial Narrow" w:cs="Arial"/>
          <w:snapToGrid w:val="0"/>
          <w:sz w:val="18"/>
          <w:szCs w:val="20"/>
          <w:lang w:eastAsia="en-US"/>
        </w:rPr>
        <w:t xml:space="preserve">ongoing pregnancy (PP or ITT). The PBAC previously accepted a </w:t>
      </w:r>
      <w:r w:rsidRPr="006C4280">
        <w:rPr>
          <w:rFonts w:ascii="Arial Narrow" w:hAnsi="Arial Narrow" w:cs="Arial"/>
          <w:snapToGrid w:val="0"/>
          <w:sz w:val="18"/>
          <w:szCs w:val="20"/>
          <w:lang w:eastAsia="en-US"/>
        </w:rPr>
        <w:t>10% margin</w:t>
      </w:r>
      <w:r w:rsidR="00965A44" w:rsidRPr="006C4280">
        <w:rPr>
          <w:rFonts w:ascii="Arial Narrow" w:hAnsi="Arial Narrow" w:cs="Arial"/>
          <w:snapToGrid w:val="0"/>
          <w:sz w:val="18"/>
          <w:szCs w:val="20"/>
          <w:lang w:eastAsia="en-US"/>
        </w:rPr>
        <w:t>.</w:t>
      </w:r>
    </w:p>
    <w:p w:rsidR="008C6B56" w:rsidRDefault="008C6B56" w:rsidP="00043B55">
      <w:pPr>
        <w:pStyle w:val="ListParagraph"/>
        <w:widowControl/>
      </w:pPr>
    </w:p>
    <w:p w:rsidR="008C6B56" w:rsidRPr="00CE4198" w:rsidRDefault="008C6B56" w:rsidP="00043B55">
      <w:pPr>
        <w:pStyle w:val="ListParagraph"/>
        <w:widowControl/>
        <w:numPr>
          <w:ilvl w:val="1"/>
          <w:numId w:val="5"/>
        </w:numPr>
      </w:pPr>
      <w:r>
        <w:t xml:space="preserve">In March 2016, the PBAC noted that all ongoing pregnancies </w:t>
      </w:r>
      <w:r w:rsidR="00467B9A">
        <w:t xml:space="preserve">in both </w:t>
      </w:r>
      <w:r w:rsidR="001B2D0F">
        <w:t xml:space="preserve">treatment </w:t>
      </w:r>
      <w:r w:rsidR="00467B9A">
        <w:t xml:space="preserve">arms </w:t>
      </w:r>
      <w:r>
        <w:t xml:space="preserve">resulted in live births. The mean difference in the proportion of patients with a live birth for </w:t>
      </w:r>
      <w:r w:rsidRPr="00F248E3">
        <w:rPr>
          <w:szCs w:val="22"/>
        </w:rPr>
        <w:t>HP-</w:t>
      </w:r>
      <w:r w:rsidRPr="00D6555A">
        <w:rPr>
          <w:szCs w:val="22"/>
        </w:rPr>
        <w:t>hMG</w:t>
      </w:r>
      <w:r>
        <w:rPr>
          <w:szCs w:val="22"/>
        </w:rPr>
        <w:t xml:space="preserve"> and follitropin alfa was 2.92% (95% CI</w:t>
      </w:r>
      <w:r w:rsidR="009429B9">
        <w:rPr>
          <w:szCs w:val="22"/>
        </w:rPr>
        <w:t>:</w:t>
      </w:r>
      <w:r>
        <w:rPr>
          <w:szCs w:val="22"/>
        </w:rPr>
        <w:t xml:space="preserve"> </w:t>
      </w:r>
      <w:r w:rsidR="009429B9">
        <w:rPr>
          <w:szCs w:val="22"/>
        </w:rPr>
        <w:t>-</w:t>
      </w:r>
      <w:r>
        <w:rPr>
          <w:szCs w:val="22"/>
        </w:rPr>
        <w:t xml:space="preserve">13.4%, 7.59%). The </w:t>
      </w:r>
      <w:r w:rsidR="003A594D">
        <w:rPr>
          <w:szCs w:val="22"/>
        </w:rPr>
        <w:t xml:space="preserve">March 2016 major </w:t>
      </w:r>
      <w:r>
        <w:rPr>
          <w:szCs w:val="22"/>
        </w:rPr>
        <w:t xml:space="preserve">submission did not nominate a non-inferiority margin for the outcomes of live births or ongoing pregnancy. </w:t>
      </w:r>
      <w:r w:rsidR="007138B7">
        <w:rPr>
          <w:szCs w:val="22"/>
        </w:rPr>
        <w:t xml:space="preserve">However, </w:t>
      </w:r>
      <w:r w:rsidR="003A594D">
        <w:rPr>
          <w:szCs w:val="22"/>
        </w:rPr>
        <w:t xml:space="preserve">in March 2016 </w:t>
      </w:r>
      <w:r w:rsidR="007138B7">
        <w:rPr>
          <w:szCs w:val="22"/>
        </w:rPr>
        <w:t>the</w:t>
      </w:r>
      <w:r>
        <w:rPr>
          <w:szCs w:val="22"/>
        </w:rPr>
        <w:t xml:space="preserve"> PBAC noted that</w:t>
      </w:r>
      <w:r w:rsidR="007138B7">
        <w:rPr>
          <w:szCs w:val="22"/>
        </w:rPr>
        <w:t xml:space="preserve"> </w:t>
      </w:r>
      <w:r w:rsidR="00F56682">
        <w:rPr>
          <w:szCs w:val="22"/>
        </w:rPr>
        <w:t>it had</w:t>
      </w:r>
      <w:r w:rsidR="007138B7">
        <w:rPr>
          <w:szCs w:val="22"/>
        </w:rPr>
        <w:t xml:space="preserve"> previously accepted a </w:t>
      </w:r>
      <w:r w:rsidR="001B2D0F">
        <w:rPr>
          <w:szCs w:val="22"/>
        </w:rPr>
        <w:t>-</w:t>
      </w:r>
      <w:r w:rsidR="007138B7">
        <w:rPr>
          <w:szCs w:val="22"/>
        </w:rPr>
        <w:t>10% non-inferiority margin</w:t>
      </w:r>
      <w:r w:rsidR="00467B9A">
        <w:rPr>
          <w:szCs w:val="22"/>
        </w:rPr>
        <w:t xml:space="preserve"> for live births and ongoing pregnancy</w:t>
      </w:r>
      <w:r>
        <w:rPr>
          <w:szCs w:val="22"/>
        </w:rPr>
        <w:t xml:space="preserve"> </w:t>
      </w:r>
      <w:r w:rsidR="001B2D0F">
        <w:rPr>
          <w:bCs/>
        </w:rPr>
        <w:t xml:space="preserve">(progesterone PSD, March 2014 PBAC meeting) </w:t>
      </w:r>
      <w:r w:rsidR="007138B7">
        <w:rPr>
          <w:szCs w:val="22"/>
        </w:rPr>
        <w:t xml:space="preserve">and </w:t>
      </w:r>
      <w:r w:rsidR="003A594D">
        <w:rPr>
          <w:szCs w:val="22"/>
        </w:rPr>
        <w:t xml:space="preserve">that this was exceeded by </w:t>
      </w:r>
      <w:r w:rsidR="007138B7">
        <w:rPr>
          <w:szCs w:val="22"/>
        </w:rPr>
        <w:t>the</w:t>
      </w:r>
      <w:r>
        <w:rPr>
          <w:szCs w:val="22"/>
        </w:rPr>
        <w:t xml:space="preserve"> lower 95% confidence limit</w:t>
      </w:r>
      <w:r w:rsidR="007138B7">
        <w:rPr>
          <w:szCs w:val="22"/>
        </w:rPr>
        <w:t>.</w:t>
      </w:r>
    </w:p>
    <w:p w:rsidR="00CE4198" w:rsidRPr="00CE4198" w:rsidRDefault="00CE4198" w:rsidP="00624355">
      <w:pPr>
        <w:pStyle w:val="ListParagraph"/>
        <w:widowControl/>
      </w:pPr>
    </w:p>
    <w:p w:rsidR="00CE4198" w:rsidRPr="00191EAB" w:rsidRDefault="00CE4198" w:rsidP="0092458F">
      <w:pPr>
        <w:pStyle w:val="ListParagraph"/>
        <w:widowControl/>
        <w:numPr>
          <w:ilvl w:val="1"/>
          <w:numId w:val="5"/>
        </w:numPr>
      </w:pPr>
      <w:r>
        <w:rPr>
          <w:szCs w:val="22"/>
        </w:rPr>
        <w:t>The pre-PBAC response (p1</w:t>
      </w:r>
      <w:r w:rsidRPr="001068E6">
        <w:rPr>
          <w:szCs w:val="22"/>
        </w:rPr>
        <w:t xml:space="preserve">) </w:t>
      </w:r>
      <w:r>
        <w:rPr>
          <w:szCs w:val="22"/>
        </w:rPr>
        <w:t>stated</w:t>
      </w:r>
      <w:r w:rsidRPr="001068E6">
        <w:rPr>
          <w:szCs w:val="22"/>
        </w:rPr>
        <w:t xml:space="preserve"> that</w:t>
      </w:r>
      <w:r>
        <w:rPr>
          <w:szCs w:val="22"/>
        </w:rPr>
        <w:t xml:space="preserve"> the resubmission provided</w:t>
      </w:r>
      <w:r w:rsidRPr="001068E6">
        <w:rPr>
          <w:szCs w:val="22"/>
        </w:rPr>
        <w:t xml:space="preserve"> a high quality randomised trial </w:t>
      </w:r>
      <w:r>
        <w:rPr>
          <w:szCs w:val="22"/>
        </w:rPr>
        <w:t>that</w:t>
      </w:r>
      <w:r w:rsidRPr="001068E6">
        <w:rPr>
          <w:szCs w:val="22"/>
        </w:rPr>
        <w:t xml:space="preserve"> demonstrated non-inferiority of efficacy in comparison to follitropin alfa.</w:t>
      </w:r>
      <w:r>
        <w:rPr>
          <w:szCs w:val="22"/>
        </w:rPr>
        <w:t xml:space="preserve"> The pre-PBAC response (p1-2) also stated that there are qualitative benefits in favour of HP-hMG related to differential follicular development</w:t>
      </w:r>
      <w:r w:rsidR="0092458F">
        <w:rPr>
          <w:szCs w:val="22"/>
        </w:rPr>
        <w:t xml:space="preserve"> </w:t>
      </w:r>
      <w:r w:rsidR="0092458F" w:rsidRPr="0092458F">
        <w:rPr>
          <w:szCs w:val="22"/>
        </w:rPr>
        <w:t xml:space="preserve">that compensate for the fact that the lower limit of the 95% confidence interval is slightly below the </w:t>
      </w:r>
      <w:r w:rsidR="0092458F">
        <w:rPr>
          <w:szCs w:val="22"/>
        </w:rPr>
        <w:t>-</w:t>
      </w:r>
      <w:r w:rsidR="0092458F" w:rsidRPr="0092458F">
        <w:rPr>
          <w:szCs w:val="22"/>
        </w:rPr>
        <w:t>10% limit and requested that the PBAC adopt a pragmatic approach in the interpretation of the secondary outcome results of the pivotal study</w:t>
      </w:r>
      <w:r w:rsidR="0092458F">
        <w:rPr>
          <w:szCs w:val="22"/>
        </w:rPr>
        <w:t>.</w:t>
      </w:r>
    </w:p>
    <w:p w:rsidR="00A41B49" w:rsidRDefault="00A41B49" w:rsidP="00043B55">
      <w:pPr>
        <w:jc w:val="both"/>
        <w:rPr>
          <w:rFonts w:ascii="Arial" w:hAnsi="Arial"/>
          <w:b/>
          <w:i/>
          <w:sz w:val="22"/>
          <w:szCs w:val="22"/>
        </w:rPr>
      </w:pPr>
    </w:p>
    <w:p w:rsidR="006F3055" w:rsidRPr="001E53B1" w:rsidRDefault="006F3055" w:rsidP="00DD73C9">
      <w:pPr>
        <w:pStyle w:val="Heading2"/>
      </w:pPr>
      <w:bookmarkStart w:id="3" w:name="_Toc440987234"/>
      <w:r w:rsidRPr="001E53B1">
        <w:t>Clinical claim</w:t>
      </w:r>
    </w:p>
    <w:p w:rsidR="006F3055" w:rsidRPr="00882085" w:rsidRDefault="006F3055" w:rsidP="00624355">
      <w:pPr>
        <w:keepNext/>
        <w:ind w:left="720" w:hanging="720"/>
        <w:jc w:val="both"/>
        <w:rPr>
          <w:rFonts w:ascii="Arial" w:hAnsi="Arial"/>
          <w:sz w:val="22"/>
          <w:szCs w:val="22"/>
        </w:rPr>
      </w:pPr>
    </w:p>
    <w:p w:rsidR="00613C39" w:rsidRPr="00985B0B" w:rsidRDefault="006F3055" w:rsidP="00043B55">
      <w:pPr>
        <w:pStyle w:val="ListParagraph"/>
        <w:widowControl/>
        <w:numPr>
          <w:ilvl w:val="1"/>
          <w:numId w:val="5"/>
        </w:numPr>
        <w:rPr>
          <w:b/>
          <w:szCs w:val="22"/>
        </w:rPr>
      </w:pPr>
      <w:r w:rsidRPr="005A7980">
        <w:rPr>
          <w:szCs w:val="22"/>
        </w:rPr>
        <w:t xml:space="preserve">The </w:t>
      </w:r>
      <w:r>
        <w:rPr>
          <w:szCs w:val="22"/>
        </w:rPr>
        <w:t>re</w:t>
      </w:r>
      <w:r w:rsidRPr="005A7980">
        <w:rPr>
          <w:szCs w:val="22"/>
        </w:rPr>
        <w:t xml:space="preserve">submission claimed non-inferior comparative effectiveness and non-inferior comparative safety of </w:t>
      </w:r>
      <w:r>
        <w:rPr>
          <w:szCs w:val="22"/>
        </w:rPr>
        <w:t>HP-hMG</w:t>
      </w:r>
      <w:r w:rsidRPr="005A7980">
        <w:rPr>
          <w:i/>
          <w:szCs w:val="22"/>
        </w:rPr>
        <w:t xml:space="preserve"> </w:t>
      </w:r>
      <w:r w:rsidRPr="005A7980">
        <w:rPr>
          <w:szCs w:val="22"/>
        </w:rPr>
        <w:t>compared with follitropin alfa.</w:t>
      </w:r>
      <w:r w:rsidRPr="005A7980">
        <w:rPr>
          <w:i/>
          <w:szCs w:val="22"/>
        </w:rPr>
        <w:t xml:space="preserve"> </w:t>
      </w:r>
      <w:r w:rsidR="00E90679">
        <w:rPr>
          <w:szCs w:val="22"/>
        </w:rPr>
        <w:t>In</w:t>
      </w:r>
      <w:r>
        <w:rPr>
          <w:szCs w:val="22"/>
        </w:rPr>
        <w:t xml:space="preserve"> March 2016, t</w:t>
      </w:r>
      <w:r w:rsidRPr="005A7980">
        <w:rPr>
          <w:szCs w:val="22"/>
        </w:rPr>
        <w:t>he PBAC considered that the claim of non-inferior comparative effectiveness was not adequately supported by the data</w:t>
      </w:r>
      <w:r w:rsidR="00FA4D46">
        <w:rPr>
          <w:szCs w:val="22"/>
        </w:rPr>
        <w:t>,</w:t>
      </w:r>
      <w:r w:rsidR="001870D0">
        <w:rPr>
          <w:szCs w:val="22"/>
        </w:rPr>
        <w:t xml:space="preserve"> and that</w:t>
      </w:r>
      <w:r w:rsidR="009E239B">
        <w:rPr>
          <w:bCs/>
          <w:szCs w:val="22"/>
          <w:lang w:val="en-GB"/>
        </w:rPr>
        <w:t xml:space="preserve"> a claim of non</w:t>
      </w:r>
      <w:r w:rsidR="00467B9A">
        <w:rPr>
          <w:bCs/>
          <w:szCs w:val="22"/>
          <w:lang w:val="en-GB"/>
        </w:rPr>
        <w:noBreakHyphen/>
      </w:r>
      <w:r w:rsidR="009E239B">
        <w:rPr>
          <w:bCs/>
          <w:szCs w:val="22"/>
          <w:lang w:val="en-GB"/>
        </w:rPr>
        <w:t>inferior safety of HP-hMG to follitropin alfa may be reasonable</w:t>
      </w:r>
      <w:r w:rsidR="005C39AF">
        <w:rPr>
          <w:bCs/>
          <w:szCs w:val="22"/>
          <w:lang w:val="en-GB"/>
        </w:rPr>
        <w:t>.</w:t>
      </w:r>
    </w:p>
    <w:p w:rsidR="001870D0" w:rsidRPr="00985B0B" w:rsidRDefault="001870D0" w:rsidP="00043B55">
      <w:pPr>
        <w:pStyle w:val="ListParagraph"/>
        <w:widowControl/>
        <w:rPr>
          <w:b/>
          <w:szCs w:val="22"/>
        </w:rPr>
      </w:pPr>
    </w:p>
    <w:p w:rsidR="001870D0" w:rsidRPr="00985B0B" w:rsidRDefault="001870D0" w:rsidP="00043B55">
      <w:pPr>
        <w:pStyle w:val="ListParagraph"/>
        <w:widowControl/>
        <w:numPr>
          <w:ilvl w:val="1"/>
          <w:numId w:val="5"/>
        </w:numPr>
        <w:rPr>
          <w:szCs w:val="22"/>
        </w:rPr>
      </w:pPr>
      <w:r w:rsidRPr="00985B0B">
        <w:rPr>
          <w:szCs w:val="22"/>
        </w:rPr>
        <w:t>The PBAC considered that the submission did not provide any new data or information to address the issues raised by the PBAC at the March 2016 meeting</w:t>
      </w:r>
      <w:r w:rsidR="00E90679">
        <w:rPr>
          <w:szCs w:val="22"/>
        </w:rPr>
        <w:t>;</w:t>
      </w:r>
      <w:r w:rsidRPr="00985B0B">
        <w:rPr>
          <w:szCs w:val="22"/>
        </w:rPr>
        <w:t xml:space="preserve"> the PBAC</w:t>
      </w:r>
      <w:r w:rsidR="00E90679">
        <w:rPr>
          <w:szCs w:val="22"/>
        </w:rPr>
        <w:t>’s previous</w:t>
      </w:r>
      <w:r w:rsidRPr="00985B0B">
        <w:rPr>
          <w:szCs w:val="22"/>
        </w:rPr>
        <w:t xml:space="preserve"> consider</w:t>
      </w:r>
      <w:r w:rsidR="00E90679">
        <w:rPr>
          <w:szCs w:val="22"/>
        </w:rPr>
        <w:t>ation regarding</w:t>
      </w:r>
      <w:r w:rsidRPr="00985B0B">
        <w:rPr>
          <w:szCs w:val="22"/>
        </w:rPr>
        <w:t xml:space="preserve"> the clinical claim </w:t>
      </w:r>
      <w:r w:rsidR="00E90679">
        <w:rPr>
          <w:szCs w:val="22"/>
        </w:rPr>
        <w:t xml:space="preserve">therefore </w:t>
      </w:r>
      <w:r w:rsidRPr="00985B0B">
        <w:rPr>
          <w:szCs w:val="22"/>
        </w:rPr>
        <w:t>remained unchanged.</w:t>
      </w:r>
    </w:p>
    <w:p w:rsidR="00A22151" w:rsidRPr="001E53B1" w:rsidRDefault="00A22151" w:rsidP="00D36F3B">
      <w:pPr>
        <w:pStyle w:val="Heading2"/>
      </w:pPr>
      <w:r w:rsidRPr="001E53B1">
        <w:lastRenderedPageBreak/>
        <w:t>Economic analysis</w:t>
      </w:r>
      <w:bookmarkEnd w:id="3"/>
      <w:r w:rsidRPr="001E53B1">
        <w:t xml:space="preserve"> </w:t>
      </w:r>
    </w:p>
    <w:p w:rsidR="004158FB" w:rsidRPr="00A71F06" w:rsidRDefault="004158FB" w:rsidP="00624355">
      <w:pPr>
        <w:keepNext/>
      </w:pPr>
    </w:p>
    <w:p w:rsidR="00327196" w:rsidRPr="0082296C" w:rsidRDefault="00635146" w:rsidP="00043B55">
      <w:pPr>
        <w:pStyle w:val="ListParagraph"/>
        <w:widowControl/>
        <w:numPr>
          <w:ilvl w:val="1"/>
          <w:numId w:val="5"/>
        </w:numPr>
        <w:rPr>
          <w:szCs w:val="22"/>
        </w:rPr>
      </w:pPr>
      <w:r w:rsidRPr="009E239B">
        <w:rPr>
          <w:szCs w:val="22"/>
        </w:rPr>
        <w:t xml:space="preserve">The equi-effective doses </w:t>
      </w:r>
      <w:r w:rsidR="009E239B" w:rsidRPr="009E239B">
        <w:rPr>
          <w:szCs w:val="22"/>
        </w:rPr>
        <w:t xml:space="preserve">were </w:t>
      </w:r>
      <w:r w:rsidRPr="009E239B">
        <w:rPr>
          <w:szCs w:val="22"/>
        </w:rPr>
        <w:t xml:space="preserve">estimated in the </w:t>
      </w:r>
      <w:r w:rsidR="009E239B" w:rsidRPr="009E239B">
        <w:rPr>
          <w:szCs w:val="22"/>
        </w:rPr>
        <w:t xml:space="preserve">March 2016 </w:t>
      </w:r>
      <w:r w:rsidRPr="009E239B">
        <w:rPr>
          <w:szCs w:val="22"/>
        </w:rPr>
        <w:t xml:space="preserve">submission as </w:t>
      </w:r>
      <w:r w:rsidRPr="00C72DB6">
        <w:t xml:space="preserve">1 IU of HP-hMG and 1 IU of follitropin alfa. </w:t>
      </w:r>
      <w:r w:rsidR="001B2D0F">
        <w:t xml:space="preserve">In </w:t>
      </w:r>
      <w:r w:rsidR="001870D0">
        <w:t>March 2016, t</w:t>
      </w:r>
      <w:r w:rsidR="001870D0" w:rsidRPr="009E239B">
        <w:t xml:space="preserve">he </w:t>
      </w:r>
      <w:r w:rsidR="009E239B" w:rsidRPr="009E239B">
        <w:t>PBAC considered that there was considerable</w:t>
      </w:r>
      <w:r w:rsidR="001E53B1">
        <w:t xml:space="preserve"> uncertainty regarding the equi</w:t>
      </w:r>
      <w:r w:rsidR="001E53B1">
        <w:noBreakHyphen/>
      </w:r>
      <w:r w:rsidR="009E239B" w:rsidRPr="009E239B">
        <w:t>effective doses, noting that the evaluation and</w:t>
      </w:r>
      <w:r w:rsidR="001E53B1">
        <w:t xml:space="preserve"> the ESC advised different equi</w:t>
      </w:r>
      <w:r w:rsidR="001E53B1">
        <w:noBreakHyphen/>
      </w:r>
      <w:r w:rsidR="009E239B" w:rsidRPr="009E239B">
        <w:t xml:space="preserve">effective dose ratios (1.46:1 and 1.32:1 respectively) to the </w:t>
      </w:r>
      <w:r w:rsidR="00DD73C9">
        <w:t xml:space="preserve">major </w:t>
      </w:r>
      <w:r w:rsidR="009E239B" w:rsidRPr="009E239B">
        <w:t>submission's proposed 1:1 ratio.</w:t>
      </w:r>
      <w:r w:rsidR="00327196">
        <w:rPr>
          <w:szCs w:val="22"/>
        </w:rPr>
        <w:t xml:space="preserve"> </w:t>
      </w:r>
    </w:p>
    <w:p w:rsidR="00A55C0A" w:rsidRDefault="00A55C0A" w:rsidP="00043B55"/>
    <w:p w:rsidR="00EC7EDF" w:rsidRDefault="00A55C0A" w:rsidP="00043B55">
      <w:pPr>
        <w:pStyle w:val="ListParagraph"/>
        <w:widowControl/>
        <w:numPr>
          <w:ilvl w:val="1"/>
          <w:numId w:val="5"/>
        </w:numPr>
      </w:pPr>
      <w:r>
        <w:t xml:space="preserve">The minor resubmission </w:t>
      </w:r>
      <w:r w:rsidR="001F6849">
        <w:t>e</w:t>
      </w:r>
      <w:r w:rsidR="00DD73C9">
        <w:t xml:space="preserve">xpressed concern about using a dose ratio from the clinical trial as it </w:t>
      </w:r>
      <w:r w:rsidR="00467B9A">
        <w:t xml:space="preserve">claimed that </w:t>
      </w:r>
      <w:r>
        <w:t xml:space="preserve">imbalances in the baseline characteristics of the study population may have contributed to a higher </w:t>
      </w:r>
      <w:r w:rsidR="00F2185F">
        <w:t xml:space="preserve">mean </w:t>
      </w:r>
      <w:r>
        <w:t>dose of HP</w:t>
      </w:r>
      <w:r w:rsidR="00467B9A">
        <w:noBreakHyphen/>
      </w:r>
      <w:r>
        <w:t xml:space="preserve">hMG compared to follitropin alfa. </w:t>
      </w:r>
      <w:r w:rsidR="00467B9A">
        <w:t>The submission</w:t>
      </w:r>
      <w:r>
        <w:t xml:space="preserve"> further </w:t>
      </w:r>
      <w:r w:rsidR="00467B9A">
        <w:t xml:space="preserve">stated </w:t>
      </w:r>
      <w:r>
        <w:t>the clinical tria</w:t>
      </w:r>
      <w:r w:rsidR="00020226">
        <w:t>l allowed treatment for up to 6 </w:t>
      </w:r>
      <w:r>
        <w:t xml:space="preserve">weeks, whereas the </w:t>
      </w:r>
      <w:r w:rsidR="00E90679">
        <w:t>TGA-</w:t>
      </w:r>
      <w:r>
        <w:t>approved Product Information</w:t>
      </w:r>
      <w:r w:rsidR="00E90679">
        <w:t xml:space="preserve"> (PI)</w:t>
      </w:r>
      <w:r>
        <w:t xml:space="preserve"> for </w:t>
      </w:r>
      <w:r w:rsidR="00467B9A">
        <w:t xml:space="preserve">HP-hMG </w:t>
      </w:r>
      <w:r>
        <w:t>only recommends up to 4 weeks</w:t>
      </w:r>
      <w:r w:rsidR="00E90679">
        <w:t xml:space="preserve"> of</w:t>
      </w:r>
      <w:r>
        <w:t xml:space="preserve"> use before abandoning a cycle, and the maximum recommended dose in the </w:t>
      </w:r>
      <w:r w:rsidR="00E90679">
        <w:t>PI</w:t>
      </w:r>
      <w:r>
        <w:t xml:space="preserve"> is 225</w:t>
      </w:r>
      <w:r w:rsidR="00E90679">
        <w:t> </w:t>
      </w:r>
      <w:r>
        <w:t>IU whereas higher doses were allowed in the trial. The minor resubmission stated that most of the patients who failed to respond adequately after 4 weeks of treatment in the study, where treatment for up to 6 weeks was allowed,</w:t>
      </w:r>
      <w:r w:rsidRPr="00A55C0A">
        <w:t xml:space="preserve"> </w:t>
      </w:r>
      <w:r>
        <w:t>did not ovulate and none got pregnant</w:t>
      </w:r>
      <w:r w:rsidR="00E90679">
        <w:t>. The resubmission therefore</w:t>
      </w:r>
      <w:r>
        <w:t xml:space="preserve"> considered the trend towards a longer duration of treatment and result</w:t>
      </w:r>
      <w:r w:rsidR="00E90679">
        <w:t>ing</w:t>
      </w:r>
      <w:r>
        <w:t xml:space="preserve"> high </w:t>
      </w:r>
      <w:r w:rsidR="009F52E6">
        <w:t xml:space="preserve">HP-hMG </w:t>
      </w:r>
      <w:r>
        <w:t>dose</w:t>
      </w:r>
      <w:r w:rsidR="009F52E6">
        <w:t>, compared with follitropin alfa,</w:t>
      </w:r>
      <w:r>
        <w:t xml:space="preserve"> observed in the trial is less likely to be seen in Australian clinical practice.</w:t>
      </w:r>
    </w:p>
    <w:p w:rsidR="00AA3259" w:rsidRDefault="00AA3259" w:rsidP="00043B55"/>
    <w:p w:rsidR="00A55C0A" w:rsidRDefault="00A55C0A" w:rsidP="00043B55">
      <w:pPr>
        <w:pStyle w:val="ListParagraph"/>
        <w:widowControl/>
        <w:numPr>
          <w:ilvl w:val="1"/>
          <w:numId w:val="5"/>
        </w:numPr>
      </w:pPr>
      <w:r>
        <w:t>A summary of the dosing data from Study CS002 is presented in Table 5.</w:t>
      </w:r>
    </w:p>
    <w:p w:rsidR="00A55C0A" w:rsidRDefault="00A55C0A" w:rsidP="00043B55">
      <w:pPr>
        <w:pStyle w:val="ListParagraph"/>
        <w:widowControl/>
      </w:pPr>
    </w:p>
    <w:p w:rsidR="00A55C0A" w:rsidRPr="00AC130B" w:rsidRDefault="00A55C0A" w:rsidP="00043B55">
      <w:pPr>
        <w:keepNext/>
        <w:ind w:firstLine="720"/>
        <w:jc w:val="both"/>
        <w:rPr>
          <w:rFonts w:ascii="Arial Narrow" w:hAnsi="Arial Narrow"/>
          <w:sz w:val="20"/>
          <w:szCs w:val="16"/>
        </w:rPr>
      </w:pPr>
      <w:r w:rsidRPr="00A55C0A">
        <w:rPr>
          <w:rFonts w:ascii="Arial Narrow" w:hAnsi="Arial Narrow" w:cs="Arial"/>
          <w:b/>
          <w:snapToGrid w:val="0"/>
          <w:sz w:val="20"/>
          <w:szCs w:val="16"/>
          <w:lang w:eastAsia="en-US"/>
        </w:rPr>
        <w:t xml:space="preserve">Table </w:t>
      </w:r>
      <w:r>
        <w:rPr>
          <w:rFonts w:ascii="Arial Narrow" w:hAnsi="Arial Narrow" w:cs="Arial"/>
          <w:b/>
          <w:snapToGrid w:val="0"/>
          <w:sz w:val="20"/>
          <w:szCs w:val="16"/>
          <w:lang w:eastAsia="en-US"/>
        </w:rPr>
        <w:t>5</w:t>
      </w:r>
      <w:r w:rsidRPr="00AC130B">
        <w:rPr>
          <w:rFonts w:ascii="Arial Narrow" w:hAnsi="Arial Narrow" w:cs="Arial"/>
          <w:b/>
          <w:snapToGrid w:val="0"/>
          <w:sz w:val="20"/>
          <w:szCs w:val="16"/>
          <w:lang w:eastAsia="en-US"/>
        </w:rPr>
        <w:t>: Summary statistics of total gonadotrophin dose</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2017"/>
        <w:gridCol w:w="2017"/>
        <w:gridCol w:w="2017"/>
      </w:tblGrid>
      <w:tr w:rsidR="00A55C0A" w:rsidRPr="009F7C6E" w:rsidTr="00E90679">
        <w:tc>
          <w:tcPr>
            <w:tcW w:w="2312" w:type="dxa"/>
            <w:shd w:val="clear" w:color="auto" w:fill="auto"/>
          </w:tcPr>
          <w:p w:rsidR="00A55C0A" w:rsidRPr="00020226" w:rsidRDefault="00745A74" w:rsidP="00043B55">
            <w:pPr>
              <w:ind w:right="-650"/>
              <w:rPr>
                <w:rFonts w:ascii="Arial Narrow" w:hAnsi="Arial Narrow"/>
                <w:b/>
                <w:sz w:val="20"/>
                <w:szCs w:val="22"/>
              </w:rPr>
            </w:pPr>
            <w:r w:rsidRPr="00020226">
              <w:rPr>
                <w:rFonts w:ascii="Arial Narrow" w:hAnsi="Arial Narrow"/>
                <w:b/>
                <w:sz w:val="20"/>
                <w:szCs w:val="22"/>
              </w:rPr>
              <w:t>Summary statistic</w:t>
            </w:r>
          </w:p>
        </w:tc>
        <w:tc>
          <w:tcPr>
            <w:tcW w:w="2017" w:type="dxa"/>
            <w:shd w:val="clear" w:color="auto" w:fill="auto"/>
          </w:tcPr>
          <w:p w:rsidR="00A55C0A" w:rsidRPr="00020226" w:rsidRDefault="00745A74" w:rsidP="00043B55">
            <w:pPr>
              <w:ind w:right="-650"/>
              <w:rPr>
                <w:rFonts w:ascii="Arial Narrow" w:hAnsi="Arial Narrow"/>
                <w:b/>
                <w:sz w:val="20"/>
                <w:szCs w:val="22"/>
              </w:rPr>
            </w:pPr>
            <w:r>
              <w:rPr>
                <w:rFonts w:ascii="Arial Narrow" w:hAnsi="Arial Narrow"/>
                <w:b/>
                <w:sz w:val="20"/>
                <w:szCs w:val="22"/>
              </w:rPr>
              <w:t xml:space="preserve">Total </w:t>
            </w:r>
            <w:r w:rsidR="00A55C0A" w:rsidRPr="00020226">
              <w:rPr>
                <w:rFonts w:ascii="Arial Narrow" w:hAnsi="Arial Narrow"/>
                <w:b/>
                <w:sz w:val="20"/>
                <w:szCs w:val="22"/>
              </w:rPr>
              <w:t>HP-hMG</w:t>
            </w:r>
            <w:r>
              <w:rPr>
                <w:rFonts w:ascii="Arial Narrow" w:hAnsi="Arial Narrow"/>
                <w:b/>
                <w:sz w:val="20"/>
                <w:szCs w:val="22"/>
              </w:rPr>
              <w:t xml:space="preserve"> dose</w:t>
            </w:r>
            <w:r w:rsidR="00A55C0A" w:rsidRPr="00020226">
              <w:rPr>
                <w:rFonts w:ascii="Arial Narrow" w:hAnsi="Arial Narrow"/>
                <w:b/>
                <w:sz w:val="20"/>
                <w:szCs w:val="22"/>
              </w:rPr>
              <w:t xml:space="preserve"> (IU)</w:t>
            </w:r>
          </w:p>
        </w:tc>
        <w:tc>
          <w:tcPr>
            <w:tcW w:w="2017" w:type="dxa"/>
            <w:shd w:val="clear" w:color="auto" w:fill="auto"/>
          </w:tcPr>
          <w:p w:rsidR="00A55C0A" w:rsidRPr="00020226" w:rsidRDefault="00745A74" w:rsidP="00043B55">
            <w:pPr>
              <w:ind w:right="-650"/>
              <w:rPr>
                <w:rFonts w:ascii="Arial Narrow" w:hAnsi="Arial Narrow"/>
                <w:b/>
                <w:sz w:val="20"/>
                <w:szCs w:val="22"/>
              </w:rPr>
            </w:pPr>
            <w:r>
              <w:rPr>
                <w:rFonts w:ascii="Arial Narrow" w:hAnsi="Arial Narrow"/>
                <w:b/>
                <w:sz w:val="20"/>
                <w:szCs w:val="22"/>
              </w:rPr>
              <w:t xml:space="preserve">Total </w:t>
            </w:r>
            <w:r w:rsidR="00A55C0A" w:rsidRPr="00020226">
              <w:rPr>
                <w:rFonts w:ascii="Arial Narrow" w:hAnsi="Arial Narrow"/>
                <w:b/>
                <w:sz w:val="20"/>
                <w:szCs w:val="22"/>
              </w:rPr>
              <w:t xml:space="preserve">rFSH </w:t>
            </w:r>
            <w:r>
              <w:rPr>
                <w:rFonts w:ascii="Arial Narrow" w:hAnsi="Arial Narrow"/>
                <w:b/>
                <w:sz w:val="20"/>
                <w:szCs w:val="22"/>
              </w:rPr>
              <w:t xml:space="preserve"> dose </w:t>
            </w:r>
            <w:r w:rsidR="00A55C0A" w:rsidRPr="00020226">
              <w:rPr>
                <w:rFonts w:ascii="Arial Narrow" w:hAnsi="Arial Narrow"/>
                <w:b/>
                <w:sz w:val="20"/>
                <w:szCs w:val="22"/>
              </w:rPr>
              <w:t>(IU)</w:t>
            </w:r>
          </w:p>
        </w:tc>
        <w:tc>
          <w:tcPr>
            <w:tcW w:w="2017" w:type="dxa"/>
            <w:shd w:val="clear" w:color="auto" w:fill="auto"/>
          </w:tcPr>
          <w:p w:rsidR="00A55C0A" w:rsidRPr="00020226" w:rsidRDefault="00A55C0A" w:rsidP="00043B55">
            <w:pPr>
              <w:ind w:right="-650"/>
              <w:rPr>
                <w:rFonts w:ascii="Arial Narrow" w:hAnsi="Arial Narrow"/>
                <w:b/>
                <w:sz w:val="20"/>
                <w:szCs w:val="22"/>
              </w:rPr>
            </w:pPr>
            <w:r w:rsidRPr="00020226">
              <w:rPr>
                <w:rFonts w:ascii="Arial Narrow" w:hAnsi="Arial Narrow"/>
                <w:b/>
                <w:sz w:val="20"/>
                <w:szCs w:val="22"/>
              </w:rPr>
              <w:t>Ratio</w:t>
            </w:r>
            <w:r w:rsidR="00E90679">
              <w:rPr>
                <w:rFonts w:ascii="Arial Narrow" w:hAnsi="Arial Narrow"/>
                <w:b/>
                <w:sz w:val="20"/>
                <w:szCs w:val="22"/>
              </w:rPr>
              <w:t xml:space="preserve"> (HP-hMG:rFSH)</w:t>
            </w:r>
          </w:p>
        </w:tc>
      </w:tr>
      <w:tr w:rsidR="00A55C0A" w:rsidRPr="009F7C6E" w:rsidTr="00624355">
        <w:tc>
          <w:tcPr>
            <w:tcW w:w="2312" w:type="dxa"/>
            <w:shd w:val="clear" w:color="auto" w:fill="auto"/>
          </w:tcPr>
          <w:p w:rsidR="00A55C0A" w:rsidRPr="009F7C6E" w:rsidRDefault="00A55C0A" w:rsidP="00043B55">
            <w:pPr>
              <w:ind w:right="-650"/>
              <w:rPr>
                <w:rFonts w:ascii="Arial Narrow" w:hAnsi="Arial Narrow"/>
                <w:sz w:val="20"/>
                <w:szCs w:val="22"/>
              </w:rPr>
            </w:pPr>
            <w:r w:rsidRPr="009F7C6E">
              <w:rPr>
                <w:rFonts w:ascii="Arial Narrow" w:hAnsi="Arial Narrow"/>
                <w:sz w:val="20"/>
                <w:szCs w:val="22"/>
              </w:rPr>
              <w:t>Mean ITT</w:t>
            </w:r>
          </w:p>
        </w:tc>
        <w:tc>
          <w:tcPr>
            <w:tcW w:w="2017" w:type="dxa"/>
            <w:shd w:val="clear" w:color="auto" w:fill="auto"/>
          </w:tcPr>
          <w:p w:rsidR="00A55C0A" w:rsidRPr="009F7C6E" w:rsidRDefault="00A55C0A" w:rsidP="00043B55">
            <w:pPr>
              <w:ind w:right="-650"/>
              <w:rPr>
                <w:rFonts w:ascii="Arial Narrow" w:hAnsi="Arial Narrow"/>
                <w:sz w:val="20"/>
                <w:szCs w:val="22"/>
              </w:rPr>
            </w:pPr>
            <w:r w:rsidRPr="009F7C6E">
              <w:rPr>
                <w:rFonts w:ascii="Arial Narrow" w:hAnsi="Arial Narrow"/>
                <w:sz w:val="20"/>
                <w:szCs w:val="22"/>
              </w:rPr>
              <w:t>1491</w:t>
            </w:r>
          </w:p>
        </w:tc>
        <w:tc>
          <w:tcPr>
            <w:tcW w:w="2017" w:type="dxa"/>
            <w:shd w:val="clear" w:color="auto" w:fill="auto"/>
          </w:tcPr>
          <w:p w:rsidR="00A55C0A" w:rsidRPr="009F7C6E" w:rsidRDefault="00A55C0A" w:rsidP="00043B55">
            <w:pPr>
              <w:ind w:right="-650"/>
              <w:rPr>
                <w:rFonts w:ascii="Arial Narrow" w:hAnsi="Arial Narrow"/>
                <w:sz w:val="20"/>
                <w:szCs w:val="22"/>
              </w:rPr>
            </w:pPr>
            <w:r w:rsidRPr="009F7C6E">
              <w:rPr>
                <w:rFonts w:ascii="Arial Narrow" w:hAnsi="Arial Narrow"/>
                <w:sz w:val="20"/>
                <w:szCs w:val="22"/>
              </w:rPr>
              <w:t>1022</w:t>
            </w:r>
          </w:p>
        </w:tc>
        <w:tc>
          <w:tcPr>
            <w:tcW w:w="2017" w:type="dxa"/>
            <w:shd w:val="clear" w:color="auto" w:fill="auto"/>
          </w:tcPr>
          <w:p w:rsidR="00A55C0A" w:rsidRPr="009F7C6E" w:rsidRDefault="00A55C0A" w:rsidP="00043B55">
            <w:pPr>
              <w:ind w:right="-650"/>
              <w:rPr>
                <w:rFonts w:ascii="Arial Narrow" w:hAnsi="Arial Narrow"/>
                <w:sz w:val="20"/>
                <w:szCs w:val="22"/>
              </w:rPr>
            </w:pPr>
            <w:r w:rsidRPr="009F7C6E">
              <w:rPr>
                <w:rFonts w:ascii="Arial Narrow" w:hAnsi="Arial Narrow"/>
                <w:sz w:val="20"/>
                <w:szCs w:val="22"/>
              </w:rPr>
              <w:t>1.46</w:t>
            </w:r>
          </w:p>
        </w:tc>
      </w:tr>
      <w:tr w:rsidR="00A55C0A" w:rsidRPr="009F7C6E" w:rsidTr="00624355">
        <w:tc>
          <w:tcPr>
            <w:tcW w:w="2312" w:type="dxa"/>
            <w:shd w:val="clear" w:color="auto" w:fill="auto"/>
          </w:tcPr>
          <w:p w:rsidR="00A55C0A" w:rsidRPr="009F7C6E" w:rsidRDefault="00A55C0A" w:rsidP="00043B55">
            <w:pPr>
              <w:rPr>
                <w:rFonts w:ascii="Arial Narrow" w:hAnsi="Arial Narrow"/>
                <w:sz w:val="20"/>
              </w:rPr>
            </w:pPr>
            <w:r w:rsidRPr="009F7C6E">
              <w:rPr>
                <w:rFonts w:ascii="Arial Narrow" w:hAnsi="Arial Narrow"/>
                <w:sz w:val="20"/>
              </w:rPr>
              <w:t xml:space="preserve">Median ITT </w:t>
            </w:r>
          </w:p>
        </w:tc>
        <w:tc>
          <w:tcPr>
            <w:tcW w:w="2017" w:type="dxa"/>
            <w:shd w:val="clear" w:color="auto" w:fill="auto"/>
          </w:tcPr>
          <w:p w:rsidR="00A55C0A" w:rsidRPr="009F7C6E" w:rsidRDefault="00A55C0A" w:rsidP="00043B55">
            <w:pPr>
              <w:rPr>
                <w:rFonts w:ascii="Arial Narrow" w:hAnsi="Arial Narrow"/>
                <w:sz w:val="20"/>
              </w:rPr>
            </w:pPr>
            <w:r w:rsidRPr="009F7C6E">
              <w:rPr>
                <w:rFonts w:ascii="Arial Narrow" w:hAnsi="Arial Narrow"/>
                <w:sz w:val="20"/>
              </w:rPr>
              <w:t>1088</w:t>
            </w:r>
          </w:p>
        </w:tc>
        <w:tc>
          <w:tcPr>
            <w:tcW w:w="2017" w:type="dxa"/>
            <w:shd w:val="clear" w:color="auto" w:fill="auto"/>
          </w:tcPr>
          <w:p w:rsidR="00A55C0A" w:rsidRPr="009F7C6E" w:rsidRDefault="00A55C0A" w:rsidP="00043B55">
            <w:pPr>
              <w:rPr>
                <w:rFonts w:ascii="Arial Narrow" w:hAnsi="Arial Narrow"/>
                <w:sz w:val="20"/>
              </w:rPr>
            </w:pPr>
            <w:r w:rsidRPr="009F7C6E">
              <w:rPr>
                <w:rFonts w:ascii="Arial Narrow" w:hAnsi="Arial Narrow"/>
                <w:sz w:val="20"/>
              </w:rPr>
              <w:t>825</w:t>
            </w:r>
          </w:p>
        </w:tc>
        <w:tc>
          <w:tcPr>
            <w:tcW w:w="2017" w:type="dxa"/>
            <w:shd w:val="clear" w:color="auto" w:fill="auto"/>
          </w:tcPr>
          <w:p w:rsidR="00A55C0A" w:rsidRPr="009F7C6E" w:rsidRDefault="00A55C0A" w:rsidP="00043B55">
            <w:pPr>
              <w:rPr>
                <w:rFonts w:ascii="Arial Narrow" w:hAnsi="Arial Narrow"/>
                <w:sz w:val="20"/>
              </w:rPr>
            </w:pPr>
            <w:r w:rsidRPr="009F7C6E">
              <w:rPr>
                <w:rFonts w:ascii="Arial Narrow" w:hAnsi="Arial Narrow"/>
                <w:sz w:val="20"/>
              </w:rPr>
              <w:t>1.32</w:t>
            </w:r>
          </w:p>
        </w:tc>
      </w:tr>
      <w:tr w:rsidR="00A55C0A" w:rsidRPr="009F7C6E" w:rsidTr="00624355">
        <w:tc>
          <w:tcPr>
            <w:tcW w:w="2312" w:type="dxa"/>
            <w:shd w:val="clear" w:color="auto" w:fill="auto"/>
          </w:tcPr>
          <w:p w:rsidR="00A55C0A" w:rsidRPr="009F7C6E" w:rsidRDefault="00A55C0A" w:rsidP="00043B55">
            <w:pPr>
              <w:ind w:right="-650"/>
              <w:rPr>
                <w:rFonts w:ascii="Arial Narrow" w:hAnsi="Arial Narrow"/>
                <w:sz w:val="20"/>
                <w:szCs w:val="22"/>
              </w:rPr>
            </w:pPr>
            <w:r w:rsidRPr="009F7C6E">
              <w:rPr>
                <w:rFonts w:ascii="Arial Narrow" w:hAnsi="Arial Narrow"/>
                <w:sz w:val="20"/>
                <w:szCs w:val="22"/>
              </w:rPr>
              <w:t>Mean PP</w:t>
            </w:r>
          </w:p>
        </w:tc>
        <w:tc>
          <w:tcPr>
            <w:tcW w:w="2017" w:type="dxa"/>
            <w:shd w:val="clear" w:color="auto" w:fill="auto"/>
          </w:tcPr>
          <w:p w:rsidR="00A55C0A" w:rsidRPr="009F7C6E" w:rsidRDefault="00A55C0A" w:rsidP="00043B55">
            <w:pPr>
              <w:ind w:right="-650"/>
              <w:rPr>
                <w:rFonts w:ascii="Arial Narrow" w:hAnsi="Arial Narrow"/>
                <w:sz w:val="20"/>
                <w:szCs w:val="22"/>
              </w:rPr>
            </w:pPr>
            <w:r w:rsidRPr="009F7C6E">
              <w:rPr>
                <w:rFonts w:ascii="Arial Narrow" w:hAnsi="Arial Narrow"/>
                <w:sz w:val="20"/>
                <w:szCs w:val="22"/>
              </w:rPr>
              <w:t>1390</w:t>
            </w:r>
          </w:p>
        </w:tc>
        <w:tc>
          <w:tcPr>
            <w:tcW w:w="2017" w:type="dxa"/>
            <w:shd w:val="clear" w:color="auto" w:fill="auto"/>
          </w:tcPr>
          <w:p w:rsidR="00A55C0A" w:rsidRPr="009F7C6E" w:rsidRDefault="00A55C0A" w:rsidP="00043B55">
            <w:pPr>
              <w:ind w:right="-650"/>
              <w:rPr>
                <w:rFonts w:ascii="Arial Narrow" w:hAnsi="Arial Narrow"/>
                <w:sz w:val="20"/>
                <w:szCs w:val="22"/>
              </w:rPr>
            </w:pPr>
            <w:r w:rsidRPr="009F7C6E">
              <w:rPr>
                <w:rFonts w:ascii="Arial Narrow" w:hAnsi="Arial Narrow"/>
                <w:sz w:val="20"/>
                <w:szCs w:val="22"/>
              </w:rPr>
              <w:t>981</w:t>
            </w:r>
          </w:p>
        </w:tc>
        <w:tc>
          <w:tcPr>
            <w:tcW w:w="2017" w:type="dxa"/>
            <w:shd w:val="clear" w:color="auto" w:fill="auto"/>
          </w:tcPr>
          <w:p w:rsidR="00A55C0A" w:rsidRPr="009F7C6E" w:rsidRDefault="00A55C0A" w:rsidP="00043B55">
            <w:pPr>
              <w:ind w:right="-650"/>
              <w:rPr>
                <w:rFonts w:ascii="Arial Narrow" w:hAnsi="Arial Narrow"/>
                <w:sz w:val="20"/>
                <w:szCs w:val="22"/>
              </w:rPr>
            </w:pPr>
            <w:r w:rsidRPr="009F7C6E">
              <w:rPr>
                <w:rFonts w:ascii="Arial Narrow" w:hAnsi="Arial Narrow"/>
                <w:sz w:val="20"/>
                <w:szCs w:val="22"/>
              </w:rPr>
              <w:t>1.42</w:t>
            </w:r>
          </w:p>
        </w:tc>
      </w:tr>
      <w:tr w:rsidR="00A55C0A" w:rsidRPr="009F7C6E" w:rsidTr="00624355">
        <w:tc>
          <w:tcPr>
            <w:tcW w:w="2312" w:type="dxa"/>
            <w:shd w:val="clear" w:color="auto" w:fill="auto"/>
          </w:tcPr>
          <w:p w:rsidR="00A55C0A" w:rsidRPr="009F7C6E" w:rsidRDefault="00A55C0A" w:rsidP="00043B55">
            <w:pPr>
              <w:ind w:right="-650"/>
              <w:rPr>
                <w:rFonts w:ascii="Arial Narrow" w:hAnsi="Arial Narrow"/>
                <w:sz w:val="20"/>
                <w:szCs w:val="22"/>
              </w:rPr>
            </w:pPr>
            <w:r w:rsidRPr="009F7C6E">
              <w:rPr>
                <w:rFonts w:ascii="Arial Narrow" w:hAnsi="Arial Narrow"/>
                <w:sz w:val="20"/>
                <w:szCs w:val="22"/>
              </w:rPr>
              <w:t>Median PP</w:t>
            </w:r>
          </w:p>
        </w:tc>
        <w:tc>
          <w:tcPr>
            <w:tcW w:w="2017" w:type="dxa"/>
            <w:shd w:val="clear" w:color="auto" w:fill="auto"/>
          </w:tcPr>
          <w:p w:rsidR="00A55C0A" w:rsidRPr="009F7C6E" w:rsidRDefault="00A55C0A" w:rsidP="00043B55">
            <w:pPr>
              <w:ind w:right="-650"/>
              <w:rPr>
                <w:rFonts w:ascii="Arial Narrow" w:hAnsi="Arial Narrow"/>
                <w:sz w:val="20"/>
                <w:szCs w:val="22"/>
              </w:rPr>
            </w:pPr>
            <w:r w:rsidRPr="009F7C6E">
              <w:rPr>
                <w:rFonts w:ascii="Arial Narrow" w:hAnsi="Arial Narrow"/>
                <w:sz w:val="20"/>
                <w:szCs w:val="22"/>
              </w:rPr>
              <w:t>938</w:t>
            </w:r>
          </w:p>
        </w:tc>
        <w:tc>
          <w:tcPr>
            <w:tcW w:w="2017" w:type="dxa"/>
            <w:shd w:val="clear" w:color="auto" w:fill="auto"/>
          </w:tcPr>
          <w:p w:rsidR="00A55C0A" w:rsidRPr="009F7C6E" w:rsidRDefault="00A55C0A" w:rsidP="00043B55">
            <w:pPr>
              <w:ind w:right="-650"/>
              <w:rPr>
                <w:rFonts w:ascii="Arial Narrow" w:hAnsi="Arial Narrow"/>
                <w:sz w:val="20"/>
                <w:szCs w:val="22"/>
              </w:rPr>
            </w:pPr>
            <w:r w:rsidRPr="009F7C6E">
              <w:rPr>
                <w:rFonts w:ascii="Arial Narrow" w:hAnsi="Arial Narrow"/>
                <w:sz w:val="20"/>
                <w:szCs w:val="22"/>
              </w:rPr>
              <w:t>825</w:t>
            </w:r>
          </w:p>
        </w:tc>
        <w:tc>
          <w:tcPr>
            <w:tcW w:w="2017" w:type="dxa"/>
            <w:shd w:val="clear" w:color="auto" w:fill="auto"/>
          </w:tcPr>
          <w:p w:rsidR="00A55C0A" w:rsidRPr="009F7C6E" w:rsidRDefault="00A55C0A" w:rsidP="00043B55">
            <w:pPr>
              <w:ind w:right="-650"/>
              <w:rPr>
                <w:rFonts w:ascii="Arial Narrow" w:hAnsi="Arial Narrow"/>
                <w:sz w:val="20"/>
                <w:szCs w:val="22"/>
              </w:rPr>
            </w:pPr>
            <w:r w:rsidRPr="009F7C6E">
              <w:rPr>
                <w:rFonts w:ascii="Arial Narrow" w:hAnsi="Arial Narrow"/>
                <w:sz w:val="20"/>
                <w:szCs w:val="22"/>
              </w:rPr>
              <w:t>1.14</w:t>
            </w:r>
          </w:p>
        </w:tc>
      </w:tr>
    </w:tbl>
    <w:p w:rsidR="00A55C0A" w:rsidRDefault="00A55C0A" w:rsidP="00043B55">
      <w:pPr>
        <w:ind w:firstLine="720"/>
        <w:jc w:val="both"/>
        <w:rPr>
          <w:rFonts w:ascii="Arial Narrow" w:hAnsi="Arial Narrow" w:cs="Arial"/>
          <w:snapToGrid w:val="0"/>
          <w:sz w:val="18"/>
          <w:szCs w:val="20"/>
          <w:lang w:eastAsia="en-US"/>
        </w:rPr>
      </w:pPr>
      <w:r w:rsidRPr="00AC130B">
        <w:rPr>
          <w:rFonts w:ascii="Arial Narrow" w:hAnsi="Arial Narrow" w:cs="Arial"/>
          <w:snapToGrid w:val="0"/>
          <w:sz w:val="18"/>
          <w:szCs w:val="20"/>
          <w:lang w:eastAsia="en-US"/>
        </w:rPr>
        <w:t xml:space="preserve">Source: </w:t>
      </w:r>
      <w:r w:rsidR="00BE33BC">
        <w:rPr>
          <w:rFonts w:ascii="Arial Narrow" w:hAnsi="Arial Narrow" w:cs="Arial"/>
          <w:snapToGrid w:val="0"/>
          <w:sz w:val="18"/>
          <w:szCs w:val="20"/>
          <w:lang w:eastAsia="en-US"/>
        </w:rPr>
        <w:t>HP-hMG PBAC PSD</w:t>
      </w:r>
      <w:r>
        <w:rPr>
          <w:rFonts w:ascii="Arial Narrow" w:hAnsi="Arial Narrow" w:cs="Arial"/>
          <w:snapToGrid w:val="0"/>
          <w:sz w:val="18"/>
          <w:szCs w:val="20"/>
          <w:lang w:eastAsia="en-US"/>
        </w:rPr>
        <w:t>, March 2016, Table 7</w:t>
      </w:r>
    </w:p>
    <w:p w:rsidR="00987292" w:rsidRPr="00624355" w:rsidRDefault="00987292" w:rsidP="00624355">
      <w:pPr>
        <w:ind w:left="720"/>
        <w:jc w:val="both"/>
        <w:rPr>
          <w:rFonts w:ascii="Arial Narrow" w:hAnsi="Arial Narrow" w:cs="Arial"/>
          <w:snapToGrid w:val="0"/>
          <w:sz w:val="18"/>
          <w:szCs w:val="20"/>
          <w:lang w:eastAsia="en-US"/>
        </w:rPr>
      </w:pPr>
      <w:r w:rsidRPr="006C4280">
        <w:rPr>
          <w:rFonts w:ascii="Arial Narrow" w:hAnsi="Arial Narrow" w:cs="Arial"/>
          <w:snapToGrid w:val="0"/>
          <w:sz w:val="18"/>
          <w:szCs w:val="20"/>
          <w:lang w:eastAsia="en-US"/>
        </w:rPr>
        <w:t xml:space="preserve">Abbreviations: HP-hMG = highly purified human menopausal gonadotrophin; ITT = intention-to-treat; </w:t>
      </w:r>
      <w:r w:rsidR="00CE4198">
        <w:rPr>
          <w:rFonts w:ascii="Arial Narrow" w:hAnsi="Arial Narrow" w:cs="Arial"/>
          <w:snapToGrid w:val="0"/>
          <w:sz w:val="18"/>
          <w:szCs w:val="20"/>
          <w:lang w:eastAsia="en-US"/>
        </w:rPr>
        <w:t xml:space="preserve">IU = international units; </w:t>
      </w:r>
      <w:r w:rsidRPr="006C4280">
        <w:rPr>
          <w:rFonts w:ascii="Arial Narrow" w:hAnsi="Arial Narrow" w:cs="Arial"/>
          <w:snapToGrid w:val="0"/>
          <w:sz w:val="18"/>
          <w:szCs w:val="20"/>
          <w:lang w:eastAsia="en-US"/>
        </w:rPr>
        <w:t>PP = per protocol</w:t>
      </w:r>
      <w:r>
        <w:rPr>
          <w:rFonts w:ascii="Arial Narrow" w:hAnsi="Arial Narrow" w:cs="Arial"/>
          <w:snapToGrid w:val="0"/>
          <w:sz w:val="18"/>
          <w:szCs w:val="20"/>
          <w:lang w:eastAsia="en-US"/>
        </w:rPr>
        <w:t xml:space="preserve">, rFSH = </w:t>
      </w:r>
      <w:r w:rsidRPr="00987292">
        <w:rPr>
          <w:rFonts w:ascii="Arial Narrow" w:hAnsi="Arial Narrow" w:cs="Arial"/>
          <w:snapToGrid w:val="0"/>
          <w:sz w:val="18"/>
          <w:szCs w:val="20"/>
          <w:lang w:eastAsia="en-US"/>
        </w:rPr>
        <w:t>recombinant follicle stimulating hormone</w:t>
      </w:r>
      <w:r w:rsidRPr="006C4280">
        <w:rPr>
          <w:rFonts w:ascii="Arial Narrow" w:hAnsi="Arial Narrow" w:cs="Arial"/>
          <w:snapToGrid w:val="0"/>
          <w:sz w:val="18"/>
          <w:szCs w:val="20"/>
          <w:lang w:eastAsia="en-US"/>
        </w:rPr>
        <w:t>.</w:t>
      </w:r>
    </w:p>
    <w:p w:rsidR="00635146" w:rsidRDefault="00635146" w:rsidP="00043B55">
      <w:pPr>
        <w:ind w:firstLine="720"/>
        <w:jc w:val="both"/>
        <w:rPr>
          <w:rFonts w:ascii="Arial Narrow" w:hAnsi="Arial Narrow"/>
          <w:sz w:val="18"/>
        </w:rPr>
      </w:pPr>
    </w:p>
    <w:p w:rsidR="00987292" w:rsidRDefault="00987292" w:rsidP="00043B55">
      <w:pPr>
        <w:pStyle w:val="ListParagraph"/>
        <w:widowControl/>
        <w:numPr>
          <w:ilvl w:val="1"/>
          <w:numId w:val="5"/>
        </w:numPr>
        <w:rPr>
          <w:szCs w:val="22"/>
        </w:rPr>
      </w:pPr>
      <w:r>
        <w:rPr>
          <w:szCs w:val="22"/>
        </w:rPr>
        <w:t xml:space="preserve">The minor resubmission stated that if an equi-effective dose ratio from the trial is used, it should be the ratio of the median doses from the per protocol population (1.14). </w:t>
      </w:r>
    </w:p>
    <w:p w:rsidR="00CE4198" w:rsidRDefault="00CE4198" w:rsidP="00624355">
      <w:pPr>
        <w:pStyle w:val="ListParagraph"/>
        <w:widowControl/>
        <w:rPr>
          <w:szCs w:val="22"/>
        </w:rPr>
      </w:pPr>
    </w:p>
    <w:p w:rsidR="00CE4198" w:rsidRDefault="00CE4198" w:rsidP="00043B55">
      <w:pPr>
        <w:pStyle w:val="ListParagraph"/>
        <w:widowControl/>
        <w:numPr>
          <w:ilvl w:val="1"/>
          <w:numId w:val="5"/>
        </w:numPr>
        <w:rPr>
          <w:szCs w:val="22"/>
        </w:rPr>
      </w:pPr>
      <w:r>
        <w:rPr>
          <w:szCs w:val="22"/>
        </w:rPr>
        <w:t xml:space="preserve">The minor resubmission </w:t>
      </w:r>
      <w:r w:rsidR="00BA2773">
        <w:rPr>
          <w:szCs w:val="22"/>
        </w:rPr>
        <w:t>requested</w:t>
      </w:r>
      <w:r>
        <w:rPr>
          <w:szCs w:val="22"/>
        </w:rPr>
        <w:t xml:space="preserve"> that if PBAC insists on the equi-effective dose ratio of 1.32 and wastage of 7.8%</w:t>
      </w:r>
      <w:r w:rsidR="008C01A2">
        <w:rPr>
          <w:szCs w:val="22"/>
        </w:rPr>
        <w:t>,</w:t>
      </w:r>
      <w:r>
        <w:rPr>
          <w:szCs w:val="22"/>
        </w:rPr>
        <w:t xml:space="preserve"> as proposed by ESC, the maximum quantity should be increased to</w:t>
      </w:r>
      <w:r w:rsidR="00D23EEC">
        <w:rPr>
          <w:szCs w:val="22"/>
        </w:rPr>
        <w:t xml:space="preserve"> 4</w:t>
      </w:r>
      <w:r>
        <w:rPr>
          <w:szCs w:val="22"/>
        </w:rPr>
        <w:t xml:space="preserve"> </w:t>
      </w:r>
      <w:r w:rsidR="00D23EEC">
        <w:rPr>
          <w:szCs w:val="22"/>
        </w:rPr>
        <w:t>(</w:t>
      </w:r>
      <w:r>
        <w:rPr>
          <w:szCs w:val="22"/>
        </w:rPr>
        <w:t>2,400 IU</w:t>
      </w:r>
      <w:r w:rsidR="00D23EEC">
        <w:rPr>
          <w:szCs w:val="22"/>
        </w:rPr>
        <w:t>)</w:t>
      </w:r>
      <w:r>
        <w:rPr>
          <w:szCs w:val="22"/>
        </w:rPr>
        <w:t xml:space="preserve"> to ensure an appropriate quantity of HP-hMG per script.</w:t>
      </w:r>
      <w:r w:rsidR="00D23EEC">
        <w:rPr>
          <w:szCs w:val="22"/>
        </w:rPr>
        <w:t xml:space="preserve"> The pre-PBAC response reiterated this request, stating</w:t>
      </w:r>
      <w:r w:rsidR="00BA2773">
        <w:rPr>
          <w:szCs w:val="22"/>
        </w:rPr>
        <w:t xml:space="preserve"> that based on the 1.32</w:t>
      </w:r>
      <w:r w:rsidR="00D23EEC">
        <w:rPr>
          <w:szCs w:val="22"/>
        </w:rPr>
        <w:t xml:space="preserve"> ratio, the proportion of patients requiring a second script of HP</w:t>
      </w:r>
      <w:r w:rsidR="00D23EEC">
        <w:rPr>
          <w:szCs w:val="22"/>
        </w:rPr>
        <w:noBreakHyphen/>
        <w:t>hMG at a maximum quantity of 4 should be no different to follitropin alfa at a maximum quantity of 3.</w:t>
      </w:r>
    </w:p>
    <w:p w:rsidR="00987292" w:rsidRDefault="00987292" w:rsidP="00624355">
      <w:pPr>
        <w:pStyle w:val="ListParagraph"/>
        <w:widowControl/>
        <w:rPr>
          <w:szCs w:val="22"/>
        </w:rPr>
      </w:pPr>
    </w:p>
    <w:p w:rsidR="00DA00A6" w:rsidRPr="00206981" w:rsidRDefault="00DA00A6" w:rsidP="00043B55">
      <w:pPr>
        <w:pStyle w:val="Heading2"/>
      </w:pPr>
      <w:r w:rsidRPr="00020226">
        <w:t>Estimated PBS usage &amp; financial implications</w:t>
      </w:r>
    </w:p>
    <w:p w:rsidR="00DA00A6" w:rsidRPr="00DA00A6" w:rsidRDefault="00DA00A6" w:rsidP="00043B55">
      <w:pPr>
        <w:pStyle w:val="ListParagraph"/>
        <w:widowControl/>
        <w:rPr>
          <w:szCs w:val="22"/>
        </w:rPr>
      </w:pPr>
    </w:p>
    <w:p w:rsidR="00D52AF0" w:rsidRDefault="00D52AF0" w:rsidP="00043B55">
      <w:pPr>
        <w:pStyle w:val="ListParagraph"/>
        <w:widowControl/>
        <w:numPr>
          <w:ilvl w:val="1"/>
          <w:numId w:val="5"/>
        </w:numPr>
        <w:rPr>
          <w:szCs w:val="22"/>
        </w:rPr>
      </w:pPr>
      <w:r>
        <w:rPr>
          <w:szCs w:val="22"/>
        </w:rPr>
        <w:t>Revised financial forecasts were not provided in the minor resubmission.</w:t>
      </w:r>
    </w:p>
    <w:p w:rsidR="00D52AF0" w:rsidRDefault="00D52AF0" w:rsidP="00043B55">
      <w:pPr>
        <w:pStyle w:val="ListParagraph"/>
        <w:widowControl/>
        <w:rPr>
          <w:szCs w:val="22"/>
        </w:rPr>
      </w:pPr>
    </w:p>
    <w:p w:rsidR="001D5D22" w:rsidRPr="006E0C38" w:rsidRDefault="003C4D85" w:rsidP="00043B55">
      <w:pPr>
        <w:pStyle w:val="ListParagraph"/>
        <w:widowControl/>
        <w:numPr>
          <w:ilvl w:val="1"/>
          <w:numId w:val="5"/>
        </w:numPr>
        <w:rPr>
          <w:szCs w:val="22"/>
        </w:rPr>
      </w:pPr>
      <w:r w:rsidRPr="006E0C38">
        <w:rPr>
          <w:szCs w:val="22"/>
        </w:rPr>
        <w:t xml:space="preserve">In March 2016, the PBAC noted that the proportion of patients requiring a second prescription was likely to be higher with </w:t>
      </w:r>
      <w:r w:rsidR="008D7DE3" w:rsidRPr="006E0C38">
        <w:rPr>
          <w:szCs w:val="22"/>
        </w:rPr>
        <w:t>HP-hMG</w:t>
      </w:r>
      <w:r w:rsidRPr="006E0C38">
        <w:rPr>
          <w:szCs w:val="22"/>
        </w:rPr>
        <w:t xml:space="preserve"> </w:t>
      </w:r>
      <w:r w:rsidR="00473402">
        <w:rPr>
          <w:szCs w:val="22"/>
        </w:rPr>
        <w:t xml:space="preserve">compared with </w:t>
      </w:r>
      <w:r w:rsidRPr="006E0C38">
        <w:rPr>
          <w:szCs w:val="22"/>
        </w:rPr>
        <w:t>follitropin alfa.</w:t>
      </w:r>
      <w:r w:rsidR="00C50A54" w:rsidRPr="006E0C38">
        <w:rPr>
          <w:szCs w:val="22"/>
        </w:rPr>
        <w:t xml:space="preserve"> </w:t>
      </w:r>
      <w:r w:rsidR="0015273E" w:rsidRPr="006E0C38">
        <w:rPr>
          <w:szCs w:val="22"/>
        </w:rPr>
        <w:t>T</w:t>
      </w:r>
      <w:r w:rsidR="00C50A54" w:rsidRPr="006E0C38">
        <w:rPr>
          <w:szCs w:val="22"/>
        </w:rPr>
        <w:t xml:space="preserve">he </w:t>
      </w:r>
      <w:r w:rsidR="00C50A54" w:rsidRPr="006E0C38">
        <w:rPr>
          <w:szCs w:val="22"/>
        </w:rPr>
        <w:lastRenderedPageBreak/>
        <w:t xml:space="preserve">sponsor maintained </w:t>
      </w:r>
      <w:r w:rsidR="0015273E" w:rsidRPr="006E0C38">
        <w:rPr>
          <w:szCs w:val="22"/>
        </w:rPr>
        <w:t>that</w:t>
      </w:r>
      <w:r w:rsidR="00C50A54" w:rsidRPr="006E0C38">
        <w:rPr>
          <w:szCs w:val="22"/>
        </w:rPr>
        <w:t xml:space="preserve"> the vast majority of patients would </w:t>
      </w:r>
      <w:r w:rsidR="0015273E" w:rsidRPr="006E0C38">
        <w:rPr>
          <w:szCs w:val="22"/>
        </w:rPr>
        <w:t>be</w:t>
      </w:r>
      <w:r w:rsidR="00C50A54" w:rsidRPr="006E0C38">
        <w:rPr>
          <w:szCs w:val="22"/>
        </w:rPr>
        <w:t xml:space="preserve"> treated with a maximum quantity of 1800</w:t>
      </w:r>
      <w:r w:rsidR="00C05DBF">
        <w:rPr>
          <w:szCs w:val="22"/>
        </w:rPr>
        <w:t xml:space="preserve"> </w:t>
      </w:r>
      <w:r w:rsidR="00C50A54" w:rsidRPr="006E0C38">
        <w:rPr>
          <w:szCs w:val="22"/>
        </w:rPr>
        <w:t>IU</w:t>
      </w:r>
      <w:r w:rsidR="0015273E" w:rsidRPr="006E0C38">
        <w:rPr>
          <w:szCs w:val="22"/>
        </w:rPr>
        <w:t xml:space="preserve"> (one prescription)</w:t>
      </w:r>
      <w:r w:rsidR="006528F2" w:rsidRPr="006E0C38">
        <w:rPr>
          <w:szCs w:val="22"/>
        </w:rPr>
        <w:t>.</w:t>
      </w:r>
      <w:r w:rsidR="0015273E" w:rsidRPr="006E0C38">
        <w:rPr>
          <w:szCs w:val="22"/>
        </w:rPr>
        <w:t xml:space="preserve"> The sponsor stated that if the PBAC determined </w:t>
      </w:r>
      <w:r w:rsidR="006528F2" w:rsidRPr="006E0C38">
        <w:rPr>
          <w:szCs w:val="22"/>
        </w:rPr>
        <w:t xml:space="preserve">the equi-effective dose ratio </w:t>
      </w:r>
      <w:r w:rsidR="0015273E" w:rsidRPr="006E0C38">
        <w:rPr>
          <w:szCs w:val="22"/>
        </w:rPr>
        <w:t>to be</w:t>
      </w:r>
      <w:r w:rsidR="006528F2" w:rsidRPr="006E0C38">
        <w:rPr>
          <w:szCs w:val="22"/>
        </w:rPr>
        <w:t xml:space="preserve"> 1.32</w:t>
      </w:r>
      <w:r w:rsidR="0015273E" w:rsidRPr="006E0C38">
        <w:rPr>
          <w:szCs w:val="22"/>
        </w:rPr>
        <w:t xml:space="preserve">, </w:t>
      </w:r>
      <w:r w:rsidR="00385029" w:rsidRPr="006E0C38">
        <w:rPr>
          <w:szCs w:val="22"/>
        </w:rPr>
        <w:t>the maximum quantity</w:t>
      </w:r>
      <w:r w:rsidR="0006758D" w:rsidRPr="006E0C38">
        <w:rPr>
          <w:szCs w:val="22"/>
        </w:rPr>
        <w:t xml:space="preserve"> for HP</w:t>
      </w:r>
      <w:r w:rsidR="0006758D" w:rsidRPr="006E0C38">
        <w:rPr>
          <w:szCs w:val="22"/>
        </w:rPr>
        <w:noBreakHyphen/>
      </w:r>
      <w:r w:rsidR="0015273E" w:rsidRPr="006E0C38">
        <w:rPr>
          <w:szCs w:val="22"/>
        </w:rPr>
        <w:t>hMG could be increased</w:t>
      </w:r>
      <w:r w:rsidR="00385029" w:rsidRPr="006E0C38">
        <w:rPr>
          <w:szCs w:val="22"/>
        </w:rPr>
        <w:t xml:space="preserve"> to 2400</w:t>
      </w:r>
      <w:r w:rsidR="00C05DBF">
        <w:rPr>
          <w:szCs w:val="22"/>
        </w:rPr>
        <w:t xml:space="preserve"> </w:t>
      </w:r>
      <w:r w:rsidR="00385029" w:rsidRPr="006E0C38">
        <w:rPr>
          <w:szCs w:val="22"/>
        </w:rPr>
        <w:t>IU</w:t>
      </w:r>
      <w:r w:rsidR="004158FB" w:rsidRPr="006E0C38">
        <w:rPr>
          <w:szCs w:val="22"/>
        </w:rPr>
        <w:t xml:space="preserve"> (4 vials)</w:t>
      </w:r>
      <w:r w:rsidR="0015273E" w:rsidRPr="006E0C38">
        <w:rPr>
          <w:szCs w:val="22"/>
        </w:rPr>
        <w:t xml:space="preserve"> and this</w:t>
      </w:r>
      <w:r w:rsidR="00E05895" w:rsidRPr="006E0C38">
        <w:rPr>
          <w:szCs w:val="22"/>
        </w:rPr>
        <w:t xml:space="preserve"> would reduce the </w:t>
      </w:r>
      <w:r w:rsidR="00385029" w:rsidRPr="006E0C38">
        <w:rPr>
          <w:szCs w:val="22"/>
        </w:rPr>
        <w:t xml:space="preserve">need for a second prescription for </w:t>
      </w:r>
      <w:r w:rsidR="008D7DE3" w:rsidRPr="006E0C38">
        <w:rPr>
          <w:szCs w:val="22"/>
        </w:rPr>
        <w:t>HP-hMG</w:t>
      </w:r>
      <w:r w:rsidR="00385029" w:rsidRPr="006E0C38">
        <w:rPr>
          <w:szCs w:val="22"/>
        </w:rPr>
        <w:t>.</w:t>
      </w:r>
      <w:r w:rsidR="004158FB" w:rsidRPr="006E0C38">
        <w:rPr>
          <w:szCs w:val="22"/>
        </w:rPr>
        <w:t xml:space="preserve"> </w:t>
      </w:r>
    </w:p>
    <w:p w:rsidR="006E0C38" w:rsidRPr="008C6B56" w:rsidRDefault="006E0C38" w:rsidP="00043B55">
      <w:pPr>
        <w:ind w:left="720"/>
        <w:contextualSpacing/>
        <w:jc w:val="both"/>
        <w:rPr>
          <w:szCs w:val="22"/>
        </w:rPr>
      </w:pPr>
    </w:p>
    <w:p w:rsidR="00121CBC" w:rsidRDefault="000663DB" w:rsidP="00043B55">
      <w:pPr>
        <w:pStyle w:val="ListParagraph"/>
        <w:widowControl/>
        <w:numPr>
          <w:ilvl w:val="1"/>
          <w:numId w:val="5"/>
        </w:numPr>
        <w:rPr>
          <w:szCs w:val="22"/>
        </w:rPr>
      </w:pPr>
      <w:r>
        <w:rPr>
          <w:szCs w:val="22"/>
        </w:rPr>
        <w:t xml:space="preserve">The </w:t>
      </w:r>
      <w:r w:rsidR="00121CBC">
        <w:rPr>
          <w:szCs w:val="22"/>
        </w:rPr>
        <w:t xml:space="preserve">minor </w:t>
      </w:r>
      <w:r>
        <w:rPr>
          <w:szCs w:val="22"/>
        </w:rPr>
        <w:t xml:space="preserve">resubmission estimated cost savings </w:t>
      </w:r>
      <w:r w:rsidR="005D6E7C">
        <w:rPr>
          <w:szCs w:val="22"/>
        </w:rPr>
        <w:t xml:space="preserve">per patient per cycle </w:t>
      </w:r>
      <w:r>
        <w:rPr>
          <w:szCs w:val="22"/>
        </w:rPr>
        <w:t>with the use of HP</w:t>
      </w:r>
      <w:r w:rsidR="00121CBC">
        <w:rPr>
          <w:szCs w:val="22"/>
        </w:rPr>
        <w:noBreakHyphen/>
      </w:r>
      <w:r>
        <w:rPr>
          <w:szCs w:val="22"/>
        </w:rPr>
        <w:t>hMG compared with follitropin alfa</w:t>
      </w:r>
      <w:r w:rsidR="00121CBC">
        <w:rPr>
          <w:szCs w:val="22"/>
        </w:rPr>
        <w:t>:</w:t>
      </w:r>
    </w:p>
    <w:p w:rsidR="00121CBC" w:rsidRDefault="000663DB" w:rsidP="00624355">
      <w:pPr>
        <w:pStyle w:val="ListParagraph"/>
        <w:widowControl/>
        <w:numPr>
          <w:ilvl w:val="2"/>
          <w:numId w:val="5"/>
        </w:numPr>
        <w:ind w:left="993" w:hanging="284"/>
        <w:rPr>
          <w:szCs w:val="22"/>
        </w:rPr>
      </w:pPr>
      <w:r>
        <w:rPr>
          <w:szCs w:val="22"/>
        </w:rPr>
        <w:t>$</w:t>
      </w:r>
      <w:r w:rsidR="00E73DF8">
        <w:rPr>
          <w:noProof/>
          <w:color w:val="000000"/>
          <w:szCs w:val="22"/>
          <w:highlight w:val="black"/>
        </w:rPr>
        <w:t>''''''''''''''''''</w:t>
      </w:r>
      <w:r>
        <w:rPr>
          <w:szCs w:val="22"/>
        </w:rPr>
        <w:t xml:space="preserve"> for a HP-hMG price calculated using a dose ratio of 1.14 and a maximum quantity per prescription of 1800 IU; </w:t>
      </w:r>
      <w:r w:rsidR="00121CBC">
        <w:rPr>
          <w:szCs w:val="22"/>
        </w:rPr>
        <w:t>and</w:t>
      </w:r>
    </w:p>
    <w:p w:rsidR="00121CBC" w:rsidRDefault="000663DB" w:rsidP="00624355">
      <w:pPr>
        <w:pStyle w:val="ListParagraph"/>
        <w:widowControl/>
        <w:numPr>
          <w:ilvl w:val="2"/>
          <w:numId w:val="5"/>
        </w:numPr>
        <w:ind w:left="993" w:hanging="284"/>
        <w:rPr>
          <w:szCs w:val="22"/>
        </w:rPr>
      </w:pPr>
      <w:r>
        <w:rPr>
          <w:szCs w:val="22"/>
        </w:rPr>
        <w:t>$</w:t>
      </w:r>
      <w:r w:rsidR="00E73DF8">
        <w:rPr>
          <w:noProof/>
          <w:color w:val="000000"/>
          <w:szCs w:val="22"/>
          <w:highlight w:val="black"/>
        </w:rPr>
        <w:t>''''''''''''''</w:t>
      </w:r>
      <w:r>
        <w:rPr>
          <w:szCs w:val="22"/>
        </w:rPr>
        <w:t xml:space="preserve"> for a dose ratio of 1.32 and a maximum quantity of 2400 IU. </w:t>
      </w:r>
    </w:p>
    <w:p w:rsidR="001A4955" w:rsidRPr="001A4955" w:rsidRDefault="001A4955" w:rsidP="00883BDF">
      <w:pPr>
        <w:ind w:left="709"/>
        <w:rPr>
          <w:szCs w:val="22"/>
        </w:rPr>
      </w:pPr>
    </w:p>
    <w:p w:rsidR="00B476D0" w:rsidRDefault="000663DB" w:rsidP="00883BDF">
      <w:pPr>
        <w:pStyle w:val="ListParagraph"/>
        <w:widowControl/>
        <w:numPr>
          <w:ilvl w:val="1"/>
          <w:numId w:val="5"/>
        </w:numPr>
        <w:rPr>
          <w:szCs w:val="22"/>
        </w:rPr>
      </w:pPr>
      <w:r w:rsidRPr="001A4955">
        <w:rPr>
          <w:szCs w:val="22"/>
        </w:rPr>
        <w:t xml:space="preserve">The calculated cost saving </w:t>
      </w:r>
      <w:r w:rsidR="001A4955" w:rsidRPr="00883BDF">
        <w:rPr>
          <w:szCs w:val="22"/>
        </w:rPr>
        <w:t xml:space="preserve">for the first scenario </w:t>
      </w:r>
      <w:r w:rsidR="001A4955">
        <w:rPr>
          <w:szCs w:val="22"/>
        </w:rPr>
        <w:t>is</w:t>
      </w:r>
      <w:r w:rsidR="001A4955" w:rsidRPr="00883BDF">
        <w:rPr>
          <w:szCs w:val="22"/>
        </w:rPr>
        <w:t xml:space="preserve"> based on</w:t>
      </w:r>
      <w:r w:rsidRPr="001A4955">
        <w:rPr>
          <w:szCs w:val="22"/>
        </w:rPr>
        <w:t xml:space="preserve"> a patient </w:t>
      </w:r>
      <w:r w:rsidR="001B14AD" w:rsidRPr="001A4955">
        <w:rPr>
          <w:szCs w:val="22"/>
        </w:rPr>
        <w:t>receiv</w:t>
      </w:r>
      <w:r w:rsidR="001A4955" w:rsidRPr="00883BDF">
        <w:rPr>
          <w:szCs w:val="22"/>
        </w:rPr>
        <w:t>ing</w:t>
      </w:r>
      <w:r w:rsidR="00C05DBF" w:rsidRPr="001A4955">
        <w:rPr>
          <w:szCs w:val="22"/>
        </w:rPr>
        <w:t xml:space="preserve"> </w:t>
      </w:r>
      <w:r w:rsidRPr="001A4955">
        <w:rPr>
          <w:szCs w:val="22"/>
        </w:rPr>
        <w:t>one prescription</w:t>
      </w:r>
      <w:r w:rsidR="00E24AD1">
        <w:rPr>
          <w:szCs w:val="22"/>
        </w:rPr>
        <w:t xml:space="preserve"> of either HP-hMG or folli</w:t>
      </w:r>
      <w:r w:rsidR="0080146E" w:rsidRPr="00883BDF">
        <w:rPr>
          <w:szCs w:val="22"/>
        </w:rPr>
        <w:t>tropin alfa</w:t>
      </w:r>
      <w:r w:rsidRPr="001A4955">
        <w:rPr>
          <w:szCs w:val="22"/>
        </w:rPr>
        <w:t xml:space="preserve"> for the maximum quantity </w:t>
      </w:r>
      <w:r w:rsidR="001A4955" w:rsidRPr="00883BDF">
        <w:rPr>
          <w:szCs w:val="22"/>
        </w:rPr>
        <w:t xml:space="preserve">(equivalent to 1800 IU) </w:t>
      </w:r>
      <w:r w:rsidRPr="001A4955">
        <w:rPr>
          <w:szCs w:val="22"/>
        </w:rPr>
        <w:t xml:space="preserve">each cycle regardless of the </w:t>
      </w:r>
      <w:r w:rsidR="0080146E" w:rsidRPr="00883BDF">
        <w:rPr>
          <w:szCs w:val="22"/>
        </w:rPr>
        <w:t xml:space="preserve">total </w:t>
      </w:r>
      <w:r w:rsidRPr="001A4955">
        <w:rPr>
          <w:szCs w:val="22"/>
        </w:rPr>
        <w:t>dose</w:t>
      </w:r>
      <w:r w:rsidR="0080146E" w:rsidRPr="00883BDF">
        <w:rPr>
          <w:szCs w:val="22"/>
        </w:rPr>
        <w:t xml:space="preserve"> required. Study CS002 indicates that patients require a higher dose of HP-hMG</w:t>
      </w:r>
      <w:r w:rsidR="001A4955" w:rsidRPr="00883BDF">
        <w:rPr>
          <w:szCs w:val="22"/>
        </w:rPr>
        <w:t>.</w:t>
      </w:r>
      <w:r w:rsidR="0080146E" w:rsidRPr="00883BDF">
        <w:rPr>
          <w:szCs w:val="22"/>
        </w:rPr>
        <w:t xml:space="preserve"> In March 2016</w:t>
      </w:r>
      <w:r w:rsidR="00883BDF">
        <w:rPr>
          <w:szCs w:val="22"/>
        </w:rPr>
        <w:t>,</w:t>
      </w:r>
      <w:r w:rsidR="0080146E" w:rsidRPr="00883BDF">
        <w:rPr>
          <w:szCs w:val="22"/>
        </w:rPr>
        <w:t xml:space="preserve"> the PBAC noted that the proportion of patients requiring a second prescription was likely to be higher with </w:t>
      </w:r>
      <w:r w:rsidR="00883BDF">
        <w:rPr>
          <w:szCs w:val="22"/>
        </w:rPr>
        <w:t>HP-hMG</w:t>
      </w:r>
      <w:r w:rsidR="0080146E" w:rsidRPr="00883BDF">
        <w:rPr>
          <w:szCs w:val="22"/>
        </w:rPr>
        <w:t xml:space="preserve"> compared </w:t>
      </w:r>
      <w:r w:rsidR="00883BDF">
        <w:rPr>
          <w:szCs w:val="22"/>
        </w:rPr>
        <w:t>with</w:t>
      </w:r>
      <w:r w:rsidR="0080146E" w:rsidRPr="00883BDF">
        <w:rPr>
          <w:szCs w:val="22"/>
        </w:rPr>
        <w:t xml:space="preserve"> follitropin alfa due to the potential requirement for higher doses</w:t>
      </w:r>
      <w:r w:rsidR="00883BDF">
        <w:rPr>
          <w:szCs w:val="22"/>
        </w:rPr>
        <w:t xml:space="preserve"> (paragraph 7.7, PSD, March 2016 PBAC meeting)</w:t>
      </w:r>
      <w:r w:rsidR="0080146E" w:rsidRPr="00883BDF">
        <w:rPr>
          <w:szCs w:val="22"/>
        </w:rPr>
        <w:t xml:space="preserve">. It was further noted that there was potential for more wastage as </w:t>
      </w:r>
      <w:r w:rsidR="00883BDF">
        <w:rPr>
          <w:szCs w:val="22"/>
        </w:rPr>
        <w:t>HP-hMG</w:t>
      </w:r>
      <w:r w:rsidR="0080146E" w:rsidRPr="00883BDF">
        <w:rPr>
          <w:szCs w:val="22"/>
        </w:rPr>
        <w:t xml:space="preserve"> is only available </w:t>
      </w:r>
      <w:proofErr w:type="gramStart"/>
      <w:r w:rsidR="0080146E" w:rsidRPr="00883BDF">
        <w:rPr>
          <w:szCs w:val="22"/>
        </w:rPr>
        <w:t>in one strength</w:t>
      </w:r>
      <w:proofErr w:type="gramEnd"/>
      <w:r w:rsidR="0080146E" w:rsidRPr="00883BDF">
        <w:rPr>
          <w:szCs w:val="22"/>
        </w:rPr>
        <w:t xml:space="preserve"> while follitropin alfa is available in three strengths.</w:t>
      </w:r>
      <w:r w:rsidRPr="001A4955">
        <w:rPr>
          <w:szCs w:val="22"/>
        </w:rPr>
        <w:t xml:space="preserve"> </w:t>
      </w:r>
      <w:r w:rsidR="001A4955" w:rsidRPr="001A4955">
        <w:rPr>
          <w:szCs w:val="22"/>
        </w:rPr>
        <w:t xml:space="preserve">The calculated cost saving </w:t>
      </w:r>
      <w:r w:rsidR="001A4955" w:rsidRPr="00262624">
        <w:rPr>
          <w:szCs w:val="22"/>
        </w:rPr>
        <w:t xml:space="preserve">for the </w:t>
      </w:r>
      <w:r w:rsidR="001A4955">
        <w:rPr>
          <w:szCs w:val="22"/>
        </w:rPr>
        <w:t>second</w:t>
      </w:r>
      <w:r w:rsidR="001A4955" w:rsidRPr="00262624">
        <w:rPr>
          <w:szCs w:val="22"/>
        </w:rPr>
        <w:t xml:space="preserve"> scenario </w:t>
      </w:r>
      <w:r w:rsidR="001A4955">
        <w:rPr>
          <w:szCs w:val="22"/>
        </w:rPr>
        <w:t>is</w:t>
      </w:r>
      <w:r w:rsidR="001A4955" w:rsidRPr="00262624">
        <w:rPr>
          <w:szCs w:val="22"/>
        </w:rPr>
        <w:t xml:space="preserve"> based on </w:t>
      </w:r>
      <w:r w:rsidR="001A4955" w:rsidRPr="001A4955">
        <w:rPr>
          <w:szCs w:val="22"/>
        </w:rPr>
        <w:t>a patient receiv</w:t>
      </w:r>
      <w:r w:rsidR="001A4955" w:rsidRPr="00262624">
        <w:rPr>
          <w:szCs w:val="22"/>
        </w:rPr>
        <w:t>ing</w:t>
      </w:r>
      <w:r w:rsidR="001A4955" w:rsidRPr="001A4955">
        <w:rPr>
          <w:szCs w:val="22"/>
        </w:rPr>
        <w:t xml:space="preserve"> one prescription</w:t>
      </w:r>
      <w:r w:rsidR="001A4955" w:rsidRPr="00262624">
        <w:rPr>
          <w:szCs w:val="22"/>
        </w:rPr>
        <w:t xml:space="preserve"> of </w:t>
      </w:r>
      <w:r w:rsidR="007B4B37">
        <w:rPr>
          <w:szCs w:val="22"/>
        </w:rPr>
        <w:t xml:space="preserve">either </w:t>
      </w:r>
      <w:r w:rsidR="001A4955" w:rsidRPr="00262624">
        <w:rPr>
          <w:szCs w:val="22"/>
        </w:rPr>
        <w:t>HP-hMG</w:t>
      </w:r>
      <w:r w:rsidR="007B4B37">
        <w:rPr>
          <w:szCs w:val="22"/>
        </w:rPr>
        <w:t xml:space="preserve"> (2400 IU)</w:t>
      </w:r>
      <w:r w:rsidR="001A4955" w:rsidRPr="00262624">
        <w:rPr>
          <w:szCs w:val="22"/>
        </w:rPr>
        <w:t xml:space="preserve"> or </w:t>
      </w:r>
      <w:r w:rsidR="00E24AD1" w:rsidRPr="00262624">
        <w:rPr>
          <w:szCs w:val="22"/>
        </w:rPr>
        <w:t>follitropin</w:t>
      </w:r>
      <w:r w:rsidR="001A4955" w:rsidRPr="00262624">
        <w:rPr>
          <w:szCs w:val="22"/>
        </w:rPr>
        <w:t xml:space="preserve"> alfa</w:t>
      </w:r>
      <w:r w:rsidR="001A4955" w:rsidRPr="001A4955">
        <w:rPr>
          <w:szCs w:val="22"/>
        </w:rPr>
        <w:t xml:space="preserve"> </w:t>
      </w:r>
      <w:r w:rsidR="001A4955" w:rsidRPr="00262624">
        <w:rPr>
          <w:szCs w:val="22"/>
        </w:rPr>
        <w:t xml:space="preserve">(1800 IU) </w:t>
      </w:r>
      <w:r w:rsidR="001A4955" w:rsidRPr="001A4955">
        <w:rPr>
          <w:szCs w:val="22"/>
        </w:rPr>
        <w:t xml:space="preserve">each cycle regardless of the </w:t>
      </w:r>
      <w:r w:rsidR="001A4955" w:rsidRPr="00262624">
        <w:rPr>
          <w:szCs w:val="22"/>
        </w:rPr>
        <w:t xml:space="preserve">total </w:t>
      </w:r>
      <w:r w:rsidR="001A4955" w:rsidRPr="001A4955">
        <w:rPr>
          <w:szCs w:val="22"/>
        </w:rPr>
        <w:t>dose</w:t>
      </w:r>
      <w:r w:rsidR="001A4955" w:rsidRPr="00262624">
        <w:rPr>
          <w:szCs w:val="22"/>
        </w:rPr>
        <w:t xml:space="preserve"> required. </w:t>
      </w:r>
      <w:r w:rsidR="007B4B37">
        <w:rPr>
          <w:szCs w:val="22"/>
        </w:rPr>
        <w:t xml:space="preserve">This </w:t>
      </w:r>
      <w:r w:rsidR="001F1590">
        <w:rPr>
          <w:szCs w:val="22"/>
        </w:rPr>
        <w:t>potentially</w:t>
      </w:r>
      <w:r w:rsidR="007B4B37">
        <w:rPr>
          <w:szCs w:val="22"/>
        </w:rPr>
        <w:t xml:space="preserve"> accounts for the high</w:t>
      </w:r>
      <w:r w:rsidR="001F1590">
        <w:rPr>
          <w:szCs w:val="22"/>
        </w:rPr>
        <w:t>er</w:t>
      </w:r>
      <w:r w:rsidR="007B4B37">
        <w:rPr>
          <w:szCs w:val="22"/>
        </w:rPr>
        <w:t xml:space="preserve"> dose of HP-hMG required</w:t>
      </w:r>
      <w:r w:rsidR="001F1590">
        <w:rPr>
          <w:szCs w:val="22"/>
        </w:rPr>
        <w:t xml:space="preserve"> but may result in additional</w:t>
      </w:r>
      <w:r w:rsidR="007B4B37">
        <w:rPr>
          <w:szCs w:val="22"/>
        </w:rPr>
        <w:t xml:space="preserve"> wastage</w:t>
      </w:r>
      <w:r w:rsidR="001F1590">
        <w:rPr>
          <w:szCs w:val="22"/>
        </w:rPr>
        <w:t xml:space="preserve"> with HP-hMG</w:t>
      </w:r>
      <w:r w:rsidR="007B4B37">
        <w:rPr>
          <w:szCs w:val="22"/>
        </w:rPr>
        <w:t xml:space="preserve">. </w:t>
      </w:r>
      <w:r w:rsidR="001A4955">
        <w:rPr>
          <w:szCs w:val="22"/>
        </w:rPr>
        <w:t>Overall, the cost savings presented in the minor resubmission are unlikely to be realised in clinical practice.</w:t>
      </w:r>
    </w:p>
    <w:p w:rsidR="00B476D0" w:rsidRDefault="00B476D0" w:rsidP="00624355">
      <w:pPr>
        <w:ind w:left="709"/>
        <w:jc w:val="both"/>
        <w:rPr>
          <w:szCs w:val="22"/>
        </w:rPr>
      </w:pPr>
    </w:p>
    <w:p w:rsidR="001D5D22" w:rsidRPr="00244FB0" w:rsidRDefault="004158FB" w:rsidP="00B476D0">
      <w:pPr>
        <w:pStyle w:val="ListParagraph"/>
        <w:widowControl/>
        <w:numPr>
          <w:ilvl w:val="1"/>
          <w:numId w:val="5"/>
        </w:numPr>
        <w:rPr>
          <w:szCs w:val="22"/>
        </w:rPr>
      </w:pPr>
      <w:r w:rsidRPr="00B476D0">
        <w:rPr>
          <w:szCs w:val="22"/>
        </w:rPr>
        <w:t>T</w:t>
      </w:r>
      <w:r w:rsidR="000663DB" w:rsidRPr="00B476D0">
        <w:rPr>
          <w:szCs w:val="22"/>
        </w:rPr>
        <w:t xml:space="preserve">hree strengths are available for follitropin alfa, whereas </w:t>
      </w:r>
      <w:r w:rsidR="00C05DBF" w:rsidRPr="00B476D0">
        <w:rPr>
          <w:szCs w:val="22"/>
        </w:rPr>
        <w:t xml:space="preserve">only one strength of </w:t>
      </w:r>
      <w:r w:rsidR="0006758D" w:rsidRPr="00B476D0">
        <w:rPr>
          <w:szCs w:val="22"/>
        </w:rPr>
        <w:t>HP-hMG is available</w:t>
      </w:r>
      <w:r w:rsidR="000663DB" w:rsidRPr="00B476D0">
        <w:rPr>
          <w:szCs w:val="22"/>
        </w:rPr>
        <w:t xml:space="preserve">, </w:t>
      </w:r>
      <w:r w:rsidRPr="00B476D0">
        <w:rPr>
          <w:szCs w:val="22"/>
        </w:rPr>
        <w:t xml:space="preserve">which </w:t>
      </w:r>
      <w:r w:rsidR="000663DB" w:rsidRPr="00B476D0">
        <w:rPr>
          <w:szCs w:val="22"/>
        </w:rPr>
        <w:t xml:space="preserve">may </w:t>
      </w:r>
      <w:r w:rsidRPr="00B476D0">
        <w:rPr>
          <w:szCs w:val="22"/>
        </w:rPr>
        <w:t xml:space="preserve">mean </w:t>
      </w:r>
      <w:r w:rsidR="000663DB" w:rsidRPr="00B476D0">
        <w:rPr>
          <w:szCs w:val="22"/>
        </w:rPr>
        <w:t xml:space="preserve">the wastage with follitropin alfa </w:t>
      </w:r>
      <w:r w:rsidRPr="00B476D0">
        <w:rPr>
          <w:szCs w:val="22"/>
        </w:rPr>
        <w:t>is</w:t>
      </w:r>
      <w:r w:rsidR="00250FE9" w:rsidRPr="00B476D0">
        <w:rPr>
          <w:szCs w:val="22"/>
        </w:rPr>
        <w:t xml:space="preserve"> less than with HP-hMG</w:t>
      </w:r>
      <w:r w:rsidR="000663DB" w:rsidRPr="00B476D0">
        <w:rPr>
          <w:szCs w:val="22"/>
        </w:rPr>
        <w:t>.</w:t>
      </w:r>
      <w:r w:rsidR="00D23EEC">
        <w:rPr>
          <w:szCs w:val="22"/>
        </w:rPr>
        <w:t xml:space="preserve"> The pre-PBAC response</w:t>
      </w:r>
      <w:r w:rsidR="00B476D0">
        <w:rPr>
          <w:szCs w:val="22"/>
        </w:rPr>
        <w:t xml:space="preserve"> (p2-3)</w:t>
      </w:r>
      <w:r w:rsidR="00D23EEC">
        <w:rPr>
          <w:szCs w:val="22"/>
        </w:rPr>
        <w:t xml:space="preserve"> stated that the reduction in price of 7.8% has already been applied to account for this possibility, as agreed for the Section 100 (IVF program) listing.</w:t>
      </w:r>
      <w:r w:rsidR="00B476D0">
        <w:rPr>
          <w:szCs w:val="22"/>
        </w:rPr>
        <w:t xml:space="preserve"> In addition, the pre-PBAC response stated that the vast majority of scripts for follitropin alfa are for the 900IU presentation.</w:t>
      </w:r>
    </w:p>
    <w:p w:rsidR="0010244B" w:rsidRPr="00837684" w:rsidRDefault="0010244B" w:rsidP="00043B55">
      <w:pPr>
        <w:rPr>
          <w:rFonts w:ascii="Arial Narrow" w:hAnsi="Arial Narrow"/>
          <w:sz w:val="20"/>
        </w:rPr>
      </w:pPr>
    </w:p>
    <w:p w:rsidR="00C4088F" w:rsidRPr="00624355" w:rsidRDefault="009B23EA" w:rsidP="00043B55">
      <w:pPr>
        <w:ind w:firstLine="720"/>
        <w:rPr>
          <w:rFonts w:ascii="Arial" w:hAnsi="Arial" w:cs="Arial"/>
          <w:sz w:val="22"/>
          <w:szCs w:val="22"/>
        </w:rPr>
      </w:pPr>
      <w:r w:rsidRPr="00624355">
        <w:rPr>
          <w:rFonts w:ascii="Arial" w:hAnsi="Arial" w:cs="Arial"/>
          <w:i/>
          <w:sz w:val="22"/>
          <w:szCs w:val="22"/>
        </w:rPr>
        <w:t>For more detail on PBAC’s view, see section 7 “PBAC outcome”</w:t>
      </w:r>
      <w:r w:rsidR="00F34720">
        <w:rPr>
          <w:rFonts w:ascii="Arial" w:hAnsi="Arial" w:cs="Arial"/>
          <w:i/>
          <w:sz w:val="22"/>
          <w:szCs w:val="22"/>
        </w:rPr>
        <w:t>.</w:t>
      </w:r>
    </w:p>
    <w:p w:rsidR="001C223F" w:rsidRDefault="001C223F" w:rsidP="00043B55">
      <w:pPr>
        <w:rPr>
          <w:szCs w:val="22"/>
        </w:rPr>
      </w:pPr>
    </w:p>
    <w:p w:rsidR="00280670" w:rsidRPr="004815B2" w:rsidRDefault="00280670" w:rsidP="00043B55">
      <w:pPr>
        <w:rPr>
          <w:szCs w:val="22"/>
        </w:rPr>
      </w:pPr>
    </w:p>
    <w:p w:rsidR="007E568F" w:rsidRPr="00206981" w:rsidRDefault="007E568F" w:rsidP="00043B55">
      <w:pPr>
        <w:pStyle w:val="PBACHeading1"/>
      </w:pPr>
      <w:r w:rsidRPr="00206981">
        <w:t>PBAC Outcome</w:t>
      </w:r>
    </w:p>
    <w:p w:rsidR="007E568F" w:rsidRPr="003C3927" w:rsidRDefault="007E568F" w:rsidP="00043B55">
      <w:pPr>
        <w:contextualSpacing/>
        <w:jc w:val="both"/>
        <w:rPr>
          <w:rFonts w:ascii="Arial" w:hAnsi="Arial" w:cs="Arial"/>
          <w:bCs/>
          <w:snapToGrid w:val="0"/>
          <w:sz w:val="22"/>
          <w:szCs w:val="22"/>
          <w:highlight w:val="yellow"/>
          <w:lang w:val="en-GB"/>
        </w:rPr>
      </w:pPr>
    </w:p>
    <w:p w:rsidR="00B272A5" w:rsidRPr="00E651A6" w:rsidRDefault="00317F1D" w:rsidP="00043B55">
      <w:pPr>
        <w:numPr>
          <w:ilvl w:val="1"/>
          <w:numId w:val="5"/>
        </w:numPr>
        <w:contextualSpacing/>
        <w:jc w:val="both"/>
        <w:rPr>
          <w:rFonts w:ascii="Arial" w:hAnsi="Arial" w:cs="Arial"/>
          <w:bCs/>
          <w:snapToGrid w:val="0"/>
          <w:sz w:val="22"/>
          <w:szCs w:val="22"/>
          <w:lang w:val="en-GB"/>
        </w:rPr>
      </w:pPr>
      <w:r>
        <w:rPr>
          <w:rFonts w:ascii="Arial" w:hAnsi="Arial" w:cs="Arial"/>
          <w:bCs/>
          <w:snapToGrid w:val="0"/>
          <w:sz w:val="22"/>
          <w:szCs w:val="22"/>
          <w:lang w:val="en-GB"/>
        </w:rPr>
        <w:t>The PBAC d</w:t>
      </w:r>
      <w:r w:rsidR="00A13D36">
        <w:rPr>
          <w:rFonts w:ascii="Arial" w:hAnsi="Arial" w:cs="Arial"/>
          <w:bCs/>
          <w:snapToGrid w:val="0"/>
          <w:sz w:val="22"/>
          <w:szCs w:val="22"/>
          <w:lang w:val="en-GB"/>
        </w:rPr>
        <w:t xml:space="preserve">ecided not to </w:t>
      </w:r>
      <w:r>
        <w:rPr>
          <w:rFonts w:ascii="Arial" w:hAnsi="Arial" w:cs="Arial"/>
          <w:bCs/>
          <w:snapToGrid w:val="0"/>
          <w:sz w:val="22"/>
          <w:szCs w:val="22"/>
          <w:lang w:val="en-GB"/>
        </w:rPr>
        <w:t xml:space="preserve">recommend the </w:t>
      </w:r>
      <w:r w:rsidR="00A13D36">
        <w:rPr>
          <w:rFonts w:ascii="Arial" w:hAnsi="Arial" w:cs="Arial"/>
          <w:bCs/>
          <w:snapToGrid w:val="0"/>
          <w:sz w:val="22"/>
          <w:szCs w:val="22"/>
          <w:lang w:val="en-GB"/>
        </w:rPr>
        <w:t xml:space="preserve">PBS </w:t>
      </w:r>
      <w:r>
        <w:rPr>
          <w:rFonts w:ascii="Arial" w:hAnsi="Arial" w:cs="Arial"/>
          <w:bCs/>
          <w:snapToGrid w:val="0"/>
          <w:sz w:val="22"/>
          <w:szCs w:val="22"/>
          <w:lang w:val="en-GB"/>
        </w:rPr>
        <w:t xml:space="preserve">listing of </w:t>
      </w:r>
      <w:r w:rsidRPr="00747B26">
        <w:rPr>
          <w:rFonts w:ascii="Arial" w:hAnsi="Arial" w:cs="Arial"/>
          <w:bCs/>
          <w:snapToGrid w:val="0"/>
          <w:sz w:val="22"/>
          <w:szCs w:val="22"/>
          <w:lang w:val="en-GB"/>
        </w:rPr>
        <w:t>HP-hMG</w:t>
      </w:r>
      <w:r>
        <w:rPr>
          <w:rFonts w:ascii="Arial" w:hAnsi="Arial" w:cs="Arial"/>
          <w:bCs/>
          <w:snapToGrid w:val="0"/>
          <w:sz w:val="22"/>
          <w:szCs w:val="22"/>
          <w:lang w:val="en-GB"/>
        </w:rPr>
        <w:t xml:space="preserve"> for the treatment of </w:t>
      </w:r>
      <w:r w:rsidRPr="00E651A6">
        <w:rPr>
          <w:rFonts w:ascii="Arial" w:hAnsi="Arial" w:cs="Arial"/>
          <w:bCs/>
          <w:snapToGrid w:val="0"/>
          <w:sz w:val="22"/>
          <w:szCs w:val="22"/>
          <w:lang w:val="en-GB"/>
        </w:rPr>
        <w:t>anovulatory infertility</w:t>
      </w:r>
      <w:r w:rsidR="00F24224" w:rsidRPr="00E651A6">
        <w:rPr>
          <w:rFonts w:ascii="Arial" w:hAnsi="Arial" w:cs="Arial"/>
          <w:bCs/>
          <w:snapToGrid w:val="0"/>
          <w:sz w:val="22"/>
          <w:szCs w:val="22"/>
          <w:lang w:val="en-GB"/>
        </w:rPr>
        <w:t xml:space="preserve"> on the basis </w:t>
      </w:r>
      <w:r w:rsidR="007D6A6C">
        <w:rPr>
          <w:rFonts w:ascii="Arial" w:hAnsi="Arial" w:cs="Arial"/>
          <w:bCs/>
          <w:snapToGrid w:val="0"/>
          <w:sz w:val="22"/>
          <w:szCs w:val="22"/>
          <w:lang w:val="en-GB"/>
        </w:rPr>
        <w:t xml:space="preserve">that the minor resubmission did not </w:t>
      </w:r>
      <w:r w:rsidR="000D52DD">
        <w:rPr>
          <w:rFonts w:ascii="Arial" w:hAnsi="Arial" w:cs="Arial"/>
          <w:bCs/>
          <w:snapToGrid w:val="0"/>
          <w:sz w:val="22"/>
          <w:szCs w:val="22"/>
          <w:lang w:val="en-GB"/>
        </w:rPr>
        <w:t>adequately</w:t>
      </w:r>
      <w:r w:rsidR="007D6A6C">
        <w:rPr>
          <w:rFonts w:ascii="Arial" w:hAnsi="Arial" w:cs="Arial"/>
          <w:bCs/>
          <w:snapToGrid w:val="0"/>
          <w:sz w:val="22"/>
          <w:szCs w:val="22"/>
          <w:lang w:val="en-GB"/>
        </w:rPr>
        <w:t xml:space="preserve"> support a claim of non-inferiority to </w:t>
      </w:r>
      <w:r w:rsidR="00244FB0">
        <w:rPr>
          <w:rFonts w:ascii="Arial" w:hAnsi="Arial" w:cs="Arial"/>
          <w:bCs/>
          <w:snapToGrid w:val="0"/>
          <w:sz w:val="22"/>
          <w:szCs w:val="22"/>
          <w:lang w:val="en-GB"/>
        </w:rPr>
        <w:t>follitropin alfa</w:t>
      </w:r>
      <w:r w:rsidR="00AA47EF" w:rsidRPr="00E651A6">
        <w:rPr>
          <w:rFonts w:ascii="Arial" w:hAnsi="Arial" w:cs="Arial"/>
          <w:bCs/>
          <w:snapToGrid w:val="0"/>
          <w:sz w:val="22"/>
          <w:szCs w:val="22"/>
          <w:lang w:val="en-GB"/>
        </w:rPr>
        <w:t>.</w:t>
      </w:r>
    </w:p>
    <w:p w:rsidR="00B272A5" w:rsidRPr="00E651A6" w:rsidRDefault="00B272A5" w:rsidP="00043B55">
      <w:pPr>
        <w:rPr>
          <w:bCs/>
          <w:snapToGrid w:val="0"/>
          <w:szCs w:val="22"/>
          <w:lang w:val="en-GB"/>
        </w:rPr>
      </w:pPr>
    </w:p>
    <w:p w:rsidR="00DC53ED" w:rsidRPr="00624355" w:rsidRDefault="009E12E7" w:rsidP="00DC53ED">
      <w:pPr>
        <w:numPr>
          <w:ilvl w:val="1"/>
          <w:numId w:val="5"/>
        </w:numPr>
        <w:contextualSpacing/>
        <w:jc w:val="both"/>
        <w:rPr>
          <w:bCs/>
          <w:snapToGrid w:val="0"/>
          <w:szCs w:val="22"/>
          <w:lang w:val="en-GB"/>
        </w:rPr>
      </w:pPr>
      <w:r w:rsidRPr="00DC53ED">
        <w:rPr>
          <w:rFonts w:ascii="Arial" w:hAnsi="Arial" w:cs="Arial"/>
          <w:bCs/>
          <w:snapToGrid w:val="0"/>
          <w:sz w:val="22"/>
          <w:szCs w:val="22"/>
          <w:lang w:val="en-GB"/>
        </w:rPr>
        <w:t>The PBAC recalled that in March 2016 it rejected a major submission for HP-hMG on the basis that the evidence presented did not adequately support a claim of non</w:t>
      </w:r>
      <w:r w:rsidRPr="00DC53ED">
        <w:rPr>
          <w:rFonts w:ascii="Arial" w:hAnsi="Arial" w:cs="Arial"/>
          <w:bCs/>
          <w:snapToGrid w:val="0"/>
          <w:sz w:val="22"/>
          <w:szCs w:val="22"/>
          <w:lang w:val="en-GB"/>
        </w:rPr>
        <w:noBreakHyphen/>
        <w:t>inferiority to the comparator</w:t>
      </w:r>
      <w:r w:rsidR="000D52DD" w:rsidRPr="00DC53ED">
        <w:rPr>
          <w:rFonts w:ascii="Arial" w:hAnsi="Arial" w:cs="Arial"/>
          <w:bCs/>
          <w:snapToGrid w:val="0"/>
          <w:sz w:val="22"/>
          <w:szCs w:val="22"/>
          <w:lang w:val="en-GB"/>
        </w:rPr>
        <w:t>, follitropin alfa</w:t>
      </w:r>
      <w:r w:rsidRPr="00DC53ED">
        <w:rPr>
          <w:rFonts w:ascii="Arial" w:hAnsi="Arial" w:cs="Arial"/>
          <w:bCs/>
          <w:snapToGrid w:val="0"/>
          <w:sz w:val="22"/>
          <w:szCs w:val="22"/>
          <w:lang w:val="en-GB"/>
        </w:rPr>
        <w:t xml:space="preserve">. </w:t>
      </w:r>
      <w:r w:rsidR="00467B9A" w:rsidRPr="00DC53ED">
        <w:rPr>
          <w:rFonts w:ascii="Arial" w:hAnsi="Arial" w:cs="Arial"/>
          <w:bCs/>
          <w:snapToGrid w:val="0"/>
          <w:sz w:val="22"/>
          <w:szCs w:val="22"/>
          <w:lang w:val="en-GB"/>
        </w:rPr>
        <w:t>T</w:t>
      </w:r>
      <w:r w:rsidR="00DD33E3" w:rsidRPr="00DC53ED">
        <w:rPr>
          <w:rFonts w:ascii="Arial" w:hAnsi="Arial" w:cs="Arial"/>
          <w:bCs/>
          <w:snapToGrid w:val="0"/>
          <w:sz w:val="22"/>
          <w:szCs w:val="22"/>
          <w:lang w:val="en-GB"/>
        </w:rPr>
        <w:t xml:space="preserve">he PBAC </w:t>
      </w:r>
      <w:r w:rsidR="00467B9A" w:rsidRPr="00DC53ED">
        <w:rPr>
          <w:rFonts w:ascii="Arial" w:hAnsi="Arial" w:cs="Arial"/>
          <w:bCs/>
          <w:snapToGrid w:val="0"/>
          <w:sz w:val="22"/>
          <w:szCs w:val="22"/>
          <w:lang w:val="en-GB"/>
        </w:rPr>
        <w:t>considered that as no new clinical trial data had been provided in the resubmission, there was</w:t>
      </w:r>
      <w:r w:rsidR="00820C8D" w:rsidRPr="00DC53ED">
        <w:rPr>
          <w:rFonts w:ascii="Arial" w:hAnsi="Arial" w:cs="Arial"/>
          <w:bCs/>
          <w:snapToGrid w:val="0"/>
          <w:sz w:val="22"/>
          <w:szCs w:val="22"/>
          <w:lang w:val="en-GB"/>
        </w:rPr>
        <w:t xml:space="preserve"> an</w:t>
      </w:r>
      <w:r w:rsidR="00467B9A" w:rsidRPr="00DC53ED">
        <w:rPr>
          <w:rFonts w:ascii="Arial" w:hAnsi="Arial" w:cs="Arial"/>
          <w:bCs/>
          <w:snapToGrid w:val="0"/>
          <w:sz w:val="22"/>
          <w:szCs w:val="22"/>
          <w:lang w:val="en-GB"/>
        </w:rPr>
        <w:t xml:space="preserve"> insufficient </w:t>
      </w:r>
      <w:r w:rsidR="00820C8D" w:rsidRPr="00DC53ED">
        <w:rPr>
          <w:rFonts w:ascii="Arial" w:hAnsi="Arial" w:cs="Arial"/>
          <w:bCs/>
          <w:snapToGrid w:val="0"/>
          <w:sz w:val="22"/>
          <w:szCs w:val="22"/>
          <w:lang w:val="en-GB"/>
        </w:rPr>
        <w:t xml:space="preserve">basis on which </w:t>
      </w:r>
      <w:r w:rsidR="00467B9A" w:rsidRPr="00DC53ED">
        <w:rPr>
          <w:rFonts w:ascii="Arial" w:hAnsi="Arial" w:cs="Arial"/>
          <w:bCs/>
          <w:snapToGrid w:val="0"/>
          <w:sz w:val="22"/>
          <w:szCs w:val="22"/>
          <w:lang w:val="en-GB"/>
        </w:rPr>
        <w:t xml:space="preserve">to change </w:t>
      </w:r>
      <w:r w:rsidR="000D52DD" w:rsidRPr="00DC53ED">
        <w:rPr>
          <w:rFonts w:ascii="Arial" w:hAnsi="Arial" w:cs="Arial"/>
          <w:bCs/>
          <w:snapToGrid w:val="0"/>
          <w:sz w:val="22"/>
          <w:szCs w:val="22"/>
          <w:lang w:val="en-GB"/>
        </w:rPr>
        <w:t xml:space="preserve">its previous consideration regarding the </w:t>
      </w:r>
      <w:r w:rsidR="00467B9A" w:rsidRPr="00DC53ED">
        <w:rPr>
          <w:rFonts w:ascii="Arial" w:hAnsi="Arial" w:cs="Arial"/>
          <w:bCs/>
          <w:snapToGrid w:val="0"/>
          <w:sz w:val="22"/>
          <w:szCs w:val="22"/>
          <w:lang w:val="en-GB"/>
        </w:rPr>
        <w:t>claim of non</w:t>
      </w:r>
      <w:r w:rsidR="00467B9A" w:rsidRPr="00DC53ED">
        <w:rPr>
          <w:rFonts w:ascii="Arial" w:hAnsi="Arial" w:cs="Arial"/>
          <w:bCs/>
          <w:snapToGrid w:val="0"/>
          <w:sz w:val="22"/>
          <w:szCs w:val="22"/>
          <w:lang w:val="en-GB"/>
        </w:rPr>
        <w:noBreakHyphen/>
        <w:t xml:space="preserve">inferiority to follitropin alfa. </w:t>
      </w:r>
    </w:p>
    <w:p w:rsidR="00DC53ED" w:rsidRPr="00624355" w:rsidRDefault="00DC53ED" w:rsidP="00624355">
      <w:pPr>
        <w:contextualSpacing/>
        <w:jc w:val="both"/>
        <w:rPr>
          <w:bCs/>
          <w:snapToGrid w:val="0"/>
          <w:szCs w:val="22"/>
          <w:lang w:val="en-GB"/>
        </w:rPr>
      </w:pPr>
    </w:p>
    <w:p w:rsidR="007E568F" w:rsidRPr="00DC53ED" w:rsidRDefault="00DC53ED" w:rsidP="00DC53ED">
      <w:pPr>
        <w:numPr>
          <w:ilvl w:val="1"/>
          <w:numId w:val="5"/>
        </w:numPr>
        <w:contextualSpacing/>
        <w:jc w:val="both"/>
        <w:rPr>
          <w:rFonts w:ascii="Arial" w:hAnsi="Arial" w:cs="Arial"/>
          <w:bCs/>
          <w:snapToGrid w:val="0"/>
          <w:sz w:val="22"/>
          <w:szCs w:val="22"/>
          <w:lang w:val="en-GB"/>
        </w:rPr>
      </w:pPr>
      <w:r w:rsidRPr="009E12E7">
        <w:rPr>
          <w:rFonts w:ascii="Arial" w:hAnsi="Arial" w:cs="Arial"/>
          <w:bCs/>
          <w:snapToGrid w:val="0"/>
          <w:sz w:val="22"/>
          <w:szCs w:val="22"/>
          <w:lang w:val="en-GB"/>
        </w:rPr>
        <w:lastRenderedPageBreak/>
        <w:t xml:space="preserve">The PBAC further </w:t>
      </w:r>
      <w:r>
        <w:rPr>
          <w:rFonts w:ascii="Arial" w:hAnsi="Arial" w:cs="Arial"/>
          <w:bCs/>
          <w:snapToGrid w:val="0"/>
          <w:sz w:val="22"/>
          <w:szCs w:val="22"/>
          <w:lang w:val="en-GB"/>
        </w:rPr>
        <w:t xml:space="preserve">recalled that in March 2016 it </w:t>
      </w:r>
      <w:r w:rsidRPr="009E12E7">
        <w:rPr>
          <w:rFonts w:ascii="Arial" w:hAnsi="Arial" w:cs="Arial"/>
          <w:bCs/>
          <w:snapToGrid w:val="0"/>
          <w:sz w:val="22"/>
          <w:szCs w:val="22"/>
          <w:lang w:val="en-GB"/>
        </w:rPr>
        <w:t xml:space="preserve">considered that extending the listing of </w:t>
      </w:r>
      <w:r w:rsidRPr="00747B26">
        <w:rPr>
          <w:rFonts w:ascii="Arial" w:hAnsi="Arial" w:cs="Arial"/>
          <w:bCs/>
          <w:snapToGrid w:val="0"/>
          <w:sz w:val="22"/>
          <w:szCs w:val="22"/>
          <w:lang w:val="en-GB"/>
        </w:rPr>
        <w:t>HP-hMG</w:t>
      </w:r>
      <w:r w:rsidRPr="009E12E7">
        <w:rPr>
          <w:rFonts w:ascii="Arial" w:hAnsi="Arial" w:cs="Arial"/>
          <w:bCs/>
          <w:snapToGrid w:val="0"/>
          <w:sz w:val="22"/>
          <w:szCs w:val="22"/>
          <w:lang w:val="en-GB"/>
        </w:rPr>
        <w:t xml:space="preserve"> would not address any unmet clinical need</w:t>
      </w:r>
      <w:r>
        <w:rPr>
          <w:rFonts w:ascii="Arial" w:hAnsi="Arial" w:cs="Arial"/>
          <w:bCs/>
          <w:snapToGrid w:val="0"/>
          <w:sz w:val="22"/>
          <w:szCs w:val="22"/>
          <w:lang w:val="en-GB"/>
        </w:rPr>
        <w:t xml:space="preserve">. </w:t>
      </w:r>
      <w:r>
        <w:rPr>
          <w:rFonts w:ascii="Arial" w:hAnsi="Arial" w:cs="Arial"/>
          <w:sz w:val="22"/>
          <w:szCs w:val="22"/>
        </w:rPr>
        <w:t>O</w:t>
      </w:r>
      <w:r w:rsidR="0047372D" w:rsidRPr="00DC53ED">
        <w:rPr>
          <w:rFonts w:ascii="Arial" w:hAnsi="Arial" w:cs="Arial"/>
          <w:sz w:val="22"/>
          <w:szCs w:val="22"/>
        </w:rPr>
        <w:t>n the basis of</w:t>
      </w:r>
      <w:r w:rsidR="00E651A6" w:rsidRPr="00DC53ED">
        <w:rPr>
          <w:rFonts w:ascii="Arial" w:hAnsi="Arial" w:cs="Arial"/>
          <w:sz w:val="22"/>
          <w:szCs w:val="22"/>
        </w:rPr>
        <w:t xml:space="preserve"> the </w:t>
      </w:r>
      <w:r w:rsidR="00820C8D" w:rsidRPr="00DC53ED">
        <w:rPr>
          <w:rFonts w:ascii="Arial" w:hAnsi="Arial" w:cs="Arial"/>
          <w:sz w:val="22"/>
          <w:szCs w:val="22"/>
        </w:rPr>
        <w:t>clinician statements</w:t>
      </w:r>
      <w:r w:rsidR="00E651A6" w:rsidRPr="00DC53ED">
        <w:rPr>
          <w:rFonts w:ascii="Arial" w:hAnsi="Arial" w:cs="Arial"/>
          <w:sz w:val="22"/>
          <w:szCs w:val="22"/>
        </w:rPr>
        <w:t xml:space="preserve"> presented in the </w:t>
      </w:r>
      <w:r w:rsidR="00820C8D" w:rsidRPr="00DC53ED">
        <w:rPr>
          <w:rFonts w:ascii="Arial" w:hAnsi="Arial" w:cs="Arial"/>
          <w:sz w:val="22"/>
          <w:szCs w:val="22"/>
        </w:rPr>
        <w:t>minor re</w:t>
      </w:r>
      <w:r w:rsidR="00E651A6" w:rsidRPr="00DC53ED">
        <w:rPr>
          <w:rFonts w:ascii="Arial" w:hAnsi="Arial" w:cs="Arial"/>
          <w:sz w:val="22"/>
          <w:szCs w:val="22"/>
        </w:rPr>
        <w:t>submission</w:t>
      </w:r>
      <w:r w:rsidR="0047372D" w:rsidRPr="00DC53ED">
        <w:rPr>
          <w:rFonts w:ascii="Arial" w:hAnsi="Arial" w:cs="Arial"/>
          <w:sz w:val="22"/>
          <w:szCs w:val="22"/>
        </w:rPr>
        <w:t>, the PBAC</w:t>
      </w:r>
      <w:r w:rsidR="00E651A6" w:rsidRPr="00DC53ED">
        <w:rPr>
          <w:rFonts w:ascii="Arial" w:hAnsi="Arial" w:cs="Arial"/>
          <w:sz w:val="22"/>
          <w:szCs w:val="22"/>
        </w:rPr>
        <w:t xml:space="preserve"> considered that there was some evidence of a </w:t>
      </w:r>
      <w:r w:rsidR="009650F5" w:rsidRPr="00DC53ED">
        <w:rPr>
          <w:rFonts w:ascii="Arial" w:hAnsi="Arial" w:cs="Arial"/>
          <w:sz w:val="22"/>
          <w:szCs w:val="22"/>
        </w:rPr>
        <w:t xml:space="preserve">clinical need for HP-hMG for anovulatory infertility </w:t>
      </w:r>
      <w:r w:rsidR="00E651A6" w:rsidRPr="00DC53ED">
        <w:rPr>
          <w:rFonts w:ascii="Arial" w:hAnsi="Arial" w:cs="Arial"/>
          <w:sz w:val="22"/>
          <w:szCs w:val="22"/>
        </w:rPr>
        <w:t xml:space="preserve">in a </w:t>
      </w:r>
      <w:r w:rsidR="009650F5" w:rsidRPr="00DC53ED">
        <w:rPr>
          <w:rFonts w:ascii="Arial" w:hAnsi="Arial" w:cs="Arial"/>
          <w:sz w:val="22"/>
          <w:szCs w:val="22"/>
        </w:rPr>
        <w:t xml:space="preserve">small </w:t>
      </w:r>
      <w:r w:rsidR="00E651A6" w:rsidRPr="00DC53ED">
        <w:rPr>
          <w:rFonts w:ascii="Arial" w:hAnsi="Arial" w:cs="Arial"/>
          <w:sz w:val="22"/>
          <w:szCs w:val="22"/>
        </w:rPr>
        <w:t>number of women</w:t>
      </w:r>
      <w:r w:rsidR="0090760C" w:rsidRPr="00DC53ED">
        <w:rPr>
          <w:rFonts w:ascii="Arial" w:hAnsi="Arial" w:cs="Arial"/>
          <w:sz w:val="22"/>
          <w:szCs w:val="22"/>
        </w:rPr>
        <w:t xml:space="preserve"> with low levels of LH</w:t>
      </w:r>
      <w:r w:rsidR="00E651A6" w:rsidRPr="00DC53ED">
        <w:rPr>
          <w:rFonts w:ascii="Arial" w:hAnsi="Arial" w:cs="Arial"/>
          <w:sz w:val="22"/>
          <w:szCs w:val="22"/>
        </w:rPr>
        <w:t>.</w:t>
      </w:r>
    </w:p>
    <w:p w:rsidR="00E651A6" w:rsidRPr="00E651A6" w:rsidRDefault="00E651A6" w:rsidP="00043B55">
      <w:pPr>
        <w:contextualSpacing/>
        <w:jc w:val="both"/>
        <w:rPr>
          <w:rFonts w:ascii="Arial" w:hAnsi="Arial" w:cs="Arial"/>
          <w:bCs/>
          <w:snapToGrid w:val="0"/>
          <w:sz w:val="22"/>
          <w:szCs w:val="22"/>
          <w:lang w:val="en-GB"/>
        </w:rPr>
      </w:pPr>
    </w:p>
    <w:p w:rsidR="00043B55" w:rsidRPr="00E33E39" w:rsidRDefault="00E33E39" w:rsidP="00043B55">
      <w:pPr>
        <w:pStyle w:val="ListParagraph"/>
        <w:widowControl/>
        <w:numPr>
          <w:ilvl w:val="1"/>
          <w:numId w:val="5"/>
        </w:numPr>
        <w:rPr>
          <w:szCs w:val="22"/>
        </w:rPr>
      </w:pPr>
      <w:r w:rsidRPr="00883BDF">
        <w:rPr>
          <w:szCs w:val="22"/>
        </w:rPr>
        <w:t xml:space="preserve">The PBAC noted that reliable equi-effective doses could not be estimated from the </w:t>
      </w:r>
      <w:r w:rsidR="00870A3B">
        <w:rPr>
          <w:szCs w:val="22"/>
        </w:rPr>
        <w:t xml:space="preserve">CS002 </w:t>
      </w:r>
      <w:r w:rsidRPr="00883BDF">
        <w:rPr>
          <w:szCs w:val="22"/>
        </w:rPr>
        <w:t xml:space="preserve">trial as the trial did not adequately demonstrate non-inferiority of HP-hMG and </w:t>
      </w:r>
      <w:r w:rsidR="00E24AD1" w:rsidRPr="00883BDF">
        <w:rPr>
          <w:szCs w:val="22"/>
        </w:rPr>
        <w:t>follitropin</w:t>
      </w:r>
      <w:r w:rsidRPr="00883BDF">
        <w:rPr>
          <w:szCs w:val="22"/>
        </w:rPr>
        <w:t xml:space="preserve"> alfa. </w:t>
      </w:r>
      <w:r w:rsidR="00870A3B">
        <w:rPr>
          <w:szCs w:val="22"/>
        </w:rPr>
        <w:t>Not</w:t>
      </w:r>
      <w:r w:rsidRPr="00883BDF">
        <w:rPr>
          <w:szCs w:val="22"/>
        </w:rPr>
        <w:t>withstanding this, the PBAC considered the equi-effective dose ratio proposed in the minor resubmission of 1:1.14 was not adequately supported</w:t>
      </w:r>
      <w:r w:rsidR="00870A3B">
        <w:rPr>
          <w:szCs w:val="22"/>
        </w:rPr>
        <w:t xml:space="preserve"> as it was based on the analysis of the per-protocol population</w:t>
      </w:r>
      <w:r w:rsidRPr="00883BDF">
        <w:rPr>
          <w:szCs w:val="22"/>
        </w:rPr>
        <w:t xml:space="preserve">. </w:t>
      </w:r>
      <w:r w:rsidR="00870A3B">
        <w:rPr>
          <w:szCs w:val="22"/>
        </w:rPr>
        <w:t xml:space="preserve">Based on the </w:t>
      </w:r>
      <w:r w:rsidR="00F350EE">
        <w:rPr>
          <w:szCs w:val="22"/>
        </w:rPr>
        <w:t>analysis of</w:t>
      </w:r>
      <w:r w:rsidR="00870A3B">
        <w:rPr>
          <w:szCs w:val="22"/>
        </w:rPr>
        <w:t xml:space="preserve"> the intention-to-treat popula</w:t>
      </w:r>
      <w:r w:rsidR="00F350EE">
        <w:rPr>
          <w:szCs w:val="22"/>
        </w:rPr>
        <w:t>tion the equi-effective dose ratio was noted to be higher (1:1.32 to 1:1.46).</w:t>
      </w:r>
    </w:p>
    <w:p w:rsidR="00467B9A" w:rsidRPr="00E33E39" w:rsidRDefault="00467B9A" w:rsidP="00043B55">
      <w:pPr>
        <w:pStyle w:val="ListParagraph"/>
        <w:widowControl/>
        <w:rPr>
          <w:bCs/>
          <w:szCs w:val="22"/>
          <w:lang w:val="en-GB"/>
        </w:rPr>
      </w:pPr>
    </w:p>
    <w:p w:rsidR="00105DE2" w:rsidRDefault="00105DE2" w:rsidP="000E2444">
      <w:pPr>
        <w:numPr>
          <w:ilvl w:val="1"/>
          <w:numId w:val="5"/>
        </w:numPr>
        <w:contextualSpacing/>
        <w:jc w:val="both"/>
        <w:rPr>
          <w:bCs/>
          <w:szCs w:val="22"/>
          <w:lang w:val="en-GB"/>
        </w:rPr>
      </w:pPr>
      <w:r w:rsidRPr="00E33E39">
        <w:rPr>
          <w:rFonts w:ascii="Arial" w:hAnsi="Arial" w:cs="Arial"/>
          <w:bCs/>
          <w:snapToGrid w:val="0"/>
          <w:sz w:val="22"/>
          <w:szCs w:val="22"/>
          <w:lang w:val="en-GB"/>
        </w:rPr>
        <w:t xml:space="preserve">The PBAC </w:t>
      </w:r>
      <w:r w:rsidR="00043B55" w:rsidRPr="00E33E39">
        <w:rPr>
          <w:rFonts w:ascii="Arial" w:hAnsi="Arial" w:cs="Arial"/>
          <w:bCs/>
          <w:snapToGrid w:val="0"/>
          <w:sz w:val="22"/>
          <w:szCs w:val="22"/>
          <w:lang w:val="en-GB"/>
        </w:rPr>
        <w:t xml:space="preserve">did not accept </w:t>
      </w:r>
      <w:r w:rsidRPr="00E33E39">
        <w:rPr>
          <w:rFonts w:ascii="Arial" w:hAnsi="Arial" w:cs="Arial"/>
          <w:bCs/>
          <w:snapToGrid w:val="0"/>
          <w:sz w:val="22"/>
          <w:szCs w:val="22"/>
          <w:lang w:val="en-GB"/>
        </w:rPr>
        <w:t xml:space="preserve">the sponsor’s request for an increase in maximum quantity to 2400 IU </w:t>
      </w:r>
      <w:r w:rsidR="000D52DD" w:rsidRPr="00E33E39">
        <w:rPr>
          <w:rFonts w:ascii="Arial" w:hAnsi="Arial" w:cs="Arial"/>
          <w:bCs/>
          <w:snapToGrid w:val="0"/>
          <w:sz w:val="22"/>
          <w:szCs w:val="22"/>
          <w:lang w:val="en-GB"/>
        </w:rPr>
        <w:t xml:space="preserve">on the basis of </w:t>
      </w:r>
      <w:r w:rsidR="00442106" w:rsidRPr="00E33E39">
        <w:rPr>
          <w:rFonts w:ascii="Arial" w:hAnsi="Arial" w:cs="Arial"/>
          <w:bCs/>
          <w:snapToGrid w:val="0"/>
          <w:sz w:val="22"/>
          <w:szCs w:val="22"/>
          <w:lang w:val="en-GB"/>
        </w:rPr>
        <w:t xml:space="preserve">the requirement for a higher </w:t>
      </w:r>
      <w:r w:rsidR="00AA654E">
        <w:rPr>
          <w:rFonts w:ascii="Arial" w:hAnsi="Arial" w:cs="Arial"/>
          <w:bCs/>
          <w:snapToGrid w:val="0"/>
          <w:sz w:val="22"/>
          <w:szCs w:val="22"/>
          <w:lang w:val="en-GB"/>
        </w:rPr>
        <w:t xml:space="preserve">IU </w:t>
      </w:r>
      <w:r w:rsidR="00442106" w:rsidRPr="00E33E39">
        <w:rPr>
          <w:rFonts w:ascii="Arial" w:hAnsi="Arial" w:cs="Arial"/>
          <w:bCs/>
          <w:snapToGrid w:val="0"/>
          <w:sz w:val="22"/>
          <w:szCs w:val="22"/>
          <w:lang w:val="en-GB"/>
        </w:rPr>
        <w:t xml:space="preserve">dose </w:t>
      </w:r>
      <w:r w:rsidR="00E33E39">
        <w:rPr>
          <w:rFonts w:ascii="Arial" w:hAnsi="Arial" w:cs="Arial"/>
          <w:bCs/>
          <w:snapToGrid w:val="0"/>
          <w:sz w:val="22"/>
          <w:szCs w:val="22"/>
          <w:lang w:val="en-GB"/>
        </w:rPr>
        <w:t xml:space="preserve">with HP-hMG compared with </w:t>
      </w:r>
      <w:r w:rsidR="00E24AD1">
        <w:rPr>
          <w:rFonts w:ascii="Arial" w:hAnsi="Arial" w:cs="Arial"/>
          <w:bCs/>
          <w:snapToGrid w:val="0"/>
          <w:sz w:val="22"/>
          <w:szCs w:val="22"/>
          <w:lang w:val="en-GB"/>
        </w:rPr>
        <w:t>follitropin</w:t>
      </w:r>
      <w:r w:rsidR="00AA654E">
        <w:rPr>
          <w:rFonts w:ascii="Arial" w:hAnsi="Arial" w:cs="Arial"/>
          <w:bCs/>
          <w:snapToGrid w:val="0"/>
          <w:sz w:val="22"/>
          <w:szCs w:val="22"/>
          <w:lang w:val="en-GB"/>
        </w:rPr>
        <w:t xml:space="preserve"> alfa</w:t>
      </w:r>
      <w:r w:rsidR="000D52DD" w:rsidRPr="00E33E39">
        <w:rPr>
          <w:rFonts w:ascii="Arial" w:hAnsi="Arial" w:cs="Arial"/>
          <w:bCs/>
          <w:snapToGrid w:val="0"/>
          <w:sz w:val="22"/>
          <w:szCs w:val="22"/>
          <w:lang w:val="en-GB"/>
        </w:rPr>
        <w:t xml:space="preserve">. </w:t>
      </w:r>
      <w:r w:rsidR="000E2444" w:rsidRPr="00E33E39">
        <w:rPr>
          <w:rFonts w:ascii="Arial" w:hAnsi="Arial" w:cs="Arial"/>
          <w:bCs/>
          <w:snapToGrid w:val="0"/>
          <w:sz w:val="22"/>
          <w:szCs w:val="22"/>
          <w:lang w:val="en-GB"/>
        </w:rPr>
        <w:t>The PBAC considered that</w:t>
      </w:r>
      <w:r w:rsidR="00836949" w:rsidRPr="00E33E39">
        <w:rPr>
          <w:rFonts w:ascii="Arial" w:hAnsi="Arial" w:cs="Arial"/>
          <w:bCs/>
          <w:snapToGrid w:val="0"/>
          <w:sz w:val="22"/>
          <w:szCs w:val="22"/>
          <w:lang w:val="en-GB"/>
        </w:rPr>
        <w:t>,</w:t>
      </w:r>
      <w:r w:rsidR="000E2444" w:rsidRPr="00E33E39">
        <w:rPr>
          <w:rFonts w:ascii="Arial" w:hAnsi="Arial" w:cs="Arial"/>
          <w:bCs/>
          <w:snapToGrid w:val="0"/>
          <w:sz w:val="22"/>
          <w:szCs w:val="22"/>
          <w:lang w:val="en-GB"/>
        </w:rPr>
        <w:t xml:space="preserve"> on balance, the maximum quantity </w:t>
      </w:r>
      <w:r w:rsidR="009859AE" w:rsidRPr="00E33E39">
        <w:rPr>
          <w:rFonts w:ascii="Arial" w:hAnsi="Arial" w:cs="Arial"/>
          <w:bCs/>
          <w:snapToGrid w:val="0"/>
          <w:sz w:val="22"/>
          <w:szCs w:val="22"/>
          <w:lang w:val="en-GB"/>
        </w:rPr>
        <w:t>of</w:t>
      </w:r>
      <w:r w:rsidR="000E2444" w:rsidRPr="00E33E39">
        <w:rPr>
          <w:rFonts w:ascii="Arial" w:hAnsi="Arial" w:cs="Arial"/>
          <w:bCs/>
          <w:snapToGrid w:val="0"/>
          <w:sz w:val="22"/>
          <w:szCs w:val="22"/>
          <w:lang w:val="en-GB"/>
        </w:rPr>
        <w:t xml:space="preserve"> 1800 IU</w:t>
      </w:r>
      <w:r w:rsidR="009859AE" w:rsidRPr="00E33E39">
        <w:rPr>
          <w:rFonts w:ascii="Arial" w:hAnsi="Arial" w:cs="Arial"/>
          <w:bCs/>
          <w:snapToGrid w:val="0"/>
          <w:sz w:val="22"/>
          <w:szCs w:val="22"/>
          <w:lang w:val="en-GB"/>
        </w:rPr>
        <w:t xml:space="preserve"> was more</w:t>
      </w:r>
      <w:r w:rsidR="009859AE">
        <w:rPr>
          <w:rFonts w:ascii="Arial" w:hAnsi="Arial" w:cs="Arial"/>
          <w:bCs/>
          <w:snapToGrid w:val="0"/>
          <w:sz w:val="22"/>
          <w:szCs w:val="22"/>
          <w:lang w:val="en-GB"/>
        </w:rPr>
        <w:t xml:space="preserve"> </w:t>
      </w:r>
      <w:r w:rsidR="004908AD">
        <w:rPr>
          <w:rFonts w:ascii="Arial" w:hAnsi="Arial" w:cs="Arial"/>
          <w:bCs/>
          <w:snapToGrid w:val="0"/>
          <w:sz w:val="22"/>
          <w:szCs w:val="22"/>
          <w:lang w:val="en-GB"/>
        </w:rPr>
        <w:t>appropriate</w:t>
      </w:r>
      <w:r w:rsidR="000E2444" w:rsidRPr="000E2444">
        <w:rPr>
          <w:rFonts w:ascii="Arial" w:hAnsi="Arial" w:cs="Arial"/>
          <w:bCs/>
          <w:snapToGrid w:val="0"/>
          <w:sz w:val="22"/>
          <w:szCs w:val="22"/>
          <w:lang w:val="en-GB"/>
        </w:rPr>
        <w:t xml:space="preserve"> to minimise wastage, as patients will be able to access a second script if required. </w:t>
      </w:r>
    </w:p>
    <w:p w:rsidR="00150A47" w:rsidRDefault="00150A47" w:rsidP="00043B55">
      <w:pPr>
        <w:pStyle w:val="ListParagraph"/>
        <w:widowControl/>
        <w:rPr>
          <w:bCs/>
          <w:szCs w:val="22"/>
          <w:lang w:val="en-GB"/>
        </w:rPr>
      </w:pPr>
    </w:p>
    <w:p w:rsidR="0042363D" w:rsidRPr="00AA654E" w:rsidRDefault="007F22F0" w:rsidP="00043B55">
      <w:pPr>
        <w:numPr>
          <w:ilvl w:val="1"/>
          <w:numId w:val="5"/>
        </w:numPr>
        <w:contextualSpacing/>
        <w:jc w:val="both"/>
        <w:rPr>
          <w:rFonts w:ascii="Arial" w:hAnsi="Arial" w:cs="Arial"/>
          <w:bCs/>
          <w:snapToGrid w:val="0"/>
          <w:sz w:val="22"/>
          <w:szCs w:val="22"/>
          <w:lang w:val="en-GB"/>
        </w:rPr>
      </w:pPr>
      <w:r w:rsidRPr="00A66031">
        <w:rPr>
          <w:rFonts w:ascii="Arial" w:hAnsi="Arial" w:cs="Arial"/>
          <w:bCs/>
          <w:snapToGrid w:val="0"/>
          <w:sz w:val="22"/>
          <w:szCs w:val="22"/>
          <w:lang w:val="en-GB"/>
        </w:rPr>
        <w:t xml:space="preserve">The PBAC </w:t>
      </w:r>
      <w:r w:rsidR="00F24224">
        <w:rPr>
          <w:rFonts w:ascii="Arial" w:hAnsi="Arial" w:cs="Arial"/>
          <w:bCs/>
          <w:snapToGrid w:val="0"/>
          <w:sz w:val="22"/>
          <w:szCs w:val="22"/>
          <w:lang w:val="en-GB"/>
        </w:rPr>
        <w:t>considered</w:t>
      </w:r>
      <w:r w:rsidRPr="00A66031">
        <w:rPr>
          <w:rFonts w:ascii="Arial" w:hAnsi="Arial" w:cs="Arial"/>
          <w:bCs/>
          <w:snapToGrid w:val="0"/>
          <w:sz w:val="22"/>
          <w:szCs w:val="22"/>
          <w:lang w:val="en-GB"/>
        </w:rPr>
        <w:t xml:space="preserve"> that the resubmission </w:t>
      </w:r>
      <w:r w:rsidR="0042363D" w:rsidRPr="00A66031">
        <w:rPr>
          <w:rFonts w:ascii="Arial" w:hAnsi="Arial" w:cs="Arial"/>
          <w:bCs/>
          <w:snapToGrid w:val="0"/>
          <w:sz w:val="22"/>
          <w:szCs w:val="22"/>
          <w:lang w:val="en-GB"/>
        </w:rPr>
        <w:t>did not adeq</w:t>
      </w:r>
      <w:r w:rsidR="0042363D" w:rsidRPr="000A31CD">
        <w:rPr>
          <w:rFonts w:ascii="Arial" w:hAnsi="Arial" w:cs="Arial"/>
          <w:bCs/>
          <w:snapToGrid w:val="0"/>
          <w:sz w:val="22"/>
          <w:szCs w:val="22"/>
          <w:lang w:val="en-GB"/>
        </w:rPr>
        <w:t>uately address</w:t>
      </w:r>
      <w:r w:rsidR="003C33DB" w:rsidRPr="000A31CD">
        <w:rPr>
          <w:rFonts w:ascii="Arial" w:hAnsi="Arial" w:cs="Arial"/>
          <w:bCs/>
          <w:snapToGrid w:val="0"/>
          <w:sz w:val="22"/>
          <w:szCs w:val="22"/>
          <w:lang w:val="en-GB"/>
        </w:rPr>
        <w:t xml:space="preserve"> the </w:t>
      </w:r>
      <w:r w:rsidR="003C33DB" w:rsidRPr="00C66BF7">
        <w:rPr>
          <w:rFonts w:ascii="Arial" w:hAnsi="Arial" w:cs="Arial"/>
          <w:bCs/>
          <w:snapToGrid w:val="0"/>
          <w:sz w:val="22"/>
          <w:szCs w:val="22"/>
          <w:lang w:val="en-GB"/>
        </w:rPr>
        <w:t>issues</w:t>
      </w:r>
      <w:r w:rsidR="003C33DB" w:rsidRPr="008B470F">
        <w:rPr>
          <w:rFonts w:ascii="Arial" w:hAnsi="Arial" w:cs="Arial"/>
          <w:bCs/>
          <w:snapToGrid w:val="0"/>
          <w:sz w:val="22"/>
          <w:szCs w:val="22"/>
          <w:lang w:val="en-GB"/>
        </w:rPr>
        <w:t xml:space="preserve"> </w:t>
      </w:r>
      <w:r w:rsidR="0042363D" w:rsidRPr="00A66031">
        <w:rPr>
          <w:rFonts w:ascii="Arial" w:hAnsi="Arial" w:cs="Arial"/>
          <w:bCs/>
          <w:snapToGrid w:val="0"/>
          <w:sz w:val="22"/>
          <w:szCs w:val="22"/>
          <w:lang w:val="en-GB"/>
        </w:rPr>
        <w:t xml:space="preserve">outlined in the March 2016 submission. </w:t>
      </w:r>
      <w:r w:rsidR="00161B64">
        <w:rPr>
          <w:rFonts w:ascii="Arial" w:hAnsi="Arial" w:cs="Arial"/>
          <w:bCs/>
          <w:snapToGrid w:val="0"/>
          <w:sz w:val="22"/>
          <w:szCs w:val="22"/>
          <w:lang w:val="en-GB"/>
        </w:rPr>
        <w:t>The PBAC reiterated its advice from March 2016 that</w:t>
      </w:r>
      <w:r w:rsidR="00883BDF">
        <w:rPr>
          <w:rFonts w:ascii="Arial" w:hAnsi="Arial" w:cs="Arial"/>
          <w:bCs/>
          <w:snapToGrid w:val="0"/>
          <w:sz w:val="22"/>
          <w:szCs w:val="22"/>
          <w:lang w:val="en-GB"/>
        </w:rPr>
        <w:t>,</w:t>
      </w:r>
      <w:r w:rsidR="00161B64">
        <w:rPr>
          <w:rFonts w:ascii="Arial" w:hAnsi="Arial" w:cs="Arial"/>
          <w:bCs/>
          <w:snapToGrid w:val="0"/>
          <w:sz w:val="22"/>
          <w:szCs w:val="22"/>
          <w:lang w:val="en-GB"/>
        </w:rPr>
        <w:t xml:space="preserve"> should the spon</w:t>
      </w:r>
      <w:r w:rsidR="006C4D02">
        <w:rPr>
          <w:rFonts w:ascii="Arial" w:hAnsi="Arial" w:cs="Arial"/>
          <w:bCs/>
          <w:snapToGrid w:val="0"/>
          <w:sz w:val="22"/>
          <w:szCs w:val="22"/>
          <w:lang w:val="en-GB"/>
        </w:rPr>
        <w:t>sor wish to make a resubmission</w:t>
      </w:r>
      <w:r w:rsidR="00161B64">
        <w:rPr>
          <w:rFonts w:ascii="Arial" w:hAnsi="Arial" w:cs="Arial"/>
          <w:bCs/>
          <w:snapToGrid w:val="0"/>
          <w:sz w:val="22"/>
          <w:szCs w:val="22"/>
          <w:lang w:val="en-GB"/>
        </w:rPr>
        <w:t xml:space="preserve"> in the absence of new clinical data, the sponsor could propose a claim of inferior comparative effectiveness to follitropin alfa and provide appropriately adjusted estimates of cost-effectiveness.</w:t>
      </w:r>
      <w:r w:rsidR="006C4D02">
        <w:rPr>
          <w:rFonts w:ascii="Arial" w:hAnsi="Arial" w:cs="Arial"/>
          <w:bCs/>
          <w:snapToGrid w:val="0"/>
          <w:sz w:val="22"/>
          <w:szCs w:val="22"/>
          <w:lang w:val="en-GB"/>
        </w:rPr>
        <w:t xml:space="preserve"> </w:t>
      </w:r>
    </w:p>
    <w:p w:rsidR="00A66031" w:rsidRPr="00A66031" w:rsidRDefault="00A66031" w:rsidP="00043B55">
      <w:pPr>
        <w:contextualSpacing/>
        <w:jc w:val="both"/>
        <w:rPr>
          <w:rFonts w:ascii="Arial" w:hAnsi="Arial" w:cs="Arial"/>
          <w:bCs/>
          <w:snapToGrid w:val="0"/>
          <w:sz w:val="22"/>
          <w:szCs w:val="22"/>
          <w:lang w:val="en-GB"/>
        </w:rPr>
      </w:pPr>
    </w:p>
    <w:p w:rsidR="00D207A1" w:rsidRPr="00D207A1" w:rsidRDefault="00D207A1" w:rsidP="00043B55">
      <w:pPr>
        <w:numPr>
          <w:ilvl w:val="1"/>
          <w:numId w:val="5"/>
        </w:numPr>
        <w:contextualSpacing/>
        <w:jc w:val="both"/>
        <w:rPr>
          <w:rFonts w:ascii="Arial" w:hAnsi="Arial" w:cs="Arial"/>
          <w:b/>
          <w:bCs/>
          <w:snapToGrid w:val="0"/>
          <w:sz w:val="22"/>
          <w:szCs w:val="22"/>
          <w:lang w:val="en-GB"/>
        </w:rPr>
      </w:pPr>
      <w:r w:rsidRPr="00D207A1">
        <w:rPr>
          <w:rFonts w:ascii="Arial" w:hAnsi="Arial" w:cs="Arial"/>
          <w:bCs/>
          <w:snapToGrid w:val="0"/>
          <w:sz w:val="22"/>
          <w:szCs w:val="22"/>
          <w:lang w:val="en-GB"/>
        </w:rPr>
        <w:t>The PBAC noted th</w:t>
      </w:r>
      <w:r>
        <w:rPr>
          <w:rFonts w:ascii="Arial" w:hAnsi="Arial" w:cs="Arial"/>
          <w:bCs/>
          <w:snapToGrid w:val="0"/>
          <w:sz w:val="22"/>
          <w:szCs w:val="22"/>
          <w:lang w:val="en-GB"/>
        </w:rPr>
        <w:t xml:space="preserve">at this submission is </w:t>
      </w:r>
      <w:r w:rsidR="001A2520">
        <w:rPr>
          <w:rFonts w:ascii="Arial" w:hAnsi="Arial" w:cs="Arial"/>
          <w:bCs/>
          <w:snapToGrid w:val="0"/>
          <w:sz w:val="22"/>
          <w:szCs w:val="22"/>
          <w:lang w:val="en-GB"/>
        </w:rPr>
        <w:t>eligible for an Independent Review</w:t>
      </w:r>
      <w:r w:rsidRPr="00D207A1">
        <w:rPr>
          <w:rFonts w:ascii="Arial" w:hAnsi="Arial" w:cs="Arial"/>
          <w:bCs/>
          <w:snapToGrid w:val="0"/>
          <w:sz w:val="22"/>
          <w:szCs w:val="22"/>
          <w:lang w:val="en-GB"/>
        </w:rPr>
        <w:t xml:space="preserve">. </w:t>
      </w:r>
    </w:p>
    <w:p w:rsidR="006906B6" w:rsidRDefault="006906B6" w:rsidP="00043B55">
      <w:pPr>
        <w:jc w:val="both"/>
        <w:rPr>
          <w:rFonts w:ascii="Arial" w:hAnsi="Arial" w:cs="Arial"/>
          <w:b/>
          <w:bCs/>
          <w:snapToGrid w:val="0"/>
          <w:sz w:val="22"/>
          <w:szCs w:val="22"/>
          <w:lang w:val="en-GB"/>
        </w:rPr>
      </w:pPr>
    </w:p>
    <w:p w:rsidR="007E568F" w:rsidRPr="000638CC" w:rsidRDefault="007E568F" w:rsidP="00C64B59">
      <w:pPr>
        <w:ind w:left="709"/>
        <w:jc w:val="both"/>
        <w:rPr>
          <w:rFonts w:ascii="Arial" w:hAnsi="Arial" w:cs="Arial"/>
          <w:b/>
          <w:bCs/>
          <w:snapToGrid w:val="0"/>
          <w:sz w:val="22"/>
          <w:szCs w:val="22"/>
          <w:lang w:val="en-GB"/>
        </w:rPr>
      </w:pPr>
      <w:r w:rsidRPr="000638CC">
        <w:rPr>
          <w:rFonts w:ascii="Arial" w:hAnsi="Arial" w:cs="Arial"/>
          <w:b/>
          <w:bCs/>
          <w:snapToGrid w:val="0"/>
          <w:sz w:val="22"/>
          <w:szCs w:val="22"/>
          <w:lang w:val="en-GB"/>
        </w:rPr>
        <w:t>Outcome:</w:t>
      </w:r>
    </w:p>
    <w:p w:rsidR="00317F1D" w:rsidRDefault="004B7D4C" w:rsidP="00C64B59">
      <w:pPr>
        <w:ind w:left="709"/>
        <w:jc w:val="both"/>
        <w:rPr>
          <w:rFonts w:ascii="Arial" w:hAnsi="Arial" w:cs="Arial"/>
          <w:bCs/>
          <w:snapToGrid w:val="0"/>
          <w:sz w:val="22"/>
          <w:szCs w:val="22"/>
          <w:lang w:val="en-GB"/>
        </w:rPr>
      </w:pPr>
      <w:r>
        <w:rPr>
          <w:rFonts w:ascii="Arial" w:hAnsi="Arial" w:cs="Arial"/>
          <w:bCs/>
          <w:snapToGrid w:val="0"/>
          <w:sz w:val="22"/>
          <w:szCs w:val="22"/>
          <w:lang w:val="en-GB"/>
        </w:rPr>
        <w:t>Rejected</w:t>
      </w:r>
    </w:p>
    <w:p w:rsidR="00A70626" w:rsidRDefault="00A70626" w:rsidP="00043B55">
      <w:pPr>
        <w:keepNext/>
        <w:spacing w:line="276" w:lineRule="auto"/>
        <w:rPr>
          <w:rFonts w:ascii="Arial" w:hAnsi="Arial" w:cs="Arial"/>
          <w:color w:val="000000"/>
          <w:sz w:val="22"/>
          <w:szCs w:val="22"/>
        </w:rPr>
      </w:pPr>
    </w:p>
    <w:p w:rsidR="00374F40" w:rsidRDefault="00374F40" w:rsidP="00043B55">
      <w:pPr>
        <w:keepNext/>
        <w:spacing w:line="276" w:lineRule="auto"/>
        <w:rPr>
          <w:rFonts w:ascii="Arial" w:hAnsi="Arial" w:cs="Arial"/>
          <w:color w:val="000000"/>
          <w:sz w:val="22"/>
          <w:szCs w:val="22"/>
        </w:rPr>
      </w:pPr>
    </w:p>
    <w:p w:rsidR="00374F40" w:rsidRPr="00374F40" w:rsidRDefault="00374F40" w:rsidP="00374F40">
      <w:pPr>
        <w:widowControl w:val="0"/>
        <w:numPr>
          <w:ilvl w:val="0"/>
          <w:numId w:val="5"/>
        </w:numPr>
        <w:jc w:val="both"/>
        <w:outlineLvl w:val="0"/>
        <w:rPr>
          <w:rFonts w:ascii="Arial" w:hAnsi="Arial" w:cs="Arial"/>
          <w:b/>
          <w:snapToGrid w:val="0"/>
          <w:sz w:val="22"/>
          <w:szCs w:val="22"/>
          <w:lang w:eastAsia="en-US"/>
        </w:rPr>
      </w:pPr>
      <w:r w:rsidRPr="00374F40">
        <w:rPr>
          <w:rFonts w:ascii="Arial" w:hAnsi="Arial" w:cs="Arial"/>
          <w:b/>
          <w:snapToGrid w:val="0"/>
          <w:sz w:val="22"/>
          <w:szCs w:val="22"/>
          <w:lang w:eastAsia="en-US"/>
        </w:rPr>
        <w:t>Context for Decision</w:t>
      </w:r>
    </w:p>
    <w:p w:rsidR="00374F40" w:rsidRPr="00374F40" w:rsidRDefault="00374F40" w:rsidP="00374F40">
      <w:pPr>
        <w:widowControl w:val="0"/>
        <w:ind w:left="426"/>
        <w:jc w:val="both"/>
        <w:rPr>
          <w:rFonts w:ascii="Arial" w:hAnsi="Arial" w:cs="Arial"/>
          <w:snapToGrid w:val="0"/>
          <w:sz w:val="22"/>
          <w:szCs w:val="20"/>
          <w:lang w:eastAsia="en-US"/>
        </w:rPr>
      </w:pPr>
    </w:p>
    <w:p w:rsidR="00374F40" w:rsidRPr="00374F40" w:rsidRDefault="00374F40" w:rsidP="00374F40">
      <w:pPr>
        <w:widowControl w:val="0"/>
        <w:ind w:left="709"/>
        <w:jc w:val="both"/>
        <w:rPr>
          <w:rFonts w:ascii="Arial" w:hAnsi="Arial" w:cs="Arial"/>
          <w:snapToGrid w:val="0"/>
          <w:sz w:val="22"/>
          <w:szCs w:val="20"/>
          <w:lang w:eastAsia="en-US"/>
        </w:rPr>
      </w:pPr>
      <w:r w:rsidRPr="00374F40">
        <w:rPr>
          <w:rFonts w:ascii="Arial" w:hAnsi="Arial" w:cs="Arial"/>
          <w:snapToGrid w:val="0"/>
          <w:sz w:val="22"/>
          <w:szCs w:val="20"/>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374F40" w:rsidRPr="00374F40" w:rsidRDefault="00374F40" w:rsidP="00374F40">
      <w:pPr>
        <w:widowControl w:val="0"/>
        <w:ind w:left="426"/>
        <w:jc w:val="both"/>
        <w:rPr>
          <w:rFonts w:ascii="Arial" w:hAnsi="Arial" w:cs="Arial"/>
          <w:snapToGrid w:val="0"/>
          <w:sz w:val="22"/>
          <w:szCs w:val="20"/>
          <w:lang w:eastAsia="en-US"/>
        </w:rPr>
      </w:pPr>
    </w:p>
    <w:p w:rsidR="00374F40" w:rsidRPr="00374F40" w:rsidRDefault="00374F40" w:rsidP="00374F40">
      <w:pPr>
        <w:widowControl w:val="0"/>
        <w:numPr>
          <w:ilvl w:val="0"/>
          <w:numId w:val="5"/>
        </w:numPr>
        <w:jc w:val="both"/>
        <w:outlineLvl w:val="0"/>
        <w:rPr>
          <w:rFonts w:ascii="Arial" w:hAnsi="Arial" w:cs="Arial"/>
          <w:b/>
          <w:snapToGrid w:val="0"/>
          <w:sz w:val="22"/>
          <w:szCs w:val="22"/>
          <w:lang w:eastAsia="en-US"/>
        </w:rPr>
      </w:pPr>
      <w:r w:rsidRPr="00374F40">
        <w:rPr>
          <w:rFonts w:ascii="Arial" w:hAnsi="Arial" w:cs="Arial"/>
          <w:b/>
          <w:snapToGrid w:val="0"/>
          <w:sz w:val="22"/>
          <w:szCs w:val="22"/>
          <w:lang w:eastAsia="en-US"/>
        </w:rPr>
        <w:t>Sponsor’s Comment</w:t>
      </w:r>
    </w:p>
    <w:p w:rsidR="00374F40" w:rsidRPr="00374F40" w:rsidRDefault="00374F40" w:rsidP="00374F40">
      <w:pPr>
        <w:widowControl w:val="0"/>
        <w:ind w:left="426"/>
        <w:jc w:val="both"/>
        <w:rPr>
          <w:rFonts w:ascii="Arial" w:hAnsi="Arial" w:cs="Arial"/>
          <w:bCs/>
          <w:snapToGrid w:val="0"/>
          <w:sz w:val="22"/>
          <w:szCs w:val="20"/>
          <w:highlight w:val="yellow"/>
          <w:lang w:val="en-GB" w:eastAsia="en-US"/>
        </w:rPr>
      </w:pPr>
    </w:p>
    <w:p w:rsidR="00B3747C" w:rsidRPr="00374F40" w:rsidRDefault="00B3747C" w:rsidP="00B3747C">
      <w:pPr>
        <w:widowControl w:val="0"/>
        <w:spacing w:after="120"/>
        <w:ind w:left="709"/>
        <w:jc w:val="both"/>
        <w:rPr>
          <w:rFonts w:ascii="Arial" w:hAnsi="Arial" w:cs="Arial"/>
          <w:bCs/>
          <w:snapToGrid w:val="0"/>
          <w:sz w:val="22"/>
          <w:szCs w:val="20"/>
          <w:lang w:eastAsia="en-US"/>
        </w:rPr>
      </w:pPr>
      <w:r>
        <w:rPr>
          <w:rFonts w:ascii="Arial" w:hAnsi="Arial" w:cs="Arial"/>
          <w:bCs/>
          <w:snapToGrid w:val="0"/>
          <w:sz w:val="22"/>
          <w:szCs w:val="20"/>
          <w:lang w:eastAsia="en-US"/>
        </w:rPr>
        <w:t>Ferring is disappointed with this PBAC decision however we will continue to work with physicians, patients and the PBAC to find a way to make ovulation induction with MENOPUR available on the PBS as a treatment option for patients with anovulatory infertility.</w:t>
      </w:r>
    </w:p>
    <w:p w:rsidR="00374F40" w:rsidRDefault="00374F40" w:rsidP="00043B55">
      <w:pPr>
        <w:keepNext/>
        <w:spacing w:line="276" w:lineRule="auto"/>
        <w:rPr>
          <w:rFonts w:ascii="Arial" w:hAnsi="Arial" w:cs="Arial"/>
          <w:color w:val="000000"/>
          <w:sz w:val="22"/>
          <w:szCs w:val="22"/>
        </w:rPr>
      </w:pPr>
    </w:p>
    <w:sectPr w:rsidR="00374F40"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DF8" w:rsidRDefault="00E73DF8">
      <w:r>
        <w:separator/>
      </w:r>
    </w:p>
    <w:p w:rsidR="00E73DF8" w:rsidRDefault="00E73DF8"/>
  </w:endnote>
  <w:endnote w:type="continuationSeparator" w:id="0">
    <w:p w:rsidR="00E73DF8" w:rsidRDefault="00E73DF8">
      <w:r>
        <w:continuationSeparator/>
      </w:r>
    </w:p>
    <w:p w:rsidR="00E73DF8" w:rsidRDefault="00E73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A4D46" w:rsidTr="005A3173">
      <w:trPr>
        <w:trHeight w:val="151"/>
      </w:trPr>
      <w:tc>
        <w:tcPr>
          <w:tcW w:w="2250" w:type="pct"/>
          <w:tcBorders>
            <w:top w:val="nil"/>
            <w:left w:val="nil"/>
            <w:bottom w:val="single" w:sz="4" w:space="0" w:color="4F81BD"/>
            <w:right w:val="nil"/>
          </w:tcBorders>
        </w:tcPr>
        <w:p w:rsidR="00FA4D46" w:rsidRPr="005A3173" w:rsidRDefault="00FA4D46"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A4D46" w:rsidRPr="005A3173" w:rsidRDefault="00FA4D46"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A4D46" w:rsidRPr="005A3173" w:rsidRDefault="00FA4D46" w:rsidP="005A3173">
          <w:pPr>
            <w:pStyle w:val="Header"/>
            <w:spacing w:line="276" w:lineRule="auto"/>
            <w:rPr>
              <w:rFonts w:ascii="Calibri" w:eastAsia="MS Gothic" w:hAnsi="Calibri"/>
              <w:b/>
              <w:bCs/>
              <w:color w:val="4F81BD"/>
            </w:rPr>
          </w:pPr>
        </w:p>
      </w:tc>
    </w:tr>
    <w:tr w:rsidR="00FA4D46" w:rsidTr="005A3173">
      <w:trPr>
        <w:trHeight w:val="150"/>
      </w:trPr>
      <w:tc>
        <w:tcPr>
          <w:tcW w:w="2250" w:type="pct"/>
          <w:tcBorders>
            <w:top w:val="single" w:sz="4" w:space="0" w:color="4F81BD"/>
            <w:left w:val="nil"/>
            <w:bottom w:val="nil"/>
            <w:right w:val="nil"/>
          </w:tcBorders>
        </w:tcPr>
        <w:p w:rsidR="00FA4D46" w:rsidRPr="005A3173" w:rsidRDefault="00FA4D46" w:rsidP="005A3173">
          <w:pPr>
            <w:pStyle w:val="Header"/>
            <w:spacing w:line="276" w:lineRule="auto"/>
            <w:rPr>
              <w:rFonts w:ascii="Calibri" w:eastAsia="MS Gothic" w:hAnsi="Calibri"/>
              <w:b/>
              <w:bCs/>
              <w:color w:val="4F81BD"/>
            </w:rPr>
          </w:pPr>
        </w:p>
      </w:tc>
      <w:tc>
        <w:tcPr>
          <w:tcW w:w="0" w:type="auto"/>
          <w:vMerge/>
          <w:vAlign w:val="center"/>
          <w:hideMark/>
        </w:tcPr>
        <w:p w:rsidR="00FA4D46" w:rsidRPr="005A3173" w:rsidRDefault="00FA4D46" w:rsidP="005A3173">
          <w:pPr>
            <w:rPr>
              <w:rFonts w:ascii="Calibri" w:hAnsi="Calibri"/>
              <w:color w:val="365F91"/>
              <w:sz w:val="22"/>
              <w:szCs w:val="22"/>
            </w:rPr>
          </w:pPr>
        </w:p>
      </w:tc>
      <w:tc>
        <w:tcPr>
          <w:tcW w:w="2250" w:type="pct"/>
          <w:tcBorders>
            <w:top w:val="single" w:sz="4" w:space="0" w:color="4F81BD"/>
            <w:left w:val="nil"/>
            <w:bottom w:val="nil"/>
            <w:right w:val="nil"/>
          </w:tcBorders>
        </w:tcPr>
        <w:p w:rsidR="00FA4D46" w:rsidRPr="005A3173" w:rsidRDefault="00FA4D46" w:rsidP="005A3173">
          <w:pPr>
            <w:pStyle w:val="Header"/>
            <w:spacing w:line="276" w:lineRule="auto"/>
            <w:rPr>
              <w:rFonts w:ascii="Calibri" w:eastAsia="MS Gothic" w:hAnsi="Calibri"/>
              <w:b/>
              <w:bCs/>
              <w:color w:val="4F81BD"/>
            </w:rPr>
          </w:pPr>
        </w:p>
      </w:tc>
    </w:tr>
  </w:tbl>
  <w:p w:rsidR="00FA4D46" w:rsidRDefault="00FA4D46"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A4D46" w:rsidRDefault="00FA4D46">
    <w:pPr>
      <w:pStyle w:val="Footer"/>
    </w:pPr>
  </w:p>
  <w:p w:rsidR="00FA4D46" w:rsidRDefault="00FA4D4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995204"/>
      <w:docPartObj>
        <w:docPartGallery w:val="Page Numbers (Bottom of Page)"/>
        <w:docPartUnique/>
      </w:docPartObj>
    </w:sdtPr>
    <w:sdtEndPr>
      <w:rPr>
        <w:rFonts w:ascii="Arial" w:hAnsi="Arial" w:cs="Arial"/>
        <w:noProof/>
        <w:sz w:val="20"/>
        <w:szCs w:val="20"/>
      </w:rPr>
    </w:sdtEndPr>
    <w:sdtContent>
      <w:p w:rsidR="00F033A0" w:rsidRDefault="00F033A0" w:rsidP="00F033A0">
        <w:pPr>
          <w:pStyle w:val="Footer"/>
          <w:jc w:val="center"/>
        </w:pPr>
      </w:p>
      <w:p w:rsidR="00FA4D46" w:rsidRPr="00F033A0" w:rsidRDefault="00FA4D46" w:rsidP="00F033A0">
        <w:pPr>
          <w:pStyle w:val="Footer"/>
          <w:jc w:val="center"/>
          <w:rPr>
            <w:rFonts w:ascii="Arial" w:hAnsi="Arial" w:cs="Arial"/>
            <w:sz w:val="20"/>
            <w:szCs w:val="20"/>
          </w:rPr>
        </w:pPr>
        <w:r w:rsidRPr="00B32E35">
          <w:rPr>
            <w:rFonts w:ascii="Arial" w:hAnsi="Arial" w:cs="Arial"/>
            <w:sz w:val="20"/>
            <w:szCs w:val="20"/>
          </w:rPr>
          <w:fldChar w:fldCharType="begin"/>
        </w:r>
        <w:r w:rsidRPr="00B32E35">
          <w:rPr>
            <w:rFonts w:ascii="Arial" w:hAnsi="Arial" w:cs="Arial"/>
            <w:sz w:val="20"/>
            <w:szCs w:val="20"/>
          </w:rPr>
          <w:instrText xml:space="preserve"> PAGE   \* MERGEFORMAT </w:instrText>
        </w:r>
        <w:r w:rsidRPr="00B32E35">
          <w:rPr>
            <w:rFonts w:ascii="Arial" w:hAnsi="Arial" w:cs="Arial"/>
            <w:sz w:val="20"/>
            <w:szCs w:val="20"/>
          </w:rPr>
          <w:fldChar w:fldCharType="separate"/>
        </w:r>
        <w:r w:rsidR="00340FD3">
          <w:rPr>
            <w:rFonts w:ascii="Arial" w:hAnsi="Arial" w:cs="Arial"/>
            <w:noProof/>
            <w:sz w:val="20"/>
            <w:szCs w:val="20"/>
          </w:rPr>
          <w:t>1</w:t>
        </w:r>
        <w:r w:rsidRPr="00B32E35">
          <w:rPr>
            <w:rFonts w:ascii="Arial" w:hAnsi="Arial" w:cs="Arial"/>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FA4D46" w:rsidTr="005A3173">
      <w:trPr>
        <w:trHeight w:val="151"/>
      </w:trPr>
      <w:tc>
        <w:tcPr>
          <w:tcW w:w="2250" w:type="pct"/>
          <w:tcBorders>
            <w:top w:val="nil"/>
            <w:left w:val="nil"/>
            <w:bottom w:val="single" w:sz="4" w:space="0" w:color="4F81BD"/>
            <w:right w:val="nil"/>
          </w:tcBorders>
        </w:tcPr>
        <w:p w:rsidR="00FA4D46" w:rsidRPr="005A3173" w:rsidRDefault="00FA4D46"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A4D46" w:rsidRPr="005A3173" w:rsidRDefault="00FA4D46"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A4D46" w:rsidRPr="005A3173" w:rsidRDefault="00FA4D46" w:rsidP="005A3173">
          <w:pPr>
            <w:pStyle w:val="Header"/>
            <w:spacing w:line="276" w:lineRule="auto"/>
            <w:rPr>
              <w:rFonts w:ascii="Calibri" w:eastAsia="MS Gothic" w:hAnsi="Calibri"/>
              <w:b/>
              <w:bCs/>
              <w:color w:val="4F81BD"/>
            </w:rPr>
          </w:pPr>
        </w:p>
      </w:tc>
    </w:tr>
    <w:tr w:rsidR="00FA4D46" w:rsidTr="005A3173">
      <w:trPr>
        <w:trHeight w:val="150"/>
      </w:trPr>
      <w:tc>
        <w:tcPr>
          <w:tcW w:w="2250" w:type="pct"/>
          <w:tcBorders>
            <w:top w:val="single" w:sz="4" w:space="0" w:color="4F81BD"/>
            <w:left w:val="nil"/>
            <w:bottom w:val="nil"/>
            <w:right w:val="nil"/>
          </w:tcBorders>
        </w:tcPr>
        <w:p w:rsidR="00FA4D46" w:rsidRPr="005A3173" w:rsidRDefault="00FA4D46" w:rsidP="005A3173">
          <w:pPr>
            <w:pStyle w:val="Header"/>
            <w:spacing w:line="276" w:lineRule="auto"/>
            <w:rPr>
              <w:rFonts w:ascii="Calibri" w:eastAsia="MS Gothic" w:hAnsi="Calibri"/>
              <w:b/>
              <w:bCs/>
              <w:color w:val="4F81BD"/>
            </w:rPr>
          </w:pPr>
        </w:p>
      </w:tc>
      <w:tc>
        <w:tcPr>
          <w:tcW w:w="0" w:type="auto"/>
          <w:vMerge/>
          <w:vAlign w:val="center"/>
          <w:hideMark/>
        </w:tcPr>
        <w:p w:rsidR="00FA4D46" w:rsidRPr="005A3173" w:rsidRDefault="00FA4D46" w:rsidP="005A3173">
          <w:pPr>
            <w:rPr>
              <w:rFonts w:ascii="Calibri" w:hAnsi="Calibri"/>
              <w:color w:val="365F91"/>
              <w:sz w:val="22"/>
              <w:szCs w:val="22"/>
            </w:rPr>
          </w:pPr>
        </w:p>
      </w:tc>
      <w:tc>
        <w:tcPr>
          <w:tcW w:w="2250" w:type="pct"/>
          <w:tcBorders>
            <w:top w:val="single" w:sz="4" w:space="0" w:color="4F81BD"/>
            <w:left w:val="nil"/>
            <w:bottom w:val="nil"/>
            <w:right w:val="nil"/>
          </w:tcBorders>
        </w:tcPr>
        <w:p w:rsidR="00FA4D46" w:rsidRPr="005A3173" w:rsidRDefault="00FA4D46"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A4D46" w:rsidTr="005A3173">
      <w:trPr>
        <w:trHeight w:val="151"/>
      </w:trPr>
      <w:tc>
        <w:tcPr>
          <w:tcW w:w="2250" w:type="pct"/>
          <w:tcBorders>
            <w:top w:val="nil"/>
            <w:left w:val="nil"/>
            <w:bottom w:val="single" w:sz="4" w:space="0" w:color="4F81BD"/>
            <w:right w:val="nil"/>
          </w:tcBorders>
        </w:tcPr>
        <w:p w:rsidR="00FA4D46" w:rsidRPr="005A3173" w:rsidRDefault="00FA4D46"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A4D46" w:rsidRPr="005A3173" w:rsidRDefault="00FA4D46"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A4D46" w:rsidRPr="005A3173" w:rsidRDefault="00FA4D46" w:rsidP="005A3173">
          <w:pPr>
            <w:pStyle w:val="Header"/>
            <w:spacing w:line="276" w:lineRule="auto"/>
            <w:rPr>
              <w:rFonts w:ascii="Calibri" w:eastAsia="MS Gothic" w:hAnsi="Calibri"/>
              <w:b/>
              <w:bCs/>
              <w:color w:val="4F81BD"/>
            </w:rPr>
          </w:pPr>
        </w:p>
      </w:tc>
    </w:tr>
    <w:tr w:rsidR="00FA4D46" w:rsidTr="005A3173">
      <w:trPr>
        <w:trHeight w:val="150"/>
      </w:trPr>
      <w:tc>
        <w:tcPr>
          <w:tcW w:w="2250" w:type="pct"/>
          <w:tcBorders>
            <w:top w:val="single" w:sz="4" w:space="0" w:color="4F81BD"/>
            <w:left w:val="nil"/>
            <w:bottom w:val="nil"/>
            <w:right w:val="nil"/>
          </w:tcBorders>
        </w:tcPr>
        <w:p w:rsidR="00FA4D46" w:rsidRPr="005A3173" w:rsidRDefault="00FA4D46" w:rsidP="005A3173">
          <w:pPr>
            <w:pStyle w:val="Header"/>
            <w:spacing w:line="276" w:lineRule="auto"/>
            <w:rPr>
              <w:rFonts w:ascii="Calibri" w:eastAsia="MS Gothic" w:hAnsi="Calibri"/>
              <w:b/>
              <w:bCs/>
              <w:color w:val="4F81BD"/>
            </w:rPr>
          </w:pPr>
        </w:p>
      </w:tc>
      <w:tc>
        <w:tcPr>
          <w:tcW w:w="0" w:type="auto"/>
          <w:vMerge/>
          <w:vAlign w:val="center"/>
          <w:hideMark/>
        </w:tcPr>
        <w:p w:rsidR="00FA4D46" w:rsidRPr="005A3173" w:rsidRDefault="00FA4D46" w:rsidP="005A3173">
          <w:pPr>
            <w:rPr>
              <w:rFonts w:ascii="Calibri" w:hAnsi="Calibri"/>
              <w:color w:val="365F91"/>
              <w:sz w:val="22"/>
              <w:szCs w:val="22"/>
            </w:rPr>
          </w:pPr>
        </w:p>
      </w:tc>
      <w:tc>
        <w:tcPr>
          <w:tcW w:w="2250" w:type="pct"/>
          <w:tcBorders>
            <w:top w:val="single" w:sz="4" w:space="0" w:color="4F81BD"/>
            <w:left w:val="nil"/>
            <w:bottom w:val="nil"/>
            <w:right w:val="nil"/>
          </w:tcBorders>
        </w:tcPr>
        <w:p w:rsidR="00FA4D46" w:rsidRPr="005A3173" w:rsidRDefault="00FA4D46" w:rsidP="005A3173">
          <w:pPr>
            <w:pStyle w:val="Header"/>
            <w:spacing w:line="276" w:lineRule="auto"/>
            <w:rPr>
              <w:rFonts w:ascii="Calibri" w:eastAsia="MS Gothic" w:hAnsi="Calibri"/>
              <w:b/>
              <w:bCs/>
              <w:color w:val="4F81BD"/>
            </w:rPr>
          </w:pPr>
        </w:p>
      </w:tc>
    </w:tr>
  </w:tbl>
  <w:p w:rsidR="00FA4D46" w:rsidRPr="007C0F57" w:rsidRDefault="00FA4D46"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FA4D46" w:rsidRPr="007C0F57" w:rsidRDefault="00FA4D46" w:rsidP="007C0F57">
    <w:pPr>
      <w:pStyle w:val="Footer"/>
      <w:jc w:val="center"/>
      <w:rPr>
        <w:b/>
        <w:i/>
        <w:sz w:val="20"/>
        <w:szCs w:val="20"/>
      </w:rPr>
    </w:pPr>
    <w:r w:rsidRPr="007C0F57">
      <w:rPr>
        <w:b/>
        <w:i/>
        <w:sz w:val="20"/>
        <w:szCs w:val="20"/>
      </w:rPr>
      <w:t>Commercial-in-Confidence</w:t>
    </w:r>
  </w:p>
  <w:p w:rsidR="00FA4D46" w:rsidRDefault="00FA4D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DF8" w:rsidRDefault="00E73DF8">
      <w:r>
        <w:separator/>
      </w:r>
    </w:p>
    <w:p w:rsidR="00E73DF8" w:rsidRDefault="00E73DF8"/>
  </w:footnote>
  <w:footnote w:type="continuationSeparator" w:id="0">
    <w:p w:rsidR="00E73DF8" w:rsidRDefault="00E73DF8">
      <w:r>
        <w:continuationSeparator/>
      </w:r>
    </w:p>
    <w:p w:rsidR="00E73DF8" w:rsidRDefault="00E73DF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FA4D46" w:rsidRPr="008E0D90" w:rsidTr="00A06225">
      <w:trPr>
        <w:trHeight w:val="151"/>
      </w:trPr>
      <w:tc>
        <w:tcPr>
          <w:tcW w:w="2389" w:type="pct"/>
          <w:tcBorders>
            <w:top w:val="nil"/>
            <w:left w:val="nil"/>
            <w:bottom w:val="single" w:sz="4" w:space="0" w:color="4F81BD"/>
            <w:right w:val="nil"/>
          </w:tcBorders>
        </w:tcPr>
        <w:p w:rsidR="00FA4D46" w:rsidRPr="00A06225" w:rsidRDefault="00FA4D46">
          <w:pPr>
            <w:pStyle w:val="Header"/>
            <w:spacing w:line="276" w:lineRule="auto"/>
            <w:rPr>
              <w:rFonts w:ascii="Cambria" w:eastAsia="MS Gothic" w:hAnsi="Cambria"/>
              <w:b/>
              <w:bCs/>
              <w:color w:val="4F81BD"/>
            </w:rPr>
          </w:pPr>
        </w:p>
      </w:tc>
      <w:tc>
        <w:tcPr>
          <w:tcW w:w="333" w:type="pct"/>
          <w:vMerge w:val="restart"/>
          <w:noWrap/>
          <w:vAlign w:val="center"/>
          <w:hideMark/>
        </w:tcPr>
        <w:p w:rsidR="00FA4D46" w:rsidRPr="00A06225" w:rsidRDefault="00FA4D46"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FA4D46" w:rsidRPr="00A06225" w:rsidRDefault="00FA4D46">
          <w:pPr>
            <w:pStyle w:val="Header"/>
            <w:spacing w:line="276" w:lineRule="auto"/>
            <w:rPr>
              <w:rFonts w:ascii="Cambria" w:eastAsia="MS Gothic" w:hAnsi="Cambria"/>
              <w:b/>
              <w:bCs/>
              <w:color w:val="4F81BD"/>
            </w:rPr>
          </w:pPr>
        </w:p>
      </w:tc>
    </w:tr>
    <w:tr w:rsidR="00FA4D46" w:rsidRPr="008E0D90" w:rsidTr="00A06225">
      <w:trPr>
        <w:trHeight w:val="150"/>
      </w:trPr>
      <w:tc>
        <w:tcPr>
          <w:tcW w:w="2389" w:type="pct"/>
          <w:tcBorders>
            <w:top w:val="single" w:sz="4" w:space="0" w:color="4F81BD"/>
            <w:left w:val="nil"/>
            <w:bottom w:val="nil"/>
            <w:right w:val="nil"/>
          </w:tcBorders>
        </w:tcPr>
        <w:p w:rsidR="00FA4D46" w:rsidRPr="00A06225" w:rsidRDefault="00FA4D46">
          <w:pPr>
            <w:pStyle w:val="Header"/>
            <w:spacing w:line="276" w:lineRule="auto"/>
            <w:rPr>
              <w:rFonts w:ascii="Cambria" w:eastAsia="MS Gothic" w:hAnsi="Cambria"/>
              <w:b/>
              <w:bCs/>
              <w:color w:val="4F81BD"/>
            </w:rPr>
          </w:pPr>
        </w:p>
      </w:tc>
      <w:tc>
        <w:tcPr>
          <w:tcW w:w="0" w:type="auto"/>
          <w:vMerge/>
          <w:vAlign w:val="center"/>
          <w:hideMark/>
        </w:tcPr>
        <w:p w:rsidR="00FA4D46" w:rsidRPr="00A06225" w:rsidRDefault="00FA4D46">
          <w:pPr>
            <w:rPr>
              <w:rFonts w:ascii="Cambria" w:hAnsi="Cambria"/>
              <w:color w:val="4F81BD"/>
              <w:sz w:val="22"/>
              <w:szCs w:val="22"/>
            </w:rPr>
          </w:pPr>
        </w:p>
      </w:tc>
      <w:tc>
        <w:tcPr>
          <w:tcW w:w="2278" w:type="pct"/>
          <w:tcBorders>
            <w:top w:val="single" w:sz="4" w:space="0" w:color="4F81BD"/>
            <w:left w:val="nil"/>
            <w:bottom w:val="nil"/>
            <w:right w:val="nil"/>
          </w:tcBorders>
        </w:tcPr>
        <w:p w:rsidR="00FA4D46" w:rsidRPr="00A06225" w:rsidRDefault="00FA4D46">
          <w:pPr>
            <w:pStyle w:val="Header"/>
            <w:spacing w:line="276" w:lineRule="auto"/>
            <w:rPr>
              <w:rFonts w:ascii="Cambria" w:eastAsia="MS Gothic" w:hAnsi="Cambria"/>
              <w:b/>
              <w:bCs/>
              <w:color w:val="4F81BD"/>
            </w:rPr>
          </w:pPr>
        </w:p>
      </w:tc>
    </w:tr>
  </w:tbl>
  <w:p w:rsidR="00FA4D46" w:rsidRDefault="00FA4D46">
    <w:pPr>
      <w:pStyle w:val="Header"/>
    </w:pPr>
  </w:p>
  <w:p w:rsidR="00FA4D46" w:rsidRDefault="00FA4D4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D46" w:rsidRDefault="00374F40" w:rsidP="009B23EA">
    <w:pPr>
      <w:pStyle w:val="Header"/>
      <w:jc w:val="center"/>
      <w:rPr>
        <w:rFonts w:ascii="Arial" w:hAnsi="Arial" w:cs="Arial"/>
        <w:i/>
        <w:sz w:val="22"/>
        <w:szCs w:val="22"/>
      </w:rPr>
    </w:pPr>
    <w:r>
      <w:rPr>
        <w:rFonts w:ascii="Arial" w:hAnsi="Arial" w:cs="Arial"/>
        <w:i/>
        <w:sz w:val="22"/>
        <w:szCs w:val="22"/>
      </w:rPr>
      <w:t>Public Summary Document</w:t>
    </w:r>
    <w:r w:rsidR="00FA4D46">
      <w:rPr>
        <w:rFonts w:ascii="Arial" w:hAnsi="Arial" w:cs="Arial"/>
        <w:i/>
        <w:sz w:val="22"/>
        <w:szCs w:val="22"/>
      </w:rPr>
      <w:t xml:space="preserve"> – November 2016 PBAC Meeting</w:t>
    </w:r>
  </w:p>
  <w:p w:rsidR="00FA4D46" w:rsidRDefault="00FA4D46" w:rsidP="00934CE2">
    <w:pPr>
      <w:pStyle w:val="NoSpacing"/>
      <w:tabs>
        <w:tab w:val="left" w:pos="5777"/>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DF8" w:rsidRDefault="00E73D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pStyle w:val="Heading1"/>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D32F01"/>
    <w:multiLevelType w:val="hybridMultilevel"/>
    <w:tmpl w:val="C7D6F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1F287D0E"/>
    <w:multiLevelType w:val="hybridMultilevel"/>
    <w:tmpl w:val="610EC6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5027DCE"/>
    <w:multiLevelType w:val="hybridMultilevel"/>
    <w:tmpl w:val="6CF09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1901130"/>
    <w:multiLevelType w:val="hybridMultilevel"/>
    <w:tmpl w:val="B34618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2A22616"/>
    <w:multiLevelType w:val="hybridMultilevel"/>
    <w:tmpl w:val="0EF41D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B7C34E2"/>
    <w:multiLevelType w:val="hybridMultilevel"/>
    <w:tmpl w:val="CC5C8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4331BDD"/>
    <w:multiLevelType w:val="hybridMultilevel"/>
    <w:tmpl w:val="5B309310"/>
    <w:lvl w:ilvl="0" w:tplc="0C09000D">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F954B45"/>
    <w:multiLevelType w:val="hybridMultilevel"/>
    <w:tmpl w:val="C6FA1F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4D1165A"/>
    <w:multiLevelType w:val="hybridMultilevel"/>
    <w:tmpl w:val="BB8A2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84D033C"/>
    <w:multiLevelType w:val="multilevel"/>
    <w:tmpl w:val="F0A8E0A2"/>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szCs w:val="22"/>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7F012B5A"/>
    <w:multiLevelType w:val="hybridMultilevel"/>
    <w:tmpl w:val="80E2D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6"/>
  </w:num>
  <w:num w:numId="4">
    <w:abstractNumId w:val="21"/>
  </w:num>
  <w:num w:numId="5">
    <w:abstractNumId w:val="25"/>
  </w:num>
  <w:num w:numId="6">
    <w:abstractNumId w:val="7"/>
  </w:num>
  <w:num w:numId="7">
    <w:abstractNumId w:val="18"/>
  </w:num>
  <w:num w:numId="8">
    <w:abstractNumId w:val="4"/>
  </w:num>
  <w:num w:numId="9">
    <w:abstractNumId w:val="17"/>
  </w:num>
  <w:num w:numId="10">
    <w:abstractNumId w:val="14"/>
  </w:num>
  <w:num w:numId="11">
    <w:abstractNumId w:val="13"/>
  </w:num>
  <w:num w:numId="12">
    <w:abstractNumId w:val="1"/>
  </w:num>
  <w:num w:numId="13">
    <w:abstractNumId w:val="0"/>
  </w:num>
  <w:num w:numId="14">
    <w:abstractNumId w:val="25"/>
  </w:num>
  <w:num w:numId="15">
    <w:abstractNumId w:val="15"/>
  </w:num>
  <w:num w:numId="16">
    <w:abstractNumId w:val="16"/>
  </w:num>
  <w:num w:numId="17">
    <w:abstractNumId w:val="19"/>
  </w:num>
  <w:num w:numId="18">
    <w:abstractNumId w:val="10"/>
  </w:num>
  <w:num w:numId="19">
    <w:abstractNumId w:val="23"/>
  </w:num>
  <w:num w:numId="20">
    <w:abstractNumId w:val="12"/>
  </w:num>
  <w:num w:numId="21">
    <w:abstractNumId w:val="26"/>
  </w:num>
  <w:num w:numId="22">
    <w:abstractNumId w:val="25"/>
  </w:num>
  <w:num w:numId="23">
    <w:abstractNumId w:val="20"/>
  </w:num>
  <w:num w:numId="24">
    <w:abstractNumId w:val="8"/>
  </w:num>
  <w:num w:numId="25">
    <w:abstractNumId w:val="24"/>
  </w:num>
  <w:num w:numId="26">
    <w:abstractNumId w:val="5"/>
  </w:num>
  <w:num w:numId="27">
    <w:abstractNumId w:val="2"/>
  </w:num>
  <w:num w:numId="28">
    <w:abstractNumId w:val="11"/>
  </w:num>
  <w:num w:numId="29">
    <w:abstractNumId w:val="22"/>
  </w:num>
  <w:num w:numId="30">
    <w:abstractNumId w:val="25"/>
  </w:num>
  <w:num w:numId="31">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043A"/>
    <w:rsid w:val="000018B2"/>
    <w:rsid w:val="000025AD"/>
    <w:rsid w:val="000034DE"/>
    <w:rsid w:val="0000383E"/>
    <w:rsid w:val="00004EDC"/>
    <w:rsid w:val="00006292"/>
    <w:rsid w:val="00006733"/>
    <w:rsid w:val="0001122A"/>
    <w:rsid w:val="00020226"/>
    <w:rsid w:val="00022328"/>
    <w:rsid w:val="00022E6A"/>
    <w:rsid w:val="0002464A"/>
    <w:rsid w:val="0002494E"/>
    <w:rsid w:val="00027C79"/>
    <w:rsid w:val="0003106B"/>
    <w:rsid w:val="00031F4F"/>
    <w:rsid w:val="00033BE0"/>
    <w:rsid w:val="00036DB1"/>
    <w:rsid w:val="000421A1"/>
    <w:rsid w:val="0004240E"/>
    <w:rsid w:val="00042586"/>
    <w:rsid w:val="00042CF6"/>
    <w:rsid w:val="00043B55"/>
    <w:rsid w:val="000443F9"/>
    <w:rsid w:val="00045348"/>
    <w:rsid w:val="00045E26"/>
    <w:rsid w:val="000514B5"/>
    <w:rsid w:val="000516E9"/>
    <w:rsid w:val="000520F2"/>
    <w:rsid w:val="000526F5"/>
    <w:rsid w:val="00053148"/>
    <w:rsid w:val="00060E64"/>
    <w:rsid w:val="00061694"/>
    <w:rsid w:val="000627CD"/>
    <w:rsid w:val="000638CC"/>
    <w:rsid w:val="00063D67"/>
    <w:rsid w:val="000648BE"/>
    <w:rsid w:val="000663DB"/>
    <w:rsid w:val="00066755"/>
    <w:rsid w:val="00066799"/>
    <w:rsid w:val="000673A3"/>
    <w:rsid w:val="0006758D"/>
    <w:rsid w:val="00067904"/>
    <w:rsid w:val="00071152"/>
    <w:rsid w:val="00073EDE"/>
    <w:rsid w:val="00074352"/>
    <w:rsid w:val="0007594F"/>
    <w:rsid w:val="00077143"/>
    <w:rsid w:val="000835D3"/>
    <w:rsid w:val="000849C3"/>
    <w:rsid w:val="000931C9"/>
    <w:rsid w:val="00094F84"/>
    <w:rsid w:val="000969AD"/>
    <w:rsid w:val="000A31CD"/>
    <w:rsid w:val="000A4A99"/>
    <w:rsid w:val="000A719A"/>
    <w:rsid w:val="000A783B"/>
    <w:rsid w:val="000B0A37"/>
    <w:rsid w:val="000B1532"/>
    <w:rsid w:val="000B261C"/>
    <w:rsid w:val="000B4019"/>
    <w:rsid w:val="000B558D"/>
    <w:rsid w:val="000B79A7"/>
    <w:rsid w:val="000C551B"/>
    <w:rsid w:val="000C5A4A"/>
    <w:rsid w:val="000C6996"/>
    <w:rsid w:val="000C7F64"/>
    <w:rsid w:val="000D23BA"/>
    <w:rsid w:val="000D261A"/>
    <w:rsid w:val="000D2D3E"/>
    <w:rsid w:val="000D48C6"/>
    <w:rsid w:val="000D52DD"/>
    <w:rsid w:val="000E0658"/>
    <w:rsid w:val="000E2444"/>
    <w:rsid w:val="000E2A8C"/>
    <w:rsid w:val="000E42CD"/>
    <w:rsid w:val="000E681E"/>
    <w:rsid w:val="000F3B1A"/>
    <w:rsid w:val="000F4E6A"/>
    <w:rsid w:val="000F6ED8"/>
    <w:rsid w:val="00100054"/>
    <w:rsid w:val="001020D9"/>
    <w:rsid w:val="0010244B"/>
    <w:rsid w:val="00105DE2"/>
    <w:rsid w:val="001067FC"/>
    <w:rsid w:val="001068E6"/>
    <w:rsid w:val="00106987"/>
    <w:rsid w:val="0010741A"/>
    <w:rsid w:val="001107BF"/>
    <w:rsid w:val="001110C9"/>
    <w:rsid w:val="00111E3E"/>
    <w:rsid w:val="00115037"/>
    <w:rsid w:val="00115FFC"/>
    <w:rsid w:val="00121CBC"/>
    <w:rsid w:val="00121F65"/>
    <w:rsid w:val="001232C9"/>
    <w:rsid w:val="001239D9"/>
    <w:rsid w:val="0012417C"/>
    <w:rsid w:val="001241C1"/>
    <w:rsid w:val="001259A2"/>
    <w:rsid w:val="00126A2D"/>
    <w:rsid w:val="00127F43"/>
    <w:rsid w:val="0013441C"/>
    <w:rsid w:val="00134F1A"/>
    <w:rsid w:val="001354DF"/>
    <w:rsid w:val="00135CDD"/>
    <w:rsid w:val="00136331"/>
    <w:rsid w:val="0014004F"/>
    <w:rsid w:val="00142395"/>
    <w:rsid w:val="00142714"/>
    <w:rsid w:val="001445B0"/>
    <w:rsid w:val="001447A8"/>
    <w:rsid w:val="001452ED"/>
    <w:rsid w:val="00150A47"/>
    <w:rsid w:val="00151995"/>
    <w:rsid w:val="0015273E"/>
    <w:rsid w:val="00153221"/>
    <w:rsid w:val="00155113"/>
    <w:rsid w:val="001563DF"/>
    <w:rsid w:val="00157F85"/>
    <w:rsid w:val="00161B64"/>
    <w:rsid w:val="00161FC1"/>
    <w:rsid w:val="001655A5"/>
    <w:rsid w:val="00165856"/>
    <w:rsid w:val="00166C10"/>
    <w:rsid w:val="0017330E"/>
    <w:rsid w:val="001744D9"/>
    <w:rsid w:val="00174595"/>
    <w:rsid w:val="00175E8A"/>
    <w:rsid w:val="001776D3"/>
    <w:rsid w:val="00180BBC"/>
    <w:rsid w:val="001830CE"/>
    <w:rsid w:val="0018401F"/>
    <w:rsid w:val="00184427"/>
    <w:rsid w:val="001845D3"/>
    <w:rsid w:val="00185718"/>
    <w:rsid w:val="001859CC"/>
    <w:rsid w:val="0018643B"/>
    <w:rsid w:val="00186A62"/>
    <w:rsid w:val="001870D0"/>
    <w:rsid w:val="001900D7"/>
    <w:rsid w:val="00190557"/>
    <w:rsid w:val="00191AC6"/>
    <w:rsid w:val="00191EAB"/>
    <w:rsid w:val="00193C88"/>
    <w:rsid w:val="00196307"/>
    <w:rsid w:val="001A2520"/>
    <w:rsid w:val="001A304A"/>
    <w:rsid w:val="001A4955"/>
    <w:rsid w:val="001A4A3D"/>
    <w:rsid w:val="001A6448"/>
    <w:rsid w:val="001B017F"/>
    <w:rsid w:val="001B14AD"/>
    <w:rsid w:val="001B2D0F"/>
    <w:rsid w:val="001B5129"/>
    <w:rsid w:val="001B740D"/>
    <w:rsid w:val="001B7B15"/>
    <w:rsid w:val="001C1195"/>
    <w:rsid w:val="001C1A21"/>
    <w:rsid w:val="001C223F"/>
    <w:rsid w:val="001C2E5E"/>
    <w:rsid w:val="001C4DED"/>
    <w:rsid w:val="001C5756"/>
    <w:rsid w:val="001C598A"/>
    <w:rsid w:val="001C6F80"/>
    <w:rsid w:val="001D04C8"/>
    <w:rsid w:val="001D1416"/>
    <w:rsid w:val="001D26DE"/>
    <w:rsid w:val="001D32B1"/>
    <w:rsid w:val="001D5D22"/>
    <w:rsid w:val="001D7102"/>
    <w:rsid w:val="001E0050"/>
    <w:rsid w:val="001E0155"/>
    <w:rsid w:val="001E3F81"/>
    <w:rsid w:val="001E53B1"/>
    <w:rsid w:val="001E6784"/>
    <w:rsid w:val="001E733C"/>
    <w:rsid w:val="001E79F1"/>
    <w:rsid w:val="001F1590"/>
    <w:rsid w:val="001F2A4A"/>
    <w:rsid w:val="001F6849"/>
    <w:rsid w:val="001F7F3F"/>
    <w:rsid w:val="00200608"/>
    <w:rsid w:val="00200C9B"/>
    <w:rsid w:val="00201FE6"/>
    <w:rsid w:val="002040B1"/>
    <w:rsid w:val="00205CD8"/>
    <w:rsid w:val="002068BE"/>
    <w:rsid w:val="00206981"/>
    <w:rsid w:val="00210717"/>
    <w:rsid w:val="00211673"/>
    <w:rsid w:val="00212F3D"/>
    <w:rsid w:val="00213CFB"/>
    <w:rsid w:val="002171A1"/>
    <w:rsid w:val="00220FEA"/>
    <w:rsid w:val="00222E1C"/>
    <w:rsid w:val="002277B0"/>
    <w:rsid w:val="00231054"/>
    <w:rsid w:val="0023107A"/>
    <w:rsid w:val="00233471"/>
    <w:rsid w:val="0023356E"/>
    <w:rsid w:val="002343CF"/>
    <w:rsid w:val="00235AD0"/>
    <w:rsid w:val="00235F79"/>
    <w:rsid w:val="002364EA"/>
    <w:rsid w:val="002400F9"/>
    <w:rsid w:val="0024027F"/>
    <w:rsid w:val="00240AD9"/>
    <w:rsid w:val="00244FB0"/>
    <w:rsid w:val="00246574"/>
    <w:rsid w:val="00250FE9"/>
    <w:rsid w:val="002517C3"/>
    <w:rsid w:val="00253027"/>
    <w:rsid w:val="00253465"/>
    <w:rsid w:val="0025653D"/>
    <w:rsid w:val="00256764"/>
    <w:rsid w:val="0025788D"/>
    <w:rsid w:val="00260942"/>
    <w:rsid w:val="0026289B"/>
    <w:rsid w:val="0026337C"/>
    <w:rsid w:val="0026493A"/>
    <w:rsid w:val="00264F30"/>
    <w:rsid w:val="00270DC4"/>
    <w:rsid w:val="002713B7"/>
    <w:rsid w:val="00271BA1"/>
    <w:rsid w:val="00273696"/>
    <w:rsid w:val="00273D9D"/>
    <w:rsid w:val="0027709D"/>
    <w:rsid w:val="00277505"/>
    <w:rsid w:val="00280670"/>
    <w:rsid w:val="002812A1"/>
    <w:rsid w:val="00284E37"/>
    <w:rsid w:val="00287813"/>
    <w:rsid w:val="00287FAF"/>
    <w:rsid w:val="00290E04"/>
    <w:rsid w:val="00291989"/>
    <w:rsid w:val="0029458F"/>
    <w:rsid w:val="0029535F"/>
    <w:rsid w:val="00295DAD"/>
    <w:rsid w:val="00295E66"/>
    <w:rsid w:val="00296207"/>
    <w:rsid w:val="002A104C"/>
    <w:rsid w:val="002A3181"/>
    <w:rsid w:val="002A4960"/>
    <w:rsid w:val="002A6E2F"/>
    <w:rsid w:val="002B1AE6"/>
    <w:rsid w:val="002B294B"/>
    <w:rsid w:val="002B30F8"/>
    <w:rsid w:val="002B4EE7"/>
    <w:rsid w:val="002B5375"/>
    <w:rsid w:val="002B5428"/>
    <w:rsid w:val="002B73EB"/>
    <w:rsid w:val="002C076C"/>
    <w:rsid w:val="002C1DDC"/>
    <w:rsid w:val="002C212F"/>
    <w:rsid w:val="002C3DBF"/>
    <w:rsid w:val="002C5481"/>
    <w:rsid w:val="002C709E"/>
    <w:rsid w:val="002D0164"/>
    <w:rsid w:val="002D26E6"/>
    <w:rsid w:val="002D5E9A"/>
    <w:rsid w:val="002E27F9"/>
    <w:rsid w:val="002E3153"/>
    <w:rsid w:val="002E6682"/>
    <w:rsid w:val="002E72CA"/>
    <w:rsid w:val="002F06EA"/>
    <w:rsid w:val="002F1FF1"/>
    <w:rsid w:val="003000C7"/>
    <w:rsid w:val="00300AD6"/>
    <w:rsid w:val="00303934"/>
    <w:rsid w:val="00305770"/>
    <w:rsid w:val="0031007B"/>
    <w:rsid w:val="00311A23"/>
    <w:rsid w:val="003138B8"/>
    <w:rsid w:val="00313CB4"/>
    <w:rsid w:val="0031477E"/>
    <w:rsid w:val="003149DB"/>
    <w:rsid w:val="00315C40"/>
    <w:rsid w:val="00317F1D"/>
    <w:rsid w:val="00321CC2"/>
    <w:rsid w:val="00323293"/>
    <w:rsid w:val="00324D61"/>
    <w:rsid w:val="00326E79"/>
    <w:rsid w:val="0032703D"/>
    <w:rsid w:val="00327196"/>
    <w:rsid w:val="0032732C"/>
    <w:rsid w:val="00330060"/>
    <w:rsid w:val="00330F95"/>
    <w:rsid w:val="00334040"/>
    <w:rsid w:val="003367EF"/>
    <w:rsid w:val="00340FD3"/>
    <w:rsid w:val="00341AE4"/>
    <w:rsid w:val="00345999"/>
    <w:rsid w:val="003540B3"/>
    <w:rsid w:val="00354894"/>
    <w:rsid w:val="00357A39"/>
    <w:rsid w:val="00362347"/>
    <w:rsid w:val="00362719"/>
    <w:rsid w:val="003628F2"/>
    <w:rsid w:val="00363E0D"/>
    <w:rsid w:val="0036422F"/>
    <w:rsid w:val="00364A07"/>
    <w:rsid w:val="00365F55"/>
    <w:rsid w:val="00370495"/>
    <w:rsid w:val="00372327"/>
    <w:rsid w:val="00374796"/>
    <w:rsid w:val="00374D5A"/>
    <w:rsid w:val="00374F40"/>
    <w:rsid w:val="00375419"/>
    <w:rsid w:val="00375565"/>
    <w:rsid w:val="003773B9"/>
    <w:rsid w:val="00377C3E"/>
    <w:rsid w:val="00382005"/>
    <w:rsid w:val="00382CE4"/>
    <w:rsid w:val="00385029"/>
    <w:rsid w:val="00385515"/>
    <w:rsid w:val="00385AC3"/>
    <w:rsid w:val="00386AA4"/>
    <w:rsid w:val="003872CF"/>
    <w:rsid w:val="00391040"/>
    <w:rsid w:val="00395E31"/>
    <w:rsid w:val="0039782C"/>
    <w:rsid w:val="003A0229"/>
    <w:rsid w:val="003A0726"/>
    <w:rsid w:val="003A0F24"/>
    <w:rsid w:val="003A5164"/>
    <w:rsid w:val="003A594D"/>
    <w:rsid w:val="003A5B4A"/>
    <w:rsid w:val="003A6A04"/>
    <w:rsid w:val="003A793D"/>
    <w:rsid w:val="003A7B9E"/>
    <w:rsid w:val="003B23C5"/>
    <w:rsid w:val="003B2A75"/>
    <w:rsid w:val="003B2B1F"/>
    <w:rsid w:val="003B34C4"/>
    <w:rsid w:val="003B64CD"/>
    <w:rsid w:val="003C272B"/>
    <w:rsid w:val="003C33DB"/>
    <w:rsid w:val="003C3FB9"/>
    <w:rsid w:val="003C41C1"/>
    <w:rsid w:val="003C431D"/>
    <w:rsid w:val="003C4D85"/>
    <w:rsid w:val="003C5A28"/>
    <w:rsid w:val="003C5F8B"/>
    <w:rsid w:val="003D05CD"/>
    <w:rsid w:val="003D4AC4"/>
    <w:rsid w:val="003D63B7"/>
    <w:rsid w:val="003D7B21"/>
    <w:rsid w:val="003E2A1B"/>
    <w:rsid w:val="003E333B"/>
    <w:rsid w:val="003E468B"/>
    <w:rsid w:val="003E4C85"/>
    <w:rsid w:val="003E5A90"/>
    <w:rsid w:val="003F05CB"/>
    <w:rsid w:val="003F0C2F"/>
    <w:rsid w:val="003F1D56"/>
    <w:rsid w:val="003F2F59"/>
    <w:rsid w:val="003F47B7"/>
    <w:rsid w:val="003F5C8C"/>
    <w:rsid w:val="003F697B"/>
    <w:rsid w:val="003F7157"/>
    <w:rsid w:val="00401FD2"/>
    <w:rsid w:val="0040232B"/>
    <w:rsid w:val="00406F61"/>
    <w:rsid w:val="00407C2E"/>
    <w:rsid w:val="004104BE"/>
    <w:rsid w:val="004107FE"/>
    <w:rsid w:val="004158FB"/>
    <w:rsid w:val="00420160"/>
    <w:rsid w:val="00423055"/>
    <w:rsid w:val="004232A4"/>
    <w:rsid w:val="0042363D"/>
    <w:rsid w:val="00426829"/>
    <w:rsid w:val="0042763A"/>
    <w:rsid w:val="004334AF"/>
    <w:rsid w:val="0043664E"/>
    <w:rsid w:val="0044186A"/>
    <w:rsid w:val="00442106"/>
    <w:rsid w:val="00442605"/>
    <w:rsid w:val="00444338"/>
    <w:rsid w:val="004465BD"/>
    <w:rsid w:val="00447A01"/>
    <w:rsid w:val="00452015"/>
    <w:rsid w:val="00463FDB"/>
    <w:rsid w:val="004654FC"/>
    <w:rsid w:val="004668E3"/>
    <w:rsid w:val="00466A47"/>
    <w:rsid w:val="00466ADA"/>
    <w:rsid w:val="00467B9A"/>
    <w:rsid w:val="00473402"/>
    <w:rsid w:val="0047372D"/>
    <w:rsid w:val="004760AD"/>
    <w:rsid w:val="00476245"/>
    <w:rsid w:val="004768EE"/>
    <w:rsid w:val="004815B2"/>
    <w:rsid w:val="00483620"/>
    <w:rsid w:val="004847FE"/>
    <w:rsid w:val="00484B52"/>
    <w:rsid w:val="00484D73"/>
    <w:rsid w:val="004856B0"/>
    <w:rsid w:val="00485940"/>
    <w:rsid w:val="00487E50"/>
    <w:rsid w:val="004908AD"/>
    <w:rsid w:val="004923A7"/>
    <w:rsid w:val="004A0862"/>
    <w:rsid w:val="004A1237"/>
    <w:rsid w:val="004A2484"/>
    <w:rsid w:val="004A2B13"/>
    <w:rsid w:val="004A4357"/>
    <w:rsid w:val="004A491A"/>
    <w:rsid w:val="004A5A85"/>
    <w:rsid w:val="004B0CBD"/>
    <w:rsid w:val="004B2939"/>
    <w:rsid w:val="004B3EB3"/>
    <w:rsid w:val="004B4A11"/>
    <w:rsid w:val="004B5640"/>
    <w:rsid w:val="004B7D4C"/>
    <w:rsid w:val="004C1582"/>
    <w:rsid w:val="004C1828"/>
    <w:rsid w:val="004C1BD7"/>
    <w:rsid w:val="004C1C73"/>
    <w:rsid w:val="004C2371"/>
    <w:rsid w:val="004C49E3"/>
    <w:rsid w:val="004C59D0"/>
    <w:rsid w:val="004C691D"/>
    <w:rsid w:val="004D1739"/>
    <w:rsid w:val="004D2526"/>
    <w:rsid w:val="004D46A3"/>
    <w:rsid w:val="004E3590"/>
    <w:rsid w:val="004E5466"/>
    <w:rsid w:val="004E6224"/>
    <w:rsid w:val="004E692D"/>
    <w:rsid w:val="004E693F"/>
    <w:rsid w:val="004F2188"/>
    <w:rsid w:val="004F2FAE"/>
    <w:rsid w:val="004F4609"/>
    <w:rsid w:val="00500F13"/>
    <w:rsid w:val="00501554"/>
    <w:rsid w:val="0050352C"/>
    <w:rsid w:val="00504C22"/>
    <w:rsid w:val="005059AA"/>
    <w:rsid w:val="00506142"/>
    <w:rsid w:val="00507511"/>
    <w:rsid w:val="005076E2"/>
    <w:rsid w:val="00510BD5"/>
    <w:rsid w:val="0051126A"/>
    <w:rsid w:val="00512839"/>
    <w:rsid w:val="00514CD7"/>
    <w:rsid w:val="0052063B"/>
    <w:rsid w:val="00520670"/>
    <w:rsid w:val="00521C9F"/>
    <w:rsid w:val="00521CED"/>
    <w:rsid w:val="00523BA1"/>
    <w:rsid w:val="00525BCA"/>
    <w:rsid w:val="0052617E"/>
    <w:rsid w:val="005319B2"/>
    <w:rsid w:val="00532C74"/>
    <w:rsid w:val="00534E2E"/>
    <w:rsid w:val="00537AE5"/>
    <w:rsid w:val="00537E1D"/>
    <w:rsid w:val="00540F0D"/>
    <w:rsid w:val="00544552"/>
    <w:rsid w:val="00550CFC"/>
    <w:rsid w:val="005515AD"/>
    <w:rsid w:val="00552E21"/>
    <w:rsid w:val="00555D7A"/>
    <w:rsid w:val="00560274"/>
    <w:rsid w:val="00561142"/>
    <w:rsid w:val="00565D03"/>
    <w:rsid w:val="0057475E"/>
    <w:rsid w:val="00574BAC"/>
    <w:rsid w:val="00581406"/>
    <w:rsid w:val="00581932"/>
    <w:rsid w:val="00587592"/>
    <w:rsid w:val="005905D1"/>
    <w:rsid w:val="00591067"/>
    <w:rsid w:val="005963BB"/>
    <w:rsid w:val="00596D66"/>
    <w:rsid w:val="005A0A3D"/>
    <w:rsid w:val="005A30CA"/>
    <w:rsid w:val="005A3173"/>
    <w:rsid w:val="005A3223"/>
    <w:rsid w:val="005A3DA3"/>
    <w:rsid w:val="005A52C4"/>
    <w:rsid w:val="005A52D1"/>
    <w:rsid w:val="005A7980"/>
    <w:rsid w:val="005B4616"/>
    <w:rsid w:val="005C39AF"/>
    <w:rsid w:val="005C6332"/>
    <w:rsid w:val="005C6587"/>
    <w:rsid w:val="005D03AB"/>
    <w:rsid w:val="005D5017"/>
    <w:rsid w:val="005D662C"/>
    <w:rsid w:val="005D68C8"/>
    <w:rsid w:val="005D6E7C"/>
    <w:rsid w:val="005E0338"/>
    <w:rsid w:val="005E03BE"/>
    <w:rsid w:val="005E262C"/>
    <w:rsid w:val="005E5A38"/>
    <w:rsid w:val="005E76E9"/>
    <w:rsid w:val="005E7F98"/>
    <w:rsid w:val="005F2C87"/>
    <w:rsid w:val="005F4522"/>
    <w:rsid w:val="005F614B"/>
    <w:rsid w:val="005F64EC"/>
    <w:rsid w:val="005F68BA"/>
    <w:rsid w:val="005F7250"/>
    <w:rsid w:val="005F7716"/>
    <w:rsid w:val="00600776"/>
    <w:rsid w:val="00601385"/>
    <w:rsid w:val="00601A91"/>
    <w:rsid w:val="00601E54"/>
    <w:rsid w:val="00602BA3"/>
    <w:rsid w:val="006105F7"/>
    <w:rsid w:val="00611A06"/>
    <w:rsid w:val="006133FA"/>
    <w:rsid w:val="00613642"/>
    <w:rsid w:val="00613C39"/>
    <w:rsid w:val="00614159"/>
    <w:rsid w:val="0061589F"/>
    <w:rsid w:val="00617C00"/>
    <w:rsid w:val="00621B09"/>
    <w:rsid w:val="00624355"/>
    <w:rsid w:val="006243D0"/>
    <w:rsid w:val="006263BF"/>
    <w:rsid w:val="00626CFD"/>
    <w:rsid w:val="0062748A"/>
    <w:rsid w:val="00630A2C"/>
    <w:rsid w:val="00630C50"/>
    <w:rsid w:val="006314C8"/>
    <w:rsid w:val="006319A6"/>
    <w:rsid w:val="00633E7F"/>
    <w:rsid w:val="00635146"/>
    <w:rsid w:val="00635476"/>
    <w:rsid w:val="00637A4E"/>
    <w:rsid w:val="0064013E"/>
    <w:rsid w:val="00641019"/>
    <w:rsid w:val="00642FA5"/>
    <w:rsid w:val="00645358"/>
    <w:rsid w:val="006454B7"/>
    <w:rsid w:val="00646FFA"/>
    <w:rsid w:val="00651169"/>
    <w:rsid w:val="00651545"/>
    <w:rsid w:val="006528F2"/>
    <w:rsid w:val="00653D69"/>
    <w:rsid w:val="006546A2"/>
    <w:rsid w:val="00656F72"/>
    <w:rsid w:val="006622EA"/>
    <w:rsid w:val="0066272B"/>
    <w:rsid w:val="0066273F"/>
    <w:rsid w:val="00664D9C"/>
    <w:rsid w:val="0066661E"/>
    <w:rsid w:val="00667885"/>
    <w:rsid w:val="00670A76"/>
    <w:rsid w:val="006711AA"/>
    <w:rsid w:val="00672B57"/>
    <w:rsid w:val="00672B70"/>
    <w:rsid w:val="00674CB9"/>
    <w:rsid w:val="00675622"/>
    <w:rsid w:val="00676EF8"/>
    <w:rsid w:val="006823C6"/>
    <w:rsid w:val="00682583"/>
    <w:rsid w:val="00683354"/>
    <w:rsid w:val="00686279"/>
    <w:rsid w:val="006903F0"/>
    <w:rsid w:val="006906B6"/>
    <w:rsid w:val="006906DB"/>
    <w:rsid w:val="00690DFE"/>
    <w:rsid w:val="006913BF"/>
    <w:rsid w:val="006919D5"/>
    <w:rsid w:val="00694495"/>
    <w:rsid w:val="00694911"/>
    <w:rsid w:val="006A12A5"/>
    <w:rsid w:val="006A36DF"/>
    <w:rsid w:val="006A4F97"/>
    <w:rsid w:val="006A6C94"/>
    <w:rsid w:val="006A7146"/>
    <w:rsid w:val="006B0D94"/>
    <w:rsid w:val="006B0F29"/>
    <w:rsid w:val="006B194C"/>
    <w:rsid w:val="006B3AA9"/>
    <w:rsid w:val="006B4269"/>
    <w:rsid w:val="006B4597"/>
    <w:rsid w:val="006B485D"/>
    <w:rsid w:val="006B6145"/>
    <w:rsid w:val="006C00B7"/>
    <w:rsid w:val="006C060F"/>
    <w:rsid w:val="006C0933"/>
    <w:rsid w:val="006C422D"/>
    <w:rsid w:val="006C4280"/>
    <w:rsid w:val="006C4D02"/>
    <w:rsid w:val="006C68F7"/>
    <w:rsid w:val="006C6D16"/>
    <w:rsid w:val="006C708E"/>
    <w:rsid w:val="006C7B16"/>
    <w:rsid w:val="006D2068"/>
    <w:rsid w:val="006D6EC7"/>
    <w:rsid w:val="006D7101"/>
    <w:rsid w:val="006E0C38"/>
    <w:rsid w:val="006E158F"/>
    <w:rsid w:val="006E1BC8"/>
    <w:rsid w:val="006E329E"/>
    <w:rsid w:val="006E665F"/>
    <w:rsid w:val="006F0E65"/>
    <w:rsid w:val="006F1B01"/>
    <w:rsid w:val="006F3055"/>
    <w:rsid w:val="006F5125"/>
    <w:rsid w:val="006F6011"/>
    <w:rsid w:val="00701C79"/>
    <w:rsid w:val="007053BA"/>
    <w:rsid w:val="00705C71"/>
    <w:rsid w:val="007069DE"/>
    <w:rsid w:val="007138B7"/>
    <w:rsid w:val="00714912"/>
    <w:rsid w:val="007174BB"/>
    <w:rsid w:val="0071776A"/>
    <w:rsid w:val="00720C2B"/>
    <w:rsid w:val="00721608"/>
    <w:rsid w:val="007220C6"/>
    <w:rsid w:val="007309EA"/>
    <w:rsid w:val="00730F7D"/>
    <w:rsid w:val="00731269"/>
    <w:rsid w:val="00733273"/>
    <w:rsid w:val="00736AA9"/>
    <w:rsid w:val="00737989"/>
    <w:rsid w:val="00737C53"/>
    <w:rsid w:val="00740501"/>
    <w:rsid w:val="00742F6C"/>
    <w:rsid w:val="00743E44"/>
    <w:rsid w:val="007459BB"/>
    <w:rsid w:val="00745A74"/>
    <w:rsid w:val="00746C06"/>
    <w:rsid w:val="00747B26"/>
    <w:rsid w:val="00751A17"/>
    <w:rsid w:val="00752C89"/>
    <w:rsid w:val="00754796"/>
    <w:rsid w:val="00755F71"/>
    <w:rsid w:val="00756C3D"/>
    <w:rsid w:val="007577F9"/>
    <w:rsid w:val="007579D5"/>
    <w:rsid w:val="00757C71"/>
    <w:rsid w:val="007604F6"/>
    <w:rsid w:val="007611E5"/>
    <w:rsid w:val="00763806"/>
    <w:rsid w:val="00763BE7"/>
    <w:rsid w:val="0076420C"/>
    <w:rsid w:val="0076574F"/>
    <w:rsid w:val="00766561"/>
    <w:rsid w:val="00766F0A"/>
    <w:rsid w:val="007708C7"/>
    <w:rsid w:val="007715CC"/>
    <w:rsid w:val="007721DE"/>
    <w:rsid w:val="00772AF3"/>
    <w:rsid w:val="007734A2"/>
    <w:rsid w:val="007753C2"/>
    <w:rsid w:val="00777759"/>
    <w:rsid w:val="007805F7"/>
    <w:rsid w:val="00782416"/>
    <w:rsid w:val="007838B8"/>
    <w:rsid w:val="00783A3E"/>
    <w:rsid w:val="007859FE"/>
    <w:rsid w:val="00793EE7"/>
    <w:rsid w:val="00795099"/>
    <w:rsid w:val="00796196"/>
    <w:rsid w:val="00796605"/>
    <w:rsid w:val="007970DE"/>
    <w:rsid w:val="007A003F"/>
    <w:rsid w:val="007A2D5F"/>
    <w:rsid w:val="007A714C"/>
    <w:rsid w:val="007B431F"/>
    <w:rsid w:val="007B4B37"/>
    <w:rsid w:val="007B5B28"/>
    <w:rsid w:val="007B5E27"/>
    <w:rsid w:val="007B6BB4"/>
    <w:rsid w:val="007C0F57"/>
    <w:rsid w:val="007C29A2"/>
    <w:rsid w:val="007C40B6"/>
    <w:rsid w:val="007C4FF1"/>
    <w:rsid w:val="007C729F"/>
    <w:rsid w:val="007D1CEE"/>
    <w:rsid w:val="007D1D66"/>
    <w:rsid w:val="007D6A6C"/>
    <w:rsid w:val="007E03D1"/>
    <w:rsid w:val="007E0418"/>
    <w:rsid w:val="007E1930"/>
    <w:rsid w:val="007E1D28"/>
    <w:rsid w:val="007E2A52"/>
    <w:rsid w:val="007E568F"/>
    <w:rsid w:val="007E6CD0"/>
    <w:rsid w:val="007F0772"/>
    <w:rsid w:val="007F152E"/>
    <w:rsid w:val="007F1BE1"/>
    <w:rsid w:val="007F22F0"/>
    <w:rsid w:val="007F2641"/>
    <w:rsid w:val="007F29BB"/>
    <w:rsid w:val="007F6BBF"/>
    <w:rsid w:val="007F7C36"/>
    <w:rsid w:val="0080146E"/>
    <w:rsid w:val="0080387D"/>
    <w:rsid w:val="00803899"/>
    <w:rsid w:val="00803EC1"/>
    <w:rsid w:val="00806796"/>
    <w:rsid w:val="00811297"/>
    <w:rsid w:val="008116D8"/>
    <w:rsid w:val="008151D6"/>
    <w:rsid w:val="00816553"/>
    <w:rsid w:val="00817EBD"/>
    <w:rsid w:val="00820C8D"/>
    <w:rsid w:val="008220F5"/>
    <w:rsid w:val="0082296C"/>
    <w:rsid w:val="0082695E"/>
    <w:rsid w:val="00826CDC"/>
    <w:rsid w:val="00826F6D"/>
    <w:rsid w:val="0083281B"/>
    <w:rsid w:val="008338DE"/>
    <w:rsid w:val="00836949"/>
    <w:rsid w:val="00836CC0"/>
    <w:rsid w:val="00837684"/>
    <w:rsid w:val="00840F28"/>
    <w:rsid w:val="0084124F"/>
    <w:rsid w:val="0084510F"/>
    <w:rsid w:val="00851CE3"/>
    <w:rsid w:val="00856D8F"/>
    <w:rsid w:val="00856DDD"/>
    <w:rsid w:val="00863E68"/>
    <w:rsid w:val="008640AB"/>
    <w:rsid w:val="00865148"/>
    <w:rsid w:val="0086680C"/>
    <w:rsid w:val="00870540"/>
    <w:rsid w:val="00870582"/>
    <w:rsid w:val="00870A3B"/>
    <w:rsid w:val="00874390"/>
    <w:rsid w:val="00874AE2"/>
    <w:rsid w:val="008769A2"/>
    <w:rsid w:val="00877A30"/>
    <w:rsid w:val="00882085"/>
    <w:rsid w:val="008820AD"/>
    <w:rsid w:val="00882DD7"/>
    <w:rsid w:val="00883188"/>
    <w:rsid w:val="00883BDF"/>
    <w:rsid w:val="0088478B"/>
    <w:rsid w:val="008856C3"/>
    <w:rsid w:val="0089069F"/>
    <w:rsid w:val="00890ECB"/>
    <w:rsid w:val="00890FC4"/>
    <w:rsid w:val="00896CF9"/>
    <w:rsid w:val="00896E8F"/>
    <w:rsid w:val="00897D58"/>
    <w:rsid w:val="008A1956"/>
    <w:rsid w:val="008A3B87"/>
    <w:rsid w:val="008A4597"/>
    <w:rsid w:val="008A4937"/>
    <w:rsid w:val="008A50F1"/>
    <w:rsid w:val="008A59D9"/>
    <w:rsid w:val="008A5F3F"/>
    <w:rsid w:val="008A7382"/>
    <w:rsid w:val="008A7D27"/>
    <w:rsid w:val="008B107A"/>
    <w:rsid w:val="008B38B5"/>
    <w:rsid w:val="008B470F"/>
    <w:rsid w:val="008B4F79"/>
    <w:rsid w:val="008B59FA"/>
    <w:rsid w:val="008B625A"/>
    <w:rsid w:val="008B725F"/>
    <w:rsid w:val="008B77D2"/>
    <w:rsid w:val="008C01A2"/>
    <w:rsid w:val="008C03CC"/>
    <w:rsid w:val="008C0D85"/>
    <w:rsid w:val="008C427D"/>
    <w:rsid w:val="008C6B56"/>
    <w:rsid w:val="008D1B5C"/>
    <w:rsid w:val="008D2DB7"/>
    <w:rsid w:val="008D3C82"/>
    <w:rsid w:val="008D447E"/>
    <w:rsid w:val="008D5FF2"/>
    <w:rsid w:val="008D791E"/>
    <w:rsid w:val="008D7A41"/>
    <w:rsid w:val="008D7DE3"/>
    <w:rsid w:val="008D7E68"/>
    <w:rsid w:val="008E125F"/>
    <w:rsid w:val="008E2C6E"/>
    <w:rsid w:val="008E3680"/>
    <w:rsid w:val="008E488A"/>
    <w:rsid w:val="008E5870"/>
    <w:rsid w:val="008F1434"/>
    <w:rsid w:val="008F2542"/>
    <w:rsid w:val="008F2EC6"/>
    <w:rsid w:val="008F4575"/>
    <w:rsid w:val="008F462D"/>
    <w:rsid w:val="008F6550"/>
    <w:rsid w:val="008F7355"/>
    <w:rsid w:val="00901808"/>
    <w:rsid w:val="00902124"/>
    <w:rsid w:val="009067B7"/>
    <w:rsid w:val="00906907"/>
    <w:rsid w:val="00907070"/>
    <w:rsid w:val="0090760C"/>
    <w:rsid w:val="0091162A"/>
    <w:rsid w:val="00913EE1"/>
    <w:rsid w:val="0091657D"/>
    <w:rsid w:val="00920644"/>
    <w:rsid w:val="009210E8"/>
    <w:rsid w:val="0092296B"/>
    <w:rsid w:val="00923AD0"/>
    <w:rsid w:val="0092458F"/>
    <w:rsid w:val="009269B3"/>
    <w:rsid w:val="00926AA4"/>
    <w:rsid w:val="00926F2B"/>
    <w:rsid w:val="00930937"/>
    <w:rsid w:val="0093208E"/>
    <w:rsid w:val="00933E6C"/>
    <w:rsid w:val="00934CE2"/>
    <w:rsid w:val="009370BA"/>
    <w:rsid w:val="00940338"/>
    <w:rsid w:val="00941C8A"/>
    <w:rsid w:val="00942160"/>
    <w:rsid w:val="009429B9"/>
    <w:rsid w:val="00942F72"/>
    <w:rsid w:val="0094397C"/>
    <w:rsid w:val="00943E96"/>
    <w:rsid w:val="00943FCD"/>
    <w:rsid w:val="0094788C"/>
    <w:rsid w:val="0095146F"/>
    <w:rsid w:val="00951DDF"/>
    <w:rsid w:val="00951DE0"/>
    <w:rsid w:val="00954F3B"/>
    <w:rsid w:val="00956707"/>
    <w:rsid w:val="00956884"/>
    <w:rsid w:val="009602C5"/>
    <w:rsid w:val="00960826"/>
    <w:rsid w:val="00962223"/>
    <w:rsid w:val="009623D6"/>
    <w:rsid w:val="009633F4"/>
    <w:rsid w:val="009650F5"/>
    <w:rsid w:val="00965A44"/>
    <w:rsid w:val="00967D19"/>
    <w:rsid w:val="009716DC"/>
    <w:rsid w:val="0097321E"/>
    <w:rsid w:val="00974C21"/>
    <w:rsid w:val="009775EC"/>
    <w:rsid w:val="009814A7"/>
    <w:rsid w:val="00982B7B"/>
    <w:rsid w:val="00983C2E"/>
    <w:rsid w:val="009859AE"/>
    <w:rsid w:val="00985B0B"/>
    <w:rsid w:val="00986B00"/>
    <w:rsid w:val="00986DDF"/>
    <w:rsid w:val="00987292"/>
    <w:rsid w:val="009932AA"/>
    <w:rsid w:val="009A0609"/>
    <w:rsid w:val="009A43A6"/>
    <w:rsid w:val="009A4CB4"/>
    <w:rsid w:val="009A565A"/>
    <w:rsid w:val="009A61CE"/>
    <w:rsid w:val="009A75E2"/>
    <w:rsid w:val="009B0DCA"/>
    <w:rsid w:val="009B0F67"/>
    <w:rsid w:val="009B23EA"/>
    <w:rsid w:val="009B3071"/>
    <w:rsid w:val="009B51CD"/>
    <w:rsid w:val="009B6810"/>
    <w:rsid w:val="009C0BA6"/>
    <w:rsid w:val="009C2C4C"/>
    <w:rsid w:val="009C4B6A"/>
    <w:rsid w:val="009C531D"/>
    <w:rsid w:val="009C6BFB"/>
    <w:rsid w:val="009C703C"/>
    <w:rsid w:val="009D0CE8"/>
    <w:rsid w:val="009D349D"/>
    <w:rsid w:val="009D3CAA"/>
    <w:rsid w:val="009D793C"/>
    <w:rsid w:val="009E12E7"/>
    <w:rsid w:val="009E239B"/>
    <w:rsid w:val="009E7727"/>
    <w:rsid w:val="009F0F51"/>
    <w:rsid w:val="009F1BD3"/>
    <w:rsid w:val="009F3265"/>
    <w:rsid w:val="009F4E46"/>
    <w:rsid w:val="009F52E6"/>
    <w:rsid w:val="009F5523"/>
    <w:rsid w:val="009F5B65"/>
    <w:rsid w:val="009F5F2E"/>
    <w:rsid w:val="00A0043B"/>
    <w:rsid w:val="00A01306"/>
    <w:rsid w:val="00A059AE"/>
    <w:rsid w:val="00A06225"/>
    <w:rsid w:val="00A068DF"/>
    <w:rsid w:val="00A128E6"/>
    <w:rsid w:val="00A12FB9"/>
    <w:rsid w:val="00A13D36"/>
    <w:rsid w:val="00A13F37"/>
    <w:rsid w:val="00A159AF"/>
    <w:rsid w:val="00A20010"/>
    <w:rsid w:val="00A20DFB"/>
    <w:rsid w:val="00A22151"/>
    <w:rsid w:val="00A2373A"/>
    <w:rsid w:val="00A275D2"/>
    <w:rsid w:val="00A27AB1"/>
    <w:rsid w:val="00A3351D"/>
    <w:rsid w:val="00A3367B"/>
    <w:rsid w:val="00A351BE"/>
    <w:rsid w:val="00A365CE"/>
    <w:rsid w:val="00A37C8D"/>
    <w:rsid w:val="00A40259"/>
    <w:rsid w:val="00A41B49"/>
    <w:rsid w:val="00A43EBB"/>
    <w:rsid w:val="00A4432D"/>
    <w:rsid w:val="00A478DD"/>
    <w:rsid w:val="00A47EE7"/>
    <w:rsid w:val="00A50623"/>
    <w:rsid w:val="00A5064A"/>
    <w:rsid w:val="00A52588"/>
    <w:rsid w:val="00A5273B"/>
    <w:rsid w:val="00A53A9D"/>
    <w:rsid w:val="00A5453F"/>
    <w:rsid w:val="00A55C0A"/>
    <w:rsid w:val="00A55EC0"/>
    <w:rsid w:val="00A55FEE"/>
    <w:rsid w:val="00A568A6"/>
    <w:rsid w:val="00A577E3"/>
    <w:rsid w:val="00A61F9C"/>
    <w:rsid w:val="00A62C1A"/>
    <w:rsid w:val="00A636E5"/>
    <w:rsid w:val="00A63A36"/>
    <w:rsid w:val="00A63AC7"/>
    <w:rsid w:val="00A6426D"/>
    <w:rsid w:val="00A66031"/>
    <w:rsid w:val="00A70622"/>
    <w:rsid w:val="00A70626"/>
    <w:rsid w:val="00A70977"/>
    <w:rsid w:val="00A71F06"/>
    <w:rsid w:val="00A72FE9"/>
    <w:rsid w:val="00A735CD"/>
    <w:rsid w:val="00A741E0"/>
    <w:rsid w:val="00A742A6"/>
    <w:rsid w:val="00A77613"/>
    <w:rsid w:val="00A77B4F"/>
    <w:rsid w:val="00A77F7F"/>
    <w:rsid w:val="00A83111"/>
    <w:rsid w:val="00A8390C"/>
    <w:rsid w:val="00A8613B"/>
    <w:rsid w:val="00A90CDE"/>
    <w:rsid w:val="00A914E5"/>
    <w:rsid w:val="00A91A59"/>
    <w:rsid w:val="00A921D7"/>
    <w:rsid w:val="00A92773"/>
    <w:rsid w:val="00A928BD"/>
    <w:rsid w:val="00A92939"/>
    <w:rsid w:val="00A92C01"/>
    <w:rsid w:val="00A9481B"/>
    <w:rsid w:val="00A9724A"/>
    <w:rsid w:val="00A976FA"/>
    <w:rsid w:val="00A97D97"/>
    <w:rsid w:val="00AA00C9"/>
    <w:rsid w:val="00AA1204"/>
    <w:rsid w:val="00AA3259"/>
    <w:rsid w:val="00AA47EF"/>
    <w:rsid w:val="00AA4D1C"/>
    <w:rsid w:val="00AA654E"/>
    <w:rsid w:val="00AA70CC"/>
    <w:rsid w:val="00AA7273"/>
    <w:rsid w:val="00AA797A"/>
    <w:rsid w:val="00AA7C0E"/>
    <w:rsid w:val="00AB112A"/>
    <w:rsid w:val="00AB799E"/>
    <w:rsid w:val="00AC130B"/>
    <w:rsid w:val="00AC193C"/>
    <w:rsid w:val="00AC1986"/>
    <w:rsid w:val="00AC39D7"/>
    <w:rsid w:val="00AC39F9"/>
    <w:rsid w:val="00AC5206"/>
    <w:rsid w:val="00AD0892"/>
    <w:rsid w:val="00AD196E"/>
    <w:rsid w:val="00AD3F59"/>
    <w:rsid w:val="00AE0087"/>
    <w:rsid w:val="00AE11A5"/>
    <w:rsid w:val="00AE13E2"/>
    <w:rsid w:val="00AE20C2"/>
    <w:rsid w:val="00AE503F"/>
    <w:rsid w:val="00AE7B8F"/>
    <w:rsid w:val="00AF17AC"/>
    <w:rsid w:val="00AF506B"/>
    <w:rsid w:val="00AF68CC"/>
    <w:rsid w:val="00AF6BCC"/>
    <w:rsid w:val="00AF77BC"/>
    <w:rsid w:val="00AF7EDD"/>
    <w:rsid w:val="00B011E0"/>
    <w:rsid w:val="00B034AD"/>
    <w:rsid w:val="00B041D0"/>
    <w:rsid w:val="00B07017"/>
    <w:rsid w:val="00B07802"/>
    <w:rsid w:val="00B1059E"/>
    <w:rsid w:val="00B12A53"/>
    <w:rsid w:val="00B205AA"/>
    <w:rsid w:val="00B219E7"/>
    <w:rsid w:val="00B22E84"/>
    <w:rsid w:val="00B24A41"/>
    <w:rsid w:val="00B25F75"/>
    <w:rsid w:val="00B272A5"/>
    <w:rsid w:val="00B27542"/>
    <w:rsid w:val="00B32E35"/>
    <w:rsid w:val="00B33662"/>
    <w:rsid w:val="00B34DAF"/>
    <w:rsid w:val="00B372F4"/>
    <w:rsid w:val="00B3747C"/>
    <w:rsid w:val="00B401F4"/>
    <w:rsid w:val="00B4029C"/>
    <w:rsid w:val="00B415B8"/>
    <w:rsid w:val="00B4191F"/>
    <w:rsid w:val="00B43C2A"/>
    <w:rsid w:val="00B43E90"/>
    <w:rsid w:val="00B43EDF"/>
    <w:rsid w:val="00B44E8A"/>
    <w:rsid w:val="00B467DC"/>
    <w:rsid w:val="00B476D0"/>
    <w:rsid w:val="00B50B92"/>
    <w:rsid w:val="00B525FB"/>
    <w:rsid w:val="00B5430E"/>
    <w:rsid w:val="00B5587B"/>
    <w:rsid w:val="00B56118"/>
    <w:rsid w:val="00B6039E"/>
    <w:rsid w:val="00B6773F"/>
    <w:rsid w:val="00B679FF"/>
    <w:rsid w:val="00B702CB"/>
    <w:rsid w:val="00B70DBE"/>
    <w:rsid w:val="00B71035"/>
    <w:rsid w:val="00B721AD"/>
    <w:rsid w:val="00B7399F"/>
    <w:rsid w:val="00B745C5"/>
    <w:rsid w:val="00B75544"/>
    <w:rsid w:val="00B76801"/>
    <w:rsid w:val="00B801BA"/>
    <w:rsid w:val="00B806E2"/>
    <w:rsid w:val="00B8177D"/>
    <w:rsid w:val="00B81838"/>
    <w:rsid w:val="00B8554C"/>
    <w:rsid w:val="00B85B84"/>
    <w:rsid w:val="00B86650"/>
    <w:rsid w:val="00B87860"/>
    <w:rsid w:val="00B87CCB"/>
    <w:rsid w:val="00BA035C"/>
    <w:rsid w:val="00BA2773"/>
    <w:rsid w:val="00BA386F"/>
    <w:rsid w:val="00BA4BF4"/>
    <w:rsid w:val="00BA59D0"/>
    <w:rsid w:val="00BB02AC"/>
    <w:rsid w:val="00BB1AE7"/>
    <w:rsid w:val="00BB20A9"/>
    <w:rsid w:val="00BB3B6F"/>
    <w:rsid w:val="00BB69F5"/>
    <w:rsid w:val="00BB7EC3"/>
    <w:rsid w:val="00BC1D52"/>
    <w:rsid w:val="00BC4B9A"/>
    <w:rsid w:val="00BC5865"/>
    <w:rsid w:val="00BC791F"/>
    <w:rsid w:val="00BD3AA1"/>
    <w:rsid w:val="00BD3B1C"/>
    <w:rsid w:val="00BD6DA6"/>
    <w:rsid w:val="00BD7570"/>
    <w:rsid w:val="00BD784C"/>
    <w:rsid w:val="00BE00A1"/>
    <w:rsid w:val="00BE1847"/>
    <w:rsid w:val="00BE2F9F"/>
    <w:rsid w:val="00BE33BC"/>
    <w:rsid w:val="00BE54FB"/>
    <w:rsid w:val="00BE70DA"/>
    <w:rsid w:val="00BF17DF"/>
    <w:rsid w:val="00BF1CD5"/>
    <w:rsid w:val="00BF4CB6"/>
    <w:rsid w:val="00BF6119"/>
    <w:rsid w:val="00BF726E"/>
    <w:rsid w:val="00BF775E"/>
    <w:rsid w:val="00C00DA7"/>
    <w:rsid w:val="00C0165A"/>
    <w:rsid w:val="00C01AC6"/>
    <w:rsid w:val="00C05DBF"/>
    <w:rsid w:val="00C06A1C"/>
    <w:rsid w:val="00C071B2"/>
    <w:rsid w:val="00C073EE"/>
    <w:rsid w:val="00C10313"/>
    <w:rsid w:val="00C12616"/>
    <w:rsid w:val="00C12768"/>
    <w:rsid w:val="00C2091E"/>
    <w:rsid w:val="00C2147E"/>
    <w:rsid w:val="00C279A1"/>
    <w:rsid w:val="00C27B58"/>
    <w:rsid w:val="00C326F1"/>
    <w:rsid w:val="00C330A8"/>
    <w:rsid w:val="00C335D6"/>
    <w:rsid w:val="00C34D99"/>
    <w:rsid w:val="00C35996"/>
    <w:rsid w:val="00C37C26"/>
    <w:rsid w:val="00C4088F"/>
    <w:rsid w:val="00C424D9"/>
    <w:rsid w:val="00C4510E"/>
    <w:rsid w:val="00C46F45"/>
    <w:rsid w:val="00C50335"/>
    <w:rsid w:val="00C50A54"/>
    <w:rsid w:val="00C5342C"/>
    <w:rsid w:val="00C54408"/>
    <w:rsid w:val="00C55C50"/>
    <w:rsid w:val="00C56B96"/>
    <w:rsid w:val="00C575C4"/>
    <w:rsid w:val="00C57D5A"/>
    <w:rsid w:val="00C603D4"/>
    <w:rsid w:val="00C623E4"/>
    <w:rsid w:val="00C6256A"/>
    <w:rsid w:val="00C64B59"/>
    <w:rsid w:val="00C65CCF"/>
    <w:rsid w:val="00C66BF7"/>
    <w:rsid w:val="00C70A64"/>
    <w:rsid w:val="00C776FC"/>
    <w:rsid w:val="00C81C82"/>
    <w:rsid w:val="00C84359"/>
    <w:rsid w:val="00C8507C"/>
    <w:rsid w:val="00C86398"/>
    <w:rsid w:val="00C865A4"/>
    <w:rsid w:val="00C87154"/>
    <w:rsid w:val="00C90705"/>
    <w:rsid w:val="00C90B6C"/>
    <w:rsid w:val="00C90D65"/>
    <w:rsid w:val="00C91449"/>
    <w:rsid w:val="00C9167B"/>
    <w:rsid w:val="00C91C66"/>
    <w:rsid w:val="00C92D10"/>
    <w:rsid w:val="00C9316A"/>
    <w:rsid w:val="00C934D7"/>
    <w:rsid w:val="00C95F49"/>
    <w:rsid w:val="00C96D6E"/>
    <w:rsid w:val="00CA1CFF"/>
    <w:rsid w:val="00CA3A8B"/>
    <w:rsid w:val="00CA3EC2"/>
    <w:rsid w:val="00CA4D86"/>
    <w:rsid w:val="00CA53E2"/>
    <w:rsid w:val="00CA68D8"/>
    <w:rsid w:val="00CA7757"/>
    <w:rsid w:val="00CB4969"/>
    <w:rsid w:val="00CB6C7B"/>
    <w:rsid w:val="00CB75E3"/>
    <w:rsid w:val="00CB7C78"/>
    <w:rsid w:val="00CC750C"/>
    <w:rsid w:val="00CD0A09"/>
    <w:rsid w:val="00CD613B"/>
    <w:rsid w:val="00CD6213"/>
    <w:rsid w:val="00CE01C7"/>
    <w:rsid w:val="00CE10C4"/>
    <w:rsid w:val="00CE27B5"/>
    <w:rsid w:val="00CE31FB"/>
    <w:rsid w:val="00CE36B3"/>
    <w:rsid w:val="00CE4198"/>
    <w:rsid w:val="00CF757A"/>
    <w:rsid w:val="00CF7A4F"/>
    <w:rsid w:val="00D0321E"/>
    <w:rsid w:val="00D074C8"/>
    <w:rsid w:val="00D07D64"/>
    <w:rsid w:val="00D1129C"/>
    <w:rsid w:val="00D12549"/>
    <w:rsid w:val="00D13C6E"/>
    <w:rsid w:val="00D1455A"/>
    <w:rsid w:val="00D15095"/>
    <w:rsid w:val="00D15D95"/>
    <w:rsid w:val="00D17B88"/>
    <w:rsid w:val="00D207A1"/>
    <w:rsid w:val="00D21E02"/>
    <w:rsid w:val="00D23121"/>
    <w:rsid w:val="00D23EEC"/>
    <w:rsid w:val="00D2707C"/>
    <w:rsid w:val="00D27443"/>
    <w:rsid w:val="00D306A7"/>
    <w:rsid w:val="00D30A88"/>
    <w:rsid w:val="00D3138B"/>
    <w:rsid w:val="00D3280C"/>
    <w:rsid w:val="00D32AAB"/>
    <w:rsid w:val="00D3406A"/>
    <w:rsid w:val="00D34481"/>
    <w:rsid w:val="00D34CBC"/>
    <w:rsid w:val="00D34F64"/>
    <w:rsid w:val="00D363DD"/>
    <w:rsid w:val="00D36F3B"/>
    <w:rsid w:val="00D407B0"/>
    <w:rsid w:val="00D43372"/>
    <w:rsid w:val="00D469B2"/>
    <w:rsid w:val="00D476C0"/>
    <w:rsid w:val="00D50F42"/>
    <w:rsid w:val="00D5148A"/>
    <w:rsid w:val="00D52AF0"/>
    <w:rsid w:val="00D5322F"/>
    <w:rsid w:val="00D53F8C"/>
    <w:rsid w:val="00D55ECE"/>
    <w:rsid w:val="00D617D6"/>
    <w:rsid w:val="00D633D1"/>
    <w:rsid w:val="00D640B1"/>
    <w:rsid w:val="00D6555A"/>
    <w:rsid w:val="00D655AB"/>
    <w:rsid w:val="00D721A6"/>
    <w:rsid w:val="00D7242E"/>
    <w:rsid w:val="00D741EB"/>
    <w:rsid w:val="00D77675"/>
    <w:rsid w:val="00D80763"/>
    <w:rsid w:val="00D81DC0"/>
    <w:rsid w:val="00D84934"/>
    <w:rsid w:val="00D85DA0"/>
    <w:rsid w:val="00D869F6"/>
    <w:rsid w:val="00D90D1D"/>
    <w:rsid w:val="00D91271"/>
    <w:rsid w:val="00D930F1"/>
    <w:rsid w:val="00D9389E"/>
    <w:rsid w:val="00D9644B"/>
    <w:rsid w:val="00DA00A6"/>
    <w:rsid w:val="00DA2CB5"/>
    <w:rsid w:val="00DA3537"/>
    <w:rsid w:val="00DA4BAC"/>
    <w:rsid w:val="00DA5F99"/>
    <w:rsid w:val="00DA7A40"/>
    <w:rsid w:val="00DB1C90"/>
    <w:rsid w:val="00DB6903"/>
    <w:rsid w:val="00DB6FC9"/>
    <w:rsid w:val="00DC1ED8"/>
    <w:rsid w:val="00DC23E2"/>
    <w:rsid w:val="00DC4A63"/>
    <w:rsid w:val="00DC53ED"/>
    <w:rsid w:val="00DC73DD"/>
    <w:rsid w:val="00DD33CA"/>
    <w:rsid w:val="00DD33E3"/>
    <w:rsid w:val="00DD3633"/>
    <w:rsid w:val="00DD73C9"/>
    <w:rsid w:val="00DE143F"/>
    <w:rsid w:val="00DE3EB6"/>
    <w:rsid w:val="00DE511A"/>
    <w:rsid w:val="00DE5ED0"/>
    <w:rsid w:val="00DE6D27"/>
    <w:rsid w:val="00DF0E97"/>
    <w:rsid w:val="00DF217D"/>
    <w:rsid w:val="00DF26A7"/>
    <w:rsid w:val="00DF6236"/>
    <w:rsid w:val="00DF791C"/>
    <w:rsid w:val="00E0020A"/>
    <w:rsid w:val="00E03177"/>
    <w:rsid w:val="00E05895"/>
    <w:rsid w:val="00E06451"/>
    <w:rsid w:val="00E072E4"/>
    <w:rsid w:val="00E10465"/>
    <w:rsid w:val="00E10BD4"/>
    <w:rsid w:val="00E1131D"/>
    <w:rsid w:val="00E11417"/>
    <w:rsid w:val="00E12483"/>
    <w:rsid w:val="00E12532"/>
    <w:rsid w:val="00E12F56"/>
    <w:rsid w:val="00E12F5C"/>
    <w:rsid w:val="00E15627"/>
    <w:rsid w:val="00E16237"/>
    <w:rsid w:val="00E164B3"/>
    <w:rsid w:val="00E16910"/>
    <w:rsid w:val="00E17039"/>
    <w:rsid w:val="00E21CCC"/>
    <w:rsid w:val="00E23B40"/>
    <w:rsid w:val="00E2445A"/>
    <w:rsid w:val="00E247B8"/>
    <w:rsid w:val="00E24AD1"/>
    <w:rsid w:val="00E26A80"/>
    <w:rsid w:val="00E273AC"/>
    <w:rsid w:val="00E3036A"/>
    <w:rsid w:val="00E311A4"/>
    <w:rsid w:val="00E3242E"/>
    <w:rsid w:val="00E33DCC"/>
    <w:rsid w:val="00E33E39"/>
    <w:rsid w:val="00E34773"/>
    <w:rsid w:val="00E36085"/>
    <w:rsid w:val="00E37758"/>
    <w:rsid w:val="00E41296"/>
    <w:rsid w:val="00E420A5"/>
    <w:rsid w:val="00E447EB"/>
    <w:rsid w:val="00E4480A"/>
    <w:rsid w:val="00E44A55"/>
    <w:rsid w:val="00E44A7D"/>
    <w:rsid w:val="00E50156"/>
    <w:rsid w:val="00E51083"/>
    <w:rsid w:val="00E53254"/>
    <w:rsid w:val="00E62341"/>
    <w:rsid w:val="00E625C7"/>
    <w:rsid w:val="00E63823"/>
    <w:rsid w:val="00E651A6"/>
    <w:rsid w:val="00E6586D"/>
    <w:rsid w:val="00E65E54"/>
    <w:rsid w:val="00E704CD"/>
    <w:rsid w:val="00E71A83"/>
    <w:rsid w:val="00E73DF8"/>
    <w:rsid w:val="00E74BAC"/>
    <w:rsid w:val="00E74C3D"/>
    <w:rsid w:val="00E74CE0"/>
    <w:rsid w:val="00E756E7"/>
    <w:rsid w:val="00E80155"/>
    <w:rsid w:val="00E848C0"/>
    <w:rsid w:val="00E854BA"/>
    <w:rsid w:val="00E90679"/>
    <w:rsid w:val="00E91B96"/>
    <w:rsid w:val="00E941A1"/>
    <w:rsid w:val="00E94D7B"/>
    <w:rsid w:val="00E95A65"/>
    <w:rsid w:val="00E95CE3"/>
    <w:rsid w:val="00EA2825"/>
    <w:rsid w:val="00EA315A"/>
    <w:rsid w:val="00EA347B"/>
    <w:rsid w:val="00EA4C62"/>
    <w:rsid w:val="00EA5558"/>
    <w:rsid w:val="00EA5CF9"/>
    <w:rsid w:val="00EA6BF2"/>
    <w:rsid w:val="00EA6C46"/>
    <w:rsid w:val="00EA79C0"/>
    <w:rsid w:val="00EB0637"/>
    <w:rsid w:val="00EB1A8B"/>
    <w:rsid w:val="00EB2127"/>
    <w:rsid w:val="00EB273A"/>
    <w:rsid w:val="00EB27D7"/>
    <w:rsid w:val="00EB5088"/>
    <w:rsid w:val="00EB7BA8"/>
    <w:rsid w:val="00EC2370"/>
    <w:rsid w:val="00EC43F0"/>
    <w:rsid w:val="00EC449C"/>
    <w:rsid w:val="00EC634D"/>
    <w:rsid w:val="00EC7EDF"/>
    <w:rsid w:val="00ED1644"/>
    <w:rsid w:val="00ED2593"/>
    <w:rsid w:val="00ED4E1B"/>
    <w:rsid w:val="00EE13AB"/>
    <w:rsid w:val="00EE388A"/>
    <w:rsid w:val="00EE4020"/>
    <w:rsid w:val="00EE52BA"/>
    <w:rsid w:val="00EE5E0B"/>
    <w:rsid w:val="00EF2AA9"/>
    <w:rsid w:val="00EF33CB"/>
    <w:rsid w:val="00EF348F"/>
    <w:rsid w:val="00EF3EDF"/>
    <w:rsid w:val="00EF44A0"/>
    <w:rsid w:val="00EF4FED"/>
    <w:rsid w:val="00F01083"/>
    <w:rsid w:val="00F02295"/>
    <w:rsid w:val="00F033A0"/>
    <w:rsid w:val="00F050BD"/>
    <w:rsid w:val="00F05657"/>
    <w:rsid w:val="00F10A2A"/>
    <w:rsid w:val="00F12859"/>
    <w:rsid w:val="00F14875"/>
    <w:rsid w:val="00F20E2A"/>
    <w:rsid w:val="00F2185F"/>
    <w:rsid w:val="00F223F1"/>
    <w:rsid w:val="00F24224"/>
    <w:rsid w:val="00F248E3"/>
    <w:rsid w:val="00F25578"/>
    <w:rsid w:val="00F258E5"/>
    <w:rsid w:val="00F25C70"/>
    <w:rsid w:val="00F300BC"/>
    <w:rsid w:val="00F311E3"/>
    <w:rsid w:val="00F3208D"/>
    <w:rsid w:val="00F3334E"/>
    <w:rsid w:val="00F33FFC"/>
    <w:rsid w:val="00F34720"/>
    <w:rsid w:val="00F350EE"/>
    <w:rsid w:val="00F37457"/>
    <w:rsid w:val="00F40529"/>
    <w:rsid w:val="00F40F7D"/>
    <w:rsid w:val="00F45874"/>
    <w:rsid w:val="00F45A64"/>
    <w:rsid w:val="00F46B73"/>
    <w:rsid w:val="00F501F1"/>
    <w:rsid w:val="00F50EC4"/>
    <w:rsid w:val="00F532E1"/>
    <w:rsid w:val="00F53894"/>
    <w:rsid w:val="00F53FEF"/>
    <w:rsid w:val="00F546A8"/>
    <w:rsid w:val="00F56682"/>
    <w:rsid w:val="00F57A6D"/>
    <w:rsid w:val="00F6116F"/>
    <w:rsid w:val="00F619CE"/>
    <w:rsid w:val="00F638CC"/>
    <w:rsid w:val="00F63CEC"/>
    <w:rsid w:val="00F641AA"/>
    <w:rsid w:val="00F64AE5"/>
    <w:rsid w:val="00F64CC1"/>
    <w:rsid w:val="00F66223"/>
    <w:rsid w:val="00F67781"/>
    <w:rsid w:val="00F70D56"/>
    <w:rsid w:val="00F73247"/>
    <w:rsid w:val="00F748F7"/>
    <w:rsid w:val="00F8247A"/>
    <w:rsid w:val="00F92FDE"/>
    <w:rsid w:val="00F94389"/>
    <w:rsid w:val="00F9629A"/>
    <w:rsid w:val="00FA2567"/>
    <w:rsid w:val="00FA49EC"/>
    <w:rsid w:val="00FA4D46"/>
    <w:rsid w:val="00FA5883"/>
    <w:rsid w:val="00FA6055"/>
    <w:rsid w:val="00FA64F7"/>
    <w:rsid w:val="00FA6AC3"/>
    <w:rsid w:val="00FA70EB"/>
    <w:rsid w:val="00FA729B"/>
    <w:rsid w:val="00FB0F0A"/>
    <w:rsid w:val="00FB2937"/>
    <w:rsid w:val="00FB322F"/>
    <w:rsid w:val="00FB383E"/>
    <w:rsid w:val="00FB4069"/>
    <w:rsid w:val="00FB40D1"/>
    <w:rsid w:val="00FB442F"/>
    <w:rsid w:val="00FB64C1"/>
    <w:rsid w:val="00FB6D4C"/>
    <w:rsid w:val="00FB7BFA"/>
    <w:rsid w:val="00FC1929"/>
    <w:rsid w:val="00FC38DA"/>
    <w:rsid w:val="00FC424E"/>
    <w:rsid w:val="00FC470B"/>
    <w:rsid w:val="00FC4A8B"/>
    <w:rsid w:val="00FC5B46"/>
    <w:rsid w:val="00FC74BC"/>
    <w:rsid w:val="00FD077F"/>
    <w:rsid w:val="00FD2746"/>
    <w:rsid w:val="00FD2867"/>
    <w:rsid w:val="00FD309C"/>
    <w:rsid w:val="00FD7998"/>
    <w:rsid w:val="00FE0E94"/>
    <w:rsid w:val="00FE13C1"/>
    <w:rsid w:val="00FE1ECE"/>
    <w:rsid w:val="00FE2D26"/>
    <w:rsid w:val="00FE5687"/>
    <w:rsid w:val="00FF00BD"/>
    <w:rsid w:val="00FF0390"/>
    <w:rsid w:val="00FF1345"/>
    <w:rsid w:val="00FF1CE6"/>
    <w:rsid w:val="00FF1ED4"/>
    <w:rsid w:val="00FF2801"/>
    <w:rsid w:val="00FF296C"/>
    <w:rsid w:val="00FF2C62"/>
    <w:rsid w:val="00FF3DC4"/>
    <w:rsid w:val="00FF79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link w:val="Heading2Char"/>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character" w:customStyle="1" w:styleId="Heading2Char">
    <w:name w:val="Heading 2 Char"/>
    <w:basedOn w:val="DefaultParagraphFont"/>
    <w:link w:val="Heading2"/>
    <w:rsid w:val="00315C40"/>
    <w:rPr>
      <w:rFonts w:ascii="Arial" w:hAnsi="Arial"/>
      <w:b/>
      <w:i/>
      <w:sz w:val="22"/>
      <w:szCs w:val="24"/>
    </w:rPr>
  </w:style>
  <w:style w:type="paragraph" w:styleId="Revision">
    <w:name w:val="Revision"/>
    <w:hidden/>
    <w:uiPriority w:val="71"/>
    <w:rsid w:val="00045348"/>
    <w:rPr>
      <w:sz w:val="24"/>
      <w:szCs w:val="24"/>
    </w:rPr>
  </w:style>
  <w:style w:type="paragraph" w:customStyle="1" w:styleId="Default">
    <w:name w:val="Default"/>
    <w:rsid w:val="009716DC"/>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link w:val="Heading2Char"/>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character" w:customStyle="1" w:styleId="Heading2Char">
    <w:name w:val="Heading 2 Char"/>
    <w:basedOn w:val="DefaultParagraphFont"/>
    <w:link w:val="Heading2"/>
    <w:rsid w:val="00315C40"/>
    <w:rPr>
      <w:rFonts w:ascii="Arial" w:hAnsi="Arial"/>
      <w:b/>
      <w:i/>
      <w:sz w:val="22"/>
      <w:szCs w:val="24"/>
    </w:rPr>
  </w:style>
  <w:style w:type="paragraph" w:styleId="Revision">
    <w:name w:val="Revision"/>
    <w:hidden/>
    <w:uiPriority w:val="71"/>
    <w:rsid w:val="00045348"/>
    <w:rPr>
      <w:sz w:val="24"/>
      <w:szCs w:val="24"/>
    </w:rPr>
  </w:style>
  <w:style w:type="paragraph" w:customStyle="1" w:styleId="Default">
    <w:name w:val="Default"/>
    <w:rsid w:val="009716D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133787414">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A3B48-A395-4675-BD46-425946990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3667</Words>
  <Characters>20133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2017-02-06T00:45:00Z</dcterms:created>
  <dcterms:modified xsi:type="dcterms:W3CDTF">2017-02-17T04:54:00Z</dcterms:modified>
</cp:coreProperties>
</file>