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Default="00FF3DF8" w:rsidP="000A7EB2">
      <w:pPr>
        <w:pStyle w:val="Heading1"/>
        <w:widowControl/>
        <w:jc w:val="left"/>
        <w:rPr>
          <w:caps w:val="0"/>
          <w:sz w:val="28"/>
        </w:rPr>
      </w:pPr>
      <w:bookmarkStart w:id="0" w:name="_Toc461529319"/>
      <w:r>
        <w:rPr>
          <w:sz w:val="28"/>
        </w:rPr>
        <w:t>5.09</w:t>
      </w:r>
      <w:r w:rsidR="00F7577E">
        <w:rPr>
          <w:sz w:val="28"/>
        </w:rPr>
        <w:tab/>
      </w:r>
      <w:r w:rsidR="00D01CA0">
        <w:rPr>
          <w:sz w:val="28"/>
        </w:rPr>
        <w:t>IRINOTECAN</w:t>
      </w:r>
      <w:r w:rsidR="009369FC">
        <w:rPr>
          <w:sz w:val="28"/>
        </w:rPr>
        <w:t>,</w:t>
      </w:r>
      <w:r w:rsidR="009369FC">
        <w:rPr>
          <w:sz w:val="28"/>
        </w:rPr>
        <w:br/>
      </w:r>
      <w:r w:rsidR="00637343">
        <w:rPr>
          <w:caps w:val="0"/>
          <w:sz w:val="28"/>
        </w:rPr>
        <w:t>43 mg irinotecan (nanoliposomal) in 10 mL i</w:t>
      </w:r>
      <w:r w:rsidR="00844AAB" w:rsidRPr="00844AAB">
        <w:rPr>
          <w:caps w:val="0"/>
          <w:sz w:val="28"/>
        </w:rPr>
        <w:t>njection</w:t>
      </w:r>
      <w:r w:rsidR="009369FC">
        <w:rPr>
          <w:caps w:val="0"/>
          <w:sz w:val="28"/>
        </w:rPr>
        <w:t>,</w:t>
      </w:r>
      <w:r w:rsidR="009369FC">
        <w:rPr>
          <w:sz w:val="28"/>
        </w:rPr>
        <w:br/>
      </w:r>
      <w:r w:rsidR="00F7577E">
        <w:rPr>
          <w:sz w:val="28"/>
        </w:rPr>
        <w:t>O</w:t>
      </w:r>
      <w:r w:rsidR="00F7577E" w:rsidRPr="00921841">
        <w:rPr>
          <w:caps w:val="0"/>
          <w:sz w:val="28"/>
        </w:rPr>
        <w:t>nivyde</w:t>
      </w:r>
      <w:r w:rsidR="00B60939" w:rsidRPr="00207D00">
        <w:rPr>
          <w:sz w:val="28"/>
          <w:vertAlign w:val="superscript"/>
        </w:rPr>
        <w:t>®</w:t>
      </w:r>
      <w:r w:rsidR="009369FC" w:rsidRPr="009369FC">
        <w:rPr>
          <w:sz w:val="28"/>
          <w:vertAlign w:val="subscript"/>
        </w:rPr>
        <w:t>,</w:t>
      </w:r>
      <w:r w:rsidR="00EB01F8">
        <w:rPr>
          <w:sz w:val="28"/>
          <w:vertAlign w:val="subscript"/>
        </w:rPr>
        <w:t xml:space="preserve"> </w:t>
      </w:r>
      <w:r w:rsidR="00751484">
        <w:rPr>
          <w:sz w:val="28"/>
          <w:vertAlign w:val="subscript"/>
        </w:rPr>
        <w:br/>
      </w:r>
      <w:r w:rsidR="00F7577E">
        <w:rPr>
          <w:caps w:val="0"/>
          <w:sz w:val="28"/>
        </w:rPr>
        <w:t>Baxalta</w:t>
      </w:r>
      <w:bookmarkEnd w:id="0"/>
      <w:r w:rsidR="00E7364A">
        <w:rPr>
          <w:caps w:val="0"/>
          <w:sz w:val="28"/>
        </w:rPr>
        <w:t xml:space="preserve"> Australia Pty Ltd.</w:t>
      </w:r>
    </w:p>
    <w:p w:rsidR="00433044" w:rsidRDefault="00433044" w:rsidP="000A7EB2">
      <w:pPr>
        <w:widowControl/>
      </w:pPr>
    </w:p>
    <w:p w:rsidR="00B60939" w:rsidRDefault="00B60939" w:rsidP="000A7EB2">
      <w:pPr>
        <w:widowControl/>
      </w:pPr>
    </w:p>
    <w:p w:rsidR="00B50DB8" w:rsidRPr="00407F2D" w:rsidRDefault="00B50DB8" w:rsidP="000A7EB2">
      <w:pPr>
        <w:pStyle w:val="PBACHeading1"/>
      </w:pPr>
      <w:bookmarkStart w:id="1" w:name="_Toc461529321"/>
      <w:r w:rsidRPr="00407F2D">
        <w:t>Purpose of Application</w:t>
      </w:r>
      <w:bookmarkEnd w:id="1"/>
    </w:p>
    <w:p w:rsidR="00B60939" w:rsidRPr="00882085" w:rsidRDefault="00B60939" w:rsidP="000A7EB2">
      <w:pPr>
        <w:widowControl/>
        <w:rPr>
          <w:szCs w:val="22"/>
        </w:rPr>
      </w:pPr>
    </w:p>
    <w:p w:rsidR="002C2775" w:rsidRPr="00B50DB8" w:rsidRDefault="00526E1D" w:rsidP="000A7EB2">
      <w:pPr>
        <w:pStyle w:val="ListParagraph"/>
        <w:widowControl/>
        <w:numPr>
          <w:ilvl w:val="1"/>
          <w:numId w:val="1"/>
        </w:numPr>
        <w:rPr>
          <w:szCs w:val="22"/>
        </w:rPr>
      </w:pPr>
      <w:r>
        <w:t xml:space="preserve">The submission requested </w:t>
      </w:r>
      <w:r w:rsidR="00F964FA">
        <w:t xml:space="preserve">a </w:t>
      </w:r>
      <w:r>
        <w:t xml:space="preserve">Section 100 (Efficient Funding of Chemotherapy) </w:t>
      </w:r>
      <w:r w:rsidR="00F964FA">
        <w:t xml:space="preserve">Authority Required listing </w:t>
      </w:r>
      <w:r w:rsidR="001E238E" w:rsidRPr="004B3DDB">
        <w:t>for</w:t>
      </w:r>
      <w:r w:rsidR="00F964FA">
        <w:t xml:space="preserve"> irinotecan</w:t>
      </w:r>
      <w:r w:rsidR="00D01CA0">
        <w:t xml:space="preserve"> (</w:t>
      </w:r>
      <w:r w:rsidR="00E60755">
        <w:t xml:space="preserve">in the form of </w:t>
      </w:r>
      <w:r w:rsidR="00E60755" w:rsidRPr="00E60755">
        <w:t>I.V. injection containing nanoliposomal irinotecan 43 mg in 10 mL</w:t>
      </w:r>
      <w:r w:rsidR="00E60755">
        <w:t>, hereafter referred to as irinotecan (</w:t>
      </w:r>
      <w:r w:rsidR="00D01CA0">
        <w:t>nanoliposomal</w:t>
      </w:r>
      <w:r w:rsidR="00E60755">
        <w:t>)</w:t>
      </w:r>
      <w:r w:rsidR="00D01CA0">
        <w:t>)</w:t>
      </w:r>
      <w:r w:rsidR="00F964FA">
        <w:t xml:space="preserve">, in combination with </w:t>
      </w:r>
      <w:r w:rsidR="00D01CA0">
        <w:t>5</w:t>
      </w:r>
      <w:r w:rsidR="00E9152B">
        <w:noBreakHyphen/>
      </w:r>
      <w:r w:rsidR="00F964FA">
        <w:t xml:space="preserve">fluorouracil </w:t>
      </w:r>
      <w:r w:rsidR="00D01CA0">
        <w:t xml:space="preserve">(5-FU) </w:t>
      </w:r>
      <w:r w:rsidR="00F964FA">
        <w:t>and folinic acid</w:t>
      </w:r>
      <w:r w:rsidR="00D01CA0">
        <w:t xml:space="preserve"> </w:t>
      </w:r>
      <w:r w:rsidR="00F964FA">
        <w:t>for the treatment of metastatic pancreatic adenocarcinoma in adult patients with disease progression who have previously received gemcitabine-based therapy.</w:t>
      </w:r>
    </w:p>
    <w:p w:rsidR="00B60939" w:rsidRDefault="00B60939" w:rsidP="000A7EB2">
      <w:pPr>
        <w:widowControl/>
      </w:pPr>
    </w:p>
    <w:p w:rsidR="004E43B2" w:rsidRPr="00882085" w:rsidRDefault="004E43B2" w:rsidP="000A7EB2">
      <w:pPr>
        <w:widowControl/>
      </w:pPr>
    </w:p>
    <w:p w:rsidR="00B50DB8" w:rsidRPr="00407F2D" w:rsidRDefault="00B50DB8" w:rsidP="000A7EB2">
      <w:pPr>
        <w:pStyle w:val="PBACHeading1"/>
      </w:pPr>
      <w:bookmarkStart w:id="2" w:name="_Toc461529322"/>
      <w:r w:rsidRPr="00407F2D">
        <w:t>Requested listing</w:t>
      </w:r>
      <w:bookmarkEnd w:id="2"/>
    </w:p>
    <w:p w:rsidR="00B60939" w:rsidRDefault="00B60939" w:rsidP="000A7EB2">
      <w:pPr>
        <w:widowControl/>
      </w:pPr>
    </w:p>
    <w:p w:rsidR="00FF3D04" w:rsidRPr="005A2ED4" w:rsidRDefault="00FF3D04" w:rsidP="000A7EB2">
      <w:pPr>
        <w:pStyle w:val="ListParagraph"/>
        <w:widowControl/>
        <w:numPr>
          <w:ilvl w:val="1"/>
          <w:numId w:val="1"/>
        </w:numPr>
        <w:rPr>
          <w:szCs w:val="22"/>
        </w:rPr>
      </w:pPr>
      <w:r w:rsidRPr="005A2ED4">
        <w:rPr>
          <w:szCs w:val="22"/>
        </w:rPr>
        <w:t>Suggestions and additions proposed by the Secretariat to the requested listing are added in italics and suggested deletions are crossed out with strikethrough.</w:t>
      </w:r>
    </w:p>
    <w:p w:rsidR="00FF3D04" w:rsidRPr="005A2ED4" w:rsidRDefault="00FF3D04" w:rsidP="000A7EB2">
      <w:pPr>
        <w:widowControl/>
      </w:pPr>
    </w:p>
    <w:tbl>
      <w:tblPr>
        <w:tblW w:w="8363" w:type="dxa"/>
        <w:tblInd w:w="817" w:type="dxa"/>
        <w:tblLayout w:type="fixed"/>
        <w:tblLook w:val="0000" w:firstRow="0" w:lastRow="0" w:firstColumn="0" w:lastColumn="0" w:noHBand="0" w:noVBand="0"/>
      </w:tblPr>
      <w:tblGrid>
        <w:gridCol w:w="1701"/>
        <w:gridCol w:w="1276"/>
        <w:gridCol w:w="709"/>
        <w:gridCol w:w="567"/>
        <w:gridCol w:w="1134"/>
        <w:gridCol w:w="850"/>
        <w:gridCol w:w="992"/>
        <w:gridCol w:w="1134"/>
      </w:tblGrid>
      <w:tr w:rsidR="00FF3D04" w:rsidRPr="005A2ED4" w:rsidTr="00CC23F9">
        <w:trPr>
          <w:cantSplit/>
          <w:trHeight w:val="471"/>
        </w:trPr>
        <w:tc>
          <w:tcPr>
            <w:tcW w:w="2977" w:type="dxa"/>
            <w:gridSpan w:val="2"/>
            <w:tcBorders>
              <w:bottom w:val="single" w:sz="4" w:space="0" w:color="auto"/>
            </w:tcBorders>
          </w:tcPr>
          <w:p w:rsidR="00FF3D04" w:rsidRPr="005A2ED4" w:rsidRDefault="00FF3D04" w:rsidP="000A7EB2">
            <w:pPr>
              <w:keepNext/>
              <w:widowControl/>
              <w:ind w:left="-108"/>
              <w:rPr>
                <w:rFonts w:ascii="Arial Narrow" w:hAnsi="Arial Narrow"/>
                <w:sz w:val="20"/>
              </w:rPr>
            </w:pPr>
            <w:r w:rsidRPr="005A2ED4">
              <w:rPr>
                <w:rFonts w:ascii="Arial Narrow" w:hAnsi="Arial Narrow"/>
                <w:sz w:val="20"/>
              </w:rPr>
              <w:t>Name, Restriction,</w:t>
            </w:r>
          </w:p>
          <w:p w:rsidR="00FF3D04" w:rsidRPr="005A2ED4" w:rsidRDefault="00FF3D04" w:rsidP="000A7EB2">
            <w:pPr>
              <w:keepNext/>
              <w:widowControl/>
              <w:ind w:left="-108"/>
              <w:rPr>
                <w:rFonts w:ascii="Arial Narrow" w:hAnsi="Arial Narrow"/>
                <w:sz w:val="20"/>
              </w:rPr>
            </w:pPr>
            <w:r w:rsidRPr="005A2ED4">
              <w:rPr>
                <w:rFonts w:ascii="Arial Narrow" w:hAnsi="Arial Narrow"/>
                <w:sz w:val="20"/>
              </w:rPr>
              <w:t>Manner of administration and form</w:t>
            </w:r>
          </w:p>
        </w:tc>
        <w:tc>
          <w:tcPr>
            <w:tcW w:w="709" w:type="dxa"/>
            <w:tcBorders>
              <w:bottom w:val="single" w:sz="4" w:space="0" w:color="auto"/>
            </w:tcBorders>
          </w:tcPr>
          <w:p w:rsidR="00FF3D04" w:rsidRPr="005A2ED4" w:rsidRDefault="00FF3D04" w:rsidP="000A7EB2">
            <w:pPr>
              <w:keepNext/>
              <w:widowControl/>
              <w:ind w:left="-108"/>
              <w:rPr>
                <w:rFonts w:ascii="Arial Narrow" w:hAnsi="Arial Narrow"/>
                <w:sz w:val="20"/>
              </w:rPr>
            </w:pPr>
            <w:r w:rsidRPr="005A2ED4">
              <w:rPr>
                <w:rFonts w:ascii="Arial Narrow" w:hAnsi="Arial Narrow"/>
                <w:sz w:val="20"/>
              </w:rPr>
              <w:t>Max.</w:t>
            </w:r>
          </w:p>
          <w:p w:rsidR="00FF3D04" w:rsidRPr="005A2ED4" w:rsidRDefault="00FF3D04" w:rsidP="000A7EB2">
            <w:pPr>
              <w:keepNext/>
              <w:widowControl/>
              <w:ind w:left="-108"/>
              <w:rPr>
                <w:rFonts w:ascii="Arial Narrow" w:hAnsi="Arial Narrow"/>
                <w:sz w:val="20"/>
              </w:rPr>
            </w:pPr>
            <w:r w:rsidRPr="005A2ED4">
              <w:rPr>
                <w:rFonts w:ascii="Arial Narrow" w:hAnsi="Arial Narrow"/>
                <w:sz w:val="20"/>
              </w:rPr>
              <w:t>Amount</w:t>
            </w:r>
          </w:p>
        </w:tc>
        <w:tc>
          <w:tcPr>
            <w:tcW w:w="567" w:type="dxa"/>
            <w:tcBorders>
              <w:bottom w:val="single" w:sz="4" w:space="0" w:color="auto"/>
            </w:tcBorders>
          </w:tcPr>
          <w:p w:rsidR="00FF3D04" w:rsidRPr="005A2ED4" w:rsidRDefault="00FF3D04" w:rsidP="000A7EB2">
            <w:pPr>
              <w:keepNext/>
              <w:widowControl/>
              <w:ind w:left="-108"/>
              <w:rPr>
                <w:rFonts w:ascii="Arial Narrow" w:hAnsi="Arial Narrow"/>
                <w:sz w:val="20"/>
              </w:rPr>
            </w:pPr>
            <w:r w:rsidRPr="005A2ED4">
              <w:rPr>
                <w:rFonts w:ascii="Arial Narrow" w:hAnsi="Arial Narrow"/>
                <w:sz w:val="20"/>
              </w:rPr>
              <w:t>№.of</w:t>
            </w:r>
          </w:p>
          <w:p w:rsidR="00FF3D04" w:rsidRPr="005A2ED4" w:rsidRDefault="00FF3D04" w:rsidP="000A7EB2">
            <w:pPr>
              <w:keepNext/>
              <w:widowControl/>
              <w:ind w:left="-108"/>
              <w:rPr>
                <w:rFonts w:ascii="Arial Narrow" w:hAnsi="Arial Narrow"/>
                <w:sz w:val="20"/>
              </w:rPr>
            </w:pPr>
            <w:r w:rsidRPr="005A2ED4">
              <w:rPr>
                <w:rFonts w:ascii="Arial Narrow" w:hAnsi="Arial Narrow"/>
                <w:sz w:val="20"/>
              </w:rPr>
              <w:t>Rpts</w:t>
            </w:r>
          </w:p>
        </w:tc>
        <w:tc>
          <w:tcPr>
            <w:tcW w:w="1134" w:type="dxa"/>
            <w:tcBorders>
              <w:bottom w:val="single" w:sz="4" w:space="0" w:color="auto"/>
            </w:tcBorders>
          </w:tcPr>
          <w:p w:rsidR="00FF3D04" w:rsidRPr="005A2ED4" w:rsidRDefault="00FF3D04" w:rsidP="000A7EB2">
            <w:pPr>
              <w:keepNext/>
              <w:widowControl/>
              <w:ind w:left="-108"/>
              <w:rPr>
                <w:rFonts w:ascii="Arial Narrow" w:hAnsi="Arial Narrow"/>
                <w:sz w:val="20"/>
              </w:rPr>
            </w:pPr>
            <w:r w:rsidRPr="005A2ED4">
              <w:rPr>
                <w:rFonts w:ascii="Arial Narrow" w:hAnsi="Arial Narrow"/>
                <w:sz w:val="20"/>
              </w:rPr>
              <w:t>DPMQ (published)</w:t>
            </w:r>
          </w:p>
        </w:tc>
        <w:tc>
          <w:tcPr>
            <w:tcW w:w="850" w:type="dxa"/>
            <w:tcBorders>
              <w:bottom w:val="single" w:sz="4" w:space="0" w:color="auto"/>
            </w:tcBorders>
          </w:tcPr>
          <w:p w:rsidR="00FF3D04" w:rsidRPr="005A2ED4" w:rsidRDefault="00FF3D04" w:rsidP="000A7EB2">
            <w:pPr>
              <w:keepNext/>
              <w:widowControl/>
              <w:ind w:left="-108"/>
              <w:rPr>
                <w:rFonts w:ascii="Arial Narrow" w:hAnsi="Arial Narrow"/>
                <w:sz w:val="20"/>
              </w:rPr>
            </w:pPr>
            <w:r w:rsidRPr="005A2ED4">
              <w:rPr>
                <w:rFonts w:ascii="Arial Narrow" w:hAnsi="Arial Narrow"/>
                <w:sz w:val="20"/>
              </w:rPr>
              <w:t>DPMQ (effective)</w:t>
            </w:r>
          </w:p>
        </w:tc>
        <w:tc>
          <w:tcPr>
            <w:tcW w:w="2126" w:type="dxa"/>
            <w:gridSpan w:val="2"/>
            <w:tcBorders>
              <w:bottom w:val="single" w:sz="4" w:space="0" w:color="auto"/>
            </w:tcBorders>
          </w:tcPr>
          <w:p w:rsidR="00FF3D04" w:rsidRPr="005A2ED4" w:rsidRDefault="00FF3D04" w:rsidP="000A7EB2">
            <w:pPr>
              <w:keepNext/>
              <w:widowControl/>
              <w:rPr>
                <w:rFonts w:ascii="Arial Narrow" w:hAnsi="Arial Narrow"/>
                <w:sz w:val="20"/>
                <w:lang w:val="fr-FR"/>
              </w:rPr>
            </w:pPr>
            <w:r w:rsidRPr="005A2ED4">
              <w:rPr>
                <w:rFonts w:ascii="Arial Narrow" w:hAnsi="Arial Narrow"/>
                <w:sz w:val="20"/>
              </w:rPr>
              <w:t>Proprietary Name and Manufacturer</w:t>
            </w:r>
          </w:p>
        </w:tc>
      </w:tr>
      <w:tr w:rsidR="00FF3D04" w:rsidRPr="005A2ED4" w:rsidTr="00CC23F9">
        <w:trPr>
          <w:cantSplit/>
          <w:trHeight w:val="577"/>
        </w:trPr>
        <w:tc>
          <w:tcPr>
            <w:tcW w:w="2977" w:type="dxa"/>
            <w:gridSpan w:val="2"/>
          </w:tcPr>
          <w:p w:rsidR="00FF3D04" w:rsidRPr="005A2ED4" w:rsidRDefault="00FF3D04" w:rsidP="000A7EB2">
            <w:pPr>
              <w:keepNext/>
              <w:widowControl/>
              <w:ind w:left="-108"/>
              <w:rPr>
                <w:rFonts w:ascii="Arial Narrow" w:hAnsi="Arial Narrow"/>
                <w:sz w:val="20"/>
              </w:rPr>
            </w:pPr>
            <w:r w:rsidRPr="005A2ED4">
              <w:rPr>
                <w:rFonts w:ascii="Arial Narrow" w:hAnsi="Arial Narrow"/>
                <w:smallCaps/>
                <w:sz w:val="20"/>
              </w:rPr>
              <w:t>IRINOTECAN</w:t>
            </w:r>
          </w:p>
          <w:p w:rsidR="00FF3D04" w:rsidRPr="005A2ED4" w:rsidRDefault="00FF3D04" w:rsidP="000A7EB2">
            <w:pPr>
              <w:keepNext/>
              <w:widowControl/>
              <w:ind w:left="-108"/>
              <w:rPr>
                <w:rFonts w:ascii="Arial Narrow" w:hAnsi="Arial Narrow"/>
                <w:sz w:val="20"/>
              </w:rPr>
            </w:pPr>
            <w:r w:rsidRPr="005A2ED4">
              <w:rPr>
                <w:rFonts w:ascii="Arial Narrow" w:hAnsi="Arial Narrow"/>
                <w:sz w:val="20"/>
              </w:rPr>
              <w:t xml:space="preserve">irinotecan - nanoliposomal </w:t>
            </w:r>
            <w:r w:rsidRPr="005A2ED4">
              <w:rPr>
                <w:rFonts w:ascii="Arial Narrow" w:hAnsi="Arial Narrow"/>
                <w:i/>
                <w:sz w:val="20"/>
              </w:rPr>
              <w:t>43</w:t>
            </w:r>
            <w:r w:rsidRPr="005A2ED4">
              <w:rPr>
                <w:rFonts w:ascii="Arial Narrow" w:hAnsi="Arial Narrow"/>
                <w:sz w:val="20"/>
              </w:rPr>
              <w:t xml:space="preserve"> mg/10 mL injection, 10 mL vial</w:t>
            </w:r>
            <w:bookmarkStart w:id="3" w:name="_GoBack"/>
            <w:bookmarkEnd w:id="3"/>
          </w:p>
        </w:tc>
        <w:tc>
          <w:tcPr>
            <w:tcW w:w="709" w:type="dxa"/>
          </w:tcPr>
          <w:p w:rsidR="00FF3D04" w:rsidRPr="005A2ED4" w:rsidRDefault="00FF3D04" w:rsidP="000A7EB2">
            <w:pPr>
              <w:keepNext/>
              <w:widowControl/>
              <w:ind w:left="-108"/>
              <w:rPr>
                <w:rFonts w:ascii="Arial Narrow" w:hAnsi="Arial Narrow"/>
                <w:sz w:val="20"/>
              </w:rPr>
            </w:pPr>
          </w:p>
          <w:p w:rsidR="00FF3D04" w:rsidRPr="005A2ED4" w:rsidRDefault="00FF3D04" w:rsidP="000A7EB2">
            <w:pPr>
              <w:keepNext/>
              <w:widowControl/>
              <w:ind w:left="-108"/>
              <w:rPr>
                <w:rFonts w:ascii="Arial Narrow" w:hAnsi="Arial Narrow"/>
                <w:sz w:val="20"/>
              </w:rPr>
            </w:pPr>
            <w:r w:rsidRPr="005A2ED4">
              <w:rPr>
                <w:rFonts w:ascii="Arial Narrow" w:hAnsi="Arial Narrow"/>
                <w:i/>
                <w:sz w:val="20"/>
              </w:rPr>
              <w:t xml:space="preserve">160 </w:t>
            </w:r>
            <w:r w:rsidRPr="005A2ED4">
              <w:rPr>
                <w:rFonts w:ascii="Arial Narrow" w:hAnsi="Arial Narrow"/>
                <w:sz w:val="20"/>
              </w:rPr>
              <w:t>mg</w:t>
            </w:r>
          </w:p>
        </w:tc>
        <w:tc>
          <w:tcPr>
            <w:tcW w:w="567" w:type="dxa"/>
          </w:tcPr>
          <w:p w:rsidR="00FF3D04" w:rsidRPr="005A2ED4" w:rsidRDefault="00FF3D04" w:rsidP="000A7EB2">
            <w:pPr>
              <w:keepNext/>
              <w:widowControl/>
              <w:ind w:left="-108"/>
              <w:rPr>
                <w:rFonts w:ascii="Arial Narrow" w:hAnsi="Arial Narrow"/>
                <w:sz w:val="20"/>
              </w:rPr>
            </w:pPr>
          </w:p>
          <w:p w:rsidR="00FF3D04" w:rsidRPr="005A2ED4" w:rsidRDefault="00FF3D04" w:rsidP="000A7EB2">
            <w:pPr>
              <w:keepNext/>
              <w:widowControl/>
              <w:ind w:left="-108"/>
              <w:rPr>
                <w:rFonts w:ascii="Arial Narrow" w:hAnsi="Arial Narrow"/>
                <w:sz w:val="20"/>
              </w:rPr>
            </w:pPr>
            <w:r w:rsidRPr="005A2ED4">
              <w:rPr>
                <w:rFonts w:ascii="Arial Narrow" w:hAnsi="Arial Narrow"/>
                <w:sz w:val="20"/>
              </w:rPr>
              <w:t>11</w:t>
            </w:r>
          </w:p>
        </w:tc>
        <w:tc>
          <w:tcPr>
            <w:tcW w:w="1134" w:type="dxa"/>
          </w:tcPr>
          <w:p w:rsidR="00FF3D04" w:rsidRPr="005A2ED4" w:rsidRDefault="00FF3D04" w:rsidP="000A7EB2">
            <w:pPr>
              <w:keepNext/>
              <w:widowControl/>
              <w:ind w:left="-108"/>
              <w:rPr>
                <w:rFonts w:ascii="Arial Narrow" w:hAnsi="Arial Narrow"/>
                <w:sz w:val="20"/>
              </w:rPr>
            </w:pPr>
          </w:p>
          <w:p w:rsidR="00FF3D04" w:rsidRPr="005A2ED4" w:rsidRDefault="00FF3D04" w:rsidP="000A7EB2">
            <w:pPr>
              <w:keepNext/>
              <w:widowControl/>
              <w:ind w:left="-108"/>
              <w:rPr>
                <w:rFonts w:ascii="Arial Narrow" w:hAnsi="Arial Narrow"/>
                <w:sz w:val="20"/>
              </w:rPr>
            </w:pPr>
            <w:r w:rsidRPr="005A2ED4">
              <w:rPr>
                <w:rFonts w:ascii="Arial Narrow" w:hAnsi="Arial Narrow"/>
                <w:sz w:val="20"/>
              </w:rPr>
              <w:t>$</w:t>
            </w:r>
            <w:r w:rsidR="002A4E9A">
              <w:rPr>
                <w:rFonts w:ascii="Arial Narrow" w:hAnsi="Arial Narrow"/>
                <w:noProof/>
                <w:color w:val="000000"/>
                <w:sz w:val="20"/>
                <w:highlight w:val="black"/>
              </w:rPr>
              <w:t>''''''''''''''''''''''</w:t>
            </w:r>
            <w:r w:rsidRPr="005A2ED4">
              <w:rPr>
                <w:rFonts w:ascii="Arial Narrow" w:hAnsi="Arial Narrow"/>
                <w:sz w:val="20"/>
              </w:rPr>
              <w:t xml:space="preserve"> (public)</w:t>
            </w:r>
          </w:p>
          <w:p w:rsidR="00FF3D04" w:rsidRPr="005A2ED4" w:rsidRDefault="00FF3D04" w:rsidP="000A7EB2">
            <w:pPr>
              <w:keepNext/>
              <w:widowControl/>
              <w:ind w:left="-108"/>
              <w:rPr>
                <w:rFonts w:ascii="Arial Narrow" w:hAnsi="Arial Narrow"/>
                <w:sz w:val="20"/>
              </w:rPr>
            </w:pPr>
            <w:r w:rsidRPr="005A2ED4">
              <w:rPr>
                <w:rFonts w:ascii="Arial Narrow" w:hAnsi="Arial Narrow"/>
                <w:sz w:val="20"/>
              </w:rPr>
              <w:t>$</w:t>
            </w:r>
            <w:r w:rsidR="002A4E9A">
              <w:rPr>
                <w:rFonts w:ascii="Arial Narrow" w:hAnsi="Arial Narrow"/>
                <w:noProof/>
                <w:color w:val="000000"/>
                <w:sz w:val="20"/>
                <w:highlight w:val="black"/>
              </w:rPr>
              <w:t>'''''''''''''''''''''''</w:t>
            </w:r>
            <w:r w:rsidRPr="005A2ED4">
              <w:rPr>
                <w:rFonts w:ascii="Arial Narrow" w:hAnsi="Arial Narrow"/>
                <w:sz w:val="20"/>
              </w:rPr>
              <w:t xml:space="preserve"> (private)</w:t>
            </w:r>
          </w:p>
        </w:tc>
        <w:tc>
          <w:tcPr>
            <w:tcW w:w="850" w:type="dxa"/>
          </w:tcPr>
          <w:p w:rsidR="00FF3D04" w:rsidRPr="005A2ED4" w:rsidRDefault="00FF3D04" w:rsidP="000A7EB2">
            <w:pPr>
              <w:keepNext/>
              <w:widowControl/>
              <w:ind w:left="-108"/>
              <w:rPr>
                <w:rFonts w:ascii="Arial Narrow" w:hAnsi="Arial Narrow"/>
                <w:sz w:val="20"/>
              </w:rPr>
            </w:pPr>
          </w:p>
          <w:p w:rsidR="00FF3D04" w:rsidRPr="005A2ED4" w:rsidRDefault="00FF3D04" w:rsidP="000A7EB2">
            <w:pPr>
              <w:keepNext/>
              <w:widowControl/>
              <w:ind w:left="-108"/>
              <w:rPr>
                <w:rFonts w:ascii="Arial Narrow" w:hAnsi="Arial Narrow"/>
                <w:sz w:val="20"/>
              </w:rPr>
            </w:pPr>
            <w:r w:rsidRPr="005A2ED4">
              <w:rPr>
                <w:rFonts w:ascii="Arial Narrow" w:hAnsi="Arial Narrow"/>
                <w:sz w:val="20"/>
              </w:rPr>
              <w:t>$</w:t>
            </w:r>
            <w:r w:rsidR="002A4E9A">
              <w:rPr>
                <w:rFonts w:ascii="Arial Narrow" w:hAnsi="Arial Narrow"/>
                <w:noProof/>
                <w:color w:val="000000"/>
                <w:sz w:val="20"/>
                <w:highlight w:val="black"/>
              </w:rPr>
              <w:t>'''''''''''''''''''''</w:t>
            </w:r>
            <w:r w:rsidRPr="005A2ED4">
              <w:rPr>
                <w:rFonts w:ascii="Arial Narrow" w:hAnsi="Arial Narrow"/>
                <w:sz w:val="20"/>
              </w:rPr>
              <w:t xml:space="preserve"> (public)</w:t>
            </w:r>
          </w:p>
          <w:p w:rsidR="00FF3D04" w:rsidRPr="005A2ED4" w:rsidRDefault="00FF3D04" w:rsidP="000A7EB2">
            <w:pPr>
              <w:keepNext/>
              <w:widowControl/>
              <w:ind w:left="-108"/>
              <w:rPr>
                <w:rFonts w:ascii="Arial Narrow" w:hAnsi="Arial Narrow"/>
                <w:sz w:val="20"/>
              </w:rPr>
            </w:pPr>
            <w:r w:rsidRPr="005A2ED4">
              <w:rPr>
                <w:rFonts w:ascii="Arial Narrow" w:hAnsi="Arial Narrow"/>
                <w:sz w:val="20"/>
              </w:rPr>
              <w:t>$</w:t>
            </w:r>
            <w:r w:rsidR="002A4E9A">
              <w:rPr>
                <w:rFonts w:ascii="Arial Narrow" w:hAnsi="Arial Narrow"/>
                <w:noProof/>
                <w:color w:val="000000"/>
                <w:sz w:val="20"/>
                <w:highlight w:val="black"/>
              </w:rPr>
              <w:t>'''''''''''''''''''''</w:t>
            </w:r>
            <w:r w:rsidRPr="005A2ED4">
              <w:rPr>
                <w:rFonts w:ascii="Arial Narrow" w:hAnsi="Arial Narrow"/>
                <w:sz w:val="20"/>
              </w:rPr>
              <w:t xml:space="preserve"> (private)</w:t>
            </w:r>
          </w:p>
        </w:tc>
        <w:tc>
          <w:tcPr>
            <w:tcW w:w="992" w:type="dxa"/>
          </w:tcPr>
          <w:p w:rsidR="00FF3D04" w:rsidRPr="005A2ED4" w:rsidRDefault="00FF3D04" w:rsidP="000A7EB2">
            <w:pPr>
              <w:keepNext/>
              <w:widowControl/>
              <w:rPr>
                <w:rFonts w:ascii="Arial Narrow" w:hAnsi="Arial Narrow"/>
                <w:sz w:val="20"/>
              </w:rPr>
            </w:pPr>
            <w:r w:rsidRPr="005A2ED4">
              <w:rPr>
                <w:rFonts w:ascii="Arial Narrow" w:hAnsi="Arial Narrow"/>
                <w:sz w:val="20"/>
              </w:rPr>
              <w:t>Onivyde</w:t>
            </w:r>
          </w:p>
        </w:tc>
        <w:tc>
          <w:tcPr>
            <w:tcW w:w="1134" w:type="dxa"/>
          </w:tcPr>
          <w:p w:rsidR="00FF3D04" w:rsidRPr="005A2ED4" w:rsidRDefault="00FF3D04" w:rsidP="000A7EB2">
            <w:pPr>
              <w:keepNext/>
              <w:widowControl/>
              <w:rPr>
                <w:rFonts w:ascii="Arial Narrow" w:hAnsi="Arial Narrow"/>
                <w:sz w:val="20"/>
              </w:rPr>
            </w:pPr>
            <w:r w:rsidRPr="005A2ED4">
              <w:rPr>
                <w:rFonts w:ascii="Arial Narrow" w:hAnsi="Arial Narrow"/>
                <w:sz w:val="20"/>
              </w:rPr>
              <w:t>Baxalta (now part of Shire Australia)</w:t>
            </w:r>
          </w:p>
        </w:tc>
      </w:tr>
      <w:tr w:rsidR="00FF3D04" w:rsidRPr="005A2ED4" w:rsidTr="00CC23F9">
        <w:trPr>
          <w:cantSplit/>
          <w:trHeight w:val="360"/>
        </w:trPr>
        <w:tc>
          <w:tcPr>
            <w:tcW w:w="1701" w:type="dxa"/>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b/>
                <w:sz w:val="20"/>
              </w:rPr>
            </w:pPr>
            <w:r w:rsidRPr="005A2ED4">
              <w:rPr>
                <w:rFonts w:ascii="Arial Narrow" w:hAnsi="Arial Narrow"/>
                <w:b/>
                <w:sz w:val="20"/>
              </w:rPr>
              <w:t xml:space="preserve">Category / </w:t>
            </w:r>
          </w:p>
          <w:p w:rsidR="00FF3D04" w:rsidRPr="005A2ED4" w:rsidRDefault="00FF3D04" w:rsidP="000A7EB2">
            <w:pPr>
              <w:widowControl/>
              <w:rPr>
                <w:rFonts w:ascii="Arial Narrow" w:hAnsi="Arial Narrow"/>
                <w:b/>
                <w:sz w:val="20"/>
              </w:rPr>
            </w:pPr>
            <w:r w:rsidRPr="005A2ED4">
              <w:rPr>
                <w:rFonts w:ascii="Arial Narrow" w:hAnsi="Arial Narrow"/>
                <w:b/>
                <w:sz w:val="20"/>
              </w:rPr>
              <w:t>Program</w:t>
            </w:r>
          </w:p>
        </w:tc>
        <w:tc>
          <w:tcPr>
            <w:tcW w:w="6662" w:type="dxa"/>
            <w:gridSpan w:val="7"/>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sz w:val="20"/>
              </w:rPr>
            </w:pPr>
            <w:r w:rsidRPr="005A2ED4">
              <w:rPr>
                <w:rFonts w:ascii="Arial Narrow" w:hAnsi="Arial Narrow"/>
                <w:sz w:val="20"/>
              </w:rPr>
              <w:t>Section 100 – Efficient funding of Chemotherapy</w:t>
            </w:r>
          </w:p>
        </w:tc>
      </w:tr>
      <w:tr w:rsidR="00FF3D04" w:rsidRPr="005A2ED4" w:rsidTr="00CC23F9">
        <w:trPr>
          <w:cantSplit/>
          <w:trHeight w:val="360"/>
        </w:trPr>
        <w:tc>
          <w:tcPr>
            <w:tcW w:w="1701" w:type="dxa"/>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b/>
                <w:sz w:val="20"/>
              </w:rPr>
            </w:pPr>
            <w:r w:rsidRPr="005A2ED4">
              <w:rPr>
                <w:rFonts w:ascii="Arial Narrow" w:hAnsi="Arial Narrow"/>
                <w:b/>
                <w:sz w:val="20"/>
              </w:rPr>
              <w:t>Prescriber type:</w:t>
            </w:r>
          </w:p>
        </w:tc>
        <w:tc>
          <w:tcPr>
            <w:tcW w:w="6662" w:type="dxa"/>
            <w:gridSpan w:val="7"/>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sz w:val="20"/>
              </w:rPr>
            </w:pPr>
            <w:r w:rsidRPr="005A2ED4">
              <w:rPr>
                <w:rFonts w:ascii="Arial Narrow" w:hAnsi="Arial Narrow"/>
                <w:sz w:val="20"/>
              </w:rPr>
              <w:fldChar w:fldCharType="begin">
                <w:ffData>
                  <w:name w:val=""/>
                  <w:enabled/>
                  <w:calcOnExit w:val="0"/>
                  <w:checkBox>
                    <w:sizeAuto/>
                    <w:default w:val="1"/>
                  </w:checkBox>
                </w:ffData>
              </w:fldChar>
            </w:r>
            <w:r w:rsidRPr="005A2ED4">
              <w:rPr>
                <w:rFonts w:ascii="Arial Narrow" w:hAnsi="Arial Narrow"/>
                <w:sz w:val="20"/>
              </w:rPr>
              <w:instrText xml:space="preserve"> FORMCHECKBOX </w:instrText>
            </w:r>
            <w:r w:rsidR="00077780">
              <w:rPr>
                <w:rFonts w:ascii="Arial Narrow" w:hAnsi="Arial Narrow"/>
                <w:sz w:val="20"/>
              </w:rPr>
            </w:r>
            <w:r w:rsidR="00077780">
              <w:rPr>
                <w:rFonts w:ascii="Arial Narrow" w:hAnsi="Arial Narrow"/>
                <w:sz w:val="20"/>
              </w:rPr>
              <w:fldChar w:fldCharType="separate"/>
            </w:r>
            <w:r w:rsidRPr="005A2ED4">
              <w:rPr>
                <w:rFonts w:ascii="Arial Narrow" w:hAnsi="Arial Narrow"/>
                <w:sz w:val="20"/>
              </w:rPr>
              <w:fldChar w:fldCharType="end"/>
            </w:r>
            <w:r w:rsidRPr="005A2ED4">
              <w:rPr>
                <w:rFonts w:ascii="Arial Narrow" w:hAnsi="Arial Narrow"/>
                <w:sz w:val="20"/>
              </w:rPr>
              <w:t xml:space="preserve">Medical Practitioners  </w:t>
            </w:r>
          </w:p>
        </w:tc>
      </w:tr>
      <w:tr w:rsidR="00FF3D04" w:rsidRPr="005A2ED4" w:rsidTr="00CC23F9">
        <w:trPr>
          <w:cantSplit/>
          <w:trHeight w:val="360"/>
        </w:trPr>
        <w:tc>
          <w:tcPr>
            <w:tcW w:w="1701" w:type="dxa"/>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b/>
                <w:sz w:val="20"/>
              </w:rPr>
            </w:pPr>
            <w:r w:rsidRPr="005A2ED4">
              <w:rPr>
                <w:rFonts w:ascii="Arial Narrow" w:hAnsi="Arial Narrow"/>
                <w:b/>
                <w:sz w:val="20"/>
              </w:rPr>
              <w:t>PBS Indication:</w:t>
            </w:r>
          </w:p>
        </w:tc>
        <w:tc>
          <w:tcPr>
            <w:tcW w:w="6662" w:type="dxa"/>
            <w:gridSpan w:val="7"/>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sz w:val="20"/>
              </w:rPr>
            </w:pPr>
            <w:r w:rsidRPr="005A2ED4">
              <w:rPr>
                <w:rFonts w:ascii="Arial Narrow" w:hAnsi="Arial Narrow"/>
                <w:sz w:val="20"/>
              </w:rPr>
              <w:t>Stage IV (metastatic) adenocarcinoma of the pancreas</w:t>
            </w:r>
          </w:p>
        </w:tc>
      </w:tr>
      <w:tr w:rsidR="00FF3D04" w:rsidRPr="005A2ED4" w:rsidTr="00CC23F9">
        <w:trPr>
          <w:cantSplit/>
          <w:trHeight w:val="360"/>
        </w:trPr>
        <w:tc>
          <w:tcPr>
            <w:tcW w:w="1701" w:type="dxa"/>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b/>
                <w:sz w:val="20"/>
              </w:rPr>
            </w:pPr>
            <w:r w:rsidRPr="005A2ED4">
              <w:rPr>
                <w:rFonts w:ascii="Arial Narrow" w:hAnsi="Arial Narrow"/>
                <w:b/>
                <w:sz w:val="20"/>
              </w:rPr>
              <w:t>Restriction Level / Method:</w:t>
            </w:r>
          </w:p>
        </w:tc>
        <w:tc>
          <w:tcPr>
            <w:tcW w:w="6662" w:type="dxa"/>
            <w:gridSpan w:val="7"/>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sz w:val="20"/>
              </w:rPr>
            </w:pPr>
            <w:r w:rsidRPr="005A2ED4">
              <w:rPr>
                <w:rFonts w:ascii="Arial Narrow" w:hAnsi="Arial Narrow"/>
                <w:sz w:val="20"/>
              </w:rPr>
              <w:fldChar w:fldCharType="begin">
                <w:ffData>
                  <w:name w:val="Check5"/>
                  <w:enabled/>
                  <w:calcOnExit w:val="0"/>
                  <w:checkBox>
                    <w:sizeAuto/>
                    <w:default w:val="1"/>
                  </w:checkBox>
                </w:ffData>
              </w:fldChar>
            </w:r>
            <w:bookmarkStart w:id="4" w:name="Check5"/>
            <w:r w:rsidRPr="005A2ED4">
              <w:rPr>
                <w:rFonts w:ascii="Arial Narrow" w:hAnsi="Arial Narrow"/>
                <w:sz w:val="20"/>
              </w:rPr>
              <w:instrText xml:space="preserve"> FORMCHECKBOX </w:instrText>
            </w:r>
            <w:r w:rsidR="00077780">
              <w:rPr>
                <w:rFonts w:ascii="Arial Narrow" w:hAnsi="Arial Narrow"/>
                <w:sz w:val="20"/>
              </w:rPr>
            </w:r>
            <w:r w:rsidR="00077780">
              <w:rPr>
                <w:rFonts w:ascii="Arial Narrow" w:hAnsi="Arial Narrow"/>
                <w:sz w:val="20"/>
              </w:rPr>
              <w:fldChar w:fldCharType="separate"/>
            </w:r>
            <w:r w:rsidRPr="005A2ED4">
              <w:rPr>
                <w:rFonts w:ascii="Arial Narrow" w:hAnsi="Arial Narrow"/>
                <w:sz w:val="20"/>
              </w:rPr>
              <w:fldChar w:fldCharType="end"/>
            </w:r>
            <w:bookmarkEnd w:id="4"/>
            <w:r w:rsidRPr="005A2ED4">
              <w:rPr>
                <w:rFonts w:ascii="Arial Narrow" w:hAnsi="Arial Narrow"/>
                <w:sz w:val="20"/>
              </w:rPr>
              <w:t>Streamlined</w:t>
            </w:r>
          </w:p>
        </w:tc>
      </w:tr>
      <w:tr w:rsidR="00FF3D04" w:rsidRPr="005A2ED4" w:rsidTr="00CC23F9">
        <w:trPr>
          <w:cantSplit/>
          <w:trHeight w:val="360"/>
        </w:trPr>
        <w:tc>
          <w:tcPr>
            <w:tcW w:w="1701" w:type="dxa"/>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b/>
                <w:sz w:val="20"/>
              </w:rPr>
            </w:pPr>
            <w:r w:rsidRPr="005A2ED4">
              <w:rPr>
                <w:rFonts w:ascii="Arial Narrow" w:hAnsi="Arial Narrow"/>
                <w:b/>
                <w:sz w:val="20"/>
              </w:rPr>
              <w:t>Treatment phase:</w:t>
            </w:r>
          </w:p>
        </w:tc>
        <w:tc>
          <w:tcPr>
            <w:tcW w:w="6662" w:type="dxa"/>
            <w:gridSpan w:val="7"/>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sz w:val="20"/>
              </w:rPr>
            </w:pPr>
            <w:r w:rsidRPr="005A2ED4">
              <w:rPr>
                <w:rFonts w:ascii="Arial Narrow" w:hAnsi="Arial Narrow"/>
                <w:sz w:val="20"/>
              </w:rPr>
              <w:t>Initial treatment</w:t>
            </w:r>
          </w:p>
        </w:tc>
      </w:tr>
      <w:tr w:rsidR="00FF3D04" w:rsidRPr="005A2ED4" w:rsidTr="00CC23F9">
        <w:trPr>
          <w:cantSplit/>
          <w:trHeight w:val="360"/>
        </w:trPr>
        <w:tc>
          <w:tcPr>
            <w:tcW w:w="1701" w:type="dxa"/>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b/>
                <w:sz w:val="20"/>
              </w:rPr>
            </w:pPr>
            <w:r w:rsidRPr="005A2ED4">
              <w:rPr>
                <w:rFonts w:ascii="Arial Narrow" w:hAnsi="Arial Narrow"/>
                <w:b/>
                <w:sz w:val="20"/>
              </w:rPr>
              <w:t>Clinical criteria:</w:t>
            </w:r>
          </w:p>
          <w:p w:rsidR="00FF3D04" w:rsidRPr="005A2ED4" w:rsidRDefault="00FF3D04" w:rsidP="000A7EB2">
            <w:pPr>
              <w:widowControl/>
              <w:rPr>
                <w:rFonts w:ascii="Arial Narrow" w:hAnsi="Arial Narrow"/>
                <w:sz w:val="20"/>
              </w:rPr>
            </w:pPr>
          </w:p>
        </w:tc>
        <w:tc>
          <w:tcPr>
            <w:tcW w:w="6662" w:type="dxa"/>
            <w:gridSpan w:val="7"/>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sz w:val="20"/>
              </w:rPr>
            </w:pPr>
            <w:r w:rsidRPr="005A2ED4">
              <w:rPr>
                <w:rFonts w:ascii="Arial Narrow" w:hAnsi="Arial Narrow"/>
                <w:sz w:val="20"/>
              </w:rPr>
              <w:t xml:space="preserve">The treatment must be in combination with 5-fluorouracil and folinic acid; </w:t>
            </w:r>
          </w:p>
          <w:p w:rsidR="00FF3D04" w:rsidRPr="005A2ED4" w:rsidRDefault="00FF3D04" w:rsidP="000A7EB2">
            <w:pPr>
              <w:widowControl/>
              <w:rPr>
                <w:rFonts w:ascii="Arial Narrow" w:hAnsi="Arial Narrow"/>
                <w:sz w:val="20"/>
              </w:rPr>
            </w:pPr>
            <w:r w:rsidRPr="005A2ED4">
              <w:rPr>
                <w:rFonts w:ascii="Arial Narrow" w:hAnsi="Arial Narrow"/>
                <w:sz w:val="20"/>
              </w:rPr>
              <w:t>AND</w:t>
            </w:r>
          </w:p>
          <w:p w:rsidR="00FF3D04" w:rsidRPr="005A2ED4" w:rsidRDefault="00FF3D04" w:rsidP="000A7EB2">
            <w:pPr>
              <w:widowControl/>
              <w:rPr>
                <w:rFonts w:ascii="Arial Narrow" w:hAnsi="Arial Narrow"/>
                <w:sz w:val="20"/>
              </w:rPr>
            </w:pPr>
            <w:r w:rsidRPr="005A2ED4">
              <w:rPr>
                <w:rFonts w:ascii="Arial Narrow" w:hAnsi="Arial Narrow"/>
                <w:i/>
                <w:sz w:val="20"/>
              </w:rPr>
              <w:t xml:space="preserve">The condition </w:t>
            </w:r>
            <w:r w:rsidRPr="005A2ED4">
              <w:rPr>
                <w:rFonts w:ascii="Arial Narrow" w:hAnsi="Arial Narrow"/>
                <w:sz w:val="20"/>
              </w:rPr>
              <w:t xml:space="preserve">must have progressed </w:t>
            </w:r>
            <w:r w:rsidRPr="005A2ED4">
              <w:rPr>
                <w:rFonts w:ascii="Arial Narrow" w:hAnsi="Arial Narrow"/>
                <w:i/>
                <w:sz w:val="20"/>
              </w:rPr>
              <w:t xml:space="preserve">following </w:t>
            </w:r>
            <w:r w:rsidRPr="005A2ED4">
              <w:rPr>
                <w:rFonts w:ascii="Arial Narrow" w:hAnsi="Arial Narrow"/>
                <w:sz w:val="20"/>
              </w:rPr>
              <w:t>treatment with gemcitabine based therapy; AND</w:t>
            </w:r>
          </w:p>
          <w:p w:rsidR="00FF3D04" w:rsidRPr="005A2ED4" w:rsidRDefault="00FF3D04" w:rsidP="000A7EB2">
            <w:pPr>
              <w:widowControl/>
              <w:rPr>
                <w:rFonts w:ascii="Arial Narrow" w:hAnsi="Arial Narrow"/>
                <w:sz w:val="20"/>
              </w:rPr>
            </w:pPr>
            <w:r w:rsidRPr="005A2ED4">
              <w:rPr>
                <w:rFonts w:ascii="Arial Narrow" w:hAnsi="Arial Narrow"/>
                <w:sz w:val="20"/>
              </w:rPr>
              <w:t xml:space="preserve">Patient must not have previously received PBS-subsidised treatment with </w:t>
            </w:r>
            <w:r w:rsidRPr="005A2ED4">
              <w:rPr>
                <w:rFonts w:ascii="Arial Narrow" w:hAnsi="Arial Narrow"/>
                <w:strike/>
                <w:sz w:val="20"/>
              </w:rPr>
              <w:t>nanoliposomal irinotecan for this indication</w:t>
            </w:r>
            <w:r w:rsidRPr="005A2ED4">
              <w:rPr>
                <w:rFonts w:ascii="Arial Narrow" w:hAnsi="Arial Narrow"/>
                <w:sz w:val="20"/>
              </w:rPr>
              <w:t xml:space="preserve"> </w:t>
            </w:r>
            <w:r w:rsidRPr="005A2ED4">
              <w:rPr>
                <w:rFonts w:ascii="Arial Narrow" w:hAnsi="Arial Narrow"/>
                <w:i/>
                <w:sz w:val="20"/>
              </w:rPr>
              <w:t>this drug for this condition</w:t>
            </w:r>
            <w:r w:rsidRPr="005A2ED4">
              <w:rPr>
                <w:rFonts w:ascii="Arial Narrow" w:hAnsi="Arial Narrow"/>
                <w:sz w:val="20"/>
              </w:rPr>
              <w:t>.</w:t>
            </w:r>
          </w:p>
        </w:tc>
      </w:tr>
      <w:tr w:rsidR="00FF3D04" w:rsidRPr="005A2ED4" w:rsidTr="00CC23F9">
        <w:trPr>
          <w:cantSplit/>
          <w:trHeight w:val="360"/>
        </w:trPr>
        <w:tc>
          <w:tcPr>
            <w:tcW w:w="1701" w:type="dxa"/>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b/>
                <w:sz w:val="20"/>
              </w:rPr>
            </w:pPr>
            <w:r w:rsidRPr="005A2ED4">
              <w:rPr>
                <w:rFonts w:ascii="Arial Narrow" w:hAnsi="Arial Narrow"/>
                <w:b/>
                <w:sz w:val="20"/>
              </w:rPr>
              <w:t>Administrative Advice</w:t>
            </w:r>
          </w:p>
        </w:tc>
        <w:tc>
          <w:tcPr>
            <w:tcW w:w="6662" w:type="dxa"/>
            <w:gridSpan w:val="7"/>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sz w:val="20"/>
              </w:rPr>
            </w:pPr>
            <w:r w:rsidRPr="005A2ED4">
              <w:rPr>
                <w:rFonts w:ascii="Arial Narrow" w:hAnsi="Arial Narrow"/>
                <w:i/>
                <w:sz w:val="20"/>
              </w:rPr>
              <w:t>Special Pricing Arrangements apply.</w:t>
            </w:r>
            <w:r w:rsidRPr="005A2ED4">
              <w:rPr>
                <w:rFonts w:ascii="Arial Narrow" w:hAnsi="Arial Narrow"/>
                <w:sz w:val="20"/>
              </w:rPr>
              <w:t xml:space="preserve"> </w:t>
            </w:r>
          </w:p>
        </w:tc>
      </w:tr>
    </w:tbl>
    <w:p w:rsidR="00FF3D04" w:rsidRPr="005A2ED4" w:rsidRDefault="00FF3D04" w:rsidP="000A7EB2">
      <w:pPr>
        <w:widowControl/>
        <w:rPr>
          <w:color w:val="3366FF"/>
        </w:rPr>
      </w:pPr>
    </w:p>
    <w:tbl>
      <w:tblPr>
        <w:tblW w:w="8363" w:type="dxa"/>
        <w:tblInd w:w="817" w:type="dxa"/>
        <w:tblLayout w:type="fixed"/>
        <w:tblLook w:val="0000" w:firstRow="0" w:lastRow="0" w:firstColumn="0" w:lastColumn="0" w:noHBand="0" w:noVBand="0"/>
      </w:tblPr>
      <w:tblGrid>
        <w:gridCol w:w="1701"/>
        <w:gridCol w:w="6662"/>
      </w:tblGrid>
      <w:tr w:rsidR="00FF3D04" w:rsidRPr="005A2ED4" w:rsidTr="00CC23F9">
        <w:trPr>
          <w:cantSplit/>
          <w:trHeight w:val="360"/>
        </w:trPr>
        <w:tc>
          <w:tcPr>
            <w:tcW w:w="1701" w:type="dxa"/>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b/>
                <w:sz w:val="20"/>
              </w:rPr>
            </w:pPr>
            <w:r w:rsidRPr="005A2ED4">
              <w:rPr>
                <w:rFonts w:ascii="Arial Narrow" w:hAnsi="Arial Narrow"/>
                <w:b/>
                <w:sz w:val="20"/>
              </w:rPr>
              <w:t>Treatment phase:</w:t>
            </w:r>
          </w:p>
        </w:tc>
        <w:tc>
          <w:tcPr>
            <w:tcW w:w="6662" w:type="dxa"/>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sz w:val="20"/>
              </w:rPr>
            </w:pPr>
            <w:r w:rsidRPr="005A2ED4">
              <w:rPr>
                <w:rFonts w:ascii="Arial Narrow" w:hAnsi="Arial Narrow"/>
                <w:sz w:val="20"/>
              </w:rPr>
              <w:t>Continuing treatment</w:t>
            </w:r>
          </w:p>
        </w:tc>
      </w:tr>
      <w:tr w:rsidR="00FF3D04" w:rsidRPr="00260CE3" w:rsidTr="00CC23F9">
        <w:trPr>
          <w:cantSplit/>
          <w:trHeight w:val="360"/>
        </w:trPr>
        <w:tc>
          <w:tcPr>
            <w:tcW w:w="1701" w:type="dxa"/>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b/>
                <w:sz w:val="20"/>
              </w:rPr>
            </w:pPr>
            <w:r w:rsidRPr="005A2ED4">
              <w:rPr>
                <w:rFonts w:ascii="Arial Narrow" w:hAnsi="Arial Narrow"/>
                <w:b/>
                <w:sz w:val="20"/>
              </w:rPr>
              <w:lastRenderedPageBreak/>
              <w:t>Clinical criteria:</w:t>
            </w:r>
          </w:p>
          <w:p w:rsidR="00FF3D04" w:rsidRPr="005A2ED4" w:rsidRDefault="00FF3D04" w:rsidP="000A7EB2">
            <w:pPr>
              <w:widowControl/>
              <w:rPr>
                <w:rFonts w:ascii="Arial Narrow" w:hAnsi="Arial Narrow"/>
                <w:sz w:val="20"/>
              </w:rPr>
            </w:pPr>
          </w:p>
        </w:tc>
        <w:tc>
          <w:tcPr>
            <w:tcW w:w="6662" w:type="dxa"/>
            <w:tcBorders>
              <w:top w:val="single" w:sz="4" w:space="0" w:color="auto"/>
              <w:left w:val="single" w:sz="4" w:space="0" w:color="auto"/>
              <w:bottom w:val="single" w:sz="4" w:space="0" w:color="auto"/>
              <w:right w:val="single" w:sz="4" w:space="0" w:color="auto"/>
            </w:tcBorders>
          </w:tcPr>
          <w:p w:rsidR="00FF3D04" w:rsidRPr="005A2ED4" w:rsidRDefault="00FF3D04" w:rsidP="000A7EB2">
            <w:pPr>
              <w:widowControl/>
              <w:rPr>
                <w:rFonts w:ascii="Arial Narrow" w:hAnsi="Arial Narrow"/>
                <w:i/>
                <w:sz w:val="20"/>
              </w:rPr>
            </w:pPr>
            <w:r w:rsidRPr="005A2ED4">
              <w:rPr>
                <w:rFonts w:ascii="Arial Narrow" w:hAnsi="Arial Narrow"/>
                <w:i/>
                <w:sz w:val="20"/>
              </w:rPr>
              <w:t xml:space="preserve">Patient must have previously received PBS-subsidised treatment with this drug for this condition; </w:t>
            </w:r>
          </w:p>
          <w:p w:rsidR="00FF3D04" w:rsidRPr="005A2ED4" w:rsidRDefault="00FF3D04" w:rsidP="000A7EB2">
            <w:pPr>
              <w:widowControl/>
              <w:rPr>
                <w:rFonts w:ascii="Arial Narrow" w:hAnsi="Arial Narrow"/>
                <w:i/>
                <w:sz w:val="20"/>
              </w:rPr>
            </w:pPr>
            <w:r w:rsidRPr="005A2ED4">
              <w:rPr>
                <w:rFonts w:ascii="Arial Narrow" w:hAnsi="Arial Narrow"/>
                <w:i/>
                <w:sz w:val="20"/>
              </w:rPr>
              <w:t>AND</w:t>
            </w:r>
          </w:p>
          <w:p w:rsidR="00FF3D04" w:rsidRPr="005A2ED4" w:rsidRDefault="00FF3D04" w:rsidP="000A7EB2">
            <w:pPr>
              <w:widowControl/>
              <w:rPr>
                <w:rFonts w:ascii="Arial Narrow" w:hAnsi="Arial Narrow"/>
                <w:i/>
                <w:sz w:val="20"/>
              </w:rPr>
            </w:pPr>
            <w:r w:rsidRPr="005A2ED4">
              <w:rPr>
                <w:rFonts w:ascii="Arial Narrow" w:hAnsi="Arial Narrow"/>
                <w:i/>
                <w:sz w:val="20"/>
              </w:rPr>
              <w:t xml:space="preserve">The treatment must be in combination with 5-fluorouracil and folinic acid; </w:t>
            </w:r>
          </w:p>
          <w:p w:rsidR="00FF3D04" w:rsidRPr="005A2ED4" w:rsidRDefault="00FF3D04" w:rsidP="000A7EB2">
            <w:pPr>
              <w:widowControl/>
              <w:rPr>
                <w:rFonts w:ascii="Arial Narrow" w:hAnsi="Arial Narrow"/>
                <w:i/>
                <w:sz w:val="20"/>
              </w:rPr>
            </w:pPr>
            <w:r w:rsidRPr="005A2ED4">
              <w:rPr>
                <w:rFonts w:ascii="Arial Narrow" w:hAnsi="Arial Narrow"/>
                <w:i/>
                <w:sz w:val="20"/>
              </w:rPr>
              <w:t>AND</w:t>
            </w:r>
          </w:p>
          <w:p w:rsidR="00FF3D04" w:rsidRPr="008D1401" w:rsidRDefault="00FF3D04" w:rsidP="000A7EB2">
            <w:pPr>
              <w:widowControl/>
              <w:rPr>
                <w:rFonts w:ascii="Arial Narrow" w:hAnsi="Arial Narrow"/>
                <w:sz w:val="20"/>
              </w:rPr>
            </w:pPr>
            <w:r w:rsidRPr="005A2ED4">
              <w:rPr>
                <w:rFonts w:ascii="Arial Narrow" w:hAnsi="Arial Narrow"/>
                <w:i/>
                <w:sz w:val="20"/>
              </w:rPr>
              <w:t>Patient must have stable or responding disease</w:t>
            </w:r>
            <w:r w:rsidRPr="005A2ED4">
              <w:rPr>
                <w:rFonts w:ascii="Arial Narrow" w:hAnsi="Arial Narrow"/>
                <w:sz w:val="20"/>
              </w:rPr>
              <w:t>.</w:t>
            </w:r>
          </w:p>
        </w:tc>
      </w:tr>
    </w:tbl>
    <w:p w:rsidR="00B60939" w:rsidRPr="00882085" w:rsidRDefault="00B60939" w:rsidP="000A7EB2">
      <w:pPr>
        <w:widowControl/>
      </w:pPr>
    </w:p>
    <w:p w:rsidR="002C2775" w:rsidRPr="00B50DB8" w:rsidRDefault="00695FDD" w:rsidP="000A7EB2">
      <w:pPr>
        <w:pStyle w:val="ListParagraph"/>
        <w:widowControl/>
        <w:numPr>
          <w:ilvl w:val="1"/>
          <w:numId w:val="1"/>
        </w:numPr>
        <w:rPr>
          <w:szCs w:val="22"/>
        </w:rPr>
      </w:pPr>
      <w:r>
        <w:rPr>
          <w:szCs w:val="22"/>
        </w:rPr>
        <w:t>Listing was requested on a cost-effectiveness basis compared with 5-FU/folinic acid and the mFOLFOX6 regimen</w:t>
      </w:r>
      <w:r w:rsidR="00235CED">
        <w:rPr>
          <w:szCs w:val="22"/>
        </w:rPr>
        <w:t xml:space="preserve"> (oxaliplatin plus 5-FU/folinic acid)</w:t>
      </w:r>
      <w:r>
        <w:rPr>
          <w:szCs w:val="22"/>
        </w:rPr>
        <w:t>.</w:t>
      </w:r>
    </w:p>
    <w:p w:rsidR="00F97A78" w:rsidRDefault="00F97A78" w:rsidP="000A7EB2">
      <w:pPr>
        <w:widowControl/>
        <w:rPr>
          <w:szCs w:val="22"/>
        </w:rPr>
      </w:pPr>
    </w:p>
    <w:p w:rsidR="002F7497" w:rsidRPr="00882085" w:rsidRDefault="002F7497" w:rsidP="000A7EB2">
      <w:pPr>
        <w:widowControl/>
      </w:pPr>
    </w:p>
    <w:p w:rsidR="00B50DB8" w:rsidRPr="00407F2D" w:rsidRDefault="00B50DB8" w:rsidP="000A7EB2">
      <w:pPr>
        <w:pStyle w:val="PBACHeading1"/>
        <w:keepNext/>
      </w:pPr>
      <w:bookmarkStart w:id="5" w:name="_Toc461529323"/>
      <w:r w:rsidRPr="00407F2D">
        <w:t>Background</w:t>
      </w:r>
      <w:bookmarkEnd w:id="5"/>
    </w:p>
    <w:p w:rsidR="00B60939" w:rsidRPr="00882085" w:rsidRDefault="00B60939" w:rsidP="000A7EB2">
      <w:pPr>
        <w:keepNext/>
        <w:widowControl/>
        <w:rPr>
          <w:szCs w:val="22"/>
        </w:rPr>
      </w:pPr>
    </w:p>
    <w:p w:rsidR="005A2ED4" w:rsidRDefault="00C92EF1" w:rsidP="000A7EB2">
      <w:pPr>
        <w:pStyle w:val="ListParagraph"/>
        <w:widowControl/>
        <w:numPr>
          <w:ilvl w:val="1"/>
          <w:numId w:val="1"/>
        </w:numPr>
        <w:rPr>
          <w:szCs w:val="22"/>
        </w:rPr>
      </w:pPr>
      <w:r w:rsidRPr="005A2ED4">
        <w:rPr>
          <w:b/>
          <w:bCs/>
          <w:szCs w:val="22"/>
        </w:rPr>
        <w:t xml:space="preserve">TGA status at time of </w:t>
      </w:r>
      <w:r w:rsidR="003F3C13" w:rsidRPr="005A2ED4">
        <w:rPr>
          <w:b/>
          <w:bCs/>
          <w:szCs w:val="22"/>
        </w:rPr>
        <w:t>PBAC</w:t>
      </w:r>
      <w:r w:rsidR="005A2ED4" w:rsidRPr="005A2ED4">
        <w:rPr>
          <w:b/>
          <w:bCs/>
          <w:szCs w:val="22"/>
        </w:rPr>
        <w:t xml:space="preserve"> consideration</w:t>
      </w:r>
      <w:r w:rsidRPr="005A2ED4">
        <w:rPr>
          <w:b/>
          <w:bCs/>
          <w:szCs w:val="22"/>
        </w:rPr>
        <w:t>:</w:t>
      </w:r>
      <w:r w:rsidRPr="005A2ED4">
        <w:rPr>
          <w:bCs/>
          <w:szCs w:val="22"/>
        </w:rPr>
        <w:t xml:space="preserve"> </w:t>
      </w:r>
      <w:r w:rsidR="00695FDD" w:rsidRPr="005A2ED4">
        <w:rPr>
          <w:szCs w:val="22"/>
        </w:rPr>
        <w:t>The submission was made under the</w:t>
      </w:r>
      <w:r w:rsidR="00695FDD" w:rsidRPr="0013030D">
        <w:rPr>
          <w:szCs w:val="22"/>
        </w:rPr>
        <w:t xml:space="preserve"> TGA/PBAC Parallel Process. At the time of evaluation, </w:t>
      </w:r>
      <w:r w:rsidR="00C82D5A" w:rsidRPr="0013030D">
        <w:rPr>
          <w:szCs w:val="22"/>
        </w:rPr>
        <w:t>irinotecan (nanoliposomal)</w:t>
      </w:r>
      <w:r w:rsidR="00695FDD" w:rsidRPr="0013030D">
        <w:rPr>
          <w:szCs w:val="22"/>
        </w:rPr>
        <w:t xml:space="preserve"> was being considered </w:t>
      </w:r>
      <w:r w:rsidR="00E50FE0" w:rsidRPr="0013030D">
        <w:rPr>
          <w:szCs w:val="22"/>
        </w:rPr>
        <w:t xml:space="preserve">by the TGA delegate for the treatment of metastatic pancreatic adenocarcinoma, in combination with </w:t>
      </w:r>
      <w:r w:rsidR="00D24DAF" w:rsidRPr="0013030D">
        <w:rPr>
          <w:szCs w:val="22"/>
        </w:rPr>
        <w:t>5</w:t>
      </w:r>
      <w:r w:rsidR="00D24DAF" w:rsidRPr="0013030D">
        <w:rPr>
          <w:szCs w:val="22"/>
        </w:rPr>
        <w:noBreakHyphen/>
      </w:r>
      <w:r w:rsidR="00D01CA0" w:rsidRPr="0013030D">
        <w:rPr>
          <w:szCs w:val="22"/>
        </w:rPr>
        <w:t>FU/</w:t>
      </w:r>
      <w:r w:rsidR="00E50FE0" w:rsidRPr="0013030D">
        <w:rPr>
          <w:szCs w:val="22"/>
        </w:rPr>
        <w:t>folinic acid in adult patients who have previously received gemcitabine-based therapy. The first round TGA clinical evaluation report and draft product information</w:t>
      </w:r>
      <w:r w:rsidR="00EB3146">
        <w:rPr>
          <w:szCs w:val="22"/>
        </w:rPr>
        <w:t xml:space="preserve"> (PI)</w:t>
      </w:r>
      <w:r w:rsidR="00E50FE0" w:rsidRPr="0013030D">
        <w:rPr>
          <w:szCs w:val="22"/>
        </w:rPr>
        <w:t xml:space="preserve"> for </w:t>
      </w:r>
      <w:r w:rsidR="00C82D5A" w:rsidRPr="0013030D">
        <w:rPr>
          <w:szCs w:val="22"/>
        </w:rPr>
        <w:t>irinotecan (nanoliposomal)</w:t>
      </w:r>
      <w:r w:rsidR="00E50FE0" w:rsidRPr="0013030D">
        <w:rPr>
          <w:szCs w:val="22"/>
        </w:rPr>
        <w:t xml:space="preserve"> were available during the evaluation.</w:t>
      </w:r>
      <w:r w:rsidR="005A2ED4">
        <w:rPr>
          <w:szCs w:val="22"/>
        </w:rPr>
        <w:t xml:space="preserve"> </w:t>
      </w:r>
    </w:p>
    <w:p w:rsidR="005A2ED4" w:rsidRDefault="005A2ED4" w:rsidP="000A7EB2">
      <w:pPr>
        <w:pStyle w:val="ListParagraph"/>
        <w:widowControl/>
        <w:rPr>
          <w:szCs w:val="22"/>
        </w:rPr>
      </w:pPr>
    </w:p>
    <w:p w:rsidR="007E1FC4" w:rsidRPr="009D1240" w:rsidRDefault="005A2ED4" w:rsidP="000A7EB2">
      <w:pPr>
        <w:pStyle w:val="ListParagraph"/>
        <w:widowControl/>
        <w:numPr>
          <w:ilvl w:val="1"/>
          <w:numId w:val="1"/>
        </w:numPr>
        <w:rPr>
          <w:szCs w:val="22"/>
        </w:rPr>
      </w:pPr>
      <w:r w:rsidRPr="00F30965">
        <w:rPr>
          <w:szCs w:val="22"/>
        </w:rPr>
        <w:t>The TGA Delegate</w:t>
      </w:r>
      <w:r w:rsidR="00EB3146">
        <w:rPr>
          <w:szCs w:val="22"/>
        </w:rPr>
        <w:t>’s</w:t>
      </w:r>
      <w:r w:rsidRPr="00F30965">
        <w:rPr>
          <w:szCs w:val="22"/>
        </w:rPr>
        <w:t xml:space="preserve"> Summary and the ACPM resolution w</w:t>
      </w:r>
      <w:r w:rsidR="00EB3146">
        <w:rPr>
          <w:szCs w:val="22"/>
        </w:rPr>
        <w:t>ere</w:t>
      </w:r>
      <w:r w:rsidRPr="00F30965">
        <w:rPr>
          <w:szCs w:val="22"/>
        </w:rPr>
        <w:t xml:space="preserve"> received </w:t>
      </w:r>
      <w:r w:rsidR="00F30965">
        <w:rPr>
          <w:szCs w:val="22"/>
        </w:rPr>
        <w:t>prior</w:t>
      </w:r>
      <w:r w:rsidRPr="00F30965">
        <w:rPr>
          <w:szCs w:val="22"/>
        </w:rPr>
        <w:t xml:space="preserve"> to the PBAC meeting. The ACPM resolved to recommend to the TGA Delegate that </w:t>
      </w:r>
      <w:r w:rsidR="00FE63E6">
        <w:rPr>
          <w:szCs w:val="22"/>
        </w:rPr>
        <w:t xml:space="preserve">irinotecan (nanoliposomal) </w:t>
      </w:r>
      <w:r w:rsidRPr="00F30965">
        <w:rPr>
          <w:szCs w:val="22"/>
        </w:rPr>
        <w:t xml:space="preserve">to have an overall positive benefit-risk profile for </w:t>
      </w:r>
      <w:r w:rsidR="00F43C99" w:rsidRPr="00F30965">
        <w:rPr>
          <w:szCs w:val="22"/>
        </w:rPr>
        <w:t xml:space="preserve">the proposed indication: </w:t>
      </w:r>
      <w:r w:rsidR="008D746B" w:rsidRPr="009D1240">
        <w:t xml:space="preserve">the treatment of metastatic adenocarcinoma of the pancreas, in combination with </w:t>
      </w:r>
      <w:r w:rsidR="008D746B" w:rsidRPr="009D1240">
        <w:rPr>
          <w:szCs w:val="22"/>
        </w:rPr>
        <w:t>5-FU/folinic acid in adult patients who have been previously treated with gemcitabine-based therapy</w:t>
      </w:r>
      <w:r w:rsidR="007E1FC4" w:rsidRPr="009D1240">
        <w:t>.</w:t>
      </w:r>
    </w:p>
    <w:p w:rsidR="00D34D16" w:rsidRPr="00526248" w:rsidRDefault="00D34D16" w:rsidP="00D34D16">
      <w:pPr>
        <w:pStyle w:val="ListParagraph"/>
        <w:widowControl/>
        <w:rPr>
          <w:szCs w:val="22"/>
        </w:rPr>
      </w:pPr>
    </w:p>
    <w:p w:rsidR="00D34D16" w:rsidRDefault="00D34D16" w:rsidP="00D34D16">
      <w:pPr>
        <w:pStyle w:val="ListParagraph"/>
        <w:widowControl/>
        <w:numPr>
          <w:ilvl w:val="1"/>
          <w:numId w:val="1"/>
        </w:numPr>
        <w:rPr>
          <w:szCs w:val="22"/>
        </w:rPr>
      </w:pPr>
      <w:r>
        <w:rPr>
          <w:szCs w:val="22"/>
        </w:rPr>
        <w:t>The proposed PI states that the dose and regimen for irinotecan (nanoliposomal) in combination with 5-FU/folinic acid is as follows: 70 mg/m</w:t>
      </w:r>
      <w:r w:rsidRPr="00F43C99">
        <w:rPr>
          <w:szCs w:val="22"/>
          <w:vertAlign w:val="superscript"/>
        </w:rPr>
        <w:t>2</w:t>
      </w:r>
      <w:r>
        <w:rPr>
          <w:szCs w:val="22"/>
        </w:rPr>
        <w:t xml:space="preserve"> irinotecan (nanoliposomal) intravenously over 90 minutes, followed by 400 mg/m</w:t>
      </w:r>
      <w:r w:rsidRPr="00F43C99">
        <w:rPr>
          <w:szCs w:val="22"/>
          <w:vertAlign w:val="superscript"/>
        </w:rPr>
        <w:t>2</w:t>
      </w:r>
      <w:r>
        <w:rPr>
          <w:szCs w:val="22"/>
        </w:rPr>
        <w:t xml:space="preserve"> folinic acid intravenously over 30 minutes, followed by 2,400 mg/m</w:t>
      </w:r>
      <w:r w:rsidRPr="00F43C99">
        <w:rPr>
          <w:szCs w:val="22"/>
          <w:vertAlign w:val="superscript"/>
        </w:rPr>
        <w:t>2</w:t>
      </w:r>
      <w:r>
        <w:rPr>
          <w:szCs w:val="22"/>
        </w:rPr>
        <w:t xml:space="preserve"> 5-FU intravenously over 46 hours, administered every 2 weeks.</w:t>
      </w:r>
    </w:p>
    <w:p w:rsidR="00695FDD" w:rsidRPr="00526248" w:rsidRDefault="00695FDD" w:rsidP="000A7EB2">
      <w:pPr>
        <w:pStyle w:val="ListParagraph"/>
        <w:widowControl/>
        <w:rPr>
          <w:szCs w:val="22"/>
        </w:rPr>
      </w:pPr>
    </w:p>
    <w:p w:rsidR="00235CED" w:rsidRPr="00526248" w:rsidRDefault="00E50FE0" w:rsidP="000A7EB2">
      <w:pPr>
        <w:pStyle w:val="ListParagraph"/>
        <w:widowControl/>
        <w:numPr>
          <w:ilvl w:val="1"/>
          <w:numId w:val="1"/>
        </w:numPr>
        <w:rPr>
          <w:szCs w:val="22"/>
        </w:rPr>
      </w:pPr>
      <w:r w:rsidRPr="00526248">
        <w:rPr>
          <w:szCs w:val="22"/>
        </w:rPr>
        <w:t>The PBAC ha</w:t>
      </w:r>
      <w:r w:rsidR="00AF0316">
        <w:rPr>
          <w:szCs w:val="22"/>
        </w:rPr>
        <w:t>d</w:t>
      </w:r>
      <w:r w:rsidRPr="00526248">
        <w:rPr>
          <w:szCs w:val="22"/>
        </w:rPr>
        <w:t xml:space="preserve"> not previously considered </w:t>
      </w:r>
      <w:r w:rsidR="00C82D5A" w:rsidRPr="00526248">
        <w:rPr>
          <w:szCs w:val="22"/>
        </w:rPr>
        <w:t>irinotecan (nanoliposomal)</w:t>
      </w:r>
      <w:r w:rsidR="001161BC" w:rsidRPr="00526248">
        <w:rPr>
          <w:szCs w:val="22"/>
        </w:rPr>
        <w:t>.</w:t>
      </w:r>
    </w:p>
    <w:p w:rsidR="00D34D16" w:rsidRPr="00D34D16" w:rsidRDefault="00D34D16" w:rsidP="00D34D16">
      <w:pPr>
        <w:pStyle w:val="ListParagraph"/>
        <w:rPr>
          <w:szCs w:val="22"/>
        </w:rPr>
      </w:pPr>
    </w:p>
    <w:p w:rsidR="00235CED" w:rsidRPr="0013030D" w:rsidRDefault="001161BC" w:rsidP="000A7EB2">
      <w:pPr>
        <w:pStyle w:val="ListParagraph"/>
        <w:widowControl/>
        <w:numPr>
          <w:ilvl w:val="1"/>
          <w:numId w:val="1"/>
        </w:numPr>
        <w:rPr>
          <w:szCs w:val="22"/>
        </w:rPr>
      </w:pPr>
      <w:r w:rsidRPr="0013030D">
        <w:rPr>
          <w:szCs w:val="22"/>
        </w:rPr>
        <w:t xml:space="preserve">Any further reference to </w:t>
      </w:r>
      <w:r w:rsidR="00C82D5A" w:rsidRPr="0013030D">
        <w:rPr>
          <w:szCs w:val="22"/>
        </w:rPr>
        <w:t>irinotecan (nanoliposomal)</w:t>
      </w:r>
      <w:r w:rsidRPr="0013030D">
        <w:rPr>
          <w:szCs w:val="22"/>
        </w:rPr>
        <w:t xml:space="preserve"> refers to its use in combination with 5-FU/folinic acid. </w:t>
      </w:r>
    </w:p>
    <w:p w:rsidR="00D34D16" w:rsidRDefault="00D34D16" w:rsidP="000A7EB2">
      <w:pPr>
        <w:widowControl/>
      </w:pPr>
    </w:p>
    <w:p w:rsidR="00B50DB8" w:rsidRPr="00407F2D" w:rsidRDefault="00B50DB8" w:rsidP="000A7EB2">
      <w:pPr>
        <w:pStyle w:val="PBACHeading1"/>
        <w:keepNext/>
      </w:pPr>
      <w:bookmarkStart w:id="6" w:name="_Toc461529324"/>
      <w:r w:rsidRPr="00407F2D">
        <w:t>Clinical place for the proposed therapy</w:t>
      </w:r>
      <w:bookmarkEnd w:id="6"/>
    </w:p>
    <w:p w:rsidR="00B60939" w:rsidRPr="00882085" w:rsidRDefault="00B60939" w:rsidP="000A7EB2">
      <w:pPr>
        <w:keepNext/>
        <w:widowControl/>
        <w:rPr>
          <w:szCs w:val="22"/>
        </w:rPr>
      </w:pPr>
    </w:p>
    <w:p w:rsidR="00894489" w:rsidRPr="00076995" w:rsidRDefault="007168D7" w:rsidP="000A7EB2">
      <w:pPr>
        <w:pStyle w:val="ListParagraph"/>
        <w:widowControl/>
        <w:numPr>
          <w:ilvl w:val="1"/>
          <w:numId w:val="1"/>
        </w:numPr>
        <w:rPr>
          <w:szCs w:val="22"/>
        </w:rPr>
      </w:pPr>
      <w:r>
        <w:t xml:space="preserve">The most common and aggressive type of pancreatic cancer is adenocarcinoma, which is usually asymptomatic in early stages and diagnosed at the locally advanced or metastatic stages. There are significant co-morbidities (e.g. pain, jaundice, weight loss) and mortality associated with the disease. </w:t>
      </w:r>
      <w:r w:rsidR="0013030D" w:rsidRPr="00DB10D8">
        <w:t>The ESC noted that p</w:t>
      </w:r>
      <w:r w:rsidRPr="00DB10D8">
        <w:t xml:space="preserve">rognosis is poor with low </w:t>
      </w:r>
      <w:r w:rsidR="00C067C0" w:rsidRPr="00DB10D8">
        <w:t>five</w:t>
      </w:r>
      <w:r w:rsidRPr="00DB10D8">
        <w:t>-year survival rates</w:t>
      </w:r>
      <w:r w:rsidR="0013030D" w:rsidRPr="00DB10D8">
        <w:t xml:space="preserve"> and that new, more effective, treatments for this condition are required</w:t>
      </w:r>
      <w:r w:rsidRPr="00DB10D8">
        <w:t>.</w:t>
      </w:r>
      <w:r w:rsidR="00076995">
        <w:t xml:space="preserve"> </w:t>
      </w:r>
    </w:p>
    <w:p w:rsidR="0013030D" w:rsidRPr="0013030D" w:rsidRDefault="0013030D" w:rsidP="000A7EB2">
      <w:pPr>
        <w:pStyle w:val="ListParagraph"/>
        <w:widowControl/>
        <w:rPr>
          <w:szCs w:val="22"/>
        </w:rPr>
      </w:pPr>
    </w:p>
    <w:p w:rsidR="0013030D" w:rsidRPr="00DB10D8" w:rsidRDefault="0013030D" w:rsidP="000A7EB2">
      <w:pPr>
        <w:pStyle w:val="ListParagraph"/>
        <w:widowControl/>
        <w:numPr>
          <w:ilvl w:val="1"/>
          <w:numId w:val="1"/>
        </w:numPr>
        <w:rPr>
          <w:szCs w:val="22"/>
        </w:rPr>
      </w:pPr>
      <w:r w:rsidRPr="00DB10D8">
        <w:rPr>
          <w:szCs w:val="22"/>
        </w:rPr>
        <w:t>The ESC noted that i</w:t>
      </w:r>
      <w:r w:rsidRPr="00DB10D8" w:rsidDel="0013030D">
        <w:rPr>
          <w:szCs w:val="22"/>
        </w:rPr>
        <w:t xml:space="preserve">rinotecan (nanoliposomal) </w:t>
      </w:r>
      <w:r w:rsidR="00550427" w:rsidRPr="00DB10D8">
        <w:rPr>
          <w:szCs w:val="22"/>
        </w:rPr>
        <w:t xml:space="preserve">is a novel form of irinotecan, which is encapsulated in </w:t>
      </w:r>
      <w:r w:rsidR="00896D97">
        <w:rPr>
          <w:szCs w:val="22"/>
        </w:rPr>
        <w:t>a</w:t>
      </w:r>
      <w:r w:rsidR="00896D97" w:rsidRPr="00DB10D8">
        <w:rPr>
          <w:szCs w:val="22"/>
        </w:rPr>
        <w:t xml:space="preserve"> </w:t>
      </w:r>
      <w:r w:rsidR="00550427" w:rsidRPr="00DB10D8">
        <w:rPr>
          <w:szCs w:val="22"/>
        </w:rPr>
        <w:t xml:space="preserve">lipid membrane. </w:t>
      </w:r>
      <w:r w:rsidR="00550427" w:rsidRPr="00DB10D8">
        <w:t xml:space="preserve">The liposomal formulation is intended to prevent </w:t>
      </w:r>
      <w:r w:rsidR="00550427" w:rsidRPr="00DB10D8">
        <w:lastRenderedPageBreak/>
        <w:t>the water-soluble irinotecan from converting to its more active metabolite, SN-38, prior to reaching the tumour.</w:t>
      </w:r>
    </w:p>
    <w:p w:rsidR="007168D7" w:rsidRPr="007168D7" w:rsidRDefault="007168D7" w:rsidP="000A7EB2">
      <w:pPr>
        <w:widowControl/>
        <w:rPr>
          <w:szCs w:val="22"/>
        </w:rPr>
      </w:pPr>
    </w:p>
    <w:p w:rsidR="007168D7" w:rsidRPr="001D367E" w:rsidRDefault="009C5E45" w:rsidP="000A7EB2">
      <w:pPr>
        <w:pStyle w:val="ListParagraph"/>
        <w:widowControl/>
        <w:numPr>
          <w:ilvl w:val="1"/>
          <w:numId w:val="1"/>
        </w:numPr>
        <w:rPr>
          <w:i/>
          <w:szCs w:val="22"/>
        </w:rPr>
      </w:pPr>
      <w:r>
        <w:rPr>
          <w:szCs w:val="22"/>
        </w:rPr>
        <w:t>The submission positioned</w:t>
      </w:r>
      <w:r w:rsidR="00652C14">
        <w:rPr>
          <w:szCs w:val="22"/>
        </w:rPr>
        <w:t xml:space="preserve"> </w:t>
      </w:r>
      <w:r w:rsidR="00C82D5A">
        <w:rPr>
          <w:szCs w:val="22"/>
        </w:rPr>
        <w:t>irinotecan (nanoliposomal)</w:t>
      </w:r>
      <w:r w:rsidR="00652C14">
        <w:rPr>
          <w:szCs w:val="22"/>
        </w:rPr>
        <w:t xml:space="preserve"> as an alternative treatment in patients with metastatic pancreatic adenocarcinoma who have </w:t>
      </w:r>
      <w:r w:rsidR="007168D7">
        <w:rPr>
          <w:szCs w:val="22"/>
        </w:rPr>
        <w:t>disease progression</w:t>
      </w:r>
      <w:r w:rsidR="00652C14">
        <w:rPr>
          <w:szCs w:val="22"/>
        </w:rPr>
        <w:t xml:space="preserve"> after previous treatment with</w:t>
      </w:r>
      <w:r w:rsidR="00652C14" w:rsidRPr="00DB10D8">
        <w:rPr>
          <w:szCs w:val="22"/>
        </w:rPr>
        <w:t xml:space="preserve"> gemcitabine-based therapy in any setting </w:t>
      </w:r>
      <w:r w:rsidR="007168D7" w:rsidRPr="00DB10D8">
        <w:rPr>
          <w:szCs w:val="22"/>
        </w:rPr>
        <w:t xml:space="preserve">or line of therapy </w:t>
      </w:r>
      <w:r w:rsidR="00652C14" w:rsidRPr="00DB10D8">
        <w:rPr>
          <w:szCs w:val="22"/>
        </w:rPr>
        <w:t xml:space="preserve">(e.g. </w:t>
      </w:r>
      <w:r w:rsidR="007168D7" w:rsidRPr="00DB10D8">
        <w:rPr>
          <w:szCs w:val="22"/>
        </w:rPr>
        <w:t>first-line, second-line, third-line,</w:t>
      </w:r>
      <w:r w:rsidR="00D24DAF" w:rsidRPr="00DB10D8">
        <w:rPr>
          <w:szCs w:val="22"/>
        </w:rPr>
        <w:t xml:space="preserve"> adjuvant, neo-adjuvant or post</w:t>
      </w:r>
      <w:r w:rsidR="00D24DAF" w:rsidRPr="00DB10D8">
        <w:rPr>
          <w:szCs w:val="22"/>
        </w:rPr>
        <w:noBreakHyphen/>
      </w:r>
      <w:r w:rsidR="007168D7" w:rsidRPr="00DB10D8">
        <w:rPr>
          <w:szCs w:val="22"/>
        </w:rPr>
        <w:t>surgical)</w:t>
      </w:r>
      <w:r w:rsidR="00652C14" w:rsidRPr="00DB10D8">
        <w:rPr>
          <w:szCs w:val="22"/>
        </w:rPr>
        <w:t>.</w:t>
      </w:r>
      <w:r w:rsidR="001D367E" w:rsidRPr="00DB10D8">
        <w:rPr>
          <w:szCs w:val="22"/>
        </w:rPr>
        <w:t xml:space="preserve"> The combination of paclitaxel nanoparticle albumin bound (Abraxane</w:t>
      </w:r>
      <w:r w:rsidR="001D367E" w:rsidRPr="00DB10D8">
        <w:rPr>
          <w:szCs w:val="22"/>
          <w:vertAlign w:val="superscript"/>
        </w:rPr>
        <w:t>®</w:t>
      </w:r>
      <w:r w:rsidR="001D367E" w:rsidRPr="00DB10D8">
        <w:rPr>
          <w:szCs w:val="22"/>
        </w:rPr>
        <w:t xml:space="preserve">) and gemcitabine is currently available through the PBS for first-line treatment of </w:t>
      </w:r>
      <w:r w:rsidR="001D367E" w:rsidRPr="00C03E9D">
        <w:rPr>
          <w:szCs w:val="22"/>
        </w:rPr>
        <w:t>metastatic pancreatic adenocarcinoma. An irinotecan-containing regimen, FOLFIRINOX (</w:t>
      </w:r>
      <w:r w:rsidR="002E58B8" w:rsidRPr="00C03E9D">
        <w:rPr>
          <w:rFonts w:ascii="Helvetica" w:hAnsi="Helvetica" w:cs="Helvetica"/>
          <w:shd w:val="clear" w:color="auto" w:fill="FFFFFF"/>
        </w:rPr>
        <w:t>a combination of the chemotherapy drugs </w:t>
      </w:r>
      <w:r w:rsidR="0042578A" w:rsidRPr="00C03E9D">
        <w:rPr>
          <w:rFonts w:ascii="Helvetica" w:hAnsi="Helvetica" w:cs="Helvetica"/>
          <w:shd w:val="clear" w:color="auto" w:fill="FFFFFF"/>
        </w:rPr>
        <w:t>fluorouracil [5-FU]</w:t>
      </w:r>
      <w:r w:rsidR="002E58B8" w:rsidRPr="00C03E9D">
        <w:rPr>
          <w:rFonts w:ascii="Helvetica" w:hAnsi="Helvetica" w:cs="Helvetica"/>
          <w:shd w:val="clear" w:color="auto" w:fill="FFFFFF"/>
        </w:rPr>
        <w:t>, leucovorin, irinotecan and oxaliplatin</w:t>
      </w:r>
      <w:r w:rsidR="001D367E" w:rsidRPr="00C03E9D">
        <w:rPr>
          <w:szCs w:val="22"/>
        </w:rPr>
        <w:t xml:space="preserve">), </w:t>
      </w:r>
      <w:r w:rsidR="002E58B8" w:rsidRPr="00DB10D8">
        <w:rPr>
          <w:szCs w:val="22"/>
        </w:rPr>
        <w:t>is an alternative first-line treatment that is being used by some clinicians.</w:t>
      </w:r>
    </w:p>
    <w:p w:rsidR="007168D7" w:rsidRDefault="007168D7" w:rsidP="000A7EB2">
      <w:pPr>
        <w:pStyle w:val="ListParagraph"/>
        <w:widowControl/>
        <w:rPr>
          <w:szCs w:val="22"/>
        </w:rPr>
      </w:pPr>
    </w:p>
    <w:p w:rsidR="00714D16" w:rsidRDefault="007168D7" w:rsidP="000A7EB2">
      <w:pPr>
        <w:pStyle w:val="ListParagraph"/>
        <w:widowControl/>
        <w:numPr>
          <w:ilvl w:val="1"/>
          <w:numId w:val="1"/>
        </w:numPr>
        <w:rPr>
          <w:szCs w:val="22"/>
        </w:rPr>
      </w:pPr>
      <w:r w:rsidRPr="00526248">
        <w:rPr>
          <w:szCs w:val="22"/>
        </w:rPr>
        <w:t>The algorithm</w:t>
      </w:r>
      <w:r w:rsidR="00FE63E6">
        <w:rPr>
          <w:szCs w:val="22"/>
        </w:rPr>
        <w:t xml:space="preserve"> presented in the submission</w:t>
      </w:r>
      <w:r w:rsidRPr="00526248">
        <w:rPr>
          <w:szCs w:val="22"/>
        </w:rPr>
        <w:t xml:space="preserve"> was a simplified representation of the complex patient flow and multiple treatment options available. The algorithm was consistent with the proposed PBS restriction but it was unclear if</w:t>
      </w:r>
      <w:r w:rsidR="00FD3C5B" w:rsidRPr="00526248">
        <w:rPr>
          <w:szCs w:val="22"/>
        </w:rPr>
        <w:t xml:space="preserve"> the</w:t>
      </w:r>
      <w:r w:rsidRPr="00526248">
        <w:rPr>
          <w:szCs w:val="22"/>
        </w:rPr>
        <w:t xml:space="preserve"> choice of treatment would flow strictly according to lines of therapy. In clinical practice, treatment choice would likely be influenced by other factors such as previous therapy, disease severity, patient performance status and risk of adverse events.</w:t>
      </w:r>
    </w:p>
    <w:p w:rsidR="00DB10D8" w:rsidRPr="00DB10D8" w:rsidRDefault="00DB10D8" w:rsidP="000A7EB2">
      <w:pPr>
        <w:pStyle w:val="ListParagraph"/>
        <w:widowControl/>
        <w:rPr>
          <w:szCs w:val="22"/>
        </w:rPr>
      </w:pPr>
    </w:p>
    <w:p w:rsidR="002C2775" w:rsidRDefault="00235CED" w:rsidP="000A7EB2">
      <w:pPr>
        <w:pStyle w:val="ListParagraph"/>
        <w:widowControl/>
        <w:numPr>
          <w:ilvl w:val="1"/>
          <w:numId w:val="1"/>
        </w:numPr>
        <w:rPr>
          <w:szCs w:val="22"/>
        </w:rPr>
      </w:pPr>
      <w:r w:rsidRPr="00526248">
        <w:rPr>
          <w:szCs w:val="22"/>
        </w:rPr>
        <w:t xml:space="preserve">Treatment options in the algorithm </w:t>
      </w:r>
      <w:r w:rsidR="00FE63E6">
        <w:rPr>
          <w:szCs w:val="22"/>
        </w:rPr>
        <w:t xml:space="preserve">presented in the submission </w:t>
      </w:r>
      <w:r w:rsidRPr="00526248">
        <w:rPr>
          <w:szCs w:val="22"/>
        </w:rPr>
        <w:t>were consistent with p</w:t>
      </w:r>
      <w:r w:rsidR="00714D16" w:rsidRPr="00526248">
        <w:rPr>
          <w:szCs w:val="22"/>
        </w:rPr>
        <w:t>ublished guidelines for metastatic pancreatic cancer</w:t>
      </w:r>
      <w:r w:rsidRPr="00526248">
        <w:rPr>
          <w:szCs w:val="22"/>
        </w:rPr>
        <w:t>,</w:t>
      </w:r>
      <w:r w:rsidR="00714D16" w:rsidRPr="00526248">
        <w:rPr>
          <w:szCs w:val="22"/>
        </w:rPr>
        <w:t xml:space="preserve"> generally recommend</w:t>
      </w:r>
      <w:r w:rsidRPr="00526248">
        <w:rPr>
          <w:szCs w:val="22"/>
        </w:rPr>
        <w:t>ing</w:t>
      </w:r>
      <w:r w:rsidR="00714D16" w:rsidRPr="00526248">
        <w:rPr>
          <w:szCs w:val="22"/>
        </w:rPr>
        <w:t xml:space="preserve"> fluoropyrimidine-based therapy for patients who previously received gemcitabine-based therapy</w:t>
      </w:r>
      <w:r w:rsidRPr="00526248">
        <w:rPr>
          <w:szCs w:val="22"/>
        </w:rPr>
        <w:t>. Recommended treatment options that were fluoropyrimidine-based included irinotecan-containing regimens (e.g. FOLFIRI, FOLFIRINOX) and oxaliplatin-containing regimens (e.g. XELOX, mFOLFOX6 or OFF). None of the guidelines mentioned the use of 5-FU/folinic acid alone or capecitabine as monotherapy.</w:t>
      </w:r>
    </w:p>
    <w:p w:rsidR="00F43C99" w:rsidRPr="00F43C99" w:rsidRDefault="00F43C99" w:rsidP="000A7EB2">
      <w:pPr>
        <w:pStyle w:val="ListParagraph"/>
        <w:widowControl/>
        <w:rPr>
          <w:szCs w:val="22"/>
        </w:rPr>
      </w:pPr>
    </w:p>
    <w:p w:rsidR="002F7497" w:rsidRDefault="002F7497" w:rsidP="000A7EB2">
      <w:pPr>
        <w:pStyle w:val="Header"/>
        <w:widowControl/>
        <w:ind w:firstLine="709"/>
        <w:rPr>
          <w:szCs w:val="22"/>
        </w:rPr>
      </w:pPr>
      <w:r w:rsidRPr="00D30460">
        <w:rPr>
          <w:i/>
          <w:szCs w:val="22"/>
        </w:rPr>
        <w:t>For more detail on PBAC’s view, see section 7 “PBAC outcome”</w:t>
      </w:r>
      <w:r w:rsidR="004C613D">
        <w:rPr>
          <w:i/>
          <w:szCs w:val="22"/>
        </w:rPr>
        <w:t>.</w:t>
      </w:r>
    </w:p>
    <w:p w:rsidR="00242517" w:rsidRDefault="00242517" w:rsidP="000A7EB2">
      <w:pPr>
        <w:pStyle w:val="Header"/>
        <w:widowControl/>
        <w:rPr>
          <w:szCs w:val="22"/>
        </w:rPr>
      </w:pPr>
    </w:p>
    <w:p w:rsidR="002F7497" w:rsidRPr="00882085" w:rsidRDefault="002F7497" w:rsidP="000A7EB2">
      <w:pPr>
        <w:pStyle w:val="Header"/>
        <w:widowControl/>
        <w:rPr>
          <w:szCs w:val="22"/>
        </w:rPr>
      </w:pPr>
    </w:p>
    <w:p w:rsidR="00B50DB8" w:rsidRPr="00F343B5" w:rsidRDefault="00B50DB8" w:rsidP="00D34D16">
      <w:pPr>
        <w:pStyle w:val="PBACHeading1"/>
        <w:keepNext/>
      </w:pPr>
      <w:bookmarkStart w:id="7" w:name="_Toc461529325"/>
      <w:r w:rsidRPr="00407F2D">
        <w:t>Comparator</w:t>
      </w:r>
      <w:bookmarkEnd w:id="7"/>
    </w:p>
    <w:p w:rsidR="00B60939" w:rsidRPr="00882085" w:rsidRDefault="00B60939" w:rsidP="00D34D16">
      <w:pPr>
        <w:keepNext/>
        <w:widowControl/>
      </w:pPr>
    </w:p>
    <w:p w:rsidR="002C2775" w:rsidRPr="00526248" w:rsidRDefault="00714D16" w:rsidP="000A7EB2">
      <w:pPr>
        <w:pStyle w:val="ListParagraph"/>
        <w:widowControl/>
        <w:numPr>
          <w:ilvl w:val="1"/>
          <w:numId w:val="1"/>
        </w:numPr>
        <w:rPr>
          <w:szCs w:val="22"/>
        </w:rPr>
      </w:pPr>
      <w:r w:rsidRPr="00526248">
        <w:t>5-FU/folinic acid was nominated as a primary comparator based on availability of data and its use as a control in clinical trials. Th</w:t>
      </w:r>
      <w:r w:rsidR="00844724">
        <w:t>e evaluation considered this</w:t>
      </w:r>
      <w:r w:rsidRPr="00526248">
        <w:t xml:space="preserve"> was not </w:t>
      </w:r>
      <w:r w:rsidRPr="00DB10D8">
        <w:t xml:space="preserve">appropriate justification for a comparator. </w:t>
      </w:r>
      <w:r w:rsidR="00F7223E" w:rsidRPr="00DB10D8">
        <w:t>The PSCR argued that expert opinion affirmed that 5-FU/folinic acid is representative of the range of therapies (including fluoropyrim</w:t>
      </w:r>
      <w:r w:rsidR="00CC23F9">
        <w:t>i</w:t>
      </w:r>
      <w:r w:rsidR="00F7223E" w:rsidRPr="00DB10D8">
        <w:t>dine-based comparators such as capecitabine) that are used in the proposed target patient population, due to its status as a pro drug which is metabolised to 5-FU. The ESC considered there was limited data presented in the submission to justify that 5-FU/folinic acid could be a reasonable proxy. Given that u</w:t>
      </w:r>
      <w:r w:rsidRPr="00DB10D8">
        <w:t>tilisation data provided by the sponsor indicated that 5-FU/folinic acid alone is not widely used in practice</w:t>
      </w:r>
      <w:r w:rsidR="00F7223E" w:rsidRPr="00DB10D8">
        <w:t xml:space="preserve"> the ESC c</w:t>
      </w:r>
      <w:r w:rsidR="00A5103A" w:rsidRPr="00DB10D8">
        <w:t>onsidered</w:t>
      </w:r>
      <w:r w:rsidR="00F7223E" w:rsidRPr="00DB10D8">
        <w:t xml:space="preserve"> that it </w:t>
      </w:r>
      <w:r w:rsidR="0037504D" w:rsidRPr="00DB10D8">
        <w:t>was not an appropriate comparator.</w:t>
      </w:r>
    </w:p>
    <w:p w:rsidR="00714D16" w:rsidRPr="00714D16" w:rsidRDefault="00714D16" w:rsidP="000A7EB2">
      <w:pPr>
        <w:pStyle w:val="ListParagraph"/>
        <w:widowControl/>
        <w:rPr>
          <w:szCs w:val="22"/>
        </w:rPr>
      </w:pPr>
    </w:p>
    <w:p w:rsidR="0037504D" w:rsidRDefault="00714D16" w:rsidP="000A7EB2">
      <w:pPr>
        <w:pStyle w:val="ListParagraph"/>
        <w:widowControl/>
        <w:numPr>
          <w:ilvl w:val="1"/>
          <w:numId w:val="1"/>
        </w:numPr>
        <w:rPr>
          <w:szCs w:val="22"/>
        </w:rPr>
      </w:pPr>
      <w:r w:rsidRPr="00526248">
        <w:rPr>
          <w:szCs w:val="22"/>
        </w:rPr>
        <w:t>The</w:t>
      </w:r>
      <w:r w:rsidR="00F7223E">
        <w:rPr>
          <w:szCs w:val="22"/>
        </w:rPr>
        <w:t xml:space="preserve"> submission also nominated</w:t>
      </w:r>
      <w:r w:rsidRPr="00526248">
        <w:rPr>
          <w:szCs w:val="22"/>
        </w:rPr>
        <w:t xml:space="preserve"> </w:t>
      </w:r>
      <w:r w:rsidR="00F7223E">
        <w:rPr>
          <w:szCs w:val="22"/>
        </w:rPr>
        <w:t xml:space="preserve">the </w:t>
      </w:r>
      <w:r w:rsidRPr="00526248">
        <w:rPr>
          <w:szCs w:val="22"/>
        </w:rPr>
        <w:t xml:space="preserve">mFOLFOX6 </w:t>
      </w:r>
      <w:r w:rsidR="00BD580C">
        <w:rPr>
          <w:szCs w:val="22"/>
        </w:rPr>
        <w:t>(</w:t>
      </w:r>
      <w:r w:rsidR="00BD580C" w:rsidRPr="00DB10D8">
        <w:t>5-FU/folinic acid plus oxaliplatin</w:t>
      </w:r>
      <w:r w:rsidR="00BD580C">
        <w:rPr>
          <w:szCs w:val="22"/>
        </w:rPr>
        <w:t xml:space="preserve">) </w:t>
      </w:r>
      <w:r w:rsidRPr="00526248">
        <w:rPr>
          <w:szCs w:val="22"/>
        </w:rPr>
        <w:t xml:space="preserve">regimen as a primary comparator as it is one of the most commonly used treatments in patients failing gemcitabine-based therapy. </w:t>
      </w:r>
      <w:r w:rsidR="00235CED" w:rsidRPr="00526248">
        <w:rPr>
          <w:szCs w:val="22"/>
        </w:rPr>
        <w:t>Market research provided in the submission support</w:t>
      </w:r>
      <w:r w:rsidR="0037504D">
        <w:rPr>
          <w:szCs w:val="22"/>
        </w:rPr>
        <w:t>ed</w:t>
      </w:r>
      <w:r w:rsidR="00235CED" w:rsidRPr="00526248">
        <w:rPr>
          <w:szCs w:val="22"/>
        </w:rPr>
        <w:t xml:space="preserve"> this claim, although the data an</w:t>
      </w:r>
      <w:r w:rsidR="00235CED" w:rsidRPr="00DB10D8">
        <w:rPr>
          <w:szCs w:val="22"/>
        </w:rPr>
        <w:t xml:space="preserve">d published guidelines also </w:t>
      </w:r>
      <w:r w:rsidR="00235CED" w:rsidRPr="00DB10D8">
        <w:rPr>
          <w:szCs w:val="22"/>
        </w:rPr>
        <w:lastRenderedPageBreak/>
        <w:t>suggest</w:t>
      </w:r>
      <w:r w:rsidR="0037504D" w:rsidRPr="00DB10D8">
        <w:rPr>
          <w:szCs w:val="22"/>
        </w:rPr>
        <w:t>ed</w:t>
      </w:r>
      <w:r w:rsidR="00235CED" w:rsidRPr="00DB10D8">
        <w:rPr>
          <w:szCs w:val="22"/>
        </w:rPr>
        <w:t xml:space="preserve"> a wide range of </w:t>
      </w:r>
      <w:r w:rsidR="00BD580C">
        <w:rPr>
          <w:szCs w:val="22"/>
        </w:rPr>
        <w:t xml:space="preserve">other </w:t>
      </w:r>
      <w:r w:rsidR="00235CED" w:rsidRPr="00DB10D8">
        <w:rPr>
          <w:szCs w:val="22"/>
        </w:rPr>
        <w:t>treatment options such as capecitabine monotherapy, XELOX</w:t>
      </w:r>
      <w:r w:rsidR="00A5103A" w:rsidRPr="00DB10D8">
        <w:rPr>
          <w:szCs w:val="22"/>
        </w:rPr>
        <w:t xml:space="preserve"> </w:t>
      </w:r>
      <w:r w:rsidR="00A5103A" w:rsidRPr="00DB10D8">
        <w:t>(capecitabine plus oxaliplatin)</w:t>
      </w:r>
      <w:r w:rsidR="00235CED" w:rsidRPr="00DB10D8">
        <w:rPr>
          <w:szCs w:val="22"/>
        </w:rPr>
        <w:t>, FOLFIRI</w:t>
      </w:r>
      <w:r w:rsidR="00A5103A" w:rsidRPr="00DB10D8">
        <w:rPr>
          <w:szCs w:val="22"/>
        </w:rPr>
        <w:t xml:space="preserve"> </w:t>
      </w:r>
      <w:r w:rsidR="00A5103A" w:rsidRPr="00DB10D8">
        <w:t>(</w:t>
      </w:r>
      <w:r w:rsidR="00F7223E" w:rsidRPr="00DB10D8">
        <w:t>5</w:t>
      </w:r>
      <w:r w:rsidR="00F7223E" w:rsidRPr="00DB10D8">
        <w:noBreakHyphen/>
      </w:r>
      <w:r w:rsidR="00A5103A" w:rsidRPr="00DB10D8">
        <w:t>FU/folinic acid plus irinotecan)</w:t>
      </w:r>
      <w:r w:rsidR="00235CED" w:rsidRPr="00DB10D8">
        <w:rPr>
          <w:szCs w:val="22"/>
        </w:rPr>
        <w:t>, FOLFIRINOX</w:t>
      </w:r>
      <w:r w:rsidR="00A5103A" w:rsidRPr="00DB10D8">
        <w:rPr>
          <w:szCs w:val="22"/>
        </w:rPr>
        <w:t xml:space="preserve"> (</w:t>
      </w:r>
      <w:r w:rsidR="00A5103A" w:rsidRPr="00DB10D8">
        <w:t>5-FU/folinic acid plus irinotecan plus oxaliplatin</w:t>
      </w:r>
      <w:r w:rsidR="00A5103A" w:rsidRPr="00DB10D8">
        <w:rPr>
          <w:szCs w:val="22"/>
        </w:rPr>
        <w:t>)</w:t>
      </w:r>
      <w:r w:rsidR="00235CED" w:rsidRPr="00DB10D8">
        <w:rPr>
          <w:szCs w:val="22"/>
        </w:rPr>
        <w:t xml:space="preserve">, </w:t>
      </w:r>
      <w:r w:rsidR="001161BC" w:rsidRPr="00DB10D8">
        <w:rPr>
          <w:szCs w:val="22"/>
        </w:rPr>
        <w:t>or OFF (</w:t>
      </w:r>
      <w:r w:rsidR="00FE63E6" w:rsidRPr="00DB10D8">
        <w:t>5-FU/folinic acid plus oxaliplatin</w:t>
      </w:r>
      <w:r w:rsidR="00FE63E6">
        <w:t>,</w:t>
      </w:r>
      <w:r w:rsidR="00FE63E6" w:rsidRPr="00DB10D8">
        <w:rPr>
          <w:szCs w:val="22"/>
        </w:rPr>
        <w:t xml:space="preserve"> </w:t>
      </w:r>
      <w:r w:rsidR="00FE63E6">
        <w:rPr>
          <w:szCs w:val="22"/>
        </w:rPr>
        <w:t xml:space="preserve">which </w:t>
      </w:r>
      <w:r w:rsidR="001161BC" w:rsidRPr="00DB10D8">
        <w:rPr>
          <w:szCs w:val="22"/>
        </w:rPr>
        <w:t xml:space="preserve">may be superseded by </w:t>
      </w:r>
      <w:r w:rsidR="00C307E2">
        <w:rPr>
          <w:szCs w:val="22"/>
        </w:rPr>
        <w:t xml:space="preserve">the </w:t>
      </w:r>
      <w:r w:rsidR="001161BC" w:rsidRPr="00DB10D8">
        <w:rPr>
          <w:szCs w:val="22"/>
        </w:rPr>
        <w:t>mFOLFOX6</w:t>
      </w:r>
      <w:r w:rsidR="00C307E2">
        <w:rPr>
          <w:szCs w:val="22"/>
        </w:rPr>
        <w:t xml:space="preserve"> the dosing regimen</w:t>
      </w:r>
      <w:r w:rsidR="001161BC" w:rsidRPr="00DB10D8">
        <w:rPr>
          <w:szCs w:val="22"/>
        </w:rPr>
        <w:t xml:space="preserve">) </w:t>
      </w:r>
      <w:r w:rsidR="00BD580C">
        <w:rPr>
          <w:szCs w:val="22"/>
        </w:rPr>
        <w:t xml:space="preserve">are also </w:t>
      </w:r>
      <w:r w:rsidR="001161BC" w:rsidRPr="00DB10D8">
        <w:rPr>
          <w:szCs w:val="22"/>
        </w:rPr>
        <w:t>used.</w:t>
      </w:r>
    </w:p>
    <w:p w:rsidR="001161BC" w:rsidRPr="00526248" w:rsidRDefault="001161BC" w:rsidP="000A7EB2">
      <w:pPr>
        <w:pStyle w:val="ListParagraph"/>
        <w:widowControl/>
        <w:rPr>
          <w:szCs w:val="22"/>
        </w:rPr>
      </w:pPr>
    </w:p>
    <w:p w:rsidR="00B5294D" w:rsidRDefault="001161BC" w:rsidP="000A7EB2">
      <w:pPr>
        <w:pStyle w:val="ListParagraph"/>
        <w:widowControl/>
        <w:numPr>
          <w:ilvl w:val="1"/>
          <w:numId w:val="1"/>
        </w:numPr>
        <w:rPr>
          <w:szCs w:val="22"/>
        </w:rPr>
      </w:pPr>
      <w:r w:rsidRPr="00526248">
        <w:rPr>
          <w:szCs w:val="22"/>
        </w:rPr>
        <w:t>Given the wide range of treatment regimens available to patients previously treated with gemcitabine-based the</w:t>
      </w:r>
      <w:r w:rsidRPr="00DB10D8">
        <w:rPr>
          <w:szCs w:val="22"/>
        </w:rPr>
        <w:t xml:space="preserve">rapy, the </w:t>
      </w:r>
      <w:r w:rsidR="00F7223E" w:rsidRPr="00DB10D8">
        <w:rPr>
          <w:szCs w:val="22"/>
        </w:rPr>
        <w:t xml:space="preserve">ESC considered that the </w:t>
      </w:r>
      <w:r w:rsidRPr="00DB10D8">
        <w:rPr>
          <w:szCs w:val="22"/>
        </w:rPr>
        <w:t xml:space="preserve">submission inadequately justified the choice of comparators. </w:t>
      </w:r>
      <w:r w:rsidR="004020CF" w:rsidRPr="00DB10D8">
        <w:rPr>
          <w:szCs w:val="22"/>
        </w:rPr>
        <w:t xml:space="preserve">The PSCR (p1) argued that ‘the comparators presented in the submission are representative of current treatment practice based on expert advice, up-to-date and well-regarded Australian treatment guidelines, and published trials </w:t>
      </w:r>
      <w:r w:rsidR="00657E13">
        <w:rPr>
          <w:szCs w:val="22"/>
        </w:rPr>
        <w:t>[</w:t>
      </w:r>
      <w:r w:rsidR="004020CF" w:rsidRPr="00DB10D8">
        <w:rPr>
          <w:szCs w:val="22"/>
        </w:rPr>
        <w:t>in metast</w:t>
      </w:r>
      <w:r w:rsidR="00D84776" w:rsidRPr="00DB10D8">
        <w:rPr>
          <w:szCs w:val="22"/>
        </w:rPr>
        <w:t>atic pancreatic adenocarcinoma</w:t>
      </w:r>
      <w:r w:rsidR="00657E13">
        <w:rPr>
          <w:szCs w:val="22"/>
        </w:rPr>
        <w:t>]’</w:t>
      </w:r>
      <w:r w:rsidR="00D84776" w:rsidRPr="00DB10D8">
        <w:rPr>
          <w:szCs w:val="22"/>
        </w:rPr>
        <w:t>.</w:t>
      </w:r>
      <w:r w:rsidR="0051679F" w:rsidRPr="00DB10D8">
        <w:rPr>
          <w:szCs w:val="22"/>
        </w:rPr>
        <w:t xml:space="preserve"> The ESC considered that oxaliplatin</w:t>
      </w:r>
      <w:r w:rsidR="0070110F">
        <w:rPr>
          <w:szCs w:val="22"/>
        </w:rPr>
        <w:t>-</w:t>
      </w:r>
      <w:r w:rsidR="0051679F" w:rsidRPr="00DB10D8">
        <w:rPr>
          <w:szCs w:val="22"/>
        </w:rPr>
        <w:t>containing combination regimens, such as mFOLFOX6, were appropriate comparators.</w:t>
      </w:r>
      <w:r w:rsidR="00B5294D">
        <w:rPr>
          <w:szCs w:val="22"/>
        </w:rPr>
        <w:t xml:space="preserve"> </w:t>
      </w:r>
    </w:p>
    <w:p w:rsidR="00B5294D" w:rsidRPr="00B5294D" w:rsidRDefault="00B5294D" w:rsidP="000A7EB2">
      <w:pPr>
        <w:pStyle w:val="ListParagraph"/>
        <w:widowControl/>
        <w:rPr>
          <w:color w:val="3366FF"/>
          <w:szCs w:val="22"/>
        </w:rPr>
      </w:pPr>
    </w:p>
    <w:p w:rsidR="00F93DD0" w:rsidRPr="00F93DD0" w:rsidRDefault="00787CF0" w:rsidP="000A7EB2">
      <w:pPr>
        <w:pStyle w:val="ListParagraph"/>
        <w:widowControl/>
        <w:numPr>
          <w:ilvl w:val="1"/>
          <w:numId w:val="1"/>
        </w:numPr>
        <w:rPr>
          <w:szCs w:val="22"/>
        </w:rPr>
      </w:pPr>
      <w:r w:rsidRPr="00DB10D8">
        <w:t xml:space="preserve">The PSCR </w:t>
      </w:r>
      <w:r w:rsidR="004020CF" w:rsidRPr="00DB10D8">
        <w:t xml:space="preserve">further stated </w:t>
      </w:r>
      <w:r w:rsidRPr="00DB10D8">
        <w:t>that ‘FOLFIRI is less frequently used in pancreatic cancer and it is not indicated for use in metastatic pancreatic cancer’ and that ‘FOLFIRINOX is not considered a comparator as it is used primarily in a first line setting and for patients with good performance status’.</w:t>
      </w:r>
      <w:r w:rsidR="004020CF" w:rsidRPr="00DB10D8">
        <w:rPr>
          <w:szCs w:val="22"/>
        </w:rPr>
        <w:t xml:space="preserve"> </w:t>
      </w:r>
      <w:r w:rsidR="004020CF" w:rsidRPr="00DB10D8">
        <w:t xml:space="preserve">The ESC </w:t>
      </w:r>
      <w:r w:rsidR="0051679F" w:rsidRPr="00DB10D8">
        <w:t xml:space="preserve">agreed that FOLFIRI is not commonly used and </w:t>
      </w:r>
      <w:r w:rsidR="004020CF" w:rsidRPr="00DB10D8">
        <w:t>that</w:t>
      </w:r>
      <w:r w:rsidR="00D84776" w:rsidRPr="00DB10D8">
        <w:t xml:space="preserve"> </w:t>
      </w:r>
      <w:r w:rsidR="004020CF" w:rsidRPr="00DB10D8">
        <w:t>FOLFIRINOX</w:t>
      </w:r>
      <w:r w:rsidR="00D84776" w:rsidRPr="00DB10D8">
        <w:t xml:space="preserve"> </w:t>
      </w:r>
      <w:r w:rsidR="004020CF" w:rsidRPr="00DB10D8">
        <w:t xml:space="preserve">is increasingly being used </w:t>
      </w:r>
      <w:r w:rsidR="00D84776" w:rsidRPr="00DB10D8">
        <w:t>in</w:t>
      </w:r>
      <w:r w:rsidR="004020CF" w:rsidRPr="00DB10D8">
        <w:t xml:space="preserve"> first-line (in addition to second-line </w:t>
      </w:r>
      <w:r w:rsidR="00D84776" w:rsidRPr="00DB10D8">
        <w:t xml:space="preserve">use </w:t>
      </w:r>
      <w:r w:rsidR="004020CF" w:rsidRPr="00DB10D8">
        <w:t>following failure with gemcitabine-based therapy)</w:t>
      </w:r>
      <w:r w:rsidR="0051679F" w:rsidRPr="00DB10D8">
        <w:t xml:space="preserve">. The ESC </w:t>
      </w:r>
      <w:r w:rsidR="004020CF" w:rsidRPr="00DB10D8">
        <w:t xml:space="preserve">noted there is no evidence for efficacy for irinotecan (nanoliposomal) with </w:t>
      </w:r>
      <w:r w:rsidR="0051679F" w:rsidRPr="00DB10D8">
        <w:t>5</w:t>
      </w:r>
      <w:r w:rsidR="0051679F" w:rsidRPr="00DB10D8">
        <w:noBreakHyphen/>
      </w:r>
      <w:r w:rsidR="004020CF" w:rsidRPr="00DB10D8">
        <w:t>FU/folinic acid as</w:t>
      </w:r>
      <w:r w:rsidR="00D84776" w:rsidRPr="00DB10D8">
        <w:t xml:space="preserve"> second-</w:t>
      </w:r>
      <w:r w:rsidR="004020CF" w:rsidRPr="00DB10D8">
        <w:t>line treatment</w:t>
      </w:r>
      <w:r w:rsidR="00D84776" w:rsidRPr="00DB10D8">
        <w:t xml:space="preserve"> following failure with the irinotecan containing FOLFIRINOX</w:t>
      </w:r>
      <w:r w:rsidR="0051679F" w:rsidRPr="00DB10D8">
        <w:t xml:space="preserve"> </w:t>
      </w:r>
      <w:r w:rsidR="0051679F" w:rsidRPr="00182AEA">
        <w:t>therapy</w:t>
      </w:r>
      <w:r w:rsidR="004020CF" w:rsidRPr="00182AEA">
        <w:t>.</w:t>
      </w:r>
    </w:p>
    <w:p w:rsidR="00F93DD0" w:rsidRDefault="00F93DD0" w:rsidP="000A7EB2">
      <w:pPr>
        <w:pStyle w:val="ListParagraph"/>
        <w:widowControl/>
      </w:pPr>
    </w:p>
    <w:p w:rsidR="00581B9B" w:rsidRPr="00F93DD0" w:rsidRDefault="00F93DD0" w:rsidP="000A7EB2">
      <w:pPr>
        <w:pStyle w:val="ListParagraph"/>
        <w:widowControl/>
        <w:numPr>
          <w:ilvl w:val="1"/>
          <w:numId w:val="1"/>
        </w:numPr>
        <w:rPr>
          <w:szCs w:val="22"/>
        </w:rPr>
      </w:pPr>
      <w:r>
        <w:t>T</w:t>
      </w:r>
      <w:r w:rsidR="000B277E" w:rsidRPr="00F93DD0">
        <w:t>he</w:t>
      </w:r>
      <w:r w:rsidR="00973A7B" w:rsidRPr="00F93DD0">
        <w:t xml:space="preserve"> pre-PBAC response (p1) accepted that </w:t>
      </w:r>
      <w:r>
        <w:t xml:space="preserve">treatment with </w:t>
      </w:r>
      <w:r w:rsidR="00973A7B" w:rsidRPr="00F93DD0">
        <w:t>5</w:t>
      </w:r>
      <w:r>
        <w:t>-</w:t>
      </w:r>
      <w:r w:rsidR="00973A7B" w:rsidRPr="00F93DD0">
        <w:t xml:space="preserve">FU/folinic alone </w:t>
      </w:r>
      <w:r>
        <w:t xml:space="preserve">is used infrequently </w:t>
      </w:r>
      <w:r w:rsidR="00973A7B" w:rsidRPr="00F93DD0">
        <w:t>for metastatic pancreatic adenocarcinoma</w:t>
      </w:r>
      <w:r>
        <w:t xml:space="preserve">. However, the pre-PBAC response </w:t>
      </w:r>
      <w:r w:rsidR="00973A7B" w:rsidRPr="00F93DD0">
        <w:t xml:space="preserve">argued that </w:t>
      </w:r>
      <w:r>
        <w:t xml:space="preserve">5-FU/folinic acid is an appropriate comparator in the </w:t>
      </w:r>
      <w:r w:rsidR="00973A7B" w:rsidRPr="00F93DD0">
        <w:t>‘historical context</w:t>
      </w:r>
      <w:r>
        <w:t xml:space="preserve"> of the study</w:t>
      </w:r>
      <w:r w:rsidR="00973A7B" w:rsidRPr="00F93DD0">
        <w:t>’</w:t>
      </w:r>
      <w:r w:rsidR="00D75CF8" w:rsidRPr="00F93DD0">
        <w:t xml:space="preserve"> and ‘has been accepted </w:t>
      </w:r>
      <w:r>
        <w:t xml:space="preserve">as relevant </w:t>
      </w:r>
      <w:r w:rsidR="00D75CF8" w:rsidRPr="00F93DD0">
        <w:t>by registration authorities</w:t>
      </w:r>
      <w:r w:rsidR="00F93F1A">
        <w:t>’</w:t>
      </w:r>
      <w:r w:rsidR="00973A7B" w:rsidRPr="00F93DD0">
        <w:t>.</w:t>
      </w:r>
    </w:p>
    <w:p w:rsidR="004B7A6D" w:rsidRPr="0070110F" w:rsidRDefault="004B7A6D" w:rsidP="000A7EB2">
      <w:pPr>
        <w:widowControl/>
        <w:rPr>
          <w:szCs w:val="22"/>
        </w:rPr>
      </w:pPr>
    </w:p>
    <w:p w:rsidR="002F7497" w:rsidRDefault="002F7497" w:rsidP="002D1C4D">
      <w:pPr>
        <w:widowControl/>
        <w:ind w:firstLine="709"/>
        <w:rPr>
          <w:szCs w:val="22"/>
        </w:rPr>
      </w:pPr>
      <w:r w:rsidRPr="0070110F">
        <w:rPr>
          <w:i/>
          <w:szCs w:val="22"/>
        </w:rPr>
        <w:t>For more detail on PBAC’s view, see section 7 “PBAC outcome”</w:t>
      </w:r>
      <w:r w:rsidR="004C613D">
        <w:rPr>
          <w:i/>
          <w:szCs w:val="22"/>
        </w:rPr>
        <w:t>.</w:t>
      </w:r>
    </w:p>
    <w:p w:rsidR="00D84776" w:rsidRDefault="00D84776" w:rsidP="000A7EB2">
      <w:pPr>
        <w:widowControl/>
        <w:rPr>
          <w:szCs w:val="22"/>
        </w:rPr>
      </w:pPr>
    </w:p>
    <w:p w:rsidR="002F7497" w:rsidRPr="00DF5D2B" w:rsidRDefault="002F7497" w:rsidP="000A7EB2">
      <w:pPr>
        <w:widowControl/>
        <w:rPr>
          <w:szCs w:val="22"/>
        </w:rPr>
      </w:pPr>
    </w:p>
    <w:p w:rsidR="00B50DB8" w:rsidRPr="00407F2D" w:rsidRDefault="00BD6CF3" w:rsidP="00FE63E6">
      <w:pPr>
        <w:pStyle w:val="PBACHeading1"/>
        <w:keepNext/>
      </w:pPr>
      <w:bookmarkStart w:id="8" w:name="_Toc461529326"/>
      <w:r>
        <w:t>C</w:t>
      </w:r>
      <w:r w:rsidR="00B50DB8" w:rsidRPr="00407F2D">
        <w:t>onsideration of the evidence</w:t>
      </w:r>
      <w:bookmarkEnd w:id="8"/>
    </w:p>
    <w:p w:rsidR="00B60939" w:rsidRDefault="00B60939" w:rsidP="00FE63E6">
      <w:pPr>
        <w:keepNext/>
        <w:widowControl/>
      </w:pPr>
    </w:p>
    <w:p w:rsidR="002F7497" w:rsidRPr="00C762FE" w:rsidRDefault="002F7497" w:rsidP="00DC042C">
      <w:pPr>
        <w:pStyle w:val="Heading2"/>
        <w:keepNext/>
      </w:pPr>
      <w:r w:rsidRPr="00C762FE">
        <w:t>Sponsor hearing</w:t>
      </w:r>
    </w:p>
    <w:p w:rsidR="002F7497" w:rsidRDefault="002F7497" w:rsidP="00DC042C">
      <w:pPr>
        <w:keepNext/>
        <w:widowControl/>
      </w:pPr>
    </w:p>
    <w:p w:rsidR="002F7497" w:rsidRPr="00F93DD0" w:rsidRDefault="002F7497" w:rsidP="000A7EB2">
      <w:pPr>
        <w:pStyle w:val="ListParagraph"/>
        <w:widowControl/>
        <w:numPr>
          <w:ilvl w:val="1"/>
          <w:numId w:val="1"/>
        </w:numPr>
      </w:pPr>
      <w:r w:rsidRPr="00F93DD0">
        <w:t>The sponsor req</w:t>
      </w:r>
      <w:r w:rsidR="005E01E7">
        <w:t>uested a hearing for this item.</w:t>
      </w:r>
      <w:r w:rsidRPr="00F93DD0">
        <w:t xml:space="preserve"> The clinician presented clinical case studies</w:t>
      </w:r>
      <w:r w:rsidR="000E2EF3" w:rsidRPr="00F93DD0">
        <w:t>, including current clinical treatment</w:t>
      </w:r>
      <w:r w:rsidR="00255BEE" w:rsidRPr="00F93DD0">
        <w:t>s</w:t>
      </w:r>
      <w:r w:rsidR="000E2EF3" w:rsidRPr="00F93DD0">
        <w:t xml:space="preserve"> for patients with this condition</w:t>
      </w:r>
      <w:r w:rsidRPr="00F93DD0">
        <w:t xml:space="preserve">, how the drug would be used in </w:t>
      </w:r>
      <w:r w:rsidR="000E2EF3" w:rsidRPr="00F93DD0">
        <w:t xml:space="preserve">current </w:t>
      </w:r>
      <w:r w:rsidRPr="00F93DD0">
        <w:t>practice</w:t>
      </w:r>
      <w:r w:rsidR="000E2EF3" w:rsidRPr="00F93DD0">
        <w:t xml:space="preserve"> in Australia</w:t>
      </w:r>
      <w:r w:rsidRPr="00F93DD0">
        <w:t>, and addressed other matters in response to the Committee’s questions.</w:t>
      </w:r>
      <w:r w:rsidR="000E2EF3" w:rsidRPr="00F93DD0">
        <w:t xml:space="preserve"> </w:t>
      </w:r>
      <w:r w:rsidRPr="00F93DD0">
        <w:t xml:space="preserve">The PBAC </w:t>
      </w:r>
      <w:r w:rsidR="00255BEE" w:rsidRPr="00F93DD0">
        <w:rPr>
          <w:szCs w:val="22"/>
        </w:rPr>
        <w:t>noted the information provided by the clinical expert at the sponsor hearing</w:t>
      </w:r>
      <w:r w:rsidR="00255BEE" w:rsidRPr="00F93DD0">
        <w:t xml:space="preserve"> and </w:t>
      </w:r>
      <w:r w:rsidRPr="00F93DD0">
        <w:t xml:space="preserve">considered that the hearing was informative as it provided a clinical perspective on </w:t>
      </w:r>
      <w:r w:rsidR="007A0B29" w:rsidRPr="00F93DD0">
        <w:t>the need for effective, non-toxic therapies for metastatic pancreatic adenocarcinoma</w:t>
      </w:r>
      <w:r w:rsidR="00C40110">
        <w:t xml:space="preserve">. The clinician provided the PBAC with additional context of the clinical significance of the incremental benefit </w:t>
      </w:r>
      <w:r w:rsidR="00E42E5F">
        <w:t xml:space="preserve">likely to be </w:t>
      </w:r>
      <w:r w:rsidR="00C40110">
        <w:t>associated with irinotecan (nanoliposomal)</w:t>
      </w:r>
      <w:r w:rsidR="003454E5">
        <w:t xml:space="preserve"> and indicated that the toxicity is likely to be similar to other irinotecan-containing </w:t>
      </w:r>
      <w:r w:rsidR="00657E13">
        <w:t>regimens</w:t>
      </w:r>
      <w:r w:rsidR="00C40110">
        <w:t xml:space="preserve">. </w:t>
      </w:r>
      <w:r w:rsidR="005E01E7">
        <w:t xml:space="preserve">The </w:t>
      </w:r>
      <w:r w:rsidR="00C40110">
        <w:t xml:space="preserve">clinician stated that mFOLFOX6 is an appropriate comparator and </w:t>
      </w:r>
      <w:r w:rsidR="007A0B29" w:rsidRPr="00F93DD0">
        <w:t>confirmed that 5</w:t>
      </w:r>
      <w:r w:rsidR="00F93F1A">
        <w:t>-</w:t>
      </w:r>
      <w:r w:rsidR="007A0B29" w:rsidRPr="00F93DD0">
        <w:t>FU/folinic acid is not current</w:t>
      </w:r>
      <w:r w:rsidR="005E01E7">
        <w:t>ly a</w:t>
      </w:r>
      <w:r w:rsidR="007A0B29" w:rsidRPr="00F93DD0">
        <w:t xml:space="preserve"> commonly used treatment for this condition in Australia</w:t>
      </w:r>
      <w:r w:rsidRPr="00F93DD0">
        <w:t>.</w:t>
      </w:r>
    </w:p>
    <w:p w:rsidR="002F7497" w:rsidRDefault="002F7497" w:rsidP="000A7EB2">
      <w:pPr>
        <w:widowControl/>
      </w:pPr>
    </w:p>
    <w:p w:rsidR="002C7134" w:rsidRDefault="002C7134">
      <w:pPr>
        <w:widowControl/>
        <w:jc w:val="left"/>
        <w:rPr>
          <w:b/>
          <w:i/>
        </w:rPr>
      </w:pPr>
      <w:r>
        <w:br w:type="page"/>
      </w:r>
    </w:p>
    <w:p w:rsidR="002F7497" w:rsidRPr="00C762FE" w:rsidRDefault="002F7497" w:rsidP="000A7EB2">
      <w:pPr>
        <w:pStyle w:val="Heading2"/>
      </w:pPr>
      <w:r w:rsidRPr="00C762FE">
        <w:lastRenderedPageBreak/>
        <w:t>Consumer comments</w:t>
      </w:r>
    </w:p>
    <w:p w:rsidR="002F7497" w:rsidRDefault="002F7497" w:rsidP="000A7EB2">
      <w:pPr>
        <w:widowControl/>
      </w:pPr>
    </w:p>
    <w:p w:rsidR="002F7497" w:rsidRDefault="002F7497" w:rsidP="000A7EB2">
      <w:pPr>
        <w:pStyle w:val="ListParagraph"/>
        <w:widowControl/>
        <w:numPr>
          <w:ilvl w:val="1"/>
          <w:numId w:val="1"/>
        </w:numPr>
        <w:rPr>
          <w:szCs w:val="22"/>
        </w:rPr>
      </w:pPr>
      <w:r w:rsidRPr="00F93DD0">
        <w:rPr>
          <w:szCs w:val="22"/>
        </w:rPr>
        <w:t xml:space="preserve">The PBAC noted and welcomed the input from </w:t>
      </w:r>
      <w:r w:rsidR="00F641DE">
        <w:rPr>
          <w:szCs w:val="22"/>
        </w:rPr>
        <w:t xml:space="preserve">individuals (2), health care professionals (1) and </w:t>
      </w:r>
      <w:r w:rsidRPr="00F93DD0">
        <w:rPr>
          <w:szCs w:val="22"/>
        </w:rPr>
        <w:t>organisations (</w:t>
      </w:r>
      <w:r w:rsidR="00F641DE">
        <w:rPr>
          <w:szCs w:val="22"/>
        </w:rPr>
        <w:t xml:space="preserve">3 – </w:t>
      </w:r>
      <w:r w:rsidR="00B41120" w:rsidRPr="00F93DD0">
        <w:rPr>
          <w:szCs w:val="22"/>
        </w:rPr>
        <w:t>Medical</w:t>
      </w:r>
      <w:r w:rsidR="00F641DE">
        <w:rPr>
          <w:szCs w:val="22"/>
        </w:rPr>
        <w:t xml:space="preserve"> </w:t>
      </w:r>
      <w:r w:rsidR="00B41120" w:rsidRPr="00F93DD0">
        <w:rPr>
          <w:szCs w:val="22"/>
        </w:rPr>
        <w:t>Oncology Group of Australia</w:t>
      </w:r>
      <w:r w:rsidR="00F641DE">
        <w:rPr>
          <w:szCs w:val="22"/>
        </w:rPr>
        <w:t xml:space="preserve"> (MOGA)</w:t>
      </w:r>
      <w:r w:rsidR="00B41120" w:rsidRPr="00F93DD0">
        <w:rPr>
          <w:szCs w:val="22"/>
        </w:rPr>
        <w:t>, Pancare Foundation and Rare Cancers Australia</w:t>
      </w:r>
      <w:r w:rsidRPr="00F93DD0">
        <w:rPr>
          <w:szCs w:val="22"/>
        </w:rPr>
        <w:t xml:space="preserve">) via the Consumer Comments facility on the PBS website.  The comments </w:t>
      </w:r>
      <w:r w:rsidR="00F641DE">
        <w:rPr>
          <w:szCs w:val="22"/>
        </w:rPr>
        <w:t>described</w:t>
      </w:r>
      <w:r w:rsidR="00F641DE" w:rsidRPr="00F93DD0">
        <w:rPr>
          <w:szCs w:val="22"/>
        </w:rPr>
        <w:t xml:space="preserve"> </w:t>
      </w:r>
      <w:r w:rsidR="00F641DE">
        <w:rPr>
          <w:szCs w:val="22"/>
        </w:rPr>
        <w:t xml:space="preserve">the potential benefit in overall survival associated with treatment with irinotecan (nanoliposomal) and the clinical need for an effective treatment for </w:t>
      </w:r>
      <w:r w:rsidR="005B6A23" w:rsidRPr="00F93DD0">
        <w:rPr>
          <w:szCs w:val="22"/>
        </w:rPr>
        <w:t xml:space="preserve">patients with </w:t>
      </w:r>
      <w:r w:rsidR="00BC4AF6">
        <w:rPr>
          <w:szCs w:val="22"/>
        </w:rPr>
        <w:t>second-</w:t>
      </w:r>
      <w:r w:rsidR="00F641DE">
        <w:rPr>
          <w:szCs w:val="22"/>
        </w:rPr>
        <w:t xml:space="preserve">line </w:t>
      </w:r>
      <w:r w:rsidR="005B6A23" w:rsidRPr="00F93DD0">
        <w:rPr>
          <w:szCs w:val="22"/>
        </w:rPr>
        <w:t>metastatic pancreatic adenocarcinoma.</w:t>
      </w:r>
    </w:p>
    <w:p w:rsidR="00FE63E6" w:rsidRDefault="00FE63E6" w:rsidP="00FE63E6">
      <w:pPr>
        <w:pStyle w:val="ListParagraph"/>
        <w:widowControl/>
        <w:rPr>
          <w:szCs w:val="22"/>
        </w:rPr>
      </w:pPr>
    </w:p>
    <w:p w:rsidR="00FE63E6" w:rsidRPr="00F93DD0" w:rsidRDefault="00FE63E6" w:rsidP="000A7EB2">
      <w:pPr>
        <w:pStyle w:val="ListParagraph"/>
        <w:widowControl/>
        <w:numPr>
          <w:ilvl w:val="1"/>
          <w:numId w:val="1"/>
        </w:numPr>
        <w:rPr>
          <w:szCs w:val="22"/>
        </w:rPr>
      </w:pPr>
      <w:r>
        <w:rPr>
          <w:szCs w:val="22"/>
        </w:rPr>
        <w:t xml:space="preserve">The PBAC particularly noted that MOGA provided its support to the submission for irinotecan (nanoliposomal) and noted </w:t>
      </w:r>
      <w:r w:rsidR="00317AC1">
        <w:rPr>
          <w:szCs w:val="22"/>
        </w:rPr>
        <w:t xml:space="preserve">that its </w:t>
      </w:r>
      <w:r>
        <w:rPr>
          <w:szCs w:val="22"/>
        </w:rPr>
        <w:t xml:space="preserve">ESMO-MCBS evaluation score for non-curative therapies </w:t>
      </w:r>
      <w:r w:rsidR="00317AC1">
        <w:rPr>
          <w:szCs w:val="22"/>
        </w:rPr>
        <w:t xml:space="preserve">is </w:t>
      </w:r>
      <w:r>
        <w:rPr>
          <w:szCs w:val="22"/>
        </w:rPr>
        <w:t>2 out of a maximum of 5</w:t>
      </w:r>
      <w:r w:rsidR="00317AC1">
        <w:rPr>
          <w:szCs w:val="22"/>
        </w:rPr>
        <w:t xml:space="preserve"> (where 5 and 4 represent the grades with substantial improvement)</w:t>
      </w:r>
      <w:r>
        <w:rPr>
          <w:rStyle w:val="FootnoteReference"/>
          <w:szCs w:val="22"/>
        </w:rPr>
        <w:footnoteReference w:id="1"/>
      </w:r>
      <w:r>
        <w:rPr>
          <w:szCs w:val="22"/>
        </w:rPr>
        <w:t>.</w:t>
      </w:r>
    </w:p>
    <w:p w:rsidR="004A0929" w:rsidRDefault="004A0929" w:rsidP="000A7EB2">
      <w:pPr>
        <w:widowControl/>
      </w:pPr>
    </w:p>
    <w:p w:rsidR="00B60939" w:rsidRPr="00C762FE" w:rsidRDefault="00B60939" w:rsidP="00561775">
      <w:pPr>
        <w:pStyle w:val="Heading2"/>
        <w:keepNext/>
      </w:pPr>
      <w:bookmarkStart w:id="9" w:name="_Toc461529327"/>
      <w:r w:rsidRPr="00C762FE">
        <w:t>Clinical trials</w:t>
      </w:r>
      <w:bookmarkEnd w:id="9"/>
    </w:p>
    <w:p w:rsidR="00B60939" w:rsidRPr="00882085" w:rsidRDefault="00B60939" w:rsidP="00561775">
      <w:pPr>
        <w:keepNext/>
        <w:widowControl/>
        <w:rPr>
          <w:szCs w:val="22"/>
        </w:rPr>
      </w:pPr>
    </w:p>
    <w:p w:rsidR="004B1D68" w:rsidRPr="004B1D68" w:rsidRDefault="00862502" w:rsidP="000A7EB2">
      <w:pPr>
        <w:pStyle w:val="ListParagraph"/>
        <w:widowControl/>
        <w:numPr>
          <w:ilvl w:val="1"/>
          <w:numId w:val="1"/>
        </w:numPr>
        <w:rPr>
          <w:szCs w:val="22"/>
        </w:rPr>
      </w:pPr>
      <w:r w:rsidRPr="00862502">
        <w:t xml:space="preserve">The submission </w:t>
      </w:r>
      <w:r w:rsidR="0056739D">
        <w:t>wa</w:t>
      </w:r>
      <w:r w:rsidRPr="00862502">
        <w:t>s based on one head-to-</w:t>
      </w:r>
      <w:r w:rsidR="001161BC">
        <w:t xml:space="preserve">head trial comparing </w:t>
      </w:r>
      <w:r w:rsidR="00C82D5A">
        <w:t>irinotecan (nanoliposomal)</w:t>
      </w:r>
      <w:r w:rsidR="001161BC">
        <w:t xml:space="preserve"> with 5-FU/folinic acid for the treatment of metastatic pancreatic cancer in patients with disease progression who have previously received gemcitabine-based therapy (NAPOLI-1</w:t>
      </w:r>
      <w:r w:rsidRPr="00862502">
        <w:t>).</w:t>
      </w:r>
    </w:p>
    <w:p w:rsidR="004B1D68" w:rsidRPr="004B1D68" w:rsidRDefault="004B1D68" w:rsidP="000A7EB2">
      <w:pPr>
        <w:pStyle w:val="ListParagraph"/>
        <w:widowControl/>
        <w:rPr>
          <w:szCs w:val="22"/>
        </w:rPr>
      </w:pPr>
    </w:p>
    <w:p w:rsidR="007F1017" w:rsidRPr="00B50DB8" w:rsidRDefault="001161BC" w:rsidP="000A7EB2">
      <w:pPr>
        <w:pStyle w:val="ListParagraph"/>
        <w:widowControl/>
        <w:numPr>
          <w:ilvl w:val="1"/>
          <w:numId w:val="1"/>
        </w:numPr>
        <w:rPr>
          <w:szCs w:val="22"/>
        </w:rPr>
      </w:pPr>
      <w:r>
        <w:t xml:space="preserve">The submission also presented a naïve indirect comparison of </w:t>
      </w:r>
      <w:r w:rsidR="00C82D5A">
        <w:t>irinotecan (nanoliposomal)</w:t>
      </w:r>
      <w:r>
        <w:t xml:space="preserve"> (NAPOLI-1) with oxaliplatin-containing regimens (CONKO-003 and PANCREOX).</w:t>
      </w:r>
    </w:p>
    <w:p w:rsidR="00862502" w:rsidRPr="00862502" w:rsidRDefault="00862502" w:rsidP="000A7EB2">
      <w:pPr>
        <w:widowControl/>
        <w:rPr>
          <w:szCs w:val="22"/>
        </w:rPr>
      </w:pPr>
    </w:p>
    <w:p w:rsidR="00862502" w:rsidRDefault="00862502" w:rsidP="000A7EB2">
      <w:pPr>
        <w:pStyle w:val="ListParagraph"/>
        <w:widowControl/>
        <w:numPr>
          <w:ilvl w:val="1"/>
          <w:numId w:val="1"/>
        </w:numPr>
        <w:rPr>
          <w:szCs w:val="22"/>
        </w:rPr>
      </w:pPr>
      <w:r w:rsidRPr="001161BC">
        <w:rPr>
          <w:szCs w:val="22"/>
        </w:rPr>
        <w:t xml:space="preserve">Details of the trials presented in the submission are provided in </w:t>
      </w:r>
      <w:r w:rsidR="00815124">
        <w:rPr>
          <w:szCs w:val="22"/>
        </w:rPr>
        <w:t>T</w:t>
      </w:r>
      <w:r w:rsidRPr="001161BC">
        <w:rPr>
          <w:szCs w:val="22"/>
        </w:rPr>
        <w:t xml:space="preserve">able </w:t>
      </w:r>
      <w:r w:rsidR="00815124">
        <w:rPr>
          <w:szCs w:val="22"/>
        </w:rPr>
        <w:t>1</w:t>
      </w:r>
      <w:r w:rsidR="001161BC">
        <w:rPr>
          <w:szCs w:val="22"/>
        </w:rPr>
        <w:t>.</w:t>
      </w:r>
    </w:p>
    <w:p w:rsidR="001161BC" w:rsidRPr="001161BC" w:rsidRDefault="001161BC" w:rsidP="000A7EB2">
      <w:pPr>
        <w:pStyle w:val="ListParagraph"/>
        <w:widowControl/>
        <w:rPr>
          <w:szCs w:val="22"/>
        </w:rPr>
      </w:pPr>
    </w:p>
    <w:p w:rsidR="00661D6B" w:rsidRPr="00E161DB" w:rsidRDefault="009634E8" w:rsidP="00D324F1">
      <w:pPr>
        <w:keepNext/>
        <w:widowControl/>
        <w:ind w:firstLine="709"/>
        <w:rPr>
          <w:rFonts w:ascii="Arial Narrow" w:hAnsi="Arial Narrow"/>
          <w:b/>
          <w:sz w:val="20"/>
        </w:rPr>
      </w:pPr>
      <w:r>
        <w:rPr>
          <w:rFonts w:ascii="Arial Narrow" w:hAnsi="Arial Narrow"/>
          <w:b/>
          <w:sz w:val="20"/>
        </w:rPr>
        <w:lastRenderedPageBreak/>
        <w:t xml:space="preserve">Table </w:t>
      </w:r>
      <w:r w:rsidR="00661D6B">
        <w:rPr>
          <w:rFonts w:ascii="Arial Narrow" w:hAnsi="Arial Narrow"/>
          <w:b/>
          <w:sz w:val="20"/>
        </w:rPr>
        <w:t>1</w:t>
      </w:r>
      <w:r w:rsidR="00661D6B" w:rsidRPr="00BE7415">
        <w:rPr>
          <w:rFonts w:ascii="Arial Narrow" w:hAnsi="Arial Narrow"/>
          <w:b/>
          <w:sz w:val="20"/>
        </w:rPr>
        <w:t>:</w:t>
      </w:r>
      <w:r w:rsidR="00661D6B" w:rsidRPr="00E161DB">
        <w:rPr>
          <w:rFonts w:ascii="Arial Narrow" w:hAnsi="Arial Narrow"/>
          <w:b/>
          <w:sz w:val="20"/>
        </w:rPr>
        <w:t xml:space="preserve"> Trials </w:t>
      </w:r>
      <w:r w:rsidR="00661D6B">
        <w:rPr>
          <w:rFonts w:ascii="Arial Narrow" w:hAnsi="Arial Narrow"/>
          <w:b/>
          <w:sz w:val="20"/>
        </w:rPr>
        <w:t>and associated reports included</w:t>
      </w:r>
      <w:r w:rsidR="00661D6B" w:rsidRPr="00E161DB">
        <w:rPr>
          <w:rFonts w:ascii="Arial Narrow" w:hAnsi="Arial Narrow"/>
          <w:b/>
          <w:sz w:val="20"/>
        </w:rPr>
        <w:t xml:space="preserve"> in the submission</w:t>
      </w:r>
    </w:p>
    <w:tbl>
      <w:tblPr>
        <w:tblStyle w:val="TableGrid"/>
        <w:tblW w:w="8363" w:type="dxa"/>
        <w:tblInd w:w="817" w:type="dxa"/>
        <w:tblLook w:val="04A0" w:firstRow="1" w:lastRow="0" w:firstColumn="1" w:lastColumn="0" w:noHBand="0" w:noVBand="1"/>
        <w:tblCaption w:val="Table 1: Trials and associated reports included in the submission"/>
        <w:tblDescription w:val="Table 1: Trials and associated reports included in the submission"/>
      </w:tblPr>
      <w:tblGrid>
        <w:gridCol w:w="1392"/>
        <w:gridCol w:w="5021"/>
        <w:gridCol w:w="1950"/>
      </w:tblGrid>
      <w:tr w:rsidR="00661D6B" w:rsidRPr="002858F4" w:rsidTr="00D324F1">
        <w:trPr>
          <w:tblHeader/>
        </w:trPr>
        <w:tc>
          <w:tcPr>
            <w:tcW w:w="1334" w:type="dxa"/>
            <w:vAlign w:val="center"/>
          </w:tcPr>
          <w:p w:rsidR="00661D6B" w:rsidRPr="002858F4" w:rsidRDefault="00661D6B" w:rsidP="000A7EB2">
            <w:pPr>
              <w:keepNext/>
              <w:widowControl/>
              <w:rPr>
                <w:rFonts w:ascii="Arial Narrow" w:hAnsi="Arial Narrow"/>
                <w:b/>
                <w:sz w:val="20"/>
              </w:rPr>
            </w:pPr>
            <w:r w:rsidRPr="002858F4">
              <w:rPr>
                <w:rFonts w:ascii="Arial Narrow" w:hAnsi="Arial Narrow"/>
                <w:b/>
                <w:sz w:val="20"/>
              </w:rPr>
              <w:t>Trial ID</w:t>
            </w:r>
          </w:p>
        </w:tc>
        <w:tc>
          <w:tcPr>
            <w:tcW w:w="5074" w:type="dxa"/>
            <w:vAlign w:val="center"/>
          </w:tcPr>
          <w:p w:rsidR="00661D6B" w:rsidRPr="002858F4" w:rsidRDefault="00661D6B" w:rsidP="000A7EB2">
            <w:pPr>
              <w:keepNext/>
              <w:widowControl/>
              <w:jc w:val="center"/>
              <w:rPr>
                <w:rFonts w:ascii="Arial Narrow" w:hAnsi="Arial Narrow"/>
                <w:b/>
                <w:sz w:val="20"/>
              </w:rPr>
            </w:pPr>
            <w:r w:rsidRPr="002858F4">
              <w:rPr>
                <w:rFonts w:ascii="Arial Narrow" w:hAnsi="Arial Narrow"/>
                <w:b/>
                <w:sz w:val="20"/>
              </w:rPr>
              <w:t>Protocol title/ Publication title</w:t>
            </w:r>
          </w:p>
        </w:tc>
        <w:tc>
          <w:tcPr>
            <w:tcW w:w="1955" w:type="dxa"/>
            <w:vAlign w:val="center"/>
          </w:tcPr>
          <w:p w:rsidR="00661D6B" w:rsidRPr="002858F4" w:rsidRDefault="00661D6B" w:rsidP="000A7EB2">
            <w:pPr>
              <w:keepNext/>
              <w:widowControl/>
              <w:jc w:val="center"/>
              <w:rPr>
                <w:rFonts w:ascii="Arial Narrow" w:hAnsi="Arial Narrow"/>
                <w:b/>
                <w:sz w:val="20"/>
              </w:rPr>
            </w:pPr>
            <w:r w:rsidRPr="002858F4">
              <w:rPr>
                <w:rFonts w:ascii="Arial Narrow" w:hAnsi="Arial Narrow"/>
                <w:b/>
                <w:sz w:val="20"/>
              </w:rPr>
              <w:t>Publication citation</w:t>
            </w:r>
          </w:p>
        </w:tc>
      </w:tr>
      <w:tr w:rsidR="00661D6B" w:rsidRPr="002858F4" w:rsidTr="00D324F1">
        <w:tc>
          <w:tcPr>
            <w:tcW w:w="8363" w:type="dxa"/>
            <w:gridSpan w:val="3"/>
            <w:vAlign w:val="center"/>
          </w:tcPr>
          <w:p w:rsidR="00661D6B" w:rsidRPr="002858F4" w:rsidRDefault="00C82D5A" w:rsidP="000A7EB2">
            <w:pPr>
              <w:keepNext/>
              <w:widowControl/>
              <w:jc w:val="left"/>
              <w:rPr>
                <w:rFonts w:ascii="Arial Narrow" w:hAnsi="Arial Narrow"/>
                <w:b/>
                <w:sz w:val="20"/>
              </w:rPr>
            </w:pPr>
            <w:r>
              <w:rPr>
                <w:rFonts w:ascii="Arial Narrow" w:hAnsi="Arial Narrow"/>
                <w:b/>
                <w:sz w:val="20"/>
              </w:rPr>
              <w:t>Irinotecan (nanoliposomal)</w:t>
            </w:r>
            <w:r w:rsidR="00661D6B">
              <w:rPr>
                <w:rFonts w:ascii="Arial Narrow" w:hAnsi="Arial Narrow"/>
                <w:b/>
                <w:sz w:val="20"/>
              </w:rPr>
              <w:t xml:space="preserve"> plus 5-FU/folinic acid versus 5-FU/folinic acid</w:t>
            </w:r>
          </w:p>
        </w:tc>
      </w:tr>
      <w:tr w:rsidR="00661D6B" w:rsidRPr="002858F4" w:rsidTr="00D324F1">
        <w:trPr>
          <w:trHeight w:val="167"/>
        </w:trPr>
        <w:tc>
          <w:tcPr>
            <w:tcW w:w="1334" w:type="dxa"/>
            <w:vMerge w:val="restart"/>
            <w:vAlign w:val="center"/>
          </w:tcPr>
          <w:p w:rsidR="00661D6B" w:rsidRDefault="00661D6B" w:rsidP="000A7EB2">
            <w:pPr>
              <w:keepNext/>
              <w:widowControl/>
              <w:rPr>
                <w:rFonts w:ascii="Arial Narrow" w:hAnsi="Arial Narrow"/>
                <w:color w:val="000000"/>
                <w:sz w:val="20"/>
              </w:rPr>
            </w:pPr>
            <w:r>
              <w:rPr>
                <w:rFonts w:ascii="Arial Narrow" w:hAnsi="Arial Narrow"/>
                <w:color w:val="000000"/>
                <w:sz w:val="20"/>
              </w:rPr>
              <w:t>NAPOLI-1</w:t>
            </w:r>
          </w:p>
          <w:p w:rsidR="00661D6B" w:rsidRPr="002858F4" w:rsidRDefault="00661D6B" w:rsidP="000A7EB2">
            <w:pPr>
              <w:keepNext/>
              <w:widowControl/>
              <w:rPr>
                <w:rFonts w:ascii="Arial Narrow" w:hAnsi="Arial Narrow"/>
                <w:color w:val="000000"/>
                <w:sz w:val="20"/>
              </w:rPr>
            </w:pPr>
            <w:r>
              <w:rPr>
                <w:rFonts w:ascii="Arial Narrow" w:hAnsi="Arial Narrow"/>
                <w:color w:val="000000"/>
                <w:sz w:val="20"/>
              </w:rPr>
              <w:t>(NCT01494506)</w:t>
            </w:r>
          </w:p>
        </w:tc>
        <w:tc>
          <w:tcPr>
            <w:tcW w:w="5074" w:type="dxa"/>
            <w:vAlign w:val="center"/>
          </w:tcPr>
          <w:p w:rsidR="00661D6B" w:rsidRDefault="00661D6B" w:rsidP="000A7EB2">
            <w:pPr>
              <w:keepNext/>
              <w:widowControl/>
              <w:rPr>
                <w:rFonts w:ascii="Arial Narrow" w:hAnsi="Arial Narrow"/>
                <w:sz w:val="20"/>
              </w:rPr>
            </w:pPr>
            <w:r>
              <w:rPr>
                <w:rFonts w:ascii="Arial Narrow" w:hAnsi="Arial Narrow"/>
                <w:sz w:val="20"/>
              </w:rPr>
              <w:t xml:space="preserve">Wang-Gillam A, Von Hoff DD, Li C-P, et al. Nanoliposomal irinotecan with fluorouracil and folinic acid in metastatic pancreatic cancer after previous gemcitabine-based therapy (NAPOLI-1): a global, randomised, open-label, phase 3 trial. </w:t>
            </w:r>
          </w:p>
        </w:tc>
        <w:tc>
          <w:tcPr>
            <w:tcW w:w="1955" w:type="dxa"/>
            <w:vAlign w:val="center"/>
          </w:tcPr>
          <w:p w:rsidR="00661D6B" w:rsidRDefault="00661D6B" w:rsidP="000A7EB2">
            <w:pPr>
              <w:keepNext/>
              <w:widowControl/>
              <w:jc w:val="left"/>
              <w:rPr>
                <w:rFonts w:ascii="Arial Narrow" w:hAnsi="Arial Narrow"/>
                <w:sz w:val="20"/>
              </w:rPr>
            </w:pPr>
            <w:r>
              <w:rPr>
                <w:rFonts w:ascii="Arial Narrow" w:hAnsi="Arial Narrow"/>
                <w:sz w:val="20"/>
              </w:rPr>
              <w:t>Lancet 387(10018):545-57, 6 Feb 2016</w:t>
            </w:r>
          </w:p>
        </w:tc>
      </w:tr>
      <w:tr w:rsidR="00661D6B" w:rsidRPr="002858F4" w:rsidTr="00D324F1">
        <w:tc>
          <w:tcPr>
            <w:tcW w:w="1334" w:type="dxa"/>
            <w:vMerge/>
            <w:vAlign w:val="center"/>
          </w:tcPr>
          <w:p w:rsidR="00661D6B" w:rsidRPr="002858F4" w:rsidRDefault="00661D6B" w:rsidP="000A7EB2">
            <w:pPr>
              <w:keepNext/>
              <w:widowControl/>
              <w:rPr>
                <w:rFonts w:ascii="Arial Narrow" w:hAnsi="Arial Narrow"/>
                <w:sz w:val="20"/>
              </w:rPr>
            </w:pPr>
          </w:p>
        </w:tc>
        <w:tc>
          <w:tcPr>
            <w:tcW w:w="5074" w:type="dxa"/>
            <w:vAlign w:val="center"/>
          </w:tcPr>
          <w:p w:rsidR="00661D6B" w:rsidRPr="002858F4" w:rsidRDefault="00661D6B" w:rsidP="000A7EB2">
            <w:pPr>
              <w:keepNext/>
              <w:widowControl/>
              <w:rPr>
                <w:rFonts w:ascii="Arial Narrow" w:hAnsi="Arial Narrow"/>
                <w:sz w:val="20"/>
              </w:rPr>
            </w:pPr>
            <w:r>
              <w:rPr>
                <w:rFonts w:ascii="Arial Narrow" w:hAnsi="Arial Narrow"/>
                <w:sz w:val="20"/>
              </w:rPr>
              <w:t>Clinical study report: MM-398-07-03-01 (NAPOLI-1) (2015): A randomised, open-label phase 3 study of MM-398, with or without 5-fluorouracil and leucovorin in patients with metastatic pancreatic cancer who have failed prior gemcitabine-based therapy.</w:t>
            </w:r>
          </w:p>
        </w:tc>
        <w:tc>
          <w:tcPr>
            <w:tcW w:w="1955" w:type="dxa"/>
            <w:vAlign w:val="center"/>
          </w:tcPr>
          <w:p w:rsidR="00661D6B" w:rsidRPr="002858F4" w:rsidRDefault="00661D6B" w:rsidP="000A7EB2">
            <w:pPr>
              <w:keepNext/>
              <w:widowControl/>
              <w:jc w:val="left"/>
              <w:rPr>
                <w:rFonts w:ascii="Arial Narrow" w:hAnsi="Arial Narrow"/>
                <w:sz w:val="20"/>
              </w:rPr>
            </w:pPr>
            <w:r>
              <w:rPr>
                <w:rFonts w:ascii="Arial Narrow" w:hAnsi="Arial Narrow"/>
                <w:sz w:val="20"/>
              </w:rPr>
              <w:t>Internal study report</w:t>
            </w:r>
          </w:p>
        </w:tc>
      </w:tr>
      <w:tr w:rsidR="00661D6B" w:rsidRPr="002858F4" w:rsidTr="00D324F1">
        <w:tc>
          <w:tcPr>
            <w:tcW w:w="1334" w:type="dxa"/>
            <w:vMerge/>
            <w:vAlign w:val="center"/>
          </w:tcPr>
          <w:p w:rsidR="00661D6B" w:rsidRPr="002858F4" w:rsidRDefault="00661D6B" w:rsidP="000A7EB2">
            <w:pPr>
              <w:keepNext/>
              <w:widowControl/>
              <w:rPr>
                <w:rFonts w:ascii="Arial Narrow" w:hAnsi="Arial Narrow"/>
                <w:sz w:val="20"/>
              </w:rPr>
            </w:pPr>
          </w:p>
        </w:tc>
        <w:tc>
          <w:tcPr>
            <w:tcW w:w="5074" w:type="dxa"/>
            <w:vAlign w:val="center"/>
          </w:tcPr>
          <w:p w:rsidR="00661D6B" w:rsidRPr="002858F4" w:rsidRDefault="002A4E9A" w:rsidP="000A7EB2">
            <w:pPr>
              <w:keepNext/>
              <w:widowControl/>
              <w:rPr>
                <w:rFonts w:ascii="Arial Narrow" w:hAnsi="Arial Narrow"/>
                <w:sz w:val="20"/>
              </w:rPr>
            </w:pPr>
            <w:r>
              <w:rPr>
                <w:rFonts w:ascii="Arial Narrow" w:hAnsi="Arial Narrow"/>
                <w:noProof/>
                <w:color w:val="000000"/>
                <w:sz w:val="20"/>
                <w:highlight w:val="black"/>
              </w:rPr>
              <w:t>'''''</w:t>
            </w:r>
            <w:r w:rsidR="00661D6B">
              <w:rPr>
                <w:rFonts w:ascii="Arial Narrow" w:hAnsi="Arial Narrow"/>
                <w:sz w:val="20"/>
              </w:rPr>
              <w:t xml:space="preserve"> day safety update report of the NAPOLI-1 study. The report contains </w:t>
            </w:r>
            <w:r>
              <w:rPr>
                <w:rFonts w:ascii="Arial Narrow" w:hAnsi="Arial Narrow"/>
                <w:noProof/>
                <w:color w:val="000000"/>
                <w:sz w:val="20"/>
                <w:highlight w:val="black"/>
              </w:rPr>
              <w:t>'''''''</w:t>
            </w:r>
            <w:r w:rsidR="00661D6B">
              <w:rPr>
                <w:rFonts w:ascii="Arial Narrow" w:hAnsi="Arial Narrow"/>
                <w:sz w:val="20"/>
              </w:rPr>
              <w:t xml:space="preserve"> months of additional safety data from the NAPOLI-1 study, following the primary analysis cut-off date for the data presented from the NAPOLI-1 study which was </w:t>
            </w:r>
            <w:r>
              <w:rPr>
                <w:rFonts w:ascii="Arial Narrow" w:hAnsi="Arial Narrow"/>
                <w:noProof/>
                <w:color w:val="000000"/>
                <w:sz w:val="20"/>
                <w:highlight w:val="black"/>
              </w:rPr>
              <w:t>'''''' ''''''''''''''''''''''' '''''''''''</w:t>
            </w:r>
            <w:r w:rsidR="00661D6B">
              <w:rPr>
                <w:rFonts w:ascii="Arial Narrow" w:hAnsi="Arial Narrow"/>
                <w:sz w:val="20"/>
              </w:rPr>
              <w:t>.</w:t>
            </w:r>
          </w:p>
        </w:tc>
        <w:tc>
          <w:tcPr>
            <w:tcW w:w="1955" w:type="dxa"/>
            <w:vAlign w:val="center"/>
          </w:tcPr>
          <w:p w:rsidR="00661D6B" w:rsidRPr="002858F4" w:rsidRDefault="00661D6B" w:rsidP="000A7EB2">
            <w:pPr>
              <w:keepNext/>
              <w:widowControl/>
              <w:jc w:val="left"/>
              <w:rPr>
                <w:rFonts w:ascii="Arial Narrow" w:hAnsi="Arial Narrow"/>
                <w:sz w:val="20"/>
              </w:rPr>
            </w:pPr>
            <w:r>
              <w:rPr>
                <w:rFonts w:ascii="Arial Narrow" w:hAnsi="Arial Narrow"/>
                <w:sz w:val="20"/>
              </w:rPr>
              <w:t>Internal study report</w:t>
            </w:r>
          </w:p>
        </w:tc>
      </w:tr>
      <w:tr w:rsidR="00661D6B" w:rsidRPr="002858F4" w:rsidTr="00D324F1">
        <w:tc>
          <w:tcPr>
            <w:tcW w:w="8363" w:type="dxa"/>
            <w:gridSpan w:val="3"/>
            <w:vAlign w:val="center"/>
          </w:tcPr>
          <w:p w:rsidR="00661D6B" w:rsidRPr="002B597B" w:rsidRDefault="00661D6B" w:rsidP="000A7EB2">
            <w:pPr>
              <w:keepNext/>
              <w:widowControl/>
              <w:jc w:val="left"/>
              <w:rPr>
                <w:rFonts w:ascii="Arial Narrow" w:hAnsi="Arial Narrow"/>
                <w:b/>
                <w:sz w:val="20"/>
              </w:rPr>
            </w:pPr>
            <w:r>
              <w:rPr>
                <w:rFonts w:ascii="Arial Narrow" w:hAnsi="Arial Narrow"/>
                <w:b/>
                <w:sz w:val="20"/>
              </w:rPr>
              <w:t>Meta-analysis comparing studies with oxaliplatin-containing regim</w:t>
            </w:r>
            <w:r w:rsidR="00021A9D">
              <w:rPr>
                <w:rFonts w:ascii="Arial Narrow" w:hAnsi="Arial Narrow"/>
                <w:b/>
                <w:sz w:val="20"/>
              </w:rPr>
              <w:t>ens (OFF and mFOLFOX6) versus 5</w:t>
            </w:r>
            <w:r w:rsidR="00021A9D">
              <w:rPr>
                <w:rFonts w:ascii="Arial Narrow" w:hAnsi="Arial Narrow"/>
                <w:b/>
                <w:sz w:val="20"/>
              </w:rPr>
              <w:noBreakHyphen/>
            </w:r>
            <w:r>
              <w:rPr>
                <w:rFonts w:ascii="Arial Narrow" w:hAnsi="Arial Narrow"/>
                <w:b/>
                <w:sz w:val="20"/>
              </w:rPr>
              <w:t>FU/folinic acid</w:t>
            </w:r>
          </w:p>
        </w:tc>
      </w:tr>
      <w:tr w:rsidR="00661D6B" w:rsidRPr="002858F4" w:rsidTr="00D324F1">
        <w:tc>
          <w:tcPr>
            <w:tcW w:w="1334" w:type="dxa"/>
            <w:vMerge w:val="restart"/>
            <w:vAlign w:val="center"/>
          </w:tcPr>
          <w:p w:rsidR="00661D6B" w:rsidRDefault="00661D6B" w:rsidP="000A7EB2">
            <w:pPr>
              <w:keepNext/>
              <w:widowControl/>
              <w:rPr>
                <w:rFonts w:ascii="Arial Narrow" w:hAnsi="Arial Narrow"/>
                <w:sz w:val="20"/>
              </w:rPr>
            </w:pPr>
            <w:r>
              <w:rPr>
                <w:rFonts w:ascii="Arial Narrow" w:hAnsi="Arial Narrow"/>
                <w:sz w:val="20"/>
              </w:rPr>
              <w:t>CONKO-003</w:t>
            </w:r>
          </w:p>
          <w:p w:rsidR="00661D6B" w:rsidRPr="00CF74C2" w:rsidRDefault="00661D6B" w:rsidP="000A7EB2">
            <w:pPr>
              <w:keepNext/>
              <w:widowControl/>
              <w:rPr>
                <w:rFonts w:ascii="Arial Narrow" w:hAnsi="Arial Narrow"/>
                <w:sz w:val="20"/>
              </w:rPr>
            </w:pPr>
            <w:r>
              <w:rPr>
                <w:rFonts w:ascii="Arial Narrow" w:hAnsi="Arial Narrow"/>
                <w:sz w:val="20"/>
              </w:rPr>
              <w:t>(NCT00786058)</w:t>
            </w:r>
          </w:p>
        </w:tc>
        <w:tc>
          <w:tcPr>
            <w:tcW w:w="5074" w:type="dxa"/>
            <w:vAlign w:val="center"/>
          </w:tcPr>
          <w:p w:rsidR="00661D6B" w:rsidRDefault="00661D6B" w:rsidP="000A7EB2">
            <w:pPr>
              <w:keepNext/>
              <w:widowControl/>
              <w:rPr>
                <w:rFonts w:ascii="Arial Narrow" w:hAnsi="Arial Narrow"/>
                <w:sz w:val="20"/>
              </w:rPr>
            </w:pPr>
            <w:r>
              <w:rPr>
                <w:rFonts w:ascii="Arial Narrow" w:hAnsi="Arial Narrow"/>
                <w:sz w:val="20"/>
              </w:rPr>
              <w:t>Oettle et al. Second-line oxaliplatin, folinic acid, and fluorouracil versus folinic acid and fluorouracil alone for gemcitabine-refractory pancreatic cancer: outcomes from the CONKO-003 trial.</w:t>
            </w:r>
          </w:p>
        </w:tc>
        <w:tc>
          <w:tcPr>
            <w:tcW w:w="1955" w:type="dxa"/>
            <w:vAlign w:val="center"/>
          </w:tcPr>
          <w:p w:rsidR="00661D6B" w:rsidRDefault="00661D6B" w:rsidP="000A7EB2">
            <w:pPr>
              <w:keepNext/>
              <w:widowControl/>
              <w:jc w:val="left"/>
              <w:rPr>
                <w:rFonts w:ascii="Arial Narrow" w:hAnsi="Arial Narrow"/>
                <w:sz w:val="20"/>
              </w:rPr>
            </w:pPr>
            <w:r>
              <w:rPr>
                <w:rFonts w:ascii="Arial Narrow" w:hAnsi="Arial Narrow"/>
                <w:sz w:val="20"/>
              </w:rPr>
              <w:t>Journal of Clinical Oncology 32(23):2423-9, 10 Aug 2014</w:t>
            </w:r>
          </w:p>
        </w:tc>
      </w:tr>
      <w:tr w:rsidR="00661D6B" w:rsidRPr="002858F4" w:rsidTr="00D324F1">
        <w:tc>
          <w:tcPr>
            <w:tcW w:w="1334" w:type="dxa"/>
            <w:vMerge/>
            <w:vAlign w:val="center"/>
          </w:tcPr>
          <w:p w:rsidR="00661D6B" w:rsidRDefault="00661D6B" w:rsidP="000A7EB2">
            <w:pPr>
              <w:keepNext/>
              <w:widowControl/>
              <w:rPr>
                <w:rFonts w:ascii="Arial Narrow" w:hAnsi="Arial Narrow"/>
                <w:sz w:val="20"/>
              </w:rPr>
            </w:pPr>
          </w:p>
        </w:tc>
        <w:tc>
          <w:tcPr>
            <w:tcW w:w="5074" w:type="dxa"/>
            <w:vAlign w:val="center"/>
          </w:tcPr>
          <w:p w:rsidR="00661D6B" w:rsidRDefault="00661D6B" w:rsidP="000A7EB2">
            <w:pPr>
              <w:keepNext/>
              <w:widowControl/>
              <w:rPr>
                <w:rFonts w:ascii="Arial Narrow" w:hAnsi="Arial Narrow"/>
                <w:sz w:val="20"/>
              </w:rPr>
            </w:pPr>
            <w:r>
              <w:rPr>
                <w:rFonts w:ascii="Arial Narrow" w:hAnsi="Arial Narrow"/>
                <w:sz w:val="20"/>
              </w:rPr>
              <w:t>Pelzer U et al. Best supportive care (BSC) versus oxaliplatin, folinic acid and 5-fluorouracil (OFF) plus BSC in patients for second-line advanced pancreatic cancer: a phase-III study from the German CONKO-study group.</w:t>
            </w:r>
          </w:p>
        </w:tc>
        <w:tc>
          <w:tcPr>
            <w:tcW w:w="1955" w:type="dxa"/>
            <w:vAlign w:val="center"/>
          </w:tcPr>
          <w:p w:rsidR="00661D6B" w:rsidRDefault="00661D6B" w:rsidP="000A7EB2">
            <w:pPr>
              <w:keepNext/>
              <w:widowControl/>
              <w:jc w:val="left"/>
              <w:rPr>
                <w:rFonts w:ascii="Arial Narrow" w:hAnsi="Arial Narrow"/>
                <w:sz w:val="20"/>
              </w:rPr>
            </w:pPr>
            <w:r>
              <w:rPr>
                <w:rFonts w:ascii="Arial Narrow" w:hAnsi="Arial Narrow"/>
                <w:sz w:val="20"/>
              </w:rPr>
              <w:t>European Journal of Cancer 47(11):1676-81, Jul 2011</w:t>
            </w:r>
          </w:p>
        </w:tc>
      </w:tr>
      <w:tr w:rsidR="00661D6B" w:rsidRPr="002858F4" w:rsidTr="00D324F1">
        <w:tc>
          <w:tcPr>
            <w:tcW w:w="1334" w:type="dxa"/>
            <w:vAlign w:val="center"/>
          </w:tcPr>
          <w:p w:rsidR="00661D6B" w:rsidRDefault="00661D6B" w:rsidP="000A7EB2">
            <w:pPr>
              <w:keepNext/>
              <w:widowControl/>
              <w:rPr>
                <w:rFonts w:ascii="Arial Narrow" w:hAnsi="Arial Narrow"/>
                <w:sz w:val="20"/>
              </w:rPr>
            </w:pPr>
            <w:r>
              <w:rPr>
                <w:rFonts w:ascii="Arial Narrow" w:hAnsi="Arial Narrow"/>
                <w:sz w:val="20"/>
              </w:rPr>
              <w:t>PANCREOX</w:t>
            </w:r>
          </w:p>
          <w:p w:rsidR="00661D6B" w:rsidRDefault="00661D6B" w:rsidP="000A7EB2">
            <w:pPr>
              <w:keepNext/>
              <w:widowControl/>
              <w:rPr>
                <w:rFonts w:ascii="Arial Narrow" w:hAnsi="Arial Narrow"/>
                <w:sz w:val="20"/>
              </w:rPr>
            </w:pPr>
            <w:r>
              <w:rPr>
                <w:rFonts w:ascii="Arial Narrow" w:hAnsi="Arial Narrow"/>
                <w:sz w:val="20"/>
              </w:rPr>
              <w:t>(NCT01121848)</w:t>
            </w:r>
          </w:p>
          <w:p w:rsidR="00661D6B" w:rsidRPr="00CF74C2" w:rsidRDefault="00661D6B" w:rsidP="000A7EB2">
            <w:pPr>
              <w:keepNext/>
              <w:widowControl/>
              <w:rPr>
                <w:rFonts w:ascii="Arial Narrow" w:hAnsi="Arial Narrow"/>
                <w:sz w:val="20"/>
              </w:rPr>
            </w:pPr>
          </w:p>
        </w:tc>
        <w:tc>
          <w:tcPr>
            <w:tcW w:w="5074" w:type="dxa"/>
            <w:vAlign w:val="center"/>
          </w:tcPr>
          <w:p w:rsidR="00661D6B" w:rsidRDefault="00661D6B" w:rsidP="000A7EB2">
            <w:pPr>
              <w:keepNext/>
              <w:widowControl/>
              <w:rPr>
                <w:rFonts w:ascii="Arial Narrow" w:hAnsi="Arial Narrow"/>
                <w:sz w:val="20"/>
              </w:rPr>
            </w:pPr>
            <w:r>
              <w:rPr>
                <w:rFonts w:ascii="Arial Narrow" w:hAnsi="Arial Narrow"/>
                <w:sz w:val="20"/>
              </w:rPr>
              <w:t>Gill S et al. PANCREOX: A randomised phase 3 study of 5FU/LV with or without oxaliplatin for second-line advanced pancreatic cancer in patients who have received gemcitabine-based chemotherapy [abstract].</w:t>
            </w:r>
          </w:p>
        </w:tc>
        <w:tc>
          <w:tcPr>
            <w:tcW w:w="1955" w:type="dxa"/>
            <w:vAlign w:val="center"/>
          </w:tcPr>
          <w:p w:rsidR="00661D6B" w:rsidRDefault="00661D6B" w:rsidP="000A7EB2">
            <w:pPr>
              <w:keepNext/>
              <w:widowControl/>
              <w:jc w:val="left"/>
              <w:rPr>
                <w:rFonts w:ascii="Arial Narrow" w:hAnsi="Arial Narrow"/>
                <w:sz w:val="20"/>
              </w:rPr>
            </w:pPr>
            <w:r>
              <w:rPr>
                <w:rFonts w:ascii="Arial Narrow" w:hAnsi="Arial Narrow"/>
                <w:sz w:val="20"/>
              </w:rPr>
              <w:t>Journal of Clinical Oncology, 2014 ASCO Annual Meeting Abstracts, 32(15_suppl):4022</w:t>
            </w:r>
          </w:p>
          <w:p w:rsidR="00661D6B" w:rsidRDefault="00661D6B" w:rsidP="000A7EB2">
            <w:pPr>
              <w:keepNext/>
              <w:widowControl/>
              <w:jc w:val="left"/>
              <w:rPr>
                <w:rFonts w:ascii="Arial Narrow" w:hAnsi="Arial Narrow"/>
                <w:sz w:val="20"/>
              </w:rPr>
            </w:pPr>
            <w:r>
              <w:rPr>
                <w:rFonts w:ascii="Arial Narrow" w:hAnsi="Arial Narrow"/>
                <w:sz w:val="20"/>
              </w:rPr>
              <w:t>[abstract only]</w:t>
            </w:r>
          </w:p>
        </w:tc>
      </w:tr>
    </w:tbl>
    <w:p w:rsidR="009634E8" w:rsidRDefault="009634E8" w:rsidP="000A7EB2">
      <w:pPr>
        <w:pStyle w:val="TableFooter"/>
        <w:widowControl/>
      </w:pPr>
      <w:r>
        <w:tab/>
        <w:t>Source: Tables B.2.3 (p87) and B.6.14 (p139) of the submission</w:t>
      </w:r>
    </w:p>
    <w:p w:rsidR="005F67D0" w:rsidRPr="008F120A" w:rsidRDefault="005F67D0" w:rsidP="000A7EB2">
      <w:pPr>
        <w:widowControl/>
        <w:rPr>
          <w:szCs w:val="22"/>
        </w:rPr>
      </w:pPr>
    </w:p>
    <w:p w:rsidR="00862502" w:rsidRPr="00B50DB8" w:rsidRDefault="008F120A" w:rsidP="000A7EB2">
      <w:pPr>
        <w:pStyle w:val="ListParagraph"/>
        <w:widowControl/>
        <w:numPr>
          <w:ilvl w:val="1"/>
          <w:numId w:val="1"/>
        </w:numPr>
        <w:rPr>
          <w:szCs w:val="22"/>
        </w:rPr>
      </w:pPr>
      <w:r w:rsidRPr="00B50DB8">
        <w:rPr>
          <w:szCs w:val="22"/>
        </w:rPr>
        <w:t xml:space="preserve">The key features of the </w:t>
      </w:r>
      <w:r w:rsidR="009634E8">
        <w:rPr>
          <w:szCs w:val="22"/>
        </w:rPr>
        <w:t>included studies</w:t>
      </w:r>
      <w:r w:rsidRPr="00B50DB8">
        <w:rPr>
          <w:szCs w:val="22"/>
        </w:rPr>
        <w:t xml:space="preserve"> are summarised in </w:t>
      </w:r>
      <w:r w:rsidR="00815124">
        <w:rPr>
          <w:szCs w:val="22"/>
        </w:rPr>
        <w:t>T</w:t>
      </w:r>
      <w:r w:rsidRPr="00B50DB8">
        <w:rPr>
          <w:szCs w:val="22"/>
        </w:rPr>
        <w:t xml:space="preserve">able </w:t>
      </w:r>
      <w:r w:rsidR="00815124">
        <w:rPr>
          <w:szCs w:val="22"/>
        </w:rPr>
        <w:t>2</w:t>
      </w:r>
      <w:r w:rsidRPr="00B50DB8">
        <w:rPr>
          <w:szCs w:val="22"/>
        </w:rPr>
        <w:t>.</w:t>
      </w:r>
    </w:p>
    <w:p w:rsidR="007F1017" w:rsidRDefault="007F1017" w:rsidP="000A7EB2">
      <w:pPr>
        <w:widowControl/>
        <w:rPr>
          <w:szCs w:val="22"/>
        </w:rPr>
      </w:pPr>
    </w:p>
    <w:p w:rsidR="007F1017" w:rsidRPr="00E2771E" w:rsidRDefault="009634E8" w:rsidP="000A7EB2">
      <w:pPr>
        <w:keepNext/>
        <w:widowControl/>
        <w:ind w:firstLine="720"/>
        <w:rPr>
          <w:rStyle w:val="CommentReference"/>
        </w:rPr>
      </w:pPr>
      <w:r>
        <w:rPr>
          <w:rStyle w:val="CommentReference"/>
        </w:rPr>
        <w:lastRenderedPageBreak/>
        <w:t>Table 2</w:t>
      </w:r>
      <w:r w:rsidR="007F1017" w:rsidRPr="00E2771E">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3"/>
        <w:gridCol w:w="451"/>
        <w:gridCol w:w="1522"/>
        <w:gridCol w:w="1058"/>
        <w:gridCol w:w="2063"/>
        <w:gridCol w:w="1133"/>
        <w:gridCol w:w="1115"/>
      </w:tblGrid>
      <w:tr w:rsidR="00E22A0D" w:rsidRPr="00E2771E" w:rsidTr="0044708C">
        <w:tc>
          <w:tcPr>
            <w:tcW w:w="601" w:type="pct"/>
            <w:shd w:val="clear" w:color="auto" w:fill="auto"/>
            <w:vAlign w:val="center"/>
          </w:tcPr>
          <w:p w:rsidR="007F1017" w:rsidRPr="00E2771E" w:rsidRDefault="007F1017" w:rsidP="000A7EB2">
            <w:pPr>
              <w:keepNext/>
              <w:widowControl/>
              <w:jc w:val="left"/>
              <w:rPr>
                <w:rFonts w:ascii="Arial Narrow" w:hAnsi="Arial Narrow"/>
                <w:b/>
                <w:sz w:val="20"/>
                <w:lang w:val="en-US"/>
              </w:rPr>
            </w:pPr>
            <w:r w:rsidRPr="00E2771E">
              <w:rPr>
                <w:rFonts w:ascii="Arial Narrow" w:hAnsi="Arial Narrow"/>
                <w:b/>
                <w:sz w:val="20"/>
                <w:lang w:val="en-US"/>
              </w:rPr>
              <w:t>Trial</w:t>
            </w:r>
          </w:p>
        </w:tc>
        <w:tc>
          <w:tcPr>
            <w:tcW w:w="270" w:type="pct"/>
            <w:shd w:val="clear" w:color="auto" w:fill="auto"/>
            <w:vAlign w:val="center"/>
          </w:tcPr>
          <w:p w:rsidR="007F1017" w:rsidRPr="00E2771E" w:rsidRDefault="007F1017" w:rsidP="000A7EB2">
            <w:pPr>
              <w:keepNext/>
              <w:widowControl/>
              <w:jc w:val="center"/>
              <w:rPr>
                <w:rFonts w:ascii="Arial Narrow" w:hAnsi="Arial Narrow"/>
                <w:b/>
                <w:sz w:val="20"/>
                <w:lang w:val="en-US"/>
              </w:rPr>
            </w:pPr>
            <w:r w:rsidRPr="00E2771E">
              <w:rPr>
                <w:rFonts w:ascii="Arial Narrow" w:hAnsi="Arial Narrow"/>
                <w:b/>
                <w:sz w:val="20"/>
                <w:lang w:val="en-US"/>
              </w:rPr>
              <w:t>N</w:t>
            </w:r>
          </w:p>
        </w:tc>
        <w:tc>
          <w:tcPr>
            <w:tcW w:w="912" w:type="pct"/>
            <w:shd w:val="clear" w:color="auto" w:fill="auto"/>
            <w:vAlign w:val="center"/>
          </w:tcPr>
          <w:p w:rsidR="007F1017" w:rsidRPr="00E2771E" w:rsidRDefault="007F1017" w:rsidP="000A7EB2">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634" w:type="pct"/>
            <w:shd w:val="clear" w:color="auto" w:fill="auto"/>
            <w:vAlign w:val="center"/>
          </w:tcPr>
          <w:p w:rsidR="007F1017" w:rsidRPr="00E2771E" w:rsidRDefault="007F1017" w:rsidP="000A7EB2">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1236" w:type="pct"/>
            <w:shd w:val="clear" w:color="auto" w:fill="auto"/>
            <w:vAlign w:val="center"/>
          </w:tcPr>
          <w:p w:rsidR="007F1017" w:rsidRPr="00E2771E" w:rsidRDefault="007F1017" w:rsidP="000A7EB2">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679" w:type="pct"/>
            <w:shd w:val="clear" w:color="auto" w:fill="auto"/>
            <w:vAlign w:val="center"/>
          </w:tcPr>
          <w:p w:rsidR="007F1017" w:rsidRPr="00E2771E" w:rsidRDefault="007F1017" w:rsidP="000A7EB2">
            <w:pPr>
              <w:keepNext/>
              <w:widowControl/>
              <w:jc w:val="center"/>
              <w:rPr>
                <w:rFonts w:ascii="Arial Narrow" w:hAnsi="Arial Narrow"/>
                <w:b/>
                <w:sz w:val="20"/>
                <w:lang w:val="en-US"/>
              </w:rPr>
            </w:pPr>
            <w:r w:rsidRPr="00E2771E">
              <w:rPr>
                <w:rFonts w:ascii="Arial Narrow" w:hAnsi="Arial Narrow"/>
                <w:b/>
                <w:sz w:val="20"/>
                <w:lang w:val="en-US"/>
              </w:rPr>
              <w:t>Outcome(s)</w:t>
            </w:r>
          </w:p>
        </w:tc>
        <w:tc>
          <w:tcPr>
            <w:tcW w:w="668" w:type="pct"/>
            <w:shd w:val="clear" w:color="auto" w:fill="auto"/>
            <w:vAlign w:val="center"/>
          </w:tcPr>
          <w:p w:rsidR="007F1017" w:rsidRPr="00E2771E" w:rsidRDefault="007F1017" w:rsidP="000A7EB2">
            <w:pPr>
              <w:keepNext/>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7F1017" w:rsidRPr="00E2771E" w:rsidTr="00E22A0D">
        <w:tc>
          <w:tcPr>
            <w:tcW w:w="5000" w:type="pct"/>
            <w:gridSpan w:val="7"/>
            <w:shd w:val="clear" w:color="auto" w:fill="auto"/>
            <w:vAlign w:val="center"/>
          </w:tcPr>
          <w:p w:rsidR="007F1017" w:rsidRPr="00E2771E" w:rsidRDefault="00C82D5A" w:rsidP="000A7EB2">
            <w:pPr>
              <w:keepNext/>
              <w:widowControl/>
              <w:jc w:val="left"/>
              <w:rPr>
                <w:rFonts w:ascii="Arial Narrow" w:hAnsi="Arial Narrow"/>
                <w:b/>
                <w:sz w:val="20"/>
                <w:lang w:val="en-US"/>
              </w:rPr>
            </w:pPr>
            <w:r>
              <w:rPr>
                <w:rFonts w:ascii="Arial Narrow" w:hAnsi="Arial Narrow"/>
                <w:b/>
                <w:sz w:val="20"/>
                <w:lang w:val="en-US"/>
              </w:rPr>
              <w:t>Irinotecan (nanoliposomal)</w:t>
            </w:r>
            <w:r w:rsidR="009634E8">
              <w:rPr>
                <w:rFonts w:ascii="Arial Narrow" w:hAnsi="Arial Narrow"/>
                <w:b/>
                <w:sz w:val="20"/>
                <w:lang w:val="en-US"/>
              </w:rPr>
              <w:t xml:space="preserve"> vs. 5-FU/folinic acid</w:t>
            </w:r>
          </w:p>
        </w:tc>
      </w:tr>
      <w:tr w:rsidR="00E22A0D" w:rsidRPr="00E2771E" w:rsidTr="0044708C">
        <w:tc>
          <w:tcPr>
            <w:tcW w:w="601" w:type="pct"/>
            <w:shd w:val="clear" w:color="auto" w:fill="auto"/>
            <w:vAlign w:val="center"/>
          </w:tcPr>
          <w:p w:rsidR="007F1017" w:rsidRPr="00E2771E" w:rsidRDefault="009634E8" w:rsidP="000A7EB2">
            <w:pPr>
              <w:keepNext/>
              <w:widowControl/>
              <w:jc w:val="left"/>
              <w:rPr>
                <w:rFonts w:ascii="Arial Narrow" w:hAnsi="Arial Narrow"/>
                <w:sz w:val="20"/>
                <w:lang w:val="en-US"/>
              </w:rPr>
            </w:pPr>
            <w:r>
              <w:rPr>
                <w:rFonts w:ascii="Arial Narrow" w:hAnsi="Arial Narrow"/>
                <w:sz w:val="20"/>
                <w:lang w:val="en-US"/>
              </w:rPr>
              <w:t>NAPOLI-1</w:t>
            </w:r>
          </w:p>
        </w:tc>
        <w:tc>
          <w:tcPr>
            <w:tcW w:w="270" w:type="pct"/>
            <w:shd w:val="clear" w:color="auto" w:fill="auto"/>
            <w:vAlign w:val="center"/>
          </w:tcPr>
          <w:p w:rsidR="007F1017" w:rsidRPr="00E2771E" w:rsidRDefault="00241097" w:rsidP="000A7EB2">
            <w:pPr>
              <w:keepNext/>
              <w:widowControl/>
              <w:jc w:val="center"/>
              <w:rPr>
                <w:rFonts w:ascii="Arial Narrow" w:hAnsi="Arial Narrow"/>
                <w:sz w:val="20"/>
                <w:lang w:val="en-US"/>
              </w:rPr>
            </w:pPr>
            <w:r>
              <w:rPr>
                <w:rFonts w:ascii="Arial Narrow" w:hAnsi="Arial Narrow"/>
                <w:sz w:val="20"/>
                <w:lang w:val="en-US"/>
              </w:rPr>
              <w:t>236</w:t>
            </w:r>
          </w:p>
        </w:tc>
        <w:tc>
          <w:tcPr>
            <w:tcW w:w="912" w:type="pct"/>
            <w:shd w:val="clear" w:color="auto" w:fill="auto"/>
            <w:vAlign w:val="center"/>
          </w:tcPr>
          <w:p w:rsidR="0044708C" w:rsidRDefault="009634E8" w:rsidP="000A7EB2">
            <w:pPr>
              <w:keepNext/>
              <w:widowControl/>
              <w:jc w:val="center"/>
              <w:rPr>
                <w:rFonts w:ascii="Arial Narrow" w:hAnsi="Arial Narrow"/>
                <w:sz w:val="20"/>
                <w:lang w:val="en-US"/>
              </w:rPr>
            </w:pPr>
            <w:r>
              <w:rPr>
                <w:rFonts w:ascii="Arial Narrow" w:hAnsi="Arial Narrow"/>
                <w:sz w:val="20"/>
                <w:lang w:val="en-US"/>
              </w:rPr>
              <w:t xml:space="preserve">MC, R, OL </w:t>
            </w:r>
          </w:p>
          <w:p w:rsidR="007F1017" w:rsidRPr="00E2771E" w:rsidRDefault="0044708C" w:rsidP="000A7EB2">
            <w:pPr>
              <w:keepNext/>
              <w:widowControl/>
              <w:jc w:val="center"/>
              <w:rPr>
                <w:rFonts w:ascii="Arial Narrow" w:hAnsi="Arial Narrow"/>
                <w:sz w:val="20"/>
                <w:lang w:val="en-US"/>
              </w:rPr>
            </w:pPr>
            <w:r>
              <w:rPr>
                <w:rFonts w:ascii="Arial Narrow" w:hAnsi="Arial Narrow"/>
                <w:sz w:val="20"/>
                <w:lang w:val="en-US"/>
              </w:rPr>
              <w:t xml:space="preserve">108 weeks </w:t>
            </w:r>
            <w:r w:rsidR="009634E8">
              <w:rPr>
                <w:rFonts w:ascii="Arial Narrow" w:hAnsi="Arial Narrow"/>
                <w:sz w:val="20"/>
                <w:lang w:val="en-US"/>
              </w:rPr>
              <w:t>+ safety extension</w:t>
            </w:r>
          </w:p>
        </w:tc>
        <w:tc>
          <w:tcPr>
            <w:tcW w:w="634" w:type="pct"/>
            <w:shd w:val="clear" w:color="auto" w:fill="auto"/>
            <w:vAlign w:val="center"/>
          </w:tcPr>
          <w:p w:rsidR="007F1017" w:rsidRPr="00E2771E" w:rsidRDefault="009634E8" w:rsidP="000A7EB2">
            <w:pPr>
              <w:keepNext/>
              <w:widowControl/>
              <w:jc w:val="center"/>
              <w:rPr>
                <w:rFonts w:ascii="Arial Narrow" w:hAnsi="Arial Narrow"/>
                <w:sz w:val="20"/>
                <w:lang w:val="en-US"/>
              </w:rPr>
            </w:pPr>
            <w:r>
              <w:rPr>
                <w:rFonts w:ascii="Arial Narrow" w:hAnsi="Arial Narrow"/>
                <w:sz w:val="20"/>
                <w:lang w:val="en-US"/>
              </w:rPr>
              <w:t>High</w:t>
            </w:r>
          </w:p>
        </w:tc>
        <w:tc>
          <w:tcPr>
            <w:tcW w:w="1236" w:type="pct"/>
            <w:shd w:val="clear" w:color="auto" w:fill="auto"/>
            <w:vAlign w:val="center"/>
          </w:tcPr>
          <w:p w:rsidR="007F1017" w:rsidRPr="00E2771E" w:rsidRDefault="009634E8" w:rsidP="000A7EB2">
            <w:pPr>
              <w:keepNext/>
              <w:widowControl/>
              <w:jc w:val="center"/>
              <w:rPr>
                <w:rFonts w:ascii="Arial Narrow" w:hAnsi="Arial Narrow"/>
                <w:sz w:val="20"/>
                <w:lang w:val="en-US"/>
              </w:rPr>
            </w:pPr>
            <w:r>
              <w:rPr>
                <w:rFonts w:ascii="Arial Narrow" w:hAnsi="Arial Narrow"/>
                <w:sz w:val="20"/>
                <w:lang w:val="en-US"/>
              </w:rPr>
              <w:t>Metastatic pancreatic cancer with disease progression failing gemcitabine-based therapy</w:t>
            </w:r>
          </w:p>
        </w:tc>
        <w:tc>
          <w:tcPr>
            <w:tcW w:w="679" w:type="pct"/>
            <w:shd w:val="clear" w:color="auto" w:fill="auto"/>
            <w:vAlign w:val="center"/>
          </w:tcPr>
          <w:p w:rsidR="007F1017" w:rsidRPr="00E2771E" w:rsidRDefault="007F1017" w:rsidP="000A7EB2">
            <w:pPr>
              <w:keepNext/>
              <w:widowControl/>
              <w:jc w:val="center"/>
              <w:rPr>
                <w:rFonts w:ascii="Arial Narrow" w:hAnsi="Arial Narrow"/>
                <w:sz w:val="20"/>
                <w:lang w:val="en-US"/>
              </w:rPr>
            </w:pPr>
            <w:r w:rsidRPr="00E2771E">
              <w:rPr>
                <w:rFonts w:ascii="Arial Narrow" w:hAnsi="Arial Narrow"/>
                <w:sz w:val="20"/>
                <w:lang w:val="en-US"/>
              </w:rPr>
              <w:t>OS</w:t>
            </w:r>
            <w:r w:rsidR="009634E8">
              <w:rPr>
                <w:rFonts w:ascii="Arial Narrow" w:hAnsi="Arial Narrow"/>
                <w:sz w:val="20"/>
                <w:lang w:val="en-US"/>
              </w:rPr>
              <w:t>, PFS</w:t>
            </w:r>
          </w:p>
        </w:tc>
        <w:tc>
          <w:tcPr>
            <w:tcW w:w="668" w:type="pct"/>
            <w:shd w:val="clear" w:color="auto" w:fill="auto"/>
            <w:vAlign w:val="center"/>
          </w:tcPr>
          <w:p w:rsidR="007F1017" w:rsidRPr="00E2771E" w:rsidRDefault="009634E8" w:rsidP="000A7EB2">
            <w:pPr>
              <w:keepNext/>
              <w:widowControl/>
              <w:jc w:val="center"/>
              <w:rPr>
                <w:rFonts w:ascii="Arial Narrow" w:hAnsi="Arial Narrow"/>
                <w:sz w:val="20"/>
                <w:lang w:val="en-US"/>
              </w:rPr>
            </w:pPr>
            <w:r>
              <w:rPr>
                <w:rFonts w:ascii="Arial Narrow" w:hAnsi="Arial Narrow"/>
                <w:sz w:val="20"/>
                <w:lang w:val="en-US"/>
              </w:rPr>
              <w:t>Extrapolated survival gain</w:t>
            </w:r>
          </w:p>
        </w:tc>
      </w:tr>
      <w:tr w:rsidR="0044708C" w:rsidRPr="00E2771E" w:rsidTr="0044708C">
        <w:tc>
          <w:tcPr>
            <w:tcW w:w="5000" w:type="pct"/>
            <w:gridSpan w:val="7"/>
            <w:shd w:val="clear" w:color="auto" w:fill="auto"/>
            <w:vAlign w:val="center"/>
          </w:tcPr>
          <w:p w:rsidR="0044708C" w:rsidRPr="0044708C" w:rsidRDefault="0044708C" w:rsidP="000A7EB2">
            <w:pPr>
              <w:keepNext/>
              <w:widowControl/>
              <w:jc w:val="left"/>
              <w:rPr>
                <w:rFonts w:ascii="Arial Narrow" w:hAnsi="Arial Narrow"/>
                <w:b/>
                <w:sz w:val="20"/>
                <w:lang w:val="en-US"/>
              </w:rPr>
            </w:pPr>
            <w:r>
              <w:rPr>
                <w:rFonts w:ascii="Arial Narrow" w:hAnsi="Arial Narrow"/>
                <w:b/>
                <w:sz w:val="20"/>
                <w:lang w:val="en-US"/>
              </w:rPr>
              <w:t>Meta-analysis of oxaliplatin-containing regimens (OFF and mFOLFOX6) versus 5-FU/folinic acid</w:t>
            </w:r>
          </w:p>
        </w:tc>
      </w:tr>
      <w:tr w:rsidR="00E22A0D" w:rsidRPr="00E2771E" w:rsidTr="0044708C">
        <w:tc>
          <w:tcPr>
            <w:tcW w:w="601" w:type="pct"/>
            <w:shd w:val="clear" w:color="auto" w:fill="auto"/>
            <w:vAlign w:val="center"/>
          </w:tcPr>
          <w:p w:rsidR="007F1017" w:rsidRPr="00E2771E" w:rsidRDefault="009634E8" w:rsidP="000A7EB2">
            <w:pPr>
              <w:keepNext/>
              <w:widowControl/>
              <w:jc w:val="left"/>
              <w:rPr>
                <w:rFonts w:ascii="Arial Narrow" w:hAnsi="Arial Narrow"/>
                <w:sz w:val="20"/>
                <w:lang w:val="en-US"/>
              </w:rPr>
            </w:pPr>
            <w:r>
              <w:rPr>
                <w:rFonts w:ascii="Arial Narrow" w:hAnsi="Arial Narrow"/>
                <w:sz w:val="20"/>
                <w:lang w:val="en-US"/>
              </w:rPr>
              <w:t>CONKO-003</w:t>
            </w:r>
          </w:p>
        </w:tc>
        <w:tc>
          <w:tcPr>
            <w:tcW w:w="270" w:type="pct"/>
            <w:shd w:val="clear" w:color="auto" w:fill="auto"/>
            <w:vAlign w:val="center"/>
          </w:tcPr>
          <w:p w:rsidR="007F1017" w:rsidRPr="00E2771E" w:rsidRDefault="0044708C" w:rsidP="000A7EB2">
            <w:pPr>
              <w:keepNext/>
              <w:widowControl/>
              <w:jc w:val="center"/>
              <w:rPr>
                <w:rFonts w:ascii="Arial Narrow" w:hAnsi="Arial Narrow"/>
                <w:sz w:val="20"/>
                <w:lang w:val="en-US"/>
              </w:rPr>
            </w:pPr>
            <w:r>
              <w:rPr>
                <w:rFonts w:ascii="Arial Narrow" w:hAnsi="Arial Narrow"/>
                <w:sz w:val="20"/>
                <w:lang w:val="en-US"/>
              </w:rPr>
              <w:t>168</w:t>
            </w:r>
          </w:p>
        </w:tc>
        <w:tc>
          <w:tcPr>
            <w:tcW w:w="912" w:type="pct"/>
            <w:shd w:val="clear" w:color="auto" w:fill="auto"/>
            <w:vAlign w:val="center"/>
          </w:tcPr>
          <w:p w:rsidR="007F1017" w:rsidRPr="00E2771E" w:rsidRDefault="009634E8" w:rsidP="000A7EB2">
            <w:pPr>
              <w:keepNext/>
              <w:widowControl/>
              <w:jc w:val="center"/>
              <w:rPr>
                <w:rFonts w:ascii="Arial Narrow" w:hAnsi="Arial Narrow"/>
                <w:sz w:val="20"/>
                <w:lang w:val="en-US"/>
              </w:rPr>
            </w:pPr>
            <w:r>
              <w:rPr>
                <w:rFonts w:ascii="Arial Narrow" w:hAnsi="Arial Narrow"/>
                <w:sz w:val="20"/>
                <w:lang w:val="en-US"/>
              </w:rPr>
              <w:t>MC, R, OL</w:t>
            </w:r>
            <w:r w:rsidR="0044708C">
              <w:rPr>
                <w:rFonts w:ascii="Arial Narrow" w:hAnsi="Arial Narrow"/>
                <w:sz w:val="20"/>
                <w:lang w:val="en-US"/>
              </w:rPr>
              <w:t xml:space="preserve"> (max follow-up 402 weeks)</w:t>
            </w:r>
          </w:p>
        </w:tc>
        <w:tc>
          <w:tcPr>
            <w:tcW w:w="634" w:type="pct"/>
            <w:shd w:val="clear" w:color="auto" w:fill="auto"/>
            <w:vAlign w:val="center"/>
          </w:tcPr>
          <w:p w:rsidR="007F1017" w:rsidRPr="00E2771E" w:rsidRDefault="0044708C" w:rsidP="000A7EB2">
            <w:pPr>
              <w:keepNext/>
              <w:widowControl/>
              <w:jc w:val="center"/>
              <w:rPr>
                <w:rFonts w:ascii="Arial Narrow" w:hAnsi="Arial Narrow"/>
                <w:sz w:val="20"/>
                <w:lang w:val="en-US"/>
              </w:rPr>
            </w:pPr>
            <w:r>
              <w:rPr>
                <w:rFonts w:ascii="Arial Narrow" w:hAnsi="Arial Narrow"/>
                <w:sz w:val="20"/>
                <w:lang w:val="en-US"/>
              </w:rPr>
              <w:t>High</w:t>
            </w:r>
          </w:p>
        </w:tc>
        <w:tc>
          <w:tcPr>
            <w:tcW w:w="1236" w:type="pct"/>
            <w:shd w:val="clear" w:color="auto" w:fill="auto"/>
            <w:vAlign w:val="center"/>
          </w:tcPr>
          <w:p w:rsidR="007F1017" w:rsidRPr="00E2771E" w:rsidRDefault="0044708C" w:rsidP="000A7EB2">
            <w:pPr>
              <w:keepNext/>
              <w:widowControl/>
              <w:jc w:val="center"/>
              <w:rPr>
                <w:rFonts w:ascii="Arial Narrow" w:hAnsi="Arial Narrow"/>
                <w:sz w:val="20"/>
                <w:lang w:val="en-US"/>
              </w:rPr>
            </w:pPr>
            <w:r>
              <w:rPr>
                <w:rFonts w:ascii="Arial Narrow" w:hAnsi="Arial Narrow"/>
                <w:sz w:val="20"/>
                <w:lang w:val="en-US"/>
              </w:rPr>
              <w:t>Locally advanced or metastatic pancreatic cancer with disease progression after failing gemcitabine-based therapy</w:t>
            </w:r>
          </w:p>
        </w:tc>
        <w:tc>
          <w:tcPr>
            <w:tcW w:w="679" w:type="pct"/>
            <w:shd w:val="clear" w:color="auto" w:fill="auto"/>
            <w:vAlign w:val="center"/>
          </w:tcPr>
          <w:p w:rsidR="007F1017" w:rsidRPr="00E2771E" w:rsidRDefault="0044708C" w:rsidP="000A7EB2">
            <w:pPr>
              <w:keepNext/>
              <w:widowControl/>
              <w:jc w:val="center"/>
              <w:rPr>
                <w:rFonts w:ascii="Arial Narrow" w:hAnsi="Arial Narrow"/>
                <w:sz w:val="20"/>
                <w:lang w:val="en-US"/>
              </w:rPr>
            </w:pPr>
            <w:r>
              <w:rPr>
                <w:rFonts w:ascii="Arial Narrow" w:hAnsi="Arial Narrow"/>
                <w:sz w:val="20"/>
                <w:lang w:val="en-US"/>
              </w:rPr>
              <w:t>OS, PFS</w:t>
            </w:r>
          </w:p>
        </w:tc>
        <w:tc>
          <w:tcPr>
            <w:tcW w:w="668" w:type="pct"/>
            <w:shd w:val="clear" w:color="auto" w:fill="auto"/>
            <w:vAlign w:val="center"/>
          </w:tcPr>
          <w:p w:rsidR="007F1017" w:rsidRPr="00E2771E" w:rsidRDefault="0044708C" w:rsidP="000A7EB2">
            <w:pPr>
              <w:keepNext/>
              <w:widowControl/>
              <w:jc w:val="center"/>
              <w:rPr>
                <w:rFonts w:ascii="Arial Narrow" w:hAnsi="Arial Narrow"/>
                <w:sz w:val="20"/>
                <w:lang w:val="en-US"/>
              </w:rPr>
            </w:pPr>
            <w:r>
              <w:rPr>
                <w:rFonts w:ascii="Arial Narrow" w:hAnsi="Arial Narrow"/>
                <w:sz w:val="20"/>
                <w:lang w:val="en-US"/>
              </w:rPr>
              <w:t>No</w:t>
            </w:r>
          </w:p>
        </w:tc>
      </w:tr>
      <w:tr w:rsidR="009634E8" w:rsidRPr="00E2771E" w:rsidTr="0044708C">
        <w:tc>
          <w:tcPr>
            <w:tcW w:w="601" w:type="pct"/>
            <w:shd w:val="clear" w:color="auto" w:fill="auto"/>
            <w:vAlign w:val="center"/>
          </w:tcPr>
          <w:p w:rsidR="009634E8" w:rsidRPr="00E2771E" w:rsidRDefault="0044708C" w:rsidP="000A7EB2">
            <w:pPr>
              <w:keepNext/>
              <w:widowControl/>
              <w:jc w:val="left"/>
              <w:rPr>
                <w:rFonts w:ascii="Arial Narrow" w:hAnsi="Arial Narrow"/>
                <w:sz w:val="20"/>
                <w:lang w:val="en-US"/>
              </w:rPr>
            </w:pPr>
            <w:r>
              <w:rPr>
                <w:rFonts w:ascii="Arial Narrow" w:hAnsi="Arial Narrow"/>
                <w:sz w:val="20"/>
                <w:lang w:val="en-US"/>
              </w:rPr>
              <w:t>PANCREOX</w:t>
            </w:r>
          </w:p>
        </w:tc>
        <w:tc>
          <w:tcPr>
            <w:tcW w:w="270" w:type="pct"/>
            <w:shd w:val="clear" w:color="auto" w:fill="auto"/>
            <w:vAlign w:val="center"/>
          </w:tcPr>
          <w:p w:rsidR="009634E8" w:rsidRPr="00E2771E" w:rsidRDefault="0044708C" w:rsidP="000A7EB2">
            <w:pPr>
              <w:keepNext/>
              <w:widowControl/>
              <w:jc w:val="center"/>
              <w:rPr>
                <w:rFonts w:ascii="Arial Narrow" w:hAnsi="Arial Narrow"/>
                <w:sz w:val="20"/>
                <w:lang w:val="en-US"/>
              </w:rPr>
            </w:pPr>
            <w:r>
              <w:rPr>
                <w:rFonts w:ascii="Arial Narrow" w:hAnsi="Arial Narrow"/>
                <w:sz w:val="20"/>
                <w:lang w:val="en-US"/>
              </w:rPr>
              <w:t>108</w:t>
            </w:r>
          </w:p>
        </w:tc>
        <w:tc>
          <w:tcPr>
            <w:tcW w:w="912" w:type="pct"/>
            <w:shd w:val="clear" w:color="auto" w:fill="auto"/>
            <w:vAlign w:val="center"/>
          </w:tcPr>
          <w:p w:rsidR="009634E8" w:rsidRPr="00E2771E" w:rsidRDefault="0044708C" w:rsidP="000A7EB2">
            <w:pPr>
              <w:keepNext/>
              <w:widowControl/>
              <w:jc w:val="center"/>
              <w:rPr>
                <w:rFonts w:ascii="Arial Narrow" w:hAnsi="Arial Narrow"/>
                <w:sz w:val="20"/>
                <w:lang w:val="en-US"/>
              </w:rPr>
            </w:pPr>
            <w:r>
              <w:rPr>
                <w:rFonts w:ascii="Arial Narrow" w:hAnsi="Arial Narrow"/>
                <w:sz w:val="20"/>
                <w:lang w:val="en-US"/>
              </w:rPr>
              <w:t>MC, R, OL (trial terminated early)</w:t>
            </w:r>
          </w:p>
        </w:tc>
        <w:tc>
          <w:tcPr>
            <w:tcW w:w="634" w:type="pct"/>
            <w:shd w:val="clear" w:color="auto" w:fill="auto"/>
            <w:vAlign w:val="center"/>
          </w:tcPr>
          <w:p w:rsidR="009634E8" w:rsidRPr="00E2771E" w:rsidRDefault="0044708C" w:rsidP="000A7EB2">
            <w:pPr>
              <w:keepNext/>
              <w:widowControl/>
              <w:jc w:val="center"/>
              <w:rPr>
                <w:rFonts w:ascii="Arial Narrow" w:hAnsi="Arial Narrow"/>
                <w:sz w:val="20"/>
                <w:lang w:val="en-US"/>
              </w:rPr>
            </w:pPr>
            <w:r>
              <w:rPr>
                <w:rFonts w:ascii="Arial Narrow" w:hAnsi="Arial Narrow"/>
                <w:sz w:val="20"/>
                <w:lang w:val="en-US"/>
              </w:rPr>
              <w:t>High</w:t>
            </w:r>
          </w:p>
        </w:tc>
        <w:tc>
          <w:tcPr>
            <w:tcW w:w="1236" w:type="pct"/>
            <w:shd w:val="clear" w:color="auto" w:fill="auto"/>
            <w:vAlign w:val="center"/>
          </w:tcPr>
          <w:p w:rsidR="009634E8" w:rsidRPr="00E2771E" w:rsidRDefault="0044708C" w:rsidP="000A7EB2">
            <w:pPr>
              <w:keepNext/>
              <w:widowControl/>
              <w:jc w:val="center"/>
              <w:rPr>
                <w:rFonts w:ascii="Arial Narrow" w:hAnsi="Arial Narrow"/>
                <w:sz w:val="20"/>
                <w:lang w:val="en-US"/>
              </w:rPr>
            </w:pPr>
            <w:r>
              <w:rPr>
                <w:rFonts w:ascii="Arial Narrow" w:hAnsi="Arial Narrow"/>
                <w:sz w:val="20"/>
                <w:lang w:val="en-US"/>
              </w:rPr>
              <w:t>Advanced or metastatic pancreatic cancer with disease progression after failing gemcitabine-based therapy</w:t>
            </w:r>
          </w:p>
        </w:tc>
        <w:tc>
          <w:tcPr>
            <w:tcW w:w="679" w:type="pct"/>
            <w:shd w:val="clear" w:color="auto" w:fill="auto"/>
            <w:vAlign w:val="center"/>
          </w:tcPr>
          <w:p w:rsidR="009634E8" w:rsidRPr="00E2771E" w:rsidRDefault="0044708C" w:rsidP="000A7EB2">
            <w:pPr>
              <w:keepNext/>
              <w:widowControl/>
              <w:jc w:val="center"/>
              <w:rPr>
                <w:rFonts w:ascii="Arial Narrow" w:hAnsi="Arial Narrow"/>
                <w:sz w:val="20"/>
                <w:lang w:val="en-US"/>
              </w:rPr>
            </w:pPr>
            <w:r>
              <w:rPr>
                <w:rFonts w:ascii="Arial Narrow" w:hAnsi="Arial Narrow"/>
                <w:sz w:val="20"/>
                <w:lang w:val="en-US"/>
              </w:rPr>
              <w:t>PFS, OS</w:t>
            </w:r>
          </w:p>
        </w:tc>
        <w:tc>
          <w:tcPr>
            <w:tcW w:w="668" w:type="pct"/>
            <w:shd w:val="clear" w:color="auto" w:fill="auto"/>
            <w:vAlign w:val="center"/>
          </w:tcPr>
          <w:p w:rsidR="009634E8" w:rsidRPr="00E2771E" w:rsidRDefault="0044708C" w:rsidP="000A7EB2">
            <w:pPr>
              <w:keepNext/>
              <w:widowControl/>
              <w:jc w:val="center"/>
              <w:rPr>
                <w:rFonts w:ascii="Arial Narrow" w:hAnsi="Arial Narrow"/>
                <w:sz w:val="20"/>
                <w:lang w:val="en-US"/>
              </w:rPr>
            </w:pPr>
            <w:r>
              <w:rPr>
                <w:rFonts w:ascii="Arial Narrow" w:hAnsi="Arial Narrow"/>
                <w:sz w:val="20"/>
                <w:lang w:val="en-US"/>
              </w:rPr>
              <w:t>No</w:t>
            </w:r>
          </w:p>
        </w:tc>
      </w:tr>
      <w:tr w:rsidR="007F1017" w:rsidRPr="00E2771E" w:rsidTr="0044708C">
        <w:tc>
          <w:tcPr>
            <w:tcW w:w="601" w:type="pct"/>
            <w:shd w:val="clear" w:color="auto" w:fill="auto"/>
            <w:vAlign w:val="center"/>
          </w:tcPr>
          <w:p w:rsidR="007F1017" w:rsidRPr="00E2771E" w:rsidRDefault="007F1017" w:rsidP="000A7EB2">
            <w:pPr>
              <w:keepNext/>
              <w:widowControl/>
              <w:jc w:val="left"/>
              <w:rPr>
                <w:rFonts w:ascii="Arial Narrow" w:hAnsi="Arial Narrow"/>
                <w:sz w:val="20"/>
                <w:lang w:val="en-US"/>
              </w:rPr>
            </w:pPr>
            <w:r w:rsidRPr="00E2771E">
              <w:rPr>
                <w:rFonts w:ascii="Arial Narrow" w:hAnsi="Arial Narrow"/>
                <w:sz w:val="20"/>
                <w:lang w:val="en-US"/>
              </w:rPr>
              <w:t>Meta-analysis</w:t>
            </w:r>
          </w:p>
        </w:tc>
        <w:tc>
          <w:tcPr>
            <w:tcW w:w="270" w:type="pct"/>
            <w:shd w:val="clear" w:color="auto" w:fill="auto"/>
            <w:vAlign w:val="center"/>
          </w:tcPr>
          <w:p w:rsidR="007F1017" w:rsidRPr="00E2771E" w:rsidRDefault="009269B9" w:rsidP="000A7EB2">
            <w:pPr>
              <w:keepNext/>
              <w:widowControl/>
              <w:jc w:val="center"/>
              <w:rPr>
                <w:rFonts w:ascii="Arial Narrow" w:hAnsi="Arial Narrow"/>
                <w:sz w:val="20"/>
                <w:lang w:val="en-US"/>
              </w:rPr>
            </w:pPr>
            <w:r>
              <w:rPr>
                <w:rFonts w:ascii="Arial Narrow" w:hAnsi="Arial Narrow"/>
                <w:sz w:val="20"/>
                <w:lang w:val="en-US"/>
              </w:rPr>
              <w:t>276</w:t>
            </w:r>
          </w:p>
        </w:tc>
        <w:tc>
          <w:tcPr>
            <w:tcW w:w="3461" w:type="pct"/>
            <w:gridSpan w:val="4"/>
            <w:shd w:val="clear" w:color="auto" w:fill="auto"/>
            <w:vAlign w:val="center"/>
          </w:tcPr>
          <w:p w:rsidR="007F1017" w:rsidRPr="00E2771E" w:rsidRDefault="007F1017" w:rsidP="000A7EB2">
            <w:pPr>
              <w:keepNext/>
              <w:widowControl/>
              <w:jc w:val="center"/>
              <w:rPr>
                <w:rFonts w:ascii="Arial Narrow" w:hAnsi="Arial Narrow"/>
                <w:sz w:val="20"/>
                <w:lang w:val="en-US"/>
              </w:rPr>
            </w:pPr>
            <w:r w:rsidRPr="00E2771E">
              <w:rPr>
                <w:rFonts w:ascii="Arial Narrow" w:hAnsi="Arial Narrow"/>
                <w:sz w:val="20"/>
                <w:lang w:val="en-US"/>
              </w:rPr>
              <w:t xml:space="preserve">Included </w:t>
            </w:r>
            <w:r w:rsidR="0044708C">
              <w:rPr>
                <w:rFonts w:ascii="Arial Narrow" w:hAnsi="Arial Narrow"/>
                <w:sz w:val="20"/>
                <w:lang w:val="en-US"/>
              </w:rPr>
              <w:t>CONKO-003 and PANCREOX trials, comparison of OS and PFS</w:t>
            </w:r>
          </w:p>
        </w:tc>
        <w:tc>
          <w:tcPr>
            <w:tcW w:w="668" w:type="pct"/>
            <w:shd w:val="clear" w:color="auto" w:fill="auto"/>
            <w:vAlign w:val="center"/>
          </w:tcPr>
          <w:p w:rsidR="007F1017" w:rsidRPr="00E2771E" w:rsidRDefault="0044708C" w:rsidP="000A7EB2">
            <w:pPr>
              <w:keepNext/>
              <w:widowControl/>
              <w:jc w:val="center"/>
              <w:rPr>
                <w:rFonts w:ascii="Arial Narrow" w:hAnsi="Arial Narrow"/>
                <w:sz w:val="20"/>
                <w:lang w:val="en-US"/>
              </w:rPr>
            </w:pPr>
            <w:r>
              <w:rPr>
                <w:rFonts w:ascii="Arial Narrow" w:hAnsi="Arial Narrow"/>
                <w:sz w:val="20"/>
                <w:lang w:val="en-US"/>
              </w:rPr>
              <w:t>No</w:t>
            </w:r>
          </w:p>
        </w:tc>
      </w:tr>
    </w:tbl>
    <w:p w:rsidR="007F1017" w:rsidRDefault="007F1017" w:rsidP="000A7EB2">
      <w:pPr>
        <w:pStyle w:val="TableFooter"/>
        <w:widowControl/>
        <w:ind w:firstLine="720"/>
      </w:pPr>
      <w:r w:rsidRPr="0072416F">
        <w:t>Source: compiled during the evaluation</w:t>
      </w:r>
    </w:p>
    <w:p w:rsidR="0044708C" w:rsidRPr="0072416F" w:rsidRDefault="0044708C" w:rsidP="000A7EB2">
      <w:pPr>
        <w:pStyle w:val="TableFooter"/>
        <w:widowControl/>
        <w:ind w:firstLine="720"/>
      </w:pPr>
      <w:r>
        <w:t xml:space="preserve">Abbreviations: </w:t>
      </w:r>
      <w:r w:rsidR="004B1D68">
        <w:t>MC, multi-centre; OL, open-label; OS, overall survival; PFS, progression-free survival; R, randomised</w:t>
      </w:r>
    </w:p>
    <w:p w:rsidR="007F1017" w:rsidRDefault="007F1017" w:rsidP="000A7EB2">
      <w:pPr>
        <w:widowControl/>
      </w:pPr>
    </w:p>
    <w:p w:rsidR="00B60939" w:rsidRPr="00D21B09" w:rsidRDefault="004B1D68" w:rsidP="000A7EB2">
      <w:pPr>
        <w:pStyle w:val="ListParagraph"/>
        <w:widowControl/>
        <w:numPr>
          <w:ilvl w:val="1"/>
          <w:numId w:val="1"/>
        </w:numPr>
        <w:rPr>
          <w:i/>
          <w:szCs w:val="22"/>
        </w:rPr>
      </w:pPr>
      <w:r w:rsidRPr="00526248">
        <w:rPr>
          <w:szCs w:val="22"/>
        </w:rPr>
        <w:t xml:space="preserve">All included trials had a high risk of bias. NAPOLI-1, CONKO-003 and PANCREOX were open-label trials. </w:t>
      </w:r>
      <w:r w:rsidR="009269B9" w:rsidRPr="00526248">
        <w:rPr>
          <w:szCs w:val="22"/>
        </w:rPr>
        <w:t xml:space="preserve">It was unclear if outcome assessors were blinded </w:t>
      </w:r>
      <w:r w:rsidR="00AE1B61" w:rsidRPr="00526248">
        <w:rPr>
          <w:szCs w:val="22"/>
        </w:rPr>
        <w:t xml:space="preserve">in the CONKO-003 and PANCREOX trials </w:t>
      </w:r>
      <w:r w:rsidR="009269B9" w:rsidRPr="00526248">
        <w:rPr>
          <w:szCs w:val="22"/>
        </w:rPr>
        <w:t xml:space="preserve">due to limited documentation in the publications. </w:t>
      </w:r>
      <w:r w:rsidR="00AE1B61" w:rsidRPr="00526248">
        <w:rPr>
          <w:szCs w:val="22"/>
        </w:rPr>
        <w:t>In the NAPOLI-1 trial, there was added potential for differential disease management and detection bias due to differences in frequency of mon</w:t>
      </w:r>
      <w:r w:rsidR="0026515E">
        <w:rPr>
          <w:szCs w:val="22"/>
        </w:rPr>
        <w:t>itoring between treatment arms.</w:t>
      </w:r>
    </w:p>
    <w:p w:rsidR="00AE1B61" w:rsidRPr="00526248" w:rsidRDefault="00AE1B61" w:rsidP="000A7EB2">
      <w:pPr>
        <w:pStyle w:val="ListParagraph"/>
        <w:widowControl/>
        <w:rPr>
          <w:szCs w:val="22"/>
        </w:rPr>
      </w:pPr>
    </w:p>
    <w:p w:rsidR="009269B9" w:rsidRPr="00526248" w:rsidRDefault="009269B9" w:rsidP="000A7EB2">
      <w:pPr>
        <w:pStyle w:val="ListParagraph"/>
        <w:widowControl/>
        <w:numPr>
          <w:ilvl w:val="1"/>
          <w:numId w:val="1"/>
        </w:numPr>
        <w:rPr>
          <w:szCs w:val="22"/>
        </w:rPr>
      </w:pPr>
      <w:r w:rsidRPr="00526248">
        <w:rPr>
          <w:szCs w:val="22"/>
        </w:rPr>
        <w:t>The PANCREOX trial was terminated early due to insufficient accrual of patients</w:t>
      </w:r>
      <w:r w:rsidR="00AE1B61" w:rsidRPr="00526248">
        <w:rPr>
          <w:szCs w:val="22"/>
        </w:rPr>
        <w:t xml:space="preserve">. </w:t>
      </w:r>
      <w:r w:rsidR="00530153" w:rsidRPr="00526248">
        <w:rPr>
          <w:szCs w:val="22"/>
        </w:rPr>
        <w:t>There was insufficient documentation available to adequately assess the robustness of the trial.</w:t>
      </w:r>
    </w:p>
    <w:p w:rsidR="00530153" w:rsidRPr="00526248" w:rsidRDefault="00530153" w:rsidP="000A7EB2">
      <w:pPr>
        <w:pStyle w:val="ListParagraph"/>
        <w:widowControl/>
        <w:rPr>
          <w:szCs w:val="22"/>
        </w:rPr>
      </w:pPr>
    </w:p>
    <w:p w:rsidR="003B24B9" w:rsidRPr="003B24B9" w:rsidRDefault="00EB4D31" w:rsidP="000A7EB2">
      <w:pPr>
        <w:pStyle w:val="ListParagraph"/>
        <w:widowControl/>
        <w:numPr>
          <w:ilvl w:val="1"/>
          <w:numId w:val="1"/>
        </w:numPr>
        <w:rPr>
          <w:szCs w:val="22"/>
        </w:rPr>
      </w:pPr>
      <w:r w:rsidRPr="003B24B9">
        <w:rPr>
          <w:szCs w:val="22"/>
        </w:rPr>
        <w:t>There were issues of applicability</w:t>
      </w:r>
      <w:r w:rsidR="008A2CEA">
        <w:rPr>
          <w:szCs w:val="22"/>
        </w:rPr>
        <w:t>,</w:t>
      </w:r>
      <w:r w:rsidRPr="003B24B9">
        <w:rPr>
          <w:szCs w:val="22"/>
        </w:rPr>
        <w:t xml:space="preserve"> and heterogeneity </w:t>
      </w:r>
      <w:r w:rsidR="006E3F50">
        <w:rPr>
          <w:szCs w:val="22"/>
        </w:rPr>
        <w:t>across</w:t>
      </w:r>
      <w:r w:rsidR="006E3F50" w:rsidRPr="003B24B9">
        <w:rPr>
          <w:szCs w:val="22"/>
        </w:rPr>
        <w:t xml:space="preserve"> </w:t>
      </w:r>
      <w:r w:rsidRPr="003B24B9">
        <w:rPr>
          <w:szCs w:val="22"/>
        </w:rPr>
        <w:t xml:space="preserve">the CONKO-003 and PANCREOX trials. </w:t>
      </w:r>
      <w:r w:rsidRPr="00225989">
        <w:rPr>
          <w:szCs w:val="22"/>
        </w:rPr>
        <w:t>T</w:t>
      </w:r>
      <w:r w:rsidR="00530153" w:rsidRPr="00225989">
        <w:rPr>
          <w:szCs w:val="22"/>
        </w:rPr>
        <w:t>he</w:t>
      </w:r>
      <w:r w:rsidR="00B02060" w:rsidRPr="00225989">
        <w:rPr>
          <w:szCs w:val="22"/>
        </w:rPr>
        <w:t xml:space="preserve"> ESC noted that the</w:t>
      </w:r>
      <w:r w:rsidR="00530153" w:rsidRPr="00225989">
        <w:rPr>
          <w:szCs w:val="22"/>
        </w:rPr>
        <w:t xml:space="preserve"> CONKO-003 and PANCREOX </w:t>
      </w:r>
      <w:r w:rsidRPr="00225989">
        <w:rPr>
          <w:szCs w:val="22"/>
        </w:rPr>
        <w:t xml:space="preserve">trials included </w:t>
      </w:r>
      <w:r w:rsidR="00530153" w:rsidRPr="00225989">
        <w:rPr>
          <w:szCs w:val="22"/>
        </w:rPr>
        <w:t>patients with earlier stage pancreatic cancer who were likel</w:t>
      </w:r>
      <w:r w:rsidRPr="00225989">
        <w:rPr>
          <w:szCs w:val="22"/>
        </w:rPr>
        <w:t>y to have better survival than the target population. The trials were not comparable as the treatment arms of OFF, mFOLFOX6 and the comparator arms of 5-FU/folinic acid had different dosing regimens. The submission inappropriately assumed the OFF and mFOLFOX6 regimens to be equivalent.</w:t>
      </w:r>
      <w:r w:rsidR="00B02060" w:rsidRPr="00225989" w:rsidDel="00B02060">
        <w:rPr>
          <w:szCs w:val="22"/>
        </w:rPr>
        <w:t xml:space="preserve"> </w:t>
      </w:r>
      <w:r w:rsidR="00B02060" w:rsidRPr="00225989">
        <w:rPr>
          <w:szCs w:val="22"/>
        </w:rPr>
        <w:t>The PSCR (p3) noted that ‘the control arm is seen to perform better in NAPOLI-1 than in CONKO-003 with respect to overall survival’ despite these issues.</w:t>
      </w:r>
    </w:p>
    <w:p w:rsidR="003B24B9" w:rsidRPr="003B24B9" w:rsidRDefault="003B24B9" w:rsidP="000A7EB2">
      <w:pPr>
        <w:pStyle w:val="ListParagraph"/>
        <w:widowControl/>
        <w:rPr>
          <w:szCs w:val="22"/>
        </w:rPr>
      </w:pPr>
    </w:p>
    <w:p w:rsidR="00EB4D31" w:rsidRPr="00225989" w:rsidRDefault="00B02060" w:rsidP="000A7EB2">
      <w:pPr>
        <w:pStyle w:val="ListParagraph"/>
        <w:widowControl/>
        <w:numPr>
          <w:ilvl w:val="1"/>
          <w:numId w:val="1"/>
        </w:numPr>
        <w:rPr>
          <w:szCs w:val="22"/>
        </w:rPr>
      </w:pPr>
      <w:r w:rsidRPr="00225989">
        <w:rPr>
          <w:szCs w:val="22"/>
        </w:rPr>
        <w:t>The ESC noted concerns with</w:t>
      </w:r>
      <w:r w:rsidR="00EB4D31" w:rsidRPr="00225989">
        <w:rPr>
          <w:szCs w:val="22"/>
        </w:rPr>
        <w:t xml:space="preserve"> exchangeability between the NAPOLI-1 trial and the CONKO-003 and PANCREOX trials that would significantly limit the reliability of an indirect comparison given the differences between patient populations</w:t>
      </w:r>
      <w:r w:rsidR="000257C3" w:rsidRPr="00225989">
        <w:rPr>
          <w:szCs w:val="22"/>
        </w:rPr>
        <w:t xml:space="preserve"> (e.g. baseline risk, prior lines of therapy) and dosing regimens (dose strength, frequency and cycles of administration).</w:t>
      </w:r>
      <w:r w:rsidR="003B24B9" w:rsidRPr="00225989">
        <w:rPr>
          <w:szCs w:val="22"/>
        </w:rPr>
        <w:t xml:space="preserve"> </w:t>
      </w:r>
      <w:r w:rsidRPr="00225989">
        <w:rPr>
          <w:szCs w:val="22"/>
        </w:rPr>
        <w:t xml:space="preserve">The ESC </w:t>
      </w:r>
      <w:r w:rsidR="000C498F" w:rsidRPr="00225989">
        <w:rPr>
          <w:szCs w:val="22"/>
        </w:rPr>
        <w:t>also</w:t>
      </w:r>
      <w:r w:rsidR="003B24B9" w:rsidRPr="00225989">
        <w:t xml:space="preserve"> </w:t>
      </w:r>
      <w:r w:rsidRPr="00225989">
        <w:t xml:space="preserve">considered </w:t>
      </w:r>
      <w:r w:rsidR="003B24B9" w:rsidRPr="00225989">
        <w:t>that the PANCREOX trial had insufficient data for a thorough analysis to demonstrate better efficacy of irinotecan (nanoliposomal).</w:t>
      </w:r>
    </w:p>
    <w:p w:rsidR="00844724" w:rsidRPr="00844724" w:rsidRDefault="00844724" w:rsidP="000A7EB2">
      <w:pPr>
        <w:pStyle w:val="ListParagraph"/>
        <w:widowControl/>
        <w:rPr>
          <w:szCs w:val="22"/>
        </w:rPr>
      </w:pPr>
    </w:p>
    <w:p w:rsidR="009536D8" w:rsidRPr="00742B25" w:rsidRDefault="00844724" w:rsidP="000A7EB2">
      <w:pPr>
        <w:pStyle w:val="ListParagraph"/>
        <w:widowControl/>
        <w:numPr>
          <w:ilvl w:val="1"/>
          <w:numId w:val="1"/>
        </w:numPr>
        <w:rPr>
          <w:szCs w:val="22"/>
        </w:rPr>
      </w:pPr>
      <w:r w:rsidRPr="00225989">
        <w:rPr>
          <w:szCs w:val="22"/>
        </w:rPr>
        <w:t xml:space="preserve">The PSCR </w:t>
      </w:r>
      <w:r w:rsidR="0048336D">
        <w:rPr>
          <w:szCs w:val="22"/>
        </w:rPr>
        <w:t xml:space="preserve">and the pre-PBAC response </w:t>
      </w:r>
      <w:r w:rsidRPr="00225989">
        <w:rPr>
          <w:szCs w:val="22"/>
        </w:rPr>
        <w:t>argued that the</w:t>
      </w:r>
      <w:r w:rsidR="00B02060" w:rsidRPr="00225989">
        <w:rPr>
          <w:szCs w:val="22"/>
        </w:rPr>
        <w:t xml:space="preserve"> usefulness of the naïve indirect meta-analysis</w:t>
      </w:r>
      <w:r w:rsidRPr="00225989">
        <w:rPr>
          <w:szCs w:val="22"/>
        </w:rPr>
        <w:t xml:space="preserve"> evidence for the clinical benefit for irinotecan should be viewed in context of an uncommon disease with a very poor prognosis and limited treatment options.</w:t>
      </w:r>
      <w:r w:rsidR="003C4304">
        <w:rPr>
          <w:szCs w:val="22"/>
        </w:rPr>
        <w:t xml:space="preserve"> </w:t>
      </w:r>
    </w:p>
    <w:p w:rsidR="00242517" w:rsidRPr="007E26D3" w:rsidRDefault="00242517" w:rsidP="000A7EB2">
      <w:pPr>
        <w:widowControl/>
        <w:rPr>
          <w:szCs w:val="22"/>
        </w:rPr>
      </w:pPr>
    </w:p>
    <w:p w:rsidR="00B60939" w:rsidRPr="007E26D3" w:rsidRDefault="00B60939" w:rsidP="000A7EB2">
      <w:pPr>
        <w:pStyle w:val="Heading2"/>
      </w:pPr>
      <w:bookmarkStart w:id="10" w:name="_Toc461529328"/>
      <w:r w:rsidRPr="007E26D3">
        <w:t>Comparative effectiveness</w:t>
      </w:r>
      <w:bookmarkEnd w:id="10"/>
    </w:p>
    <w:p w:rsidR="00B60939" w:rsidRPr="00882085" w:rsidRDefault="00B60939" w:rsidP="000A7EB2">
      <w:pPr>
        <w:keepNext/>
        <w:widowControl/>
        <w:rPr>
          <w:szCs w:val="22"/>
        </w:rPr>
      </w:pPr>
    </w:p>
    <w:p w:rsidR="002C2775" w:rsidRPr="00E03EF9" w:rsidRDefault="00A169D5" w:rsidP="000A7EB2">
      <w:pPr>
        <w:pStyle w:val="ListParagraph"/>
        <w:widowControl/>
        <w:numPr>
          <w:ilvl w:val="1"/>
          <w:numId w:val="1"/>
        </w:numPr>
        <w:rPr>
          <w:i/>
        </w:rPr>
      </w:pPr>
      <w:r w:rsidRPr="00A169D5">
        <w:rPr>
          <w:szCs w:val="22"/>
          <w:u w:val="single"/>
        </w:rPr>
        <w:t>Direct comparison with 5-FU/folinic acid</w:t>
      </w:r>
      <w:r>
        <w:rPr>
          <w:szCs w:val="22"/>
        </w:rPr>
        <w:t xml:space="preserve">: </w:t>
      </w:r>
      <w:r w:rsidR="000257C3" w:rsidRPr="00526248">
        <w:rPr>
          <w:szCs w:val="22"/>
        </w:rPr>
        <w:t xml:space="preserve">The main outcomes presented in the submission were from the NAPOLI-1 post-hoc analyses. The analyses were conducted using an additional </w:t>
      </w:r>
      <w:r w:rsidR="002A4E9A">
        <w:rPr>
          <w:noProof/>
          <w:color w:val="000000"/>
          <w:szCs w:val="22"/>
          <w:highlight w:val="black"/>
        </w:rPr>
        <w:t>''''''</w:t>
      </w:r>
      <w:r w:rsidR="000257C3" w:rsidRPr="00526248">
        <w:rPr>
          <w:szCs w:val="22"/>
        </w:rPr>
        <w:t xml:space="preserve"> months follow-up from the primary analyses cut-off date (based on the later </w:t>
      </w:r>
      <w:r w:rsidR="002A4E9A">
        <w:rPr>
          <w:noProof/>
          <w:color w:val="000000"/>
          <w:szCs w:val="22"/>
          <w:highlight w:val="black"/>
        </w:rPr>
        <w:t>''' ''''''''''''''' '''''''''''''</w:t>
      </w:r>
      <w:r w:rsidR="000257C3" w:rsidRPr="00526248">
        <w:rPr>
          <w:szCs w:val="22"/>
        </w:rPr>
        <w:t xml:space="preserve"> cut-off date)</w:t>
      </w:r>
      <w:r w:rsidR="002C7BA2" w:rsidRPr="00526248">
        <w:rPr>
          <w:szCs w:val="22"/>
        </w:rPr>
        <w:t xml:space="preserve">. </w:t>
      </w:r>
    </w:p>
    <w:p w:rsidR="002C7BA2" w:rsidRPr="00E03EF9" w:rsidRDefault="002C7BA2" w:rsidP="000A7EB2">
      <w:pPr>
        <w:pStyle w:val="ListParagraph"/>
        <w:widowControl/>
        <w:rPr>
          <w:i/>
          <w:szCs w:val="22"/>
        </w:rPr>
      </w:pPr>
    </w:p>
    <w:p w:rsidR="002C7BA2" w:rsidRDefault="002C7BA2" w:rsidP="000A7EB2">
      <w:pPr>
        <w:pStyle w:val="ListParagraph"/>
        <w:widowControl/>
        <w:numPr>
          <w:ilvl w:val="1"/>
          <w:numId w:val="1"/>
        </w:numPr>
        <w:rPr>
          <w:szCs w:val="22"/>
        </w:rPr>
      </w:pPr>
      <w:r>
        <w:rPr>
          <w:szCs w:val="22"/>
        </w:rPr>
        <w:t xml:space="preserve">Overall survival (primary outcome) </w:t>
      </w:r>
      <w:r w:rsidR="00EF0A1E">
        <w:rPr>
          <w:szCs w:val="22"/>
        </w:rPr>
        <w:t xml:space="preserve">for </w:t>
      </w:r>
      <w:r w:rsidR="00C82D5A">
        <w:rPr>
          <w:szCs w:val="22"/>
        </w:rPr>
        <w:t>irinotecan (nanoliposomal)</w:t>
      </w:r>
      <w:r w:rsidR="00EF0A1E">
        <w:rPr>
          <w:szCs w:val="22"/>
        </w:rPr>
        <w:t xml:space="preserve"> compared with 5</w:t>
      </w:r>
      <w:r w:rsidR="00430ACE">
        <w:rPr>
          <w:szCs w:val="22"/>
        </w:rPr>
        <w:noBreakHyphen/>
      </w:r>
      <w:r w:rsidR="00EF0A1E">
        <w:rPr>
          <w:szCs w:val="22"/>
        </w:rPr>
        <w:t>FU/folinic acid</w:t>
      </w:r>
      <w:r>
        <w:rPr>
          <w:szCs w:val="22"/>
        </w:rPr>
        <w:t xml:space="preserve"> is summarised in Table 3.</w:t>
      </w:r>
    </w:p>
    <w:p w:rsidR="00204CDA" w:rsidRDefault="00204CDA" w:rsidP="000A7EB2">
      <w:pPr>
        <w:pStyle w:val="ListParagraph"/>
        <w:widowControl/>
        <w:rPr>
          <w:szCs w:val="22"/>
        </w:rPr>
      </w:pPr>
    </w:p>
    <w:p w:rsidR="00204CDA" w:rsidRPr="0089438C" w:rsidRDefault="00EF0A1E" w:rsidP="000A7EB2">
      <w:pPr>
        <w:widowControl/>
        <w:ind w:firstLine="720"/>
        <w:rPr>
          <w:rStyle w:val="CommentReference"/>
        </w:rPr>
      </w:pPr>
      <w:r>
        <w:rPr>
          <w:rStyle w:val="CommentReference"/>
        </w:rPr>
        <w:t xml:space="preserve">Table </w:t>
      </w:r>
      <w:r w:rsidR="00204CDA">
        <w:rPr>
          <w:rStyle w:val="CommentReference"/>
        </w:rPr>
        <w:t>3: Post-hoc analysis for overall survival (NAPOLI-1 trial)</w:t>
      </w:r>
    </w:p>
    <w:tbl>
      <w:tblPr>
        <w:tblStyle w:val="TableGrid"/>
        <w:tblW w:w="0" w:type="auto"/>
        <w:tblInd w:w="817" w:type="dxa"/>
        <w:tblLook w:val="04A0" w:firstRow="1" w:lastRow="0" w:firstColumn="1" w:lastColumn="0" w:noHBand="0" w:noVBand="1"/>
        <w:tblCaption w:val="Table 3: Post-hoc analysis for overall survival (NAPOLI-1 trial)"/>
        <w:tblDescription w:val="Table 3: Post-hoc analysis for overall survival (NAPOLI-1 trial)"/>
      </w:tblPr>
      <w:tblGrid>
        <w:gridCol w:w="2439"/>
        <w:gridCol w:w="2126"/>
        <w:gridCol w:w="1984"/>
        <w:gridCol w:w="1814"/>
      </w:tblGrid>
      <w:tr w:rsidR="00204CDA" w:rsidTr="000D5960">
        <w:trPr>
          <w:tblHeader/>
        </w:trPr>
        <w:tc>
          <w:tcPr>
            <w:tcW w:w="2439" w:type="dxa"/>
            <w:vAlign w:val="center"/>
          </w:tcPr>
          <w:p w:rsidR="00204CDA" w:rsidRPr="0003368B" w:rsidRDefault="00204CDA" w:rsidP="000A7EB2">
            <w:pPr>
              <w:widowControl/>
              <w:rPr>
                <w:rFonts w:ascii="Arial Narrow" w:hAnsi="Arial Narrow"/>
                <w:b/>
                <w:sz w:val="20"/>
              </w:rPr>
            </w:pPr>
            <w:r>
              <w:rPr>
                <w:rFonts w:ascii="Arial Narrow" w:hAnsi="Arial Narrow"/>
                <w:b/>
                <w:sz w:val="20"/>
              </w:rPr>
              <w:t>O</w:t>
            </w:r>
            <w:r w:rsidR="00EF0A1E">
              <w:rPr>
                <w:rFonts w:ascii="Arial Narrow" w:hAnsi="Arial Narrow"/>
                <w:b/>
                <w:sz w:val="20"/>
              </w:rPr>
              <w:t>verall survival</w:t>
            </w:r>
          </w:p>
        </w:tc>
        <w:tc>
          <w:tcPr>
            <w:tcW w:w="2126" w:type="dxa"/>
            <w:vAlign w:val="center"/>
          </w:tcPr>
          <w:p w:rsidR="00204CDA" w:rsidRPr="0003368B" w:rsidRDefault="00C82D5A" w:rsidP="000A7EB2">
            <w:pPr>
              <w:widowControl/>
              <w:jc w:val="center"/>
              <w:rPr>
                <w:rFonts w:ascii="Arial Narrow" w:hAnsi="Arial Narrow"/>
                <w:b/>
                <w:sz w:val="20"/>
              </w:rPr>
            </w:pPr>
            <w:r>
              <w:rPr>
                <w:rFonts w:ascii="Arial Narrow" w:hAnsi="Arial Narrow"/>
                <w:b/>
                <w:sz w:val="20"/>
              </w:rPr>
              <w:t>Irinotecan (nanoliposomal)</w:t>
            </w:r>
            <w:r w:rsidR="00204CDA" w:rsidRPr="0003368B">
              <w:rPr>
                <w:rFonts w:ascii="Arial Narrow" w:hAnsi="Arial Narrow"/>
                <w:b/>
                <w:sz w:val="20"/>
              </w:rPr>
              <w:t xml:space="preserve"> (N=117)</w:t>
            </w:r>
          </w:p>
        </w:tc>
        <w:tc>
          <w:tcPr>
            <w:tcW w:w="1984" w:type="dxa"/>
            <w:vAlign w:val="center"/>
          </w:tcPr>
          <w:p w:rsidR="00204CDA" w:rsidRPr="0003368B" w:rsidRDefault="00204CDA" w:rsidP="000A7EB2">
            <w:pPr>
              <w:widowControl/>
              <w:jc w:val="center"/>
              <w:rPr>
                <w:rFonts w:ascii="Arial Narrow" w:hAnsi="Arial Narrow"/>
                <w:b/>
                <w:sz w:val="20"/>
              </w:rPr>
            </w:pPr>
            <w:r w:rsidRPr="0003368B">
              <w:rPr>
                <w:rFonts w:ascii="Arial Narrow" w:hAnsi="Arial Narrow"/>
                <w:b/>
                <w:sz w:val="20"/>
              </w:rPr>
              <w:t>5-FU/folinic acid</w:t>
            </w:r>
          </w:p>
          <w:p w:rsidR="00204CDA" w:rsidRPr="0003368B" w:rsidRDefault="00204CDA" w:rsidP="000A7EB2">
            <w:pPr>
              <w:widowControl/>
              <w:jc w:val="center"/>
              <w:rPr>
                <w:rFonts w:ascii="Arial Narrow" w:hAnsi="Arial Narrow"/>
                <w:b/>
                <w:sz w:val="20"/>
              </w:rPr>
            </w:pPr>
            <w:r w:rsidRPr="0003368B">
              <w:rPr>
                <w:rFonts w:ascii="Arial Narrow" w:hAnsi="Arial Narrow"/>
                <w:b/>
                <w:sz w:val="20"/>
              </w:rPr>
              <w:t>(N=119)</w:t>
            </w:r>
          </w:p>
        </w:tc>
        <w:tc>
          <w:tcPr>
            <w:tcW w:w="1814" w:type="dxa"/>
            <w:vAlign w:val="center"/>
          </w:tcPr>
          <w:p w:rsidR="00204CDA" w:rsidRPr="0003368B" w:rsidRDefault="00204CDA" w:rsidP="000A7EB2">
            <w:pPr>
              <w:widowControl/>
              <w:jc w:val="center"/>
              <w:rPr>
                <w:rFonts w:ascii="Arial Narrow" w:hAnsi="Arial Narrow"/>
                <w:b/>
                <w:sz w:val="20"/>
              </w:rPr>
            </w:pPr>
            <w:r w:rsidRPr="0003368B">
              <w:rPr>
                <w:rFonts w:ascii="Arial Narrow" w:hAnsi="Arial Narrow"/>
                <w:b/>
                <w:sz w:val="20"/>
              </w:rPr>
              <w:t>HR (95%CI)</w:t>
            </w:r>
          </w:p>
        </w:tc>
      </w:tr>
      <w:tr w:rsidR="00204CDA" w:rsidTr="00CC23F9">
        <w:tc>
          <w:tcPr>
            <w:tcW w:w="2439" w:type="dxa"/>
          </w:tcPr>
          <w:p w:rsidR="00204CDA" w:rsidRDefault="00204CDA" w:rsidP="000A7EB2">
            <w:pPr>
              <w:widowControl/>
              <w:rPr>
                <w:rFonts w:ascii="Arial Narrow" w:hAnsi="Arial Narrow"/>
                <w:sz w:val="20"/>
              </w:rPr>
            </w:pPr>
            <w:r>
              <w:rPr>
                <w:rFonts w:ascii="Arial Narrow" w:hAnsi="Arial Narrow"/>
                <w:sz w:val="20"/>
              </w:rPr>
              <w:t>Patients with events, n/N (%)</w:t>
            </w:r>
          </w:p>
        </w:tc>
        <w:tc>
          <w:tcPr>
            <w:tcW w:w="2126" w:type="dxa"/>
          </w:tcPr>
          <w:p w:rsidR="00204CDA" w:rsidRPr="0089438C"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04CDA">
              <w:rPr>
                <w:rFonts w:ascii="Arial Narrow" w:hAnsi="Arial Narrow"/>
                <w:sz w:val="20"/>
              </w:rPr>
              <w:t>/</w:t>
            </w:r>
            <w:r>
              <w:rPr>
                <w:rFonts w:ascii="Arial Narrow" w:hAnsi="Arial Narrow"/>
                <w:noProof/>
                <w:color w:val="000000"/>
                <w:sz w:val="20"/>
                <w:highlight w:val="black"/>
              </w:rPr>
              <w:t>''''''''''</w:t>
            </w:r>
            <w:r w:rsidR="00204CDA">
              <w:rPr>
                <w:rFonts w:ascii="Arial Narrow" w:hAnsi="Arial Narrow"/>
                <w:sz w:val="20"/>
              </w:rPr>
              <w:t xml:space="preserve"> (</w:t>
            </w:r>
            <w:r>
              <w:rPr>
                <w:rFonts w:ascii="Arial Narrow" w:hAnsi="Arial Narrow"/>
                <w:noProof/>
                <w:color w:val="000000"/>
                <w:sz w:val="20"/>
                <w:highlight w:val="black"/>
              </w:rPr>
              <w:t>'''''''''''</w:t>
            </w:r>
            <w:r w:rsidR="00204CDA">
              <w:rPr>
                <w:rFonts w:ascii="Arial Narrow" w:hAnsi="Arial Narrow"/>
                <w:sz w:val="20"/>
              </w:rPr>
              <w:t>)</w:t>
            </w:r>
          </w:p>
        </w:tc>
        <w:tc>
          <w:tcPr>
            <w:tcW w:w="1984" w:type="dxa"/>
          </w:tcPr>
          <w:p w:rsidR="00204CDA" w:rsidRPr="0089438C"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04CDA">
              <w:rPr>
                <w:rFonts w:ascii="Arial Narrow" w:hAnsi="Arial Narrow"/>
                <w:sz w:val="20"/>
              </w:rPr>
              <w:t>/</w:t>
            </w:r>
            <w:r>
              <w:rPr>
                <w:rFonts w:ascii="Arial Narrow" w:hAnsi="Arial Narrow"/>
                <w:noProof/>
                <w:color w:val="000000"/>
                <w:sz w:val="20"/>
                <w:highlight w:val="black"/>
              </w:rPr>
              <w:t>'''''''''</w:t>
            </w:r>
            <w:r w:rsidR="00204CDA">
              <w:rPr>
                <w:rFonts w:ascii="Arial Narrow" w:hAnsi="Arial Narrow"/>
                <w:sz w:val="20"/>
              </w:rPr>
              <w:t xml:space="preserve"> (</w:t>
            </w:r>
            <w:r>
              <w:rPr>
                <w:rFonts w:ascii="Arial Narrow" w:hAnsi="Arial Narrow"/>
                <w:noProof/>
                <w:color w:val="000000"/>
                <w:sz w:val="20"/>
                <w:highlight w:val="black"/>
              </w:rPr>
              <w:t>'''''''''''</w:t>
            </w:r>
            <w:r w:rsidR="00204CDA">
              <w:rPr>
                <w:rFonts w:ascii="Arial Narrow" w:hAnsi="Arial Narrow"/>
                <w:sz w:val="20"/>
              </w:rPr>
              <w:t>)</w:t>
            </w:r>
          </w:p>
        </w:tc>
        <w:tc>
          <w:tcPr>
            <w:tcW w:w="1814" w:type="dxa"/>
            <w:vMerge w:val="restart"/>
          </w:tcPr>
          <w:p w:rsidR="00204CDA"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04CDA">
              <w:rPr>
                <w:rFonts w:ascii="Arial Narrow" w:hAnsi="Arial Narrow"/>
                <w:sz w:val="20"/>
              </w:rPr>
              <w:t xml:space="preserve"> (</w:t>
            </w:r>
            <w:r>
              <w:rPr>
                <w:rFonts w:ascii="Arial Narrow" w:hAnsi="Arial Narrow"/>
                <w:noProof/>
                <w:color w:val="000000"/>
                <w:sz w:val="20"/>
                <w:highlight w:val="black"/>
              </w:rPr>
              <w:t>'''''''''''</w:t>
            </w:r>
            <w:r w:rsidR="00204CDA">
              <w:rPr>
                <w:rFonts w:ascii="Arial Narrow" w:hAnsi="Arial Narrow"/>
                <w:sz w:val="20"/>
              </w:rPr>
              <w:t xml:space="preserve">, </w:t>
            </w:r>
            <w:r>
              <w:rPr>
                <w:rFonts w:ascii="Arial Narrow" w:hAnsi="Arial Narrow"/>
                <w:noProof/>
                <w:color w:val="000000"/>
                <w:sz w:val="20"/>
                <w:highlight w:val="black"/>
              </w:rPr>
              <w:t>'''''''''''</w:t>
            </w:r>
            <w:r w:rsidR="00204CDA">
              <w:rPr>
                <w:rFonts w:ascii="Arial Narrow" w:hAnsi="Arial Narrow"/>
                <w:sz w:val="20"/>
              </w:rPr>
              <w:t>)</w:t>
            </w:r>
          </w:p>
          <w:p w:rsidR="00204CDA" w:rsidRDefault="00204CDA" w:rsidP="000A7EB2">
            <w:pPr>
              <w:widowControl/>
              <w:jc w:val="center"/>
              <w:rPr>
                <w:rFonts w:ascii="Arial Narrow" w:hAnsi="Arial Narrow"/>
                <w:sz w:val="20"/>
              </w:rPr>
            </w:pPr>
            <w:r>
              <w:rPr>
                <w:rFonts w:ascii="Arial Narrow" w:hAnsi="Arial Narrow"/>
                <w:sz w:val="20"/>
              </w:rPr>
              <w:t>p=</w:t>
            </w:r>
            <w:r w:rsidR="002A4E9A">
              <w:rPr>
                <w:rFonts w:ascii="Arial Narrow" w:hAnsi="Arial Narrow"/>
                <w:noProof/>
                <w:color w:val="000000"/>
                <w:sz w:val="20"/>
                <w:highlight w:val="black"/>
              </w:rPr>
              <w:t>''''''''''''''''</w:t>
            </w:r>
          </w:p>
        </w:tc>
      </w:tr>
      <w:tr w:rsidR="00204CDA" w:rsidTr="00CC23F9">
        <w:tc>
          <w:tcPr>
            <w:tcW w:w="2439" w:type="dxa"/>
          </w:tcPr>
          <w:p w:rsidR="00204CDA" w:rsidRPr="0089438C" w:rsidRDefault="00204CDA" w:rsidP="000A7EB2">
            <w:pPr>
              <w:widowControl/>
              <w:rPr>
                <w:rFonts w:ascii="Arial Narrow" w:hAnsi="Arial Narrow"/>
                <w:sz w:val="20"/>
              </w:rPr>
            </w:pPr>
            <w:r>
              <w:rPr>
                <w:rFonts w:ascii="Arial Narrow" w:hAnsi="Arial Narrow"/>
                <w:sz w:val="20"/>
              </w:rPr>
              <w:t>Median, weeks (95%</w:t>
            </w:r>
            <w:r w:rsidR="004D02EA">
              <w:rPr>
                <w:rFonts w:ascii="Arial Narrow" w:hAnsi="Arial Narrow"/>
                <w:sz w:val="20"/>
              </w:rPr>
              <w:t xml:space="preserve"> </w:t>
            </w:r>
            <w:r>
              <w:rPr>
                <w:rFonts w:ascii="Arial Narrow" w:hAnsi="Arial Narrow"/>
                <w:sz w:val="20"/>
              </w:rPr>
              <w:t>CI)</w:t>
            </w:r>
          </w:p>
        </w:tc>
        <w:tc>
          <w:tcPr>
            <w:tcW w:w="2126" w:type="dxa"/>
          </w:tcPr>
          <w:p w:rsidR="00204CDA" w:rsidRPr="0089438C"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04CDA">
              <w:rPr>
                <w:rFonts w:ascii="Arial Narrow" w:hAnsi="Arial Narrow"/>
                <w:sz w:val="20"/>
              </w:rPr>
              <w:t xml:space="preserve"> (</w:t>
            </w:r>
            <w:r>
              <w:rPr>
                <w:rFonts w:ascii="Arial Narrow" w:hAnsi="Arial Narrow"/>
                <w:noProof/>
                <w:color w:val="000000"/>
                <w:sz w:val="20"/>
                <w:highlight w:val="black"/>
              </w:rPr>
              <w:t>''''''''''</w:t>
            </w:r>
            <w:r w:rsidR="00204CDA">
              <w:rPr>
                <w:rFonts w:ascii="Arial Narrow" w:hAnsi="Arial Narrow"/>
                <w:sz w:val="20"/>
              </w:rPr>
              <w:t xml:space="preserve">, </w:t>
            </w:r>
            <w:r>
              <w:rPr>
                <w:rFonts w:ascii="Arial Narrow" w:hAnsi="Arial Narrow"/>
                <w:noProof/>
                <w:color w:val="000000"/>
                <w:sz w:val="20"/>
                <w:highlight w:val="black"/>
              </w:rPr>
              <w:t>''''''''''</w:t>
            </w:r>
            <w:r w:rsidR="00204CDA">
              <w:rPr>
                <w:rFonts w:ascii="Arial Narrow" w:hAnsi="Arial Narrow"/>
                <w:sz w:val="20"/>
              </w:rPr>
              <w:t>)</w:t>
            </w:r>
          </w:p>
        </w:tc>
        <w:tc>
          <w:tcPr>
            <w:tcW w:w="1984" w:type="dxa"/>
          </w:tcPr>
          <w:p w:rsidR="00204CDA" w:rsidRPr="0089438C"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04CDA">
              <w:rPr>
                <w:rFonts w:ascii="Arial Narrow" w:hAnsi="Arial Narrow"/>
                <w:sz w:val="20"/>
              </w:rPr>
              <w:t xml:space="preserve"> (</w:t>
            </w:r>
            <w:r>
              <w:rPr>
                <w:rFonts w:ascii="Arial Narrow" w:hAnsi="Arial Narrow"/>
                <w:noProof/>
                <w:color w:val="000000"/>
                <w:sz w:val="20"/>
                <w:highlight w:val="black"/>
              </w:rPr>
              <w:t>''''''''''</w:t>
            </w:r>
            <w:r w:rsidR="00204CDA">
              <w:rPr>
                <w:rFonts w:ascii="Arial Narrow" w:hAnsi="Arial Narrow"/>
                <w:sz w:val="20"/>
              </w:rPr>
              <w:t xml:space="preserve">, </w:t>
            </w:r>
            <w:r>
              <w:rPr>
                <w:rFonts w:ascii="Arial Narrow" w:hAnsi="Arial Narrow"/>
                <w:noProof/>
                <w:color w:val="000000"/>
                <w:sz w:val="20"/>
                <w:highlight w:val="black"/>
              </w:rPr>
              <w:t>''''''''''</w:t>
            </w:r>
            <w:r w:rsidR="00204CDA">
              <w:rPr>
                <w:rFonts w:ascii="Arial Narrow" w:hAnsi="Arial Narrow"/>
                <w:sz w:val="20"/>
              </w:rPr>
              <w:t>)</w:t>
            </w:r>
          </w:p>
        </w:tc>
        <w:tc>
          <w:tcPr>
            <w:tcW w:w="1814" w:type="dxa"/>
            <w:vMerge/>
          </w:tcPr>
          <w:p w:rsidR="00204CDA" w:rsidRPr="0089438C" w:rsidRDefault="00204CDA" w:rsidP="000A7EB2">
            <w:pPr>
              <w:widowControl/>
              <w:jc w:val="center"/>
              <w:rPr>
                <w:rFonts w:ascii="Arial Narrow" w:hAnsi="Arial Narrow"/>
                <w:sz w:val="20"/>
              </w:rPr>
            </w:pPr>
          </w:p>
        </w:tc>
      </w:tr>
    </w:tbl>
    <w:p w:rsidR="00204CDA" w:rsidRDefault="00204CDA" w:rsidP="000A7EB2">
      <w:pPr>
        <w:pStyle w:val="TableFooter"/>
        <w:widowControl/>
        <w:ind w:firstLine="720"/>
      </w:pPr>
      <w:r>
        <w:t>Source: Table 14.2.1.1, Appendix 13 of the submission</w:t>
      </w:r>
    </w:p>
    <w:p w:rsidR="00204CDA" w:rsidRPr="00800E69" w:rsidRDefault="00204CDA" w:rsidP="000A7EB2">
      <w:pPr>
        <w:pStyle w:val="TableFooter"/>
        <w:widowControl/>
        <w:ind w:firstLine="720"/>
      </w:pPr>
      <w:r>
        <w:t>Abbreviations: CI, confidence interval; HR, hazard ratio</w:t>
      </w:r>
    </w:p>
    <w:p w:rsidR="00204CDA" w:rsidRPr="00204CDA" w:rsidRDefault="00204CDA" w:rsidP="000A7EB2">
      <w:pPr>
        <w:widowControl/>
        <w:rPr>
          <w:szCs w:val="22"/>
        </w:rPr>
      </w:pPr>
    </w:p>
    <w:p w:rsidR="00EF0A1E" w:rsidRPr="00526248" w:rsidRDefault="00204CDA" w:rsidP="000A7EB2">
      <w:pPr>
        <w:pStyle w:val="ListParagraph"/>
        <w:widowControl/>
        <w:numPr>
          <w:ilvl w:val="1"/>
          <w:numId w:val="1"/>
        </w:numPr>
      </w:pPr>
      <w:r w:rsidRPr="00526248">
        <w:t xml:space="preserve">Treatment with </w:t>
      </w:r>
      <w:r w:rsidR="00C82D5A" w:rsidRPr="00526248">
        <w:t>irinotecan (nanoliposomal)</w:t>
      </w:r>
      <w:r w:rsidRPr="00526248">
        <w:t xml:space="preserve"> was associated with a statistically significant increase of </w:t>
      </w:r>
      <w:r w:rsidR="002A4E9A">
        <w:rPr>
          <w:noProof/>
          <w:color w:val="000000"/>
          <w:highlight w:val="black"/>
        </w:rPr>
        <w:t>'''''''</w:t>
      </w:r>
      <w:r w:rsidRPr="00526248">
        <w:t xml:space="preserve"> weeks in median o</w:t>
      </w:r>
      <w:r w:rsidR="00430ACE" w:rsidRPr="00526248">
        <w:t>verall survival compared with 5</w:t>
      </w:r>
      <w:r w:rsidR="00430ACE" w:rsidRPr="00526248">
        <w:noBreakHyphen/>
      </w:r>
      <w:r w:rsidRPr="00526248">
        <w:t xml:space="preserve">FU/folinic acid (HR </w:t>
      </w:r>
      <w:r w:rsidR="002A4E9A">
        <w:rPr>
          <w:noProof/>
          <w:color w:val="000000"/>
          <w:highlight w:val="black"/>
        </w:rPr>
        <w:t>''''''''''</w:t>
      </w:r>
      <w:r w:rsidR="004D02EA" w:rsidRPr="00526248">
        <w:t>,</w:t>
      </w:r>
      <w:r w:rsidRPr="00526248">
        <w:t xml:space="preserve"> 95% CI</w:t>
      </w:r>
      <w:r w:rsidR="004D02EA" w:rsidRPr="00526248">
        <w:t>:</w:t>
      </w:r>
      <w:r w:rsidRPr="00526248">
        <w:t xml:space="preserve"> </w:t>
      </w:r>
      <w:r w:rsidR="002A4E9A">
        <w:rPr>
          <w:noProof/>
          <w:color w:val="000000"/>
          <w:highlight w:val="black"/>
        </w:rPr>
        <w:t>''''''''''''</w:t>
      </w:r>
      <w:r w:rsidRPr="00526248">
        <w:t xml:space="preserve">, </w:t>
      </w:r>
      <w:r w:rsidR="002A4E9A">
        <w:rPr>
          <w:noProof/>
          <w:color w:val="000000"/>
          <w:highlight w:val="black"/>
        </w:rPr>
        <w:t>'''''''''''</w:t>
      </w:r>
      <w:r w:rsidRPr="00526248">
        <w:t>).</w:t>
      </w:r>
      <w:r w:rsidR="00FE5C75">
        <w:t xml:space="preserve"> </w:t>
      </w:r>
      <w:r w:rsidR="00FE5C75" w:rsidRPr="00225989">
        <w:t xml:space="preserve">Figure 1 summarises the updated results for overall survival from NAPOLI-1 </w:t>
      </w:r>
      <w:r w:rsidR="0055724B" w:rsidRPr="00225989">
        <w:t>with the safety extension data</w:t>
      </w:r>
      <w:r w:rsidR="00FE5C75" w:rsidRPr="00225989">
        <w:t>.</w:t>
      </w:r>
    </w:p>
    <w:p w:rsidR="00EF0A1E" w:rsidRDefault="00EF0A1E" w:rsidP="000A7EB2">
      <w:pPr>
        <w:pStyle w:val="ListParagraph"/>
        <w:widowControl/>
        <w:rPr>
          <w:szCs w:val="22"/>
        </w:rPr>
      </w:pPr>
    </w:p>
    <w:p w:rsidR="00FE5C75" w:rsidRPr="00B9062D" w:rsidRDefault="00FE5C75" w:rsidP="000A7EB2">
      <w:pPr>
        <w:keepNext/>
        <w:widowControl/>
        <w:ind w:left="709"/>
        <w:rPr>
          <w:rStyle w:val="CommentReference"/>
        </w:rPr>
      </w:pPr>
      <w:r w:rsidRPr="00B9062D">
        <w:rPr>
          <w:rStyle w:val="CommentReference"/>
        </w:rPr>
        <w:lastRenderedPageBreak/>
        <w:t>Figure 1: Updated Kaplan-Meier curves for overall survival (ITT population) using NAPOLI-1 safety extension data</w:t>
      </w:r>
    </w:p>
    <w:p w:rsidR="00FE5C75" w:rsidRDefault="002A4E9A" w:rsidP="000A7EB2">
      <w:pPr>
        <w:keepNext/>
        <w:widowControl/>
        <w:jc w:val="right"/>
      </w:pPr>
      <w:r>
        <w:rPr>
          <w:noProof/>
          <w:snapToGrid/>
          <w:lang w:eastAsia="en-AU"/>
        </w:rPr>
        <w:drawing>
          <wp:inline distT="0" distB="0" distL="0" distR="0">
            <wp:extent cx="5252720" cy="3223895"/>
            <wp:effectExtent l="0" t="0" r="5080" b="0"/>
            <wp:docPr id="2" name="Picture 2" descr="Figure 1: Updated Kaplan-Meier curves for overall survival (ITT population) using NAPOLI-1 safety extension data" title="Figure 1: Updated Kaplan-Meier curves for overall survival (ITT population) using NAPOLI-1 safety extension dat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2720" cy="3223895"/>
                    </a:xfrm>
                    <a:prstGeom prst="rect">
                      <a:avLst/>
                    </a:prstGeom>
                  </pic:spPr>
                </pic:pic>
              </a:graphicData>
            </a:graphic>
          </wp:inline>
        </w:drawing>
      </w:r>
    </w:p>
    <w:p w:rsidR="00FE5C75" w:rsidRPr="00C27E63" w:rsidRDefault="00FE5C75" w:rsidP="000A7EB2">
      <w:pPr>
        <w:pStyle w:val="TableFooter"/>
        <w:keepNext/>
        <w:widowControl/>
        <w:ind w:left="709"/>
      </w:pPr>
      <w:r w:rsidRPr="00C27E63">
        <w:t>Source: Figure B.6.1, p115 of the submission</w:t>
      </w:r>
    </w:p>
    <w:p w:rsidR="00FE5C75" w:rsidRPr="00C27E63" w:rsidRDefault="00FE5C75" w:rsidP="000A7EB2">
      <w:pPr>
        <w:pStyle w:val="TableFooter"/>
        <w:widowControl/>
        <w:ind w:left="709"/>
      </w:pPr>
      <w:r w:rsidRPr="00C27E63">
        <w:t xml:space="preserve">Abbreviations: CI, confidence interval; LV, folinic acid; MM-398, irinotecan (nanoliposomal) </w:t>
      </w:r>
    </w:p>
    <w:p w:rsidR="00FE5C75" w:rsidRPr="00526248" w:rsidRDefault="00FE5C75" w:rsidP="000A7EB2">
      <w:pPr>
        <w:pStyle w:val="ListParagraph"/>
        <w:widowControl/>
        <w:rPr>
          <w:szCs w:val="22"/>
        </w:rPr>
      </w:pPr>
    </w:p>
    <w:p w:rsidR="00EF0A1E" w:rsidRPr="00FE5C75" w:rsidRDefault="00562A6F" w:rsidP="000A7EB2">
      <w:pPr>
        <w:pStyle w:val="ListParagraph"/>
        <w:widowControl/>
        <w:numPr>
          <w:ilvl w:val="1"/>
          <w:numId w:val="1"/>
        </w:numPr>
        <w:rPr>
          <w:szCs w:val="22"/>
        </w:rPr>
      </w:pPr>
      <w:r>
        <w:t>The r</w:t>
      </w:r>
      <w:r w:rsidR="00EF0A1E" w:rsidRPr="00526248">
        <w:t xml:space="preserve">esults from the post-hoc analysis </w:t>
      </w:r>
      <w:r w:rsidR="001C6230" w:rsidRPr="00526248">
        <w:t xml:space="preserve">(see Table 3) </w:t>
      </w:r>
      <w:r w:rsidR="00EF0A1E" w:rsidRPr="00526248">
        <w:t>were</w:t>
      </w:r>
      <w:r w:rsidR="00204CDA" w:rsidRPr="00526248">
        <w:t xml:space="preserve"> cons</w:t>
      </w:r>
      <w:r w:rsidR="00EF0A1E" w:rsidRPr="00526248">
        <w:t>istent with the primary analysi</w:t>
      </w:r>
      <w:r w:rsidR="00204CDA" w:rsidRPr="00526248">
        <w:t>s</w:t>
      </w:r>
      <w:r>
        <w:t xml:space="preserve"> which favoured </w:t>
      </w:r>
      <w:r w:rsidR="00C82D5A" w:rsidRPr="00526248">
        <w:t>irinotecan (nanoliposomal)</w:t>
      </w:r>
      <w:r w:rsidR="00204CDA" w:rsidRPr="00526248">
        <w:t xml:space="preserve"> compared with 5</w:t>
      </w:r>
      <w:r w:rsidR="00565E3A">
        <w:noBreakHyphen/>
      </w:r>
      <w:r w:rsidR="00204CDA" w:rsidRPr="00526248">
        <w:t>FU/folinic acid (primary analysis: HR 0</w:t>
      </w:r>
      <w:r w:rsidR="00EF0A1E" w:rsidRPr="00526248">
        <w:t xml:space="preserve">.67 </w:t>
      </w:r>
      <w:r w:rsidR="004D02EA" w:rsidRPr="00526248">
        <w:t>(</w:t>
      </w:r>
      <w:r w:rsidR="00EF0A1E" w:rsidRPr="00526248">
        <w:t>95% CI</w:t>
      </w:r>
      <w:r w:rsidR="004D02EA" w:rsidRPr="00526248">
        <w:t>:</w:t>
      </w:r>
      <w:r w:rsidR="00EF0A1E" w:rsidRPr="00526248">
        <w:t xml:space="preserve"> 0.49, 0.92)</w:t>
      </w:r>
      <w:r w:rsidR="001C6230" w:rsidRPr="00526248">
        <w:t>)</w:t>
      </w:r>
      <w:r w:rsidR="0025097F" w:rsidRPr="00526248">
        <w:t>.</w:t>
      </w:r>
      <w:r w:rsidR="00FE5C75">
        <w:t xml:space="preserve"> </w:t>
      </w:r>
    </w:p>
    <w:p w:rsidR="00EF0A1E" w:rsidRPr="00526248" w:rsidRDefault="00EF0A1E" w:rsidP="000A7EB2">
      <w:pPr>
        <w:pStyle w:val="ListParagraph"/>
        <w:widowControl/>
        <w:rPr>
          <w:szCs w:val="22"/>
        </w:rPr>
      </w:pPr>
    </w:p>
    <w:p w:rsidR="00EF0A1E" w:rsidRPr="00526248" w:rsidRDefault="00EF0A1E" w:rsidP="000A7EB2">
      <w:pPr>
        <w:pStyle w:val="ListParagraph"/>
        <w:widowControl/>
        <w:numPr>
          <w:ilvl w:val="1"/>
          <w:numId w:val="1"/>
        </w:numPr>
        <w:rPr>
          <w:szCs w:val="22"/>
        </w:rPr>
      </w:pPr>
      <w:r w:rsidRPr="00526248">
        <w:rPr>
          <w:szCs w:val="22"/>
        </w:rPr>
        <w:t xml:space="preserve">Progression-free survival for </w:t>
      </w:r>
      <w:r w:rsidR="00C82D5A" w:rsidRPr="00526248">
        <w:rPr>
          <w:szCs w:val="22"/>
        </w:rPr>
        <w:t>irinotecan (nanoliposomal)</w:t>
      </w:r>
      <w:r w:rsidRPr="00526248">
        <w:rPr>
          <w:szCs w:val="22"/>
        </w:rPr>
        <w:t xml:space="preserve"> compared with 5</w:t>
      </w:r>
      <w:r w:rsidR="003F5E16">
        <w:rPr>
          <w:szCs w:val="22"/>
        </w:rPr>
        <w:noBreakHyphen/>
      </w:r>
      <w:r w:rsidRPr="00526248">
        <w:rPr>
          <w:szCs w:val="22"/>
        </w:rPr>
        <w:t>FU/folinic acid is summarised in Table 4.</w:t>
      </w:r>
    </w:p>
    <w:p w:rsidR="00EF0A1E" w:rsidRDefault="00EF0A1E" w:rsidP="000A7EB2">
      <w:pPr>
        <w:pStyle w:val="ListParagraph"/>
        <w:widowControl/>
        <w:rPr>
          <w:szCs w:val="22"/>
        </w:rPr>
      </w:pPr>
    </w:p>
    <w:p w:rsidR="00EF0A1E" w:rsidRPr="00EF0A1E" w:rsidRDefault="00EF0A1E" w:rsidP="000A7EB2">
      <w:pPr>
        <w:keepNext/>
        <w:widowControl/>
        <w:ind w:firstLine="720"/>
        <w:rPr>
          <w:rStyle w:val="CommentReference"/>
        </w:rPr>
      </w:pPr>
      <w:r>
        <w:rPr>
          <w:rStyle w:val="CommentReference"/>
        </w:rPr>
        <w:t xml:space="preserve">Table 4: Post-hoc analysis for </w:t>
      </w:r>
      <w:r w:rsidR="002A6CF2">
        <w:rPr>
          <w:rStyle w:val="CommentReference"/>
        </w:rPr>
        <w:t xml:space="preserve">progression-free </w:t>
      </w:r>
      <w:r>
        <w:rPr>
          <w:rStyle w:val="CommentReference"/>
        </w:rPr>
        <w:t>survival (NAPOLI-1 trial)</w:t>
      </w:r>
    </w:p>
    <w:tbl>
      <w:tblPr>
        <w:tblStyle w:val="TableGrid"/>
        <w:tblW w:w="0" w:type="auto"/>
        <w:tblInd w:w="817" w:type="dxa"/>
        <w:tblLook w:val="04A0" w:firstRow="1" w:lastRow="0" w:firstColumn="1" w:lastColumn="0" w:noHBand="0" w:noVBand="1"/>
        <w:tblCaption w:val="Table 4: Post-hoc analysis for progression-free survival (NAPOLI-1 trial)"/>
        <w:tblDescription w:val="Table 4: Post-hoc analysis for progression-free survival (NAPOLI-1 trial)"/>
      </w:tblPr>
      <w:tblGrid>
        <w:gridCol w:w="2439"/>
        <w:gridCol w:w="2126"/>
        <w:gridCol w:w="1984"/>
        <w:gridCol w:w="1814"/>
      </w:tblGrid>
      <w:tr w:rsidR="00EF0A1E" w:rsidTr="000D5960">
        <w:trPr>
          <w:tblHeader/>
        </w:trPr>
        <w:tc>
          <w:tcPr>
            <w:tcW w:w="2439" w:type="dxa"/>
            <w:vAlign w:val="center"/>
          </w:tcPr>
          <w:p w:rsidR="00EF0A1E" w:rsidRPr="0003368B" w:rsidRDefault="00EF0A1E" w:rsidP="000A7EB2">
            <w:pPr>
              <w:keepNext/>
              <w:widowControl/>
              <w:rPr>
                <w:rFonts w:ascii="Arial Narrow" w:hAnsi="Arial Narrow"/>
                <w:b/>
                <w:sz w:val="20"/>
              </w:rPr>
            </w:pPr>
            <w:r w:rsidRPr="0003368B">
              <w:rPr>
                <w:rFonts w:ascii="Arial Narrow" w:hAnsi="Arial Narrow"/>
                <w:b/>
                <w:sz w:val="20"/>
              </w:rPr>
              <w:t>Progression-free survival</w:t>
            </w:r>
          </w:p>
        </w:tc>
        <w:tc>
          <w:tcPr>
            <w:tcW w:w="2126" w:type="dxa"/>
            <w:vAlign w:val="center"/>
          </w:tcPr>
          <w:p w:rsidR="00EF0A1E" w:rsidRPr="0003368B" w:rsidRDefault="00C82D5A" w:rsidP="000A7EB2">
            <w:pPr>
              <w:keepNext/>
              <w:widowControl/>
              <w:jc w:val="center"/>
              <w:rPr>
                <w:rFonts w:ascii="Arial Narrow" w:hAnsi="Arial Narrow"/>
                <w:b/>
                <w:sz w:val="20"/>
              </w:rPr>
            </w:pPr>
            <w:r>
              <w:rPr>
                <w:rFonts w:ascii="Arial Narrow" w:hAnsi="Arial Narrow"/>
                <w:b/>
                <w:sz w:val="20"/>
              </w:rPr>
              <w:t>Irinotecan (nanoliposomal)</w:t>
            </w:r>
            <w:r w:rsidR="00EF0A1E" w:rsidRPr="0003368B">
              <w:rPr>
                <w:rFonts w:ascii="Arial Narrow" w:hAnsi="Arial Narrow"/>
                <w:b/>
                <w:sz w:val="20"/>
              </w:rPr>
              <w:t xml:space="preserve"> (N=117)</w:t>
            </w:r>
          </w:p>
        </w:tc>
        <w:tc>
          <w:tcPr>
            <w:tcW w:w="1984" w:type="dxa"/>
            <w:vAlign w:val="center"/>
          </w:tcPr>
          <w:p w:rsidR="00EF0A1E" w:rsidRPr="0003368B" w:rsidRDefault="00EF0A1E" w:rsidP="000A7EB2">
            <w:pPr>
              <w:keepNext/>
              <w:widowControl/>
              <w:jc w:val="center"/>
              <w:rPr>
                <w:rFonts w:ascii="Arial Narrow" w:hAnsi="Arial Narrow"/>
                <w:b/>
                <w:sz w:val="20"/>
              </w:rPr>
            </w:pPr>
            <w:r w:rsidRPr="0003368B">
              <w:rPr>
                <w:rFonts w:ascii="Arial Narrow" w:hAnsi="Arial Narrow"/>
                <w:b/>
                <w:sz w:val="20"/>
              </w:rPr>
              <w:t>5-FU/folinic acid</w:t>
            </w:r>
          </w:p>
          <w:p w:rsidR="00EF0A1E" w:rsidRPr="0003368B" w:rsidRDefault="00EF0A1E" w:rsidP="000A7EB2">
            <w:pPr>
              <w:keepNext/>
              <w:widowControl/>
              <w:jc w:val="center"/>
              <w:rPr>
                <w:rFonts w:ascii="Arial Narrow" w:hAnsi="Arial Narrow"/>
                <w:b/>
                <w:sz w:val="20"/>
              </w:rPr>
            </w:pPr>
            <w:r w:rsidRPr="0003368B">
              <w:rPr>
                <w:rFonts w:ascii="Arial Narrow" w:hAnsi="Arial Narrow"/>
                <w:b/>
                <w:sz w:val="20"/>
              </w:rPr>
              <w:t>(N=119)</w:t>
            </w:r>
          </w:p>
        </w:tc>
        <w:tc>
          <w:tcPr>
            <w:tcW w:w="1814" w:type="dxa"/>
            <w:vAlign w:val="center"/>
          </w:tcPr>
          <w:p w:rsidR="00EF0A1E" w:rsidRPr="0003368B" w:rsidRDefault="00EF0A1E" w:rsidP="000A7EB2">
            <w:pPr>
              <w:keepNext/>
              <w:widowControl/>
              <w:jc w:val="center"/>
              <w:rPr>
                <w:rFonts w:ascii="Arial Narrow" w:hAnsi="Arial Narrow"/>
                <w:b/>
                <w:sz w:val="20"/>
              </w:rPr>
            </w:pPr>
            <w:r w:rsidRPr="0003368B">
              <w:rPr>
                <w:rFonts w:ascii="Arial Narrow" w:hAnsi="Arial Narrow"/>
                <w:b/>
                <w:sz w:val="20"/>
              </w:rPr>
              <w:t>HR (95%CI)</w:t>
            </w:r>
          </w:p>
        </w:tc>
      </w:tr>
      <w:tr w:rsidR="00EF0A1E" w:rsidTr="00CC23F9">
        <w:tc>
          <w:tcPr>
            <w:tcW w:w="2439" w:type="dxa"/>
            <w:vAlign w:val="center"/>
          </w:tcPr>
          <w:p w:rsidR="00EF0A1E" w:rsidRDefault="00EF0A1E" w:rsidP="000A7EB2">
            <w:pPr>
              <w:keepNext/>
              <w:widowControl/>
              <w:rPr>
                <w:rFonts w:ascii="Arial Narrow" w:hAnsi="Arial Narrow"/>
                <w:sz w:val="20"/>
              </w:rPr>
            </w:pPr>
            <w:r>
              <w:rPr>
                <w:rFonts w:ascii="Arial Narrow" w:hAnsi="Arial Narrow"/>
                <w:sz w:val="20"/>
              </w:rPr>
              <w:t>Patients with event, n/N (%)</w:t>
            </w:r>
          </w:p>
        </w:tc>
        <w:tc>
          <w:tcPr>
            <w:tcW w:w="2126" w:type="dxa"/>
            <w:vAlign w:val="center"/>
          </w:tcPr>
          <w:p w:rsidR="00EF0A1E" w:rsidRDefault="002A4E9A" w:rsidP="000A7EB2">
            <w:pPr>
              <w:keepNext/>
              <w:widowControl/>
              <w:jc w:val="center"/>
              <w:rPr>
                <w:rFonts w:ascii="Arial Narrow" w:hAnsi="Arial Narrow"/>
                <w:sz w:val="20"/>
              </w:rPr>
            </w:pPr>
            <w:r>
              <w:rPr>
                <w:rFonts w:ascii="Arial Narrow" w:hAnsi="Arial Narrow"/>
                <w:noProof/>
                <w:color w:val="000000"/>
                <w:sz w:val="20"/>
                <w:highlight w:val="black"/>
              </w:rPr>
              <w:t>''''''</w:t>
            </w:r>
            <w:r w:rsidR="00241097">
              <w:rPr>
                <w:rFonts w:ascii="Arial Narrow" w:hAnsi="Arial Narrow"/>
                <w:sz w:val="20"/>
              </w:rPr>
              <w:t>/</w:t>
            </w:r>
            <w:r>
              <w:rPr>
                <w:rFonts w:ascii="Arial Narrow" w:hAnsi="Arial Narrow"/>
                <w:noProof/>
                <w:color w:val="000000"/>
                <w:sz w:val="20"/>
                <w:highlight w:val="black"/>
              </w:rPr>
              <w:t>''''''''''</w:t>
            </w:r>
            <w:r w:rsidR="00EF0A1E">
              <w:rPr>
                <w:rFonts w:ascii="Arial Narrow" w:hAnsi="Arial Narrow"/>
                <w:sz w:val="20"/>
              </w:rPr>
              <w:t xml:space="preserve"> (</w:t>
            </w:r>
            <w:r>
              <w:rPr>
                <w:rFonts w:ascii="Arial Narrow" w:hAnsi="Arial Narrow"/>
                <w:noProof/>
                <w:color w:val="000000"/>
                <w:sz w:val="20"/>
                <w:highlight w:val="black"/>
              </w:rPr>
              <w:t>''''''''''</w:t>
            </w:r>
            <w:r w:rsidR="00EF0A1E">
              <w:rPr>
                <w:rFonts w:ascii="Arial Narrow" w:hAnsi="Arial Narrow"/>
                <w:sz w:val="20"/>
              </w:rPr>
              <w:t>)</w:t>
            </w:r>
          </w:p>
        </w:tc>
        <w:tc>
          <w:tcPr>
            <w:tcW w:w="1984" w:type="dxa"/>
            <w:vAlign w:val="center"/>
          </w:tcPr>
          <w:p w:rsidR="00EF0A1E" w:rsidRDefault="002A4E9A" w:rsidP="000A7EB2">
            <w:pPr>
              <w:keepNext/>
              <w:widowControl/>
              <w:jc w:val="center"/>
              <w:rPr>
                <w:rFonts w:ascii="Arial Narrow" w:hAnsi="Arial Narrow"/>
                <w:sz w:val="20"/>
              </w:rPr>
            </w:pPr>
            <w:r>
              <w:rPr>
                <w:rFonts w:ascii="Arial Narrow" w:hAnsi="Arial Narrow"/>
                <w:noProof/>
                <w:color w:val="000000"/>
                <w:sz w:val="20"/>
                <w:highlight w:val="black"/>
              </w:rPr>
              <w:t>'''''</w:t>
            </w:r>
            <w:r w:rsidR="00241097">
              <w:rPr>
                <w:rFonts w:ascii="Arial Narrow" w:hAnsi="Arial Narrow"/>
                <w:sz w:val="20"/>
              </w:rPr>
              <w:t>/</w:t>
            </w:r>
            <w:r>
              <w:rPr>
                <w:rFonts w:ascii="Arial Narrow" w:hAnsi="Arial Narrow"/>
                <w:noProof/>
                <w:color w:val="000000"/>
                <w:sz w:val="20"/>
                <w:highlight w:val="black"/>
              </w:rPr>
              <w:t>'''''''''</w:t>
            </w:r>
            <w:r w:rsidR="00EF0A1E">
              <w:rPr>
                <w:rFonts w:ascii="Arial Narrow" w:hAnsi="Arial Narrow"/>
                <w:sz w:val="20"/>
              </w:rPr>
              <w:t xml:space="preserve"> (</w:t>
            </w:r>
            <w:r>
              <w:rPr>
                <w:rFonts w:ascii="Arial Narrow" w:hAnsi="Arial Narrow"/>
                <w:noProof/>
                <w:color w:val="000000"/>
                <w:sz w:val="20"/>
                <w:highlight w:val="black"/>
              </w:rPr>
              <w:t>'''''''''''</w:t>
            </w:r>
            <w:r w:rsidR="00EF0A1E">
              <w:rPr>
                <w:rFonts w:ascii="Arial Narrow" w:hAnsi="Arial Narrow"/>
                <w:sz w:val="20"/>
              </w:rPr>
              <w:t>)</w:t>
            </w:r>
          </w:p>
        </w:tc>
        <w:tc>
          <w:tcPr>
            <w:tcW w:w="1814" w:type="dxa"/>
            <w:vMerge w:val="restart"/>
            <w:vAlign w:val="center"/>
          </w:tcPr>
          <w:p w:rsidR="00EF0A1E" w:rsidRDefault="002A4E9A" w:rsidP="000A7EB2">
            <w:pPr>
              <w:keepNext/>
              <w:widowControl/>
              <w:jc w:val="center"/>
              <w:rPr>
                <w:rFonts w:ascii="Arial Narrow" w:hAnsi="Arial Narrow"/>
                <w:sz w:val="20"/>
              </w:rPr>
            </w:pPr>
            <w:r>
              <w:rPr>
                <w:rFonts w:ascii="Arial Narrow" w:hAnsi="Arial Narrow"/>
                <w:noProof/>
                <w:color w:val="000000"/>
                <w:sz w:val="20"/>
                <w:highlight w:val="black"/>
              </w:rPr>
              <w:t xml:space="preserve">'''''''''' </w:t>
            </w:r>
            <w:r w:rsidR="00EF0A1E">
              <w:rPr>
                <w:rFonts w:ascii="Arial Narrow" w:hAnsi="Arial Narrow"/>
                <w:sz w:val="20"/>
              </w:rPr>
              <w:t>(</w:t>
            </w:r>
            <w:r>
              <w:rPr>
                <w:rFonts w:ascii="Arial Narrow" w:hAnsi="Arial Narrow"/>
                <w:noProof/>
                <w:color w:val="000000"/>
                <w:sz w:val="20"/>
                <w:highlight w:val="black"/>
              </w:rPr>
              <w:t>'''''''''''</w:t>
            </w:r>
            <w:r w:rsidR="00EF0A1E">
              <w:rPr>
                <w:rFonts w:ascii="Arial Narrow" w:hAnsi="Arial Narrow"/>
                <w:sz w:val="20"/>
              </w:rPr>
              <w:t xml:space="preserve">, </w:t>
            </w:r>
            <w:r>
              <w:rPr>
                <w:rFonts w:ascii="Arial Narrow" w:hAnsi="Arial Narrow"/>
                <w:noProof/>
                <w:color w:val="000000"/>
                <w:sz w:val="20"/>
                <w:highlight w:val="black"/>
              </w:rPr>
              <w:t>''''''''''</w:t>
            </w:r>
            <w:r w:rsidR="00EF0A1E">
              <w:rPr>
                <w:rFonts w:ascii="Arial Narrow" w:hAnsi="Arial Narrow"/>
                <w:sz w:val="20"/>
              </w:rPr>
              <w:t>)</w:t>
            </w:r>
          </w:p>
          <w:p w:rsidR="00EF0A1E" w:rsidRPr="0089438C" w:rsidRDefault="00EF0A1E" w:rsidP="000A7EB2">
            <w:pPr>
              <w:keepNext/>
              <w:widowControl/>
              <w:jc w:val="center"/>
              <w:rPr>
                <w:rFonts w:ascii="Arial Narrow" w:hAnsi="Arial Narrow"/>
                <w:sz w:val="20"/>
              </w:rPr>
            </w:pPr>
            <w:r>
              <w:rPr>
                <w:rFonts w:ascii="Arial Narrow" w:hAnsi="Arial Narrow"/>
                <w:sz w:val="20"/>
              </w:rPr>
              <w:t>p=</w:t>
            </w:r>
            <w:r w:rsidR="002A4E9A">
              <w:rPr>
                <w:rFonts w:ascii="Arial Narrow" w:hAnsi="Arial Narrow"/>
                <w:noProof/>
                <w:color w:val="000000"/>
                <w:sz w:val="20"/>
                <w:highlight w:val="black"/>
              </w:rPr>
              <w:t>''''''''''''''''</w:t>
            </w:r>
          </w:p>
        </w:tc>
      </w:tr>
      <w:tr w:rsidR="00EF0A1E" w:rsidTr="00CC23F9">
        <w:tc>
          <w:tcPr>
            <w:tcW w:w="2439" w:type="dxa"/>
          </w:tcPr>
          <w:p w:rsidR="00EF0A1E" w:rsidRDefault="00EF0A1E" w:rsidP="000A7EB2">
            <w:pPr>
              <w:keepNext/>
              <w:widowControl/>
              <w:rPr>
                <w:rFonts w:ascii="Arial Narrow" w:hAnsi="Arial Narrow"/>
                <w:sz w:val="20"/>
              </w:rPr>
            </w:pPr>
            <w:r w:rsidRPr="00C316A1">
              <w:rPr>
                <w:rFonts w:ascii="Arial Narrow" w:hAnsi="Arial Narrow"/>
                <w:sz w:val="20"/>
              </w:rPr>
              <w:t>Progressed, n/N (%)</w:t>
            </w:r>
          </w:p>
        </w:tc>
        <w:tc>
          <w:tcPr>
            <w:tcW w:w="2126" w:type="dxa"/>
          </w:tcPr>
          <w:p w:rsidR="00EF0A1E" w:rsidRDefault="002A4E9A" w:rsidP="000A7EB2">
            <w:pPr>
              <w:keepNext/>
              <w:widowControl/>
              <w:jc w:val="center"/>
              <w:rPr>
                <w:rFonts w:ascii="Arial Narrow" w:hAnsi="Arial Narrow"/>
                <w:sz w:val="20"/>
              </w:rPr>
            </w:pPr>
            <w:r>
              <w:rPr>
                <w:rFonts w:ascii="Arial Narrow" w:hAnsi="Arial Narrow"/>
                <w:noProof/>
                <w:color w:val="000000"/>
                <w:sz w:val="20"/>
                <w:highlight w:val="black"/>
              </w:rPr>
              <w:t>'''''</w:t>
            </w:r>
            <w:r w:rsidR="00241097">
              <w:rPr>
                <w:rFonts w:ascii="Arial Narrow" w:hAnsi="Arial Narrow"/>
                <w:sz w:val="20"/>
              </w:rPr>
              <w:t>/</w:t>
            </w:r>
            <w:r>
              <w:rPr>
                <w:rFonts w:ascii="Arial Narrow" w:hAnsi="Arial Narrow"/>
                <w:noProof/>
                <w:color w:val="000000"/>
                <w:sz w:val="20"/>
                <w:highlight w:val="black"/>
              </w:rPr>
              <w:t>''''''''''</w:t>
            </w:r>
            <w:r w:rsidR="00EF0A1E">
              <w:rPr>
                <w:rFonts w:ascii="Arial Narrow" w:hAnsi="Arial Narrow"/>
                <w:sz w:val="20"/>
              </w:rPr>
              <w:t xml:space="preserve"> (</w:t>
            </w:r>
            <w:r>
              <w:rPr>
                <w:rFonts w:ascii="Arial Narrow" w:hAnsi="Arial Narrow"/>
                <w:noProof/>
                <w:color w:val="000000"/>
                <w:sz w:val="20"/>
                <w:highlight w:val="black"/>
              </w:rPr>
              <w:t>''''''''''''</w:t>
            </w:r>
            <w:r w:rsidR="00EF0A1E">
              <w:rPr>
                <w:rFonts w:ascii="Arial Narrow" w:hAnsi="Arial Narrow"/>
                <w:sz w:val="20"/>
              </w:rPr>
              <w:t>)</w:t>
            </w:r>
          </w:p>
        </w:tc>
        <w:tc>
          <w:tcPr>
            <w:tcW w:w="1984" w:type="dxa"/>
          </w:tcPr>
          <w:p w:rsidR="00EF0A1E" w:rsidRDefault="002A4E9A" w:rsidP="000A7EB2">
            <w:pPr>
              <w:keepNext/>
              <w:widowControl/>
              <w:jc w:val="center"/>
              <w:rPr>
                <w:rFonts w:ascii="Arial Narrow" w:hAnsi="Arial Narrow"/>
                <w:sz w:val="20"/>
              </w:rPr>
            </w:pPr>
            <w:r>
              <w:rPr>
                <w:rFonts w:ascii="Arial Narrow" w:hAnsi="Arial Narrow"/>
                <w:noProof/>
                <w:color w:val="000000"/>
                <w:sz w:val="20"/>
                <w:highlight w:val="black"/>
              </w:rPr>
              <w:t>''''''</w:t>
            </w:r>
            <w:r w:rsidR="00241097">
              <w:rPr>
                <w:rFonts w:ascii="Arial Narrow" w:hAnsi="Arial Narrow"/>
                <w:sz w:val="20"/>
              </w:rPr>
              <w:t>/</w:t>
            </w:r>
            <w:r>
              <w:rPr>
                <w:rFonts w:ascii="Arial Narrow" w:hAnsi="Arial Narrow"/>
                <w:noProof/>
                <w:color w:val="000000"/>
                <w:sz w:val="20"/>
                <w:highlight w:val="black"/>
              </w:rPr>
              <w:t>''''''''''</w:t>
            </w:r>
            <w:r w:rsidR="00EF0A1E">
              <w:rPr>
                <w:rFonts w:ascii="Arial Narrow" w:hAnsi="Arial Narrow"/>
                <w:sz w:val="20"/>
              </w:rPr>
              <w:t xml:space="preserve"> (</w:t>
            </w:r>
            <w:r>
              <w:rPr>
                <w:rFonts w:ascii="Arial Narrow" w:hAnsi="Arial Narrow"/>
                <w:noProof/>
                <w:color w:val="000000"/>
                <w:sz w:val="20"/>
                <w:highlight w:val="black"/>
              </w:rPr>
              <w:t>''''''''''</w:t>
            </w:r>
            <w:r w:rsidR="00EF0A1E">
              <w:rPr>
                <w:rFonts w:ascii="Arial Narrow" w:hAnsi="Arial Narrow"/>
                <w:sz w:val="20"/>
              </w:rPr>
              <w:t>)</w:t>
            </w:r>
          </w:p>
        </w:tc>
        <w:tc>
          <w:tcPr>
            <w:tcW w:w="1814" w:type="dxa"/>
            <w:vMerge/>
          </w:tcPr>
          <w:p w:rsidR="00EF0A1E" w:rsidRPr="0089438C" w:rsidRDefault="00EF0A1E" w:rsidP="000A7EB2">
            <w:pPr>
              <w:keepNext/>
              <w:widowControl/>
              <w:jc w:val="center"/>
              <w:rPr>
                <w:rFonts w:ascii="Arial Narrow" w:hAnsi="Arial Narrow"/>
                <w:sz w:val="20"/>
              </w:rPr>
            </w:pPr>
          </w:p>
        </w:tc>
      </w:tr>
      <w:tr w:rsidR="00EF0A1E" w:rsidTr="00CC23F9">
        <w:tc>
          <w:tcPr>
            <w:tcW w:w="2439" w:type="dxa"/>
          </w:tcPr>
          <w:p w:rsidR="00EF0A1E" w:rsidRDefault="00EF0A1E" w:rsidP="000A7EB2">
            <w:pPr>
              <w:keepNext/>
              <w:widowControl/>
              <w:rPr>
                <w:rFonts w:ascii="Arial Narrow" w:hAnsi="Arial Narrow"/>
                <w:sz w:val="20"/>
              </w:rPr>
            </w:pPr>
            <w:r w:rsidRPr="00C316A1">
              <w:rPr>
                <w:rFonts w:ascii="Arial Narrow" w:hAnsi="Arial Narrow"/>
                <w:sz w:val="20"/>
              </w:rPr>
              <w:t>Died, n/N (%)</w:t>
            </w:r>
          </w:p>
        </w:tc>
        <w:tc>
          <w:tcPr>
            <w:tcW w:w="2126" w:type="dxa"/>
          </w:tcPr>
          <w:p w:rsidR="00EF0A1E" w:rsidRDefault="002A4E9A" w:rsidP="000A7EB2">
            <w:pPr>
              <w:keepNext/>
              <w:widowControl/>
              <w:jc w:val="center"/>
              <w:rPr>
                <w:rFonts w:ascii="Arial Narrow" w:hAnsi="Arial Narrow"/>
                <w:sz w:val="20"/>
              </w:rPr>
            </w:pPr>
            <w:r>
              <w:rPr>
                <w:rFonts w:ascii="Arial Narrow" w:hAnsi="Arial Narrow"/>
                <w:noProof/>
                <w:color w:val="000000"/>
                <w:sz w:val="20"/>
                <w:highlight w:val="black"/>
              </w:rPr>
              <w:t>''''''</w:t>
            </w:r>
            <w:r w:rsidR="00241097">
              <w:rPr>
                <w:rFonts w:ascii="Arial Narrow" w:hAnsi="Arial Narrow"/>
                <w:sz w:val="20"/>
              </w:rPr>
              <w:t>/</w:t>
            </w:r>
            <w:r>
              <w:rPr>
                <w:rFonts w:ascii="Arial Narrow" w:hAnsi="Arial Narrow"/>
                <w:noProof/>
                <w:color w:val="000000"/>
                <w:sz w:val="20"/>
                <w:highlight w:val="black"/>
              </w:rPr>
              <w:t>''''''''''</w:t>
            </w:r>
            <w:r w:rsidR="00EF0A1E">
              <w:rPr>
                <w:rFonts w:ascii="Arial Narrow" w:hAnsi="Arial Narrow"/>
                <w:sz w:val="20"/>
              </w:rPr>
              <w:t xml:space="preserve"> (</w:t>
            </w:r>
            <w:r>
              <w:rPr>
                <w:rFonts w:ascii="Arial Narrow" w:hAnsi="Arial Narrow"/>
                <w:noProof/>
                <w:color w:val="000000"/>
                <w:sz w:val="20"/>
                <w:highlight w:val="black"/>
              </w:rPr>
              <w:t>''''''''''''</w:t>
            </w:r>
            <w:r w:rsidR="00EF0A1E">
              <w:rPr>
                <w:rFonts w:ascii="Arial Narrow" w:hAnsi="Arial Narrow"/>
                <w:sz w:val="20"/>
              </w:rPr>
              <w:t>)</w:t>
            </w:r>
          </w:p>
        </w:tc>
        <w:tc>
          <w:tcPr>
            <w:tcW w:w="1984" w:type="dxa"/>
          </w:tcPr>
          <w:p w:rsidR="00EF0A1E" w:rsidRDefault="002A4E9A" w:rsidP="000A7EB2">
            <w:pPr>
              <w:keepNext/>
              <w:widowControl/>
              <w:jc w:val="center"/>
              <w:rPr>
                <w:rFonts w:ascii="Arial Narrow" w:hAnsi="Arial Narrow"/>
                <w:sz w:val="20"/>
              </w:rPr>
            </w:pPr>
            <w:r>
              <w:rPr>
                <w:rFonts w:ascii="Arial Narrow" w:hAnsi="Arial Narrow"/>
                <w:noProof/>
                <w:color w:val="000000"/>
                <w:sz w:val="20"/>
                <w:highlight w:val="black"/>
              </w:rPr>
              <w:t>''''''</w:t>
            </w:r>
            <w:r w:rsidR="00241097">
              <w:rPr>
                <w:rFonts w:ascii="Arial Narrow" w:hAnsi="Arial Narrow"/>
                <w:sz w:val="20"/>
              </w:rPr>
              <w:t>/</w:t>
            </w:r>
            <w:r>
              <w:rPr>
                <w:rFonts w:ascii="Arial Narrow" w:hAnsi="Arial Narrow"/>
                <w:noProof/>
                <w:color w:val="000000"/>
                <w:sz w:val="20"/>
                <w:highlight w:val="black"/>
              </w:rPr>
              <w:t>''''''''''</w:t>
            </w:r>
            <w:r w:rsidR="00EF0A1E">
              <w:rPr>
                <w:rFonts w:ascii="Arial Narrow" w:hAnsi="Arial Narrow"/>
                <w:sz w:val="20"/>
              </w:rPr>
              <w:t xml:space="preserve"> (</w:t>
            </w:r>
            <w:r>
              <w:rPr>
                <w:rFonts w:ascii="Arial Narrow" w:hAnsi="Arial Narrow"/>
                <w:noProof/>
                <w:color w:val="000000"/>
                <w:sz w:val="20"/>
                <w:highlight w:val="black"/>
              </w:rPr>
              <w:t>''''''''''</w:t>
            </w:r>
            <w:r w:rsidR="00EF0A1E">
              <w:rPr>
                <w:rFonts w:ascii="Arial Narrow" w:hAnsi="Arial Narrow"/>
                <w:sz w:val="20"/>
              </w:rPr>
              <w:t>)</w:t>
            </w:r>
          </w:p>
        </w:tc>
        <w:tc>
          <w:tcPr>
            <w:tcW w:w="1814" w:type="dxa"/>
            <w:vMerge/>
          </w:tcPr>
          <w:p w:rsidR="00EF0A1E" w:rsidRPr="0089438C" w:rsidRDefault="00EF0A1E" w:rsidP="000A7EB2">
            <w:pPr>
              <w:keepNext/>
              <w:widowControl/>
              <w:jc w:val="center"/>
              <w:rPr>
                <w:rFonts w:ascii="Arial Narrow" w:hAnsi="Arial Narrow"/>
                <w:sz w:val="20"/>
              </w:rPr>
            </w:pPr>
          </w:p>
        </w:tc>
      </w:tr>
      <w:tr w:rsidR="00EF0A1E" w:rsidTr="00CC23F9">
        <w:tc>
          <w:tcPr>
            <w:tcW w:w="2439" w:type="dxa"/>
          </w:tcPr>
          <w:p w:rsidR="00EF0A1E" w:rsidRDefault="00EF0A1E" w:rsidP="000A7EB2">
            <w:pPr>
              <w:keepNext/>
              <w:widowControl/>
              <w:rPr>
                <w:rFonts w:ascii="Arial Narrow" w:hAnsi="Arial Narrow"/>
                <w:sz w:val="20"/>
              </w:rPr>
            </w:pPr>
            <w:r>
              <w:rPr>
                <w:rFonts w:ascii="Arial Narrow" w:hAnsi="Arial Narrow"/>
                <w:sz w:val="20"/>
              </w:rPr>
              <w:t>Median, weeks (95%CI)</w:t>
            </w:r>
          </w:p>
        </w:tc>
        <w:tc>
          <w:tcPr>
            <w:tcW w:w="2126" w:type="dxa"/>
          </w:tcPr>
          <w:p w:rsidR="00EF0A1E" w:rsidRDefault="002A4E9A" w:rsidP="000A7EB2">
            <w:pPr>
              <w:keepNext/>
              <w:widowControl/>
              <w:jc w:val="center"/>
              <w:rPr>
                <w:rFonts w:ascii="Arial Narrow" w:hAnsi="Arial Narrow"/>
                <w:sz w:val="20"/>
              </w:rPr>
            </w:pPr>
            <w:r>
              <w:rPr>
                <w:rFonts w:ascii="Arial Narrow" w:hAnsi="Arial Narrow"/>
                <w:noProof/>
                <w:color w:val="000000"/>
                <w:sz w:val="20"/>
                <w:highlight w:val="black"/>
              </w:rPr>
              <w:t>''''''''''</w:t>
            </w:r>
            <w:r w:rsidR="00EF0A1E">
              <w:rPr>
                <w:rFonts w:ascii="Arial Narrow" w:hAnsi="Arial Narrow"/>
                <w:sz w:val="20"/>
              </w:rPr>
              <w:t xml:space="preserve"> (</w:t>
            </w:r>
            <w:r>
              <w:rPr>
                <w:rFonts w:ascii="Arial Narrow" w:hAnsi="Arial Narrow"/>
                <w:noProof/>
                <w:color w:val="000000"/>
                <w:sz w:val="20"/>
                <w:highlight w:val="black"/>
              </w:rPr>
              <w:t>''''''''''</w:t>
            </w:r>
            <w:r w:rsidR="00EF0A1E">
              <w:rPr>
                <w:rFonts w:ascii="Arial Narrow" w:hAnsi="Arial Narrow"/>
                <w:sz w:val="20"/>
              </w:rPr>
              <w:t xml:space="preserve">, </w:t>
            </w:r>
            <w:r>
              <w:rPr>
                <w:rFonts w:ascii="Arial Narrow" w:hAnsi="Arial Narrow"/>
                <w:noProof/>
                <w:color w:val="000000"/>
                <w:sz w:val="20"/>
                <w:highlight w:val="black"/>
              </w:rPr>
              <w:t>'''''''''''</w:t>
            </w:r>
            <w:r w:rsidR="00EF0A1E">
              <w:rPr>
                <w:rFonts w:ascii="Arial Narrow" w:hAnsi="Arial Narrow"/>
                <w:sz w:val="20"/>
              </w:rPr>
              <w:t>)</w:t>
            </w:r>
          </w:p>
        </w:tc>
        <w:tc>
          <w:tcPr>
            <w:tcW w:w="1984" w:type="dxa"/>
          </w:tcPr>
          <w:p w:rsidR="00EF0A1E" w:rsidRDefault="002A4E9A" w:rsidP="000A7EB2">
            <w:pPr>
              <w:keepNext/>
              <w:widowControl/>
              <w:jc w:val="center"/>
              <w:rPr>
                <w:rFonts w:ascii="Arial Narrow" w:hAnsi="Arial Narrow"/>
                <w:sz w:val="20"/>
              </w:rPr>
            </w:pPr>
            <w:r>
              <w:rPr>
                <w:rFonts w:ascii="Arial Narrow" w:hAnsi="Arial Narrow"/>
                <w:noProof/>
                <w:color w:val="000000"/>
                <w:sz w:val="20"/>
                <w:highlight w:val="black"/>
              </w:rPr>
              <w:t xml:space="preserve">''''''' </w:t>
            </w:r>
            <w:r w:rsidR="00EF0A1E">
              <w:rPr>
                <w:rFonts w:ascii="Arial Narrow" w:hAnsi="Arial Narrow"/>
                <w:sz w:val="20"/>
              </w:rPr>
              <w:t>(</w:t>
            </w:r>
            <w:r>
              <w:rPr>
                <w:rFonts w:ascii="Arial Narrow" w:hAnsi="Arial Narrow"/>
                <w:noProof/>
                <w:color w:val="000000"/>
                <w:sz w:val="20"/>
                <w:highlight w:val="black"/>
              </w:rPr>
              <w:t>''''''''</w:t>
            </w:r>
            <w:r w:rsidR="00EF0A1E">
              <w:rPr>
                <w:rFonts w:ascii="Arial Narrow" w:hAnsi="Arial Narrow"/>
                <w:sz w:val="20"/>
              </w:rPr>
              <w:t xml:space="preserve">, </w:t>
            </w:r>
            <w:r>
              <w:rPr>
                <w:rFonts w:ascii="Arial Narrow" w:hAnsi="Arial Narrow"/>
                <w:noProof/>
                <w:color w:val="000000"/>
                <w:sz w:val="20"/>
                <w:highlight w:val="black"/>
              </w:rPr>
              <w:t>''''''''</w:t>
            </w:r>
            <w:r w:rsidR="00EF0A1E">
              <w:rPr>
                <w:rFonts w:ascii="Arial Narrow" w:hAnsi="Arial Narrow"/>
                <w:sz w:val="20"/>
              </w:rPr>
              <w:t>)</w:t>
            </w:r>
          </w:p>
        </w:tc>
        <w:tc>
          <w:tcPr>
            <w:tcW w:w="1814" w:type="dxa"/>
            <w:vMerge/>
          </w:tcPr>
          <w:p w:rsidR="00EF0A1E" w:rsidRPr="0089438C" w:rsidRDefault="00EF0A1E" w:rsidP="000A7EB2">
            <w:pPr>
              <w:keepNext/>
              <w:widowControl/>
              <w:jc w:val="center"/>
              <w:rPr>
                <w:rFonts w:ascii="Arial Narrow" w:hAnsi="Arial Narrow"/>
                <w:sz w:val="20"/>
              </w:rPr>
            </w:pPr>
          </w:p>
        </w:tc>
      </w:tr>
    </w:tbl>
    <w:p w:rsidR="00EF0A1E" w:rsidRDefault="00EF0A1E" w:rsidP="000A7EB2">
      <w:pPr>
        <w:pStyle w:val="TableFooter"/>
        <w:keepNext/>
        <w:widowControl/>
        <w:ind w:firstLine="720"/>
      </w:pPr>
      <w:r>
        <w:t>Source: Table 14.2.2.1, Appendix 13 of the submission</w:t>
      </w:r>
    </w:p>
    <w:p w:rsidR="00EF0A1E" w:rsidRPr="00800E69" w:rsidRDefault="00EF0A1E" w:rsidP="000A7EB2">
      <w:pPr>
        <w:pStyle w:val="TableFooter"/>
        <w:widowControl/>
        <w:ind w:firstLine="720"/>
      </w:pPr>
      <w:r>
        <w:t>Abbreviations: CI, confidence interval; HR, hazard ratio</w:t>
      </w:r>
    </w:p>
    <w:p w:rsidR="00EF0A1E" w:rsidRDefault="00EF0A1E" w:rsidP="000A7EB2">
      <w:pPr>
        <w:pStyle w:val="ListParagraph"/>
        <w:widowControl/>
        <w:rPr>
          <w:szCs w:val="22"/>
        </w:rPr>
      </w:pPr>
    </w:p>
    <w:p w:rsidR="00433B90" w:rsidRPr="00433B90" w:rsidRDefault="00433B90" w:rsidP="000A7EB2">
      <w:pPr>
        <w:pStyle w:val="ListParagraph"/>
        <w:widowControl/>
        <w:numPr>
          <w:ilvl w:val="1"/>
          <w:numId w:val="1"/>
        </w:numPr>
        <w:rPr>
          <w:szCs w:val="22"/>
        </w:rPr>
      </w:pPr>
      <w:r>
        <w:rPr>
          <w:szCs w:val="22"/>
        </w:rPr>
        <w:t xml:space="preserve">Treatment with </w:t>
      </w:r>
      <w:r w:rsidR="00C82D5A">
        <w:rPr>
          <w:szCs w:val="22"/>
        </w:rPr>
        <w:t>irinotecan (nanoliposomal)</w:t>
      </w:r>
      <w:r>
        <w:rPr>
          <w:szCs w:val="22"/>
        </w:rPr>
        <w:t xml:space="preserve"> was associated with a statistically significant </w:t>
      </w:r>
      <w:r w:rsidR="001C6230">
        <w:rPr>
          <w:szCs w:val="22"/>
        </w:rPr>
        <w:t>increase</w:t>
      </w:r>
      <w:r>
        <w:rPr>
          <w:szCs w:val="22"/>
        </w:rPr>
        <w:t xml:space="preserve"> in median progression-free survival of </w:t>
      </w:r>
      <w:r w:rsidR="002A4E9A">
        <w:rPr>
          <w:noProof/>
          <w:color w:val="000000"/>
          <w:szCs w:val="22"/>
          <w:highlight w:val="black"/>
        </w:rPr>
        <w:t>'''''''</w:t>
      </w:r>
      <w:r>
        <w:rPr>
          <w:szCs w:val="22"/>
        </w:rPr>
        <w:t xml:space="preserve"> weeks compared with 5-FU/folinic acid (HR </w:t>
      </w:r>
      <w:r w:rsidR="002A4E9A">
        <w:rPr>
          <w:noProof/>
          <w:color w:val="000000"/>
          <w:szCs w:val="22"/>
          <w:highlight w:val="black"/>
        </w:rPr>
        <w:t>''''''''''</w:t>
      </w:r>
      <w:r>
        <w:rPr>
          <w:szCs w:val="22"/>
        </w:rPr>
        <w:t>, 95% CI</w:t>
      </w:r>
      <w:r w:rsidR="004D02EA">
        <w:rPr>
          <w:szCs w:val="22"/>
        </w:rPr>
        <w:t>:</w:t>
      </w:r>
      <w:r>
        <w:rPr>
          <w:szCs w:val="22"/>
        </w:rPr>
        <w:t xml:space="preserve"> </w:t>
      </w:r>
      <w:r w:rsidR="002A4E9A">
        <w:rPr>
          <w:noProof/>
          <w:color w:val="000000"/>
          <w:szCs w:val="22"/>
          <w:highlight w:val="black"/>
        </w:rPr>
        <w:t>''''''''''</w:t>
      </w:r>
      <w:r>
        <w:rPr>
          <w:szCs w:val="22"/>
        </w:rPr>
        <w:t xml:space="preserve">, </w:t>
      </w:r>
      <w:r w:rsidR="002A4E9A">
        <w:rPr>
          <w:noProof/>
          <w:color w:val="000000"/>
          <w:szCs w:val="22"/>
          <w:highlight w:val="black"/>
        </w:rPr>
        <w:t>''''''''''''</w:t>
      </w:r>
      <w:r>
        <w:rPr>
          <w:szCs w:val="22"/>
        </w:rPr>
        <w:t>).</w:t>
      </w:r>
    </w:p>
    <w:p w:rsidR="00433B90" w:rsidRPr="00433B90" w:rsidRDefault="00433B90" w:rsidP="000A7EB2">
      <w:pPr>
        <w:pStyle w:val="ListParagraph"/>
        <w:widowControl/>
        <w:rPr>
          <w:szCs w:val="22"/>
        </w:rPr>
      </w:pPr>
    </w:p>
    <w:p w:rsidR="00EF0A1E" w:rsidRPr="00526248" w:rsidRDefault="00EF0A1E" w:rsidP="000A7EB2">
      <w:pPr>
        <w:pStyle w:val="ListParagraph"/>
        <w:widowControl/>
        <w:numPr>
          <w:ilvl w:val="1"/>
          <w:numId w:val="1"/>
        </w:numPr>
        <w:rPr>
          <w:szCs w:val="22"/>
        </w:rPr>
      </w:pPr>
      <w:r w:rsidRPr="00526248">
        <w:t xml:space="preserve">Results from the post-hoc analysis were consistent with the primary analysis, favouring </w:t>
      </w:r>
      <w:r w:rsidR="00C82D5A" w:rsidRPr="00526248">
        <w:t>irinotecan (nanoliposomal)</w:t>
      </w:r>
      <w:r w:rsidRPr="00526248">
        <w:t xml:space="preserve"> compared with 5-FU/folinic acid (primary analysis: HR </w:t>
      </w:r>
      <w:r w:rsidR="002A4E9A">
        <w:rPr>
          <w:noProof/>
          <w:color w:val="000000"/>
          <w:highlight w:val="black"/>
        </w:rPr>
        <w:t>'''''''''''</w:t>
      </w:r>
      <w:r w:rsidRPr="00526248">
        <w:t xml:space="preserve"> 95% CI </w:t>
      </w:r>
      <w:r w:rsidR="002A4E9A">
        <w:rPr>
          <w:noProof/>
          <w:color w:val="000000"/>
          <w:highlight w:val="black"/>
        </w:rPr>
        <w:t>'''''''''''</w:t>
      </w:r>
      <w:r w:rsidRPr="00526248">
        <w:t xml:space="preserve">, </w:t>
      </w:r>
      <w:r w:rsidR="002A4E9A">
        <w:rPr>
          <w:noProof/>
          <w:color w:val="000000"/>
          <w:highlight w:val="black"/>
        </w:rPr>
        <w:t>'''''''''''</w:t>
      </w:r>
      <w:r w:rsidRPr="00526248">
        <w:t>)</w:t>
      </w:r>
      <w:r w:rsidR="00433B90" w:rsidRPr="00526248">
        <w:t xml:space="preserve"> with the majority of events being progression but the difference in treatment effect significantly driven by mortality.</w:t>
      </w:r>
    </w:p>
    <w:p w:rsidR="00562A6F" w:rsidRPr="00D642B3" w:rsidRDefault="00562A6F" w:rsidP="00562A6F">
      <w:pPr>
        <w:pStyle w:val="ListParagraph"/>
        <w:widowControl/>
        <w:rPr>
          <w:szCs w:val="22"/>
        </w:rPr>
      </w:pPr>
    </w:p>
    <w:p w:rsidR="00562A6F" w:rsidRPr="00225989" w:rsidRDefault="00562A6F" w:rsidP="00562A6F">
      <w:pPr>
        <w:pStyle w:val="ListParagraph"/>
        <w:widowControl/>
        <w:numPr>
          <w:ilvl w:val="1"/>
          <w:numId w:val="1"/>
        </w:numPr>
        <w:rPr>
          <w:szCs w:val="22"/>
        </w:rPr>
      </w:pPr>
      <w:r w:rsidRPr="00225989">
        <w:rPr>
          <w:szCs w:val="22"/>
        </w:rPr>
        <w:lastRenderedPageBreak/>
        <w:t xml:space="preserve">The ESC </w:t>
      </w:r>
      <w:r>
        <w:rPr>
          <w:szCs w:val="22"/>
        </w:rPr>
        <w:t>considered</w:t>
      </w:r>
      <w:r w:rsidRPr="00225989">
        <w:rPr>
          <w:szCs w:val="22"/>
        </w:rPr>
        <w:t xml:space="preserve"> that the comparison of i</w:t>
      </w:r>
      <w:r>
        <w:rPr>
          <w:szCs w:val="22"/>
        </w:rPr>
        <w:t>rinotecan (nanoliposomal) and 5</w:t>
      </w:r>
      <w:r>
        <w:rPr>
          <w:szCs w:val="22"/>
        </w:rPr>
        <w:noBreakHyphen/>
      </w:r>
      <w:r w:rsidRPr="00225989">
        <w:rPr>
          <w:szCs w:val="22"/>
        </w:rPr>
        <w:t>FU/folinic acid was uninformative if 5-FU/folinic acid is not a relevant comparator.</w:t>
      </w:r>
    </w:p>
    <w:p w:rsidR="00433B90" w:rsidRPr="00EF0A1E" w:rsidRDefault="00433B90" w:rsidP="000A7EB2">
      <w:pPr>
        <w:pStyle w:val="ListParagraph"/>
        <w:widowControl/>
        <w:rPr>
          <w:szCs w:val="22"/>
        </w:rPr>
      </w:pPr>
    </w:p>
    <w:p w:rsidR="002C7BA2" w:rsidRDefault="00A169D5" w:rsidP="000A7EB2">
      <w:pPr>
        <w:pStyle w:val="ListParagraph"/>
        <w:widowControl/>
        <w:numPr>
          <w:ilvl w:val="1"/>
          <w:numId w:val="1"/>
        </w:numPr>
        <w:rPr>
          <w:szCs w:val="22"/>
        </w:rPr>
      </w:pPr>
      <w:r w:rsidRPr="00A169D5">
        <w:rPr>
          <w:szCs w:val="22"/>
          <w:u w:val="single"/>
        </w:rPr>
        <w:t>Indirect comparison with oxaliplatin-containing regimens</w:t>
      </w:r>
      <w:r>
        <w:rPr>
          <w:szCs w:val="22"/>
        </w:rPr>
        <w:t xml:space="preserve">: </w:t>
      </w:r>
      <w:r w:rsidR="00433B90">
        <w:rPr>
          <w:szCs w:val="22"/>
        </w:rPr>
        <w:t>A naïve indirect comparison of overall survival and progression-free survival in the NAPOLI-1, PANCREOX and CONKO-003 trials is summarised in Table 5.</w:t>
      </w:r>
    </w:p>
    <w:p w:rsidR="00433B90" w:rsidRDefault="00433B90" w:rsidP="000A7EB2">
      <w:pPr>
        <w:pStyle w:val="ListParagraph"/>
        <w:widowControl/>
        <w:rPr>
          <w:szCs w:val="22"/>
        </w:rPr>
      </w:pPr>
    </w:p>
    <w:p w:rsidR="00433B90" w:rsidRPr="0013572F" w:rsidRDefault="00433B90" w:rsidP="000A7EB2">
      <w:pPr>
        <w:widowControl/>
        <w:ind w:left="720"/>
        <w:rPr>
          <w:rStyle w:val="CommentReference"/>
        </w:rPr>
      </w:pPr>
      <w:r>
        <w:rPr>
          <w:rStyle w:val="CommentReference"/>
        </w:rPr>
        <w:t>Table 5: Overall survival and progression-free survival (NAPOLI-1, PANCREOX and CONKO-003 trials)</w:t>
      </w:r>
    </w:p>
    <w:tbl>
      <w:tblPr>
        <w:tblStyle w:val="TableGrid"/>
        <w:tblW w:w="8363" w:type="dxa"/>
        <w:tblInd w:w="817" w:type="dxa"/>
        <w:tblLook w:val="04A0" w:firstRow="1" w:lastRow="0" w:firstColumn="1" w:lastColumn="0" w:noHBand="0" w:noVBand="1"/>
        <w:tblCaption w:val="Table 5: Overall survival and progression-free survival (NAPOLI-1, PANCREOX and CONKO-003 trials)"/>
        <w:tblDescription w:val="Table 5: Overall survival and progression-free survival (NAPOLI-1, PANCREOX and CONKO-003 trials)"/>
      </w:tblPr>
      <w:tblGrid>
        <w:gridCol w:w="1843"/>
        <w:gridCol w:w="1730"/>
        <w:gridCol w:w="1559"/>
        <w:gridCol w:w="1672"/>
        <w:gridCol w:w="1559"/>
      </w:tblGrid>
      <w:tr w:rsidR="00433B90" w:rsidRPr="00C06097" w:rsidTr="000D5960">
        <w:trPr>
          <w:tblHeader/>
        </w:trPr>
        <w:tc>
          <w:tcPr>
            <w:tcW w:w="1843" w:type="dxa"/>
            <w:vAlign w:val="center"/>
          </w:tcPr>
          <w:p w:rsidR="00433B90" w:rsidRPr="00C06097" w:rsidRDefault="00433B90" w:rsidP="000A7EB2">
            <w:pPr>
              <w:widowControl/>
              <w:rPr>
                <w:rFonts w:ascii="Arial Narrow" w:hAnsi="Arial Narrow"/>
                <w:b/>
                <w:sz w:val="20"/>
              </w:rPr>
            </w:pPr>
            <w:r w:rsidRPr="00C06097">
              <w:rPr>
                <w:rFonts w:ascii="Arial Narrow" w:hAnsi="Arial Narrow"/>
                <w:b/>
                <w:sz w:val="20"/>
              </w:rPr>
              <w:t>Trial</w:t>
            </w:r>
          </w:p>
        </w:tc>
        <w:tc>
          <w:tcPr>
            <w:tcW w:w="1730" w:type="dxa"/>
            <w:vAlign w:val="center"/>
          </w:tcPr>
          <w:p w:rsidR="00433B90" w:rsidRPr="00C06097" w:rsidRDefault="00433B90" w:rsidP="000A7EB2">
            <w:pPr>
              <w:widowControl/>
              <w:rPr>
                <w:rFonts w:ascii="Arial Narrow" w:hAnsi="Arial Narrow"/>
                <w:b/>
                <w:sz w:val="20"/>
              </w:rPr>
            </w:pPr>
            <w:r w:rsidRPr="00C06097">
              <w:rPr>
                <w:rFonts w:ascii="Arial Narrow" w:hAnsi="Arial Narrow"/>
                <w:b/>
                <w:sz w:val="20"/>
              </w:rPr>
              <w:t>Treatment</w:t>
            </w:r>
          </w:p>
        </w:tc>
        <w:tc>
          <w:tcPr>
            <w:tcW w:w="1559" w:type="dxa"/>
            <w:vAlign w:val="center"/>
          </w:tcPr>
          <w:p w:rsidR="00433B90" w:rsidRPr="00CB1D55" w:rsidRDefault="00433B90" w:rsidP="000A7EB2">
            <w:pPr>
              <w:widowControl/>
              <w:rPr>
                <w:rFonts w:ascii="Arial Narrow" w:hAnsi="Arial Narrow"/>
                <w:b/>
                <w:sz w:val="20"/>
              </w:rPr>
            </w:pPr>
            <w:r w:rsidRPr="00C06097">
              <w:rPr>
                <w:rFonts w:ascii="Arial Narrow" w:hAnsi="Arial Narrow"/>
                <w:b/>
                <w:sz w:val="20"/>
              </w:rPr>
              <w:t>Comparator</w:t>
            </w:r>
            <w:r>
              <w:rPr>
                <w:rFonts w:ascii="Arial Narrow" w:hAnsi="Arial Narrow"/>
                <w:b/>
                <w:sz w:val="20"/>
                <w:vertAlign w:val="superscript"/>
              </w:rPr>
              <w:t>a</w:t>
            </w:r>
          </w:p>
        </w:tc>
        <w:tc>
          <w:tcPr>
            <w:tcW w:w="1672" w:type="dxa"/>
            <w:vAlign w:val="center"/>
          </w:tcPr>
          <w:p w:rsidR="00433B90" w:rsidRDefault="00433B90" w:rsidP="000A7EB2">
            <w:pPr>
              <w:widowControl/>
              <w:jc w:val="center"/>
              <w:rPr>
                <w:rFonts w:ascii="Arial Narrow" w:hAnsi="Arial Narrow"/>
                <w:b/>
                <w:sz w:val="20"/>
              </w:rPr>
            </w:pPr>
            <w:r>
              <w:rPr>
                <w:rFonts w:ascii="Arial Narrow" w:hAnsi="Arial Narrow"/>
                <w:b/>
                <w:sz w:val="20"/>
              </w:rPr>
              <w:t xml:space="preserve">Overall survival </w:t>
            </w:r>
          </w:p>
          <w:p w:rsidR="00433B90" w:rsidRPr="00C06097" w:rsidRDefault="00433B90" w:rsidP="000A7EB2">
            <w:pPr>
              <w:widowControl/>
              <w:jc w:val="center"/>
              <w:rPr>
                <w:rFonts w:ascii="Arial Narrow" w:hAnsi="Arial Narrow"/>
                <w:b/>
                <w:sz w:val="20"/>
              </w:rPr>
            </w:pPr>
            <w:r w:rsidRPr="00C06097">
              <w:rPr>
                <w:rFonts w:ascii="Arial Narrow" w:hAnsi="Arial Narrow"/>
                <w:b/>
                <w:sz w:val="20"/>
              </w:rPr>
              <w:t xml:space="preserve">HR </w:t>
            </w:r>
            <w:r>
              <w:rPr>
                <w:rFonts w:ascii="Arial Narrow" w:hAnsi="Arial Narrow"/>
                <w:b/>
                <w:sz w:val="20"/>
              </w:rPr>
              <w:t xml:space="preserve">(95%CI) </w:t>
            </w:r>
          </w:p>
        </w:tc>
        <w:tc>
          <w:tcPr>
            <w:tcW w:w="1559" w:type="dxa"/>
            <w:vAlign w:val="center"/>
          </w:tcPr>
          <w:p w:rsidR="00433B90" w:rsidRDefault="00433B90" w:rsidP="000A7EB2">
            <w:pPr>
              <w:widowControl/>
              <w:jc w:val="center"/>
              <w:rPr>
                <w:rFonts w:ascii="Arial Narrow" w:hAnsi="Arial Narrow"/>
                <w:b/>
                <w:sz w:val="20"/>
              </w:rPr>
            </w:pPr>
            <w:r>
              <w:rPr>
                <w:rFonts w:ascii="Arial Narrow" w:hAnsi="Arial Narrow"/>
                <w:b/>
                <w:sz w:val="20"/>
              </w:rPr>
              <w:t>Progression-free survival</w:t>
            </w:r>
          </w:p>
          <w:p w:rsidR="00433B90" w:rsidRPr="00C06097" w:rsidRDefault="00433B90" w:rsidP="000A7EB2">
            <w:pPr>
              <w:widowControl/>
              <w:jc w:val="center"/>
              <w:rPr>
                <w:rFonts w:ascii="Arial Narrow" w:hAnsi="Arial Narrow"/>
                <w:b/>
                <w:sz w:val="20"/>
              </w:rPr>
            </w:pPr>
            <w:r>
              <w:rPr>
                <w:rFonts w:ascii="Arial Narrow" w:hAnsi="Arial Narrow"/>
                <w:b/>
                <w:sz w:val="20"/>
              </w:rPr>
              <w:t xml:space="preserve">HR (95%CI) </w:t>
            </w:r>
          </w:p>
        </w:tc>
      </w:tr>
      <w:tr w:rsidR="00433B90" w:rsidRPr="00C06097" w:rsidTr="00CC23F9">
        <w:tc>
          <w:tcPr>
            <w:tcW w:w="8363" w:type="dxa"/>
            <w:gridSpan w:val="5"/>
          </w:tcPr>
          <w:p w:rsidR="00433B90" w:rsidRPr="005B565F" w:rsidRDefault="00433B90" w:rsidP="000A7EB2">
            <w:pPr>
              <w:widowControl/>
              <w:jc w:val="left"/>
              <w:rPr>
                <w:rFonts w:ascii="Arial Narrow" w:hAnsi="Arial Narrow"/>
                <w:b/>
                <w:sz w:val="20"/>
              </w:rPr>
            </w:pPr>
            <w:r>
              <w:rPr>
                <w:rFonts w:ascii="Arial Narrow" w:hAnsi="Arial Narrow"/>
                <w:b/>
                <w:sz w:val="20"/>
              </w:rPr>
              <w:t>Meta-analysis of PANCREOX and CONKO-003 trials</w:t>
            </w:r>
          </w:p>
        </w:tc>
      </w:tr>
      <w:tr w:rsidR="00433B90" w:rsidRPr="00C06097" w:rsidTr="00CC23F9">
        <w:tc>
          <w:tcPr>
            <w:tcW w:w="1843" w:type="dxa"/>
            <w:vAlign w:val="center"/>
          </w:tcPr>
          <w:p w:rsidR="00433B90" w:rsidRPr="00C06097" w:rsidRDefault="00433B90" w:rsidP="000A7EB2">
            <w:pPr>
              <w:widowControl/>
              <w:rPr>
                <w:rFonts w:ascii="Arial Narrow" w:hAnsi="Arial Narrow"/>
                <w:sz w:val="20"/>
              </w:rPr>
            </w:pPr>
            <w:r w:rsidRPr="00C06097">
              <w:rPr>
                <w:rFonts w:ascii="Arial Narrow" w:hAnsi="Arial Narrow"/>
                <w:sz w:val="20"/>
              </w:rPr>
              <w:t>PANCREOX</w:t>
            </w:r>
            <w:r>
              <w:rPr>
                <w:rFonts w:ascii="Arial Narrow" w:hAnsi="Arial Narrow"/>
                <w:sz w:val="20"/>
              </w:rPr>
              <w:t xml:space="preserve"> </w:t>
            </w:r>
            <w:r w:rsidRPr="00C06097">
              <w:rPr>
                <w:rFonts w:ascii="Arial Narrow" w:hAnsi="Arial Narrow"/>
                <w:sz w:val="20"/>
              </w:rPr>
              <w:t>(N=108)</w:t>
            </w:r>
          </w:p>
        </w:tc>
        <w:tc>
          <w:tcPr>
            <w:tcW w:w="1730" w:type="dxa"/>
            <w:vAlign w:val="center"/>
          </w:tcPr>
          <w:p w:rsidR="00433B90" w:rsidRPr="00C06097" w:rsidRDefault="00433B90" w:rsidP="000A7EB2">
            <w:pPr>
              <w:widowControl/>
              <w:rPr>
                <w:rFonts w:ascii="Arial Narrow" w:hAnsi="Arial Narrow"/>
                <w:sz w:val="20"/>
              </w:rPr>
            </w:pPr>
            <w:r w:rsidRPr="00C06097">
              <w:rPr>
                <w:rFonts w:ascii="Arial Narrow" w:hAnsi="Arial Narrow"/>
                <w:sz w:val="20"/>
              </w:rPr>
              <w:t>mFOLFOX6</w:t>
            </w:r>
            <w:r>
              <w:rPr>
                <w:rFonts w:ascii="Arial Narrow" w:hAnsi="Arial Narrow"/>
                <w:sz w:val="20"/>
              </w:rPr>
              <w:t xml:space="preserve"> </w:t>
            </w:r>
            <w:r w:rsidRPr="00C06097">
              <w:rPr>
                <w:rFonts w:ascii="Arial Narrow" w:hAnsi="Arial Narrow"/>
                <w:sz w:val="20"/>
              </w:rPr>
              <w:t>(N=54)</w:t>
            </w:r>
          </w:p>
        </w:tc>
        <w:tc>
          <w:tcPr>
            <w:tcW w:w="1559" w:type="dxa"/>
            <w:vAlign w:val="center"/>
          </w:tcPr>
          <w:p w:rsidR="00433B90" w:rsidRPr="00C06097" w:rsidRDefault="00433B90" w:rsidP="000A7EB2">
            <w:pPr>
              <w:widowControl/>
              <w:jc w:val="left"/>
              <w:rPr>
                <w:rFonts w:ascii="Arial Narrow" w:hAnsi="Arial Narrow"/>
                <w:sz w:val="20"/>
                <w:vertAlign w:val="superscript"/>
              </w:rPr>
            </w:pPr>
            <w:r w:rsidRPr="00C06097">
              <w:rPr>
                <w:rFonts w:ascii="Arial Narrow" w:hAnsi="Arial Narrow"/>
                <w:sz w:val="20"/>
              </w:rPr>
              <w:t>5-FU/folinic acid</w:t>
            </w:r>
            <w:r>
              <w:rPr>
                <w:rFonts w:ascii="Arial Narrow" w:hAnsi="Arial Narrow"/>
                <w:sz w:val="20"/>
                <w:vertAlign w:val="superscript"/>
              </w:rPr>
              <w:t xml:space="preserve"> </w:t>
            </w:r>
            <w:r w:rsidRPr="00C06097">
              <w:rPr>
                <w:rFonts w:ascii="Arial Narrow" w:hAnsi="Arial Narrow"/>
                <w:sz w:val="20"/>
              </w:rPr>
              <w:t>(N=54)</w:t>
            </w:r>
          </w:p>
        </w:tc>
        <w:tc>
          <w:tcPr>
            <w:tcW w:w="1672" w:type="dxa"/>
            <w:vAlign w:val="center"/>
          </w:tcPr>
          <w:p w:rsidR="00433B90" w:rsidRPr="00C06097" w:rsidRDefault="00433B90" w:rsidP="000A7EB2">
            <w:pPr>
              <w:widowControl/>
              <w:jc w:val="center"/>
              <w:rPr>
                <w:rFonts w:ascii="Arial Narrow" w:hAnsi="Arial Narrow"/>
                <w:sz w:val="20"/>
              </w:rPr>
            </w:pPr>
            <w:r w:rsidRPr="00C06097">
              <w:rPr>
                <w:rFonts w:ascii="Arial Narrow" w:hAnsi="Arial Narrow"/>
                <w:sz w:val="20"/>
              </w:rPr>
              <w:t>1.78 (1.08, 2.93)</w:t>
            </w:r>
          </w:p>
        </w:tc>
        <w:tc>
          <w:tcPr>
            <w:tcW w:w="1559" w:type="dxa"/>
            <w:vAlign w:val="center"/>
          </w:tcPr>
          <w:p w:rsidR="00433B90" w:rsidRPr="00C06097" w:rsidRDefault="00433B90" w:rsidP="000A7EB2">
            <w:pPr>
              <w:widowControl/>
              <w:jc w:val="center"/>
              <w:rPr>
                <w:rFonts w:ascii="Arial Narrow" w:hAnsi="Arial Narrow"/>
                <w:sz w:val="20"/>
              </w:rPr>
            </w:pPr>
            <w:r w:rsidRPr="00C06097">
              <w:rPr>
                <w:rFonts w:ascii="Arial Narrow" w:hAnsi="Arial Narrow"/>
                <w:sz w:val="20"/>
              </w:rPr>
              <w:t>1 (0.66, 1.53)</w:t>
            </w:r>
          </w:p>
        </w:tc>
      </w:tr>
      <w:tr w:rsidR="00433B90" w:rsidRPr="00C06097" w:rsidTr="00CC23F9">
        <w:tc>
          <w:tcPr>
            <w:tcW w:w="1843" w:type="dxa"/>
            <w:vAlign w:val="center"/>
          </w:tcPr>
          <w:p w:rsidR="00433B90" w:rsidRPr="00C06097" w:rsidRDefault="00433B90" w:rsidP="000A7EB2">
            <w:pPr>
              <w:widowControl/>
              <w:rPr>
                <w:rFonts w:ascii="Arial Narrow" w:hAnsi="Arial Narrow"/>
                <w:sz w:val="20"/>
              </w:rPr>
            </w:pPr>
            <w:r w:rsidRPr="00C06097">
              <w:rPr>
                <w:rFonts w:ascii="Arial Narrow" w:hAnsi="Arial Narrow"/>
                <w:sz w:val="20"/>
              </w:rPr>
              <w:t>CONKO-003</w:t>
            </w:r>
            <w:r>
              <w:rPr>
                <w:rFonts w:ascii="Arial Narrow" w:hAnsi="Arial Narrow"/>
                <w:sz w:val="20"/>
              </w:rPr>
              <w:t xml:space="preserve"> </w:t>
            </w:r>
            <w:r w:rsidRPr="00C06097">
              <w:rPr>
                <w:rFonts w:ascii="Arial Narrow" w:hAnsi="Arial Narrow"/>
                <w:sz w:val="20"/>
              </w:rPr>
              <w:t>(N=160)</w:t>
            </w:r>
          </w:p>
        </w:tc>
        <w:tc>
          <w:tcPr>
            <w:tcW w:w="1730" w:type="dxa"/>
            <w:vAlign w:val="center"/>
          </w:tcPr>
          <w:p w:rsidR="00433B90" w:rsidRPr="00C06097" w:rsidRDefault="00433B90" w:rsidP="000A7EB2">
            <w:pPr>
              <w:widowControl/>
              <w:rPr>
                <w:rFonts w:ascii="Arial Narrow" w:hAnsi="Arial Narrow"/>
                <w:sz w:val="20"/>
              </w:rPr>
            </w:pPr>
            <w:r w:rsidRPr="00C06097">
              <w:rPr>
                <w:rFonts w:ascii="Arial Narrow" w:hAnsi="Arial Narrow"/>
                <w:sz w:val="20"/>
              </w:rPr>
              <w:t>OFF</w:t>
            </w:r>
            <w:r>
              <w:rPr>
                <w:rFonts w:ascii="Arial Narrow" w:hAnsi="Arial Narrow"/>
                <w:sz w:val="20"/>
              </w:rPr>
              <w:t xml:space="preserve"> </w:t>
            </w:r>
            <w:r w:rsidRPr="00C06097">
              <w:rPr>
                <w:rFonts w:ascii="Arial Narrow" w:hAnsi="Arial Narrow"/>
                <w:sz w:val="20"/>
              </w:rPr>
              <w:t>(N=76)</w:t>
            </w:r>
          </w:p>
        </w:tc>
        <w:tc>
          <w:tcPr>
            <w:tcW w:w="1559" w:type="dxa"/>
            <w:vAlign w:val="center"/>
          </w:tcPr>
          <w:p w:rsidR="00433B90" w:rsidRPr="00C06097" w:rsidRDefault="00433B90" w:rsidP="000A7EB2">
            <w:pPr>
              <w:widowControl/>
              <w:jc w:val="left"/>
              <w:rPr>
                <w:rFonts w:ascii="Arial Narrow" w:hAnsi="Arial Narrow"/>
                <w:sz w:val="20"/>
                <w:vertAlign w:val="superscript"/>
              </w:rPr>
            </w:pPr>
            <w:r w:rsidRPr="00C06097">
              <w:rPr>
                <w:rFonts w:ascii="Arial Narrow" w:hAnsi="Arial Narrow"/>
                <w:sz w:val="20"/>
              </w:rPr>
              <w:t>5-FU/folinic acid</w:t>
            </w:r>
            <w:r>
              <w:rPr>
                <w:rFonts w:ascii="Arial Narrow" w:hAnsi="Arial Narrow"/>
                <w:sz w:val="20"/>
                <w:vertAlign w:val="superscript"/>
              </w:rPr>
              <w:t xml:space="preserve"> </w:t>
            </w:r>
            <w:r w:rsidRPr="00C06097">
              <w:rPr>
                <w:rFonts w:ascii="Arial Narrow" w:hAnsi="Arial Narrow"/>
                <w:sz w:val="20"/>
              </w:rPr>
              <w:t>(N=84)</w:t>
            </w:r>
          </w:p>
        </w:tc>
        <w:tc>
          <w:tcPr>
            <w:tcW w:w="1672" w:type="dxa"/>
            <w:vAlign w:val="center"/>
          </w:tcPr>
          <w:p w:rsidR="00433B90" w:rsidRPr="00C06097" w:rsidRDefault="00433B90" w:rsidP="000A7EB2">
            <w:pPr>
              <w:widowControl/>
              <w:jc w:val="center"/>
              <w:rPr>
                <w:rFonts w:ascii="Arial Narrow" w:hAnsi="Arial Narrow"/>
                <w:sz w:val="20"/>
              </w:rPr>
            </w:pPr>
            <w:r w:rsidRPr="00C06097">
              <w:rPr>
                <w:rFonts w:ascii="Arial Narrow" w:hAnsi="Arial Narrow"/>
                <w:sz w:val="20"/>
              </w:rPr>
              <w:t>0.66 (0.48, 0.91)</w:t>
            </w:r>
          </w:p>
        </w:tc>
        <w:tc>
          <w:tcPr>
            <w:tcW w:w="1559" w:type="dxa"/>
            <w:vAlign w:val="center"/>
          </w:tcPr>
          <w:p w:rsidR="00433B90" w:rsidRPr="00C06097" w:rsidRDefault="00433B90" w:rsidP="000A7EB2">
            <w:pPr>
              <w:widowControl/>
              <w:jc w:val="center"/>
              <w:rPr>
                <w:rFonts w:ascii="Arial Narrow" w:hAnsi="Arial Narrow"/>
                <w:sz w:val="20"/>
              </w:rPr>
            </w:pPr>
            <w:r w:rsidRPr="00C06097">
              <w:rPr>
                <w:rFonts w:ascii="Arial Narrow" w:hAnsi="Arial Narrow"/>
                <w:sz w:val="20"/>
              </w:rPr>
              <w:t>0.68 (0.50, 0.94)</w:t>
            </w:r>
          </w:p>
        </w:tc>
      </w:tr>
      <w:tr w:rsidR="00433B90" w:rsidRPr="00C06097" w:rsidTr="00CC23F9">
        <w:tc>
          <w:tcPr>
            <w:tcW w:w="5132" w:type="dxa"/>
            <w:gridSpan w:val="3"/>
            <w:tcBorders>
              <w:bottom w:val="single" w:sz="4" w:space="0" w:color="auto"/>
            </w:tcBorders>
            <w:vAlign w:val="center"/>
          </w:tcPr>
          <w:p w:rsidR="00433B90" w:rsidRPr="005B565F" w:rsidRDefault="00433B90" w:rsidP="000A7EB2">
            <w:pPr>
              <w:widowControl/>
              <w:rPr>
                <w:rFonts w:ascii="Arial Narrow" w:hAnsi="Arial Narrow"/>
                <w:sz w:val="20"/>
              </w:rPr>
            </w:pPr>
            <w:r w:rsidRPr="005B565F">
              <w:rPr>
                <w:rFonts w:ascii="Arial Narrow" w:hAnsi="Arial Narrow"/>
                <w:sz w:val="20"/>
              </w:rPr>
              <w:t>Pooled (random effects)</w:t>
            </w:r>
          </w:p>
        </w:tc>
        <w:tc>
          <w:tcPr>
            <w:tcW w:w="1672" w:type="dxa"/>
            <w:tcBorders>
              <w:bottom w:val="single" w:sz="4" w:space="0" w:color="auto"/>
            </w:tcBorders>
          </w:tcPr>
          <w:p w:rsidR="00433B90" w:rsidRPr="00C06097" w:rsidRDefault="00433B90" w:rsidP="000A7EB2">
            <w:pPr>
              <w:widowControl/>
              <w:jc w:val="center"/>
              <w:rPr>
                <w:rFonts w:ascii="Arial Narrow" w:hAnsi="Arial Narrow"/>
                <w:sz w:val="20"/>
              </w:rPr>
            </w:pPr>
            <w:r>
              <w:rPr>
                <w:rFonts w:ascii="Arial Narrow" w:hAnsi="Arial Narrow"/>
                <w:sz w:val="20"/>
              </w:rPr>
              <w:t>1.06 (0.40, 2.81)</w:t>
            </w:r>
          </w:p>
        </w:tc>
        <w:tc>
          <w:tcPr>
            <w:tcW w:w="1559" w:type="dxa"/>
            <w:tcBorders>
              <w:bottom w:val="single" w:sz="4" w:space="0" w:color="auto"/>
            </w:tcBorders>
          </w:tcPr>
          <w:p w:rsidR="00433B90" w:rsidRPr="00C06097" w:rsidRDefault="00433B90" w:rsidP="000A7EB2">
            <w:pPr>
              <w:widowControl/>
              <w:jc w:val="center"/>
              <w:rPr>
                <w:rFonts w:ascii="Arial Narrow" w:hAnsi="Arial Narrow"/>
                <w:sz w:val="20"/>
              </w:rPr>
            </w:pPr>
            <w:r>
              <w:rPr>
                <w:rFonts w:ascii="Arial Narrow" w:hAnsi="Arial Narrow"/>
                <w:sz w:val="20"/>
              </w:rPr>
              <w:t>0.80 (0.55, 1.17)</w:t>
            </w:r>
          </w:p>
        </w:tc>
      </w:tr>
      <w:tr w:rsidR="00433B90" w:rsidRPr="00C06097" w:rsidTr="00CC23F9">
        <w:tc>
          <w:tcPr>
            <w:tcW w:w="8363" w:type="dxa"/>
            <w:gridSpan w:val="5"/>
            <w:tcBorders>
              <w:top w:val="single" w:sz="4" w:space="0" w:color="auto"/>
              <w:bottom w:val="single" w:sz="4" w:space="0" w:color="auto"/>
            </w:tcBorders>
            <w:vAlign w:val="center"/>
          </w:tcPr>
          <w:p w:rsidR="00433B90" w:rsidRPr="005B565F" w:rsidRDefault="00433B90" w:rsidP="000A7EB2">
            <w:pPr>
              <w:widowControl/>
              <w:jc w:val="left"/>
              <w:rPr>
                <w:rFonts w:ascii="Arial Narrow" w:hAnsi="Arial Narrow"/>
                <w:b/>
                <w:sz w:val="20"/>
              </w:rPr>
            </w:pPr>
            <w:r>
              <w:rPr>
                <w:rFonts w:ascii="Arial Narrow" w:hAnsi="Arial Narrow"/>
                <w:b/>
                <w:sz w:val="20"/>
              </w:rPr>
              <w:t>NAPOLI-1 trial (post-hoc analysis)</w:t>
            </w:r>
          </w:p>
        </w:tc>
      </w:tr>
      <w:tr w:rsidR="00433B90" w:rsidRPr="00C06097" w:rsidTr="00CC23F9">
        <w:tc>
          <w:tcPr>
            <w:tcW w:w="1843" w:type="dxa"/>
            <w:tcBorders>
              <w:top w:val="single" w:sz="4" w:space="0" w:color="auto"/>
            </w:tcBorders>
            <w:vAlign w:val="center"/>
          </w:tcPr>
          <w:p w:rsidR="00433B90" w:rsidRPr="005B565F" w:rsidRDefault="00433B90" w:rsidP="000A7EB2">
            <w:pPr>
              <w:widowControl/>
              <w:rPr>
                <w:rFonts w:ascii="Arial Narrow" w:hAnsi="Arial Narrow"/>
                <w:sz w:val="20"/>
              </w:rPr>
            </w:pPr>
            <w:r>
              <w:rPr>
                <w:rFonts w:ascii="Arial Narrow" w:hAnsi="Arial Narrow"/>
                <w:sz w:val="20"/>
              </w:rPr>
              <w:t>NAPOLI-1 (N=236)</w:t>
            </w:r>
          </w:p>
        </w:tc>
        <w:tc>
          <w:tcPr>
            <w:tcW w:w="1730" w:type="dxa"/>
            <w:tcBorders>
              <w:top w:val="single" w:sz="4" w:space="0" w:color="auto"/>
            </w:tcBorders>
            <w:vAlign w:val="center"/>
          </w:tcPr>
          <w:p w:rsidR="00433B90" w:rsidRPr="005B565F" w:rsidRDefault="00C82D5A" w:rsidP="000A7EB2">
            <w:pPr>
              <w:widowControl/>
              <w:rPr>
                <w:rFonts w:ascii="Arial Narrow" w:hAnsi="Arial Narrow"/>
                <w:sz w:val="20"/>
              </w:rPr>
            </w:pPr>
            <w:r>
              <w:rPr>
                <w:rFonts w:ascii="Arial Narrow" w:hAnsi="Arial Narrow"/>
                <w:sz w:val="20"/>
              </w:rPr>
              <w:t>Irinotecan (nanoliposomal)</w:t>
            </w:r>
            <w:r w:rsidR="00433B90">
              <w:rPr>
                <w:rFonts w:ascii="Arial Narrow" w:hAnsi="Arial Narrow"/>
                <w:sz w:val="20"/>
              </w:rPr>
              <w:t xml:space="preserve"> (N=117)</w:t>
            </w:r>
          </w:p>
        </w:tc>
        <w:tc>
          <w:tcPr>
            <w:tcW w:w="1559" w:type="dxa"/>
            <w:tcBorders>
              <w:top w:val="single" w:sz="4" w:space="0" w:color="auto"/>
            </w:tcBorders>
            <w:vAlign w:val="center"/>
          </w:tcPr>
          <w:p w:rsidR="00433B90" w:rsidRPr="005B565F" w:rsidRDefault="00433B90" w:rsidP="000A7EB2">
            <w:pPr>
              <w:widowControl/>
              <w:jc w:val="left"/>
              <w:rPr>
                <w:rFonts w:ascii="Arial Narrow" w:hAnsi="Arial Narrow"/>
                <w:sz w:val="20"/>
              </w:rPr>
            </w:pPr>
            <w:r>
              <w:rPr>
                <w:rFonts w:ascii="Arial Narrow" w:hAnsi="Arial Narrow"/>
                <w:sz w:val="20"/>
              </w:rPr>
              <w:t>5-FU/folinic acid (N=119)</w:t>
            </w:r>
          </w:p>
        </w:tc>
        <w:tc>
          <w:tcPr>
            <w:tcW w:w="1672" w:type="dxa"/>
            <w:tcBorders>
              <w:top w:val="single" w:sz="4" w:space="0" w:color="auto"/>
            </w:tcBorders>
            <w:vAlign w:val="center"/>
          </w:tcPr>
          <w:p w:rsidR="00433B9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433B90" w:rsidRPr="005B565F">
              <w:rPr>
                <w:rFonts w:ascii="Arial Narrow" w:hAnsi="Arial Narrow"/>
                <w:sz w:val="20"/>
              </w:rPr>
              <w:t xml:space="preserve"> (</w:t>
            </w:r>
            <w:r>
              <w:rPr>
                <w:rFonts w:ascii="Arial Narrow" w:hAnsi="Arial Narrow"/>
                <w:noProof/>
                <w:color w:val="000000"/>
                <w:sz w:val="20"/>
                <w:highlight w:val="black"/>
              </w:rPr>
              <w:t>'''''''''''</w:t>
            </w:r>
            <w:r w:rsidR="00433B90" w:rsidRPr="005B565F">
              <w:rPr>
                <w:rFonts w:ascii="Arial Narrow" w:hAnsi="Arial Narrow"/>
                <w:sz w:val="20"/>
              </w:rPr>
              <w:t xml:space="preserve">, </w:t>
            </w:r>
            <w:r>
              <w:rPr>
                <w:rFonts w:ascii="Arial Narrow" w:hAnsi="Arial Narrow"/>
                <w:noProof/>
                <w:color w:val="000000"/>
                <w:sz w:val="20"/>
                <w:highlight w:val="black"/>
              </w:rPr>
              <w:t>'''''''''''</w:t>
            </w:r>
            <w:r w:rsidR="00433B90" w:rsidRPr="005B565F">
              <w:rPr>
                <w:rFonts w:ascii="Arial Narrow" w:hAnsi="Arial Narrow"/>
                <w:sz w:val="20"/>
              </w:rPr>
              <w:t>)</w:t>
            </w:r>
          </w:p>
        </w:tc>
        <w:tc>
          <w:tcPr>
            <w:tcW w:w="1559" w:type="dxa"/>
            <w:tcBorders>
              <w:top w:val="single" w:sz="4" w:space="0" w:color="auto"/>
            </w:tcBorders>
            <w:vAlign w:val="center"/>
          </w:tcPr>
          <w:p w:rsidR="00433B9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433B90" w:rsidRPr="005B565F">
              <w:rPr>
                <w:rFonts w:ascii="Arial Narrow" w:hAnsi="Arial Narrow"/>
                <w:sz w:val="20"/>
              </w:rPr>
              <w:t xml:space="preserve"> (</w:t>
            </w:r>
            <w:r>
              <w:rPr>
                <w:rFonts w:ascii="Arial Narrow" w:hAnsi="Arial Narrow"/>
                <w:noProof/>
                <w:color w:val="000000"/>
                <w:sz w:val="20"/>
                <w:highlight w:val="black"/>
              </w:rPr>
              <w:t>'''''''''''</w:t>
            </w:r>
            <w:r w:rsidR="00433B90" w:rsidRPr="005B565F">
              <w:rPr>
                <w:rFonts w:ascii="Arial Narrow" w:hAnsi="Arial Narrow"/>
                <w:sz w:val="20"/>
              </w:rPr>
              <w:t xml:space="preserve">, </w:t>
            </w:r>
            <w:r>
              <w:rPr>
                <w:rFonts w:ascii="Arial Narrow" w:hAnsi="Arial Narrow"/>
                <w:noProof/>
                <w:color w:val="000000"/>
                <w:sz w:val="20"/>
                <w:highlight w:val="black"/>
              </w:rPr>
              <w:t>'''''''''''</w:t>
            </w:r>
            <w:r w:rsidR="00433B90" w:rsidRPr="005B565F">
              <w:rPr>
                <w:rFonts w:ascii="Arial Narrow" w:hAnsi="Arial Narrow"/>
                <w:sz w:val="20"/>
              </w:rPr>
              <w:t>)</w:t>
            </w:r>
          </w:p>
        </w:tc>
      </w:tr>
    </w:tbl>
    <w:p w:rsidR="00433B90" w:rsidRDefault="00433B90" w:rsidP="000A7EB2">
      <w:pPr>
        <w:pStyle w:val="TableFooter"/>
        <w:widowControl/>
        <w:ind w:firstLine="720"/>
      </w:pPr>
      <w:r>
        <w:t>Source: Table B.6.23, p155 of the submission</w:t>
      </w:r>
    </w:p>
    <w:p w:rsidR="00433B90" w:rsidRPr="00A06BE4" w:rsidRDefault="00433B90" w:rsidP="000A7EB2">
      <w:pPr>
        <w:pStyle w:val="TableFooter"/>
        <w:widowControl/>
        <w:ind w:left="720"/>
      </w:pPr>
      <w:r>
        <w:t>Abbreviations: CI, confidence interval; HR, hazard ratio; mFOLFOX6, oxaliplatin plus 5-FU/folinic acid (2 week-cycle); OFF, oxaliplatin plus 5-FU/folinic acid (6-week cycle)</w:t>
      </w:r>
    </w:p>
    <w:p w:rsidR="00433B90" w:rsidRDefault="00433B90" w:rsidP="000A7EB2">
      <w:pPr>
        <w:pStyle w:val="TableFooter"/>
        <w:widowControl/>
        <w:ind w:firstLine="720"/>
      </w:pPr>
      <w:r>
        <w:rPr>
          <w:vertAlign w:val="superscript"/>
        </w:rPr>
        <w:t>a</w:t>
      </w:r>
      <w:r w:rsidR="00692DB4">
        <w:rPr>
          <w:vertAlign w:val="superscript"/>
        </w:rPr>
        <w:t xml:space="preserve"> </w:t>
      </w:r>
      <w:r>
        <w:t>Comparator treatments were administered using different dose strengths, frequencies and cycle lengths</w:t>
      </w:r>
    </w:p>
    <w:p w:rsidR="00433B90" w:rsidRPr="00433B90" w:rsidRDefault="00433B90" w:rsidP="000A7EB2">
      <w:pPr>
        <w:widowControl/>
        <w:rPr>
          <w:szCs w:val="22"/>
        </w:rPr>
      </w:pPr>
    </w:p>
    <w:p w:rsidR="00433B90" w:rsidRDefault="00666670" w:rsidP="000A7EB2">
      <w:pPr>
        <w:pStyle w:val="ListParagraph"/>
        <w:widowControl/>
        <w:numPr>
          <w:ilvl w:val="1"/>
          <w:numId w:val="1"/>
        </w:numPr>
        <w:rPr>
          <w:szCs w:val="22"/>
        </w:rPr>
      </w:pPr>
      <w:r>
        <w:rPr>
          <w:szCs w:val="22"/>
        </w:rPr>
        <w:t>For t</w:t>
      </w:r>
      <w:r w:rsidR="00292986">
        <w:rPr>
          <w:szCs w:val="22"/>
        </w:rPr>
        <w:t xml:space="preserve">he pooled results from the CONKO-003 and PANCREOX trials </w:t>
      </w:r>
      <w:r>
        <w:rPr>
          <w:szCs w:val="22"/>
        </w:rPr>
        <w:t xml:space="preserve">the difference across the treatment arms </w:t>
      </w:r>
      <w:r w:rsidR="00292986">
        <w:rPr>
          <w:szCs w:val="22"/>
        </w:rPr>
        <w:t>for overall survival and progression-free survival were not statistically significant</w:t>
      </w:r>
      <w:r w:rsidR="00692DB4">
        <w:rPr>
          <w:szCs w:val="22"/>
        </w:rPr>
        <w:t>.</w:t>
      </w:r>
    </w:p>
    <w:p w:rsidR="00292986" w:rsidRPr="00526248" w:rsidRDefault="00292986" w:rsidP="000A7EB2">
      <w:pPr>
        <w:pStyle w:val="ListParagraph"/>
        <w:widowControl/>
        <w:rPr>
          <w:szCs w:val="22"/>
        </w:rPr>
      </w:pPr>
    </w:p>
    <w:p w:rsidR="00292986" w:rsidRPr="00526248" w:rsidRDefault="00292986" w:rsidP="000A7EB2">
      <w:pPr>
        <w:pStyle w:val="ListParagraph"/>
        <w:widowControl/>
        <w:numPr>
          <w:ilvl w:val="1"/>
          <w:numId w:val="1"/>
        </w:numPr>
        <w:rPr>
          <w:szCs w:val="22"/>
        </w:rPr>
      </w:pPr>
      <w:r w:rsidRPr="00526248">
        <w:rPr>
          <w:szCs w:val="22"/>
        </w:rPr>
        <w:t>The meta-analysed results were of limited reliability given the significant issues of heterogeneity and comparability (mFOLFOX6, OFF and 5-FU/folinic acid arms had different dose strengths and cycles of administration; contrasting results from individual trials suggesting that OFF was superior to 5-FU/folinic acid but mFOLFOX6 was inferior to 5-FU/folinic acid).</w:t>
      </w:r>
    </w:p>
    <w:p w:rsidR="00292986" w:rsidRPr="00526248" w:rsidRDefault="00292986" w:rsidP="000A7EB2">
      <w:pPr>
        <w:pStyle w:val="ListParagraph"/>
        <w:widowControl/>
        <w:rPr>
          <w:szCs w:val="22"/>
        </w:rPr>
      </w:pPr>
    </w:p>
    <w:p w:rsidR="000257C3" w:rsidRDefault="00292986" w:rsidP="000A7EB2">
      <w:pPr>
        <w:pStyle w:val="ListParagraph"/>
        <w:widowControl/>
        <w:numPr>
          <w:ilvl w:val="1"/>
          <w:numId w:val="1"/>
        </w:numPr>
        <w:rPr>
          <w:szCs w:val="22"/>
        </w:rPr>
      </w:pPr>
      <w:r w:rsidRPr="00225989">
        <w:rPr>
          <w:szCs w:val="22"/>
        </w:rPr>
        <w:t xml:space="preserve">The </w:t>
      </w:r>
      <w:r w:rsidR="003F5E16" w:rsidRPr="00225989">
        <w:rPr>
          <w:szCs w:val="22"/>
        </w:rPr>
        <w:t xml:space="preserve">ESC noted that the </w:t>
      </w:r>
      <w:r w:rsidRPr="00225989">
        <w:rPr>
          <w:szCs w:val="22"/>
        </w:rPr>
        <w:t>n</w:t>
      </w:r>
      <w:r w:rsidRPr="00526248">
        <w:rPr>
          <w:szCs w:val="22"/>
        </w:rPr>
        <w:t xml:space="preserve">aïve indirect comparison of </w:t>
      </w:r>
      <w:r w:rsidR="00C82D5A" w:rsidRPr="00526248">
        <w:rPr>
          <w:szCs w:val="22"/>
        </w:rPr>
        <w:t>irinotecan (nanoliposomal)</w:t>
      </w:r>
      <w:r w:rsidRPr="00526248">
        <w:rPr>
          <w:szCs w:val="22"/>
        </w:rPr>
        <w:t xml:space="preserve"> and oxaliplatin-containing regimens based on the NAPOLI-1 trial and meta-analysis of the CONKO</w:t>
      </w:r>
      <w:r w:rsidR="003F5E16">
        <w:rPr>
          <w:szCs w:val="22"/>
        </w:rPr>
        <w:noBreakHyphen/>
      </w:r>
      <w:r w:rsidRPr="00526248">
        <w:rPr>
          <w:szCs w:val="22"/>
        </w:rPr>
        <w:t>003 and PANCREOX trials was largely uninformative given the major issues of applicability, heterogeneity and exchangeability.</w:t>
      </w:r>
    </w:p>
    <w:p w:rsidR="00242517" w:rsidRPr="00882085" w:rsidRDefault="00242517" w:rsidP="000A7EB2">
      <w:pPr>
        <w:widowControl/>
        <w:rPr>
          <w:szCs w:val="22"/>
        </w:rPr>
      </w:pPr>
    </w:p>
    <w:p w:rsidR="00B60939" w:rsidRPr="007E26D3" w:rsidRDefault="00B60939" w:rsidP="000A7EB2">
      <w:pPr>
        <w:pStyle w:val="Heading2"/>
      </w:pPr>
      <w:bookmarkStart w:id="11" w:name="_Toc461529329"/>
      <w:r w:rsidRPr="007E26D3">
        <w:t>Comparative harms</w:t>
      </w:r>
      <w:bookmarkEnd w:id="11"/>
    </w:p>
    <w:p w:rsidR="00B60939" w:rsidRPr="00882085" w:rsidRDefault="00B60939" w:rsidP="000A7EB2">
      <w:pPr>
        <w:widowControl/>
        <w:ind w:left="720" w:hanging="720"/>
        <w:rPr>
          <w:szCs w:val="22"/>
        </w:rPr>
      </w:pPr>
    </w:p>
    <w:p w:rsidR="00B60939" w:rsidRDefault="00A169D5" w:rsidP="000A7EB2">
      <w:pPr>
        <w:pStyle w:val="ListParagraph"/>
        <w:widowControl/>
        <w:numPr>
          <w:ilvl w:val="1"/>
          <w:numId w:val="1"/>
        </w:numPr>
        <w:rPr>
          <w:szCs w:val="22"/>
        </w:rPr>
      </w:pPr>
      <w:r w:rsidRPr="00A169D5">
        <w:rPr>
          <w:szCs w:val="22"/>
          <w:u w:val="single"/>
        </w:rPr>
        <w:t>Direct comparison with 5-FU/folinic acid</w:t>
      </w:r>
      <w:r>
        <w:rPr>
          <w:szCs w:val="22"/>
        </w:rPr>
        <w:t xml:space="preserve">: </w:t>
      </w:r>
      <w:r w:rsidR="00C82D5A">
        <w:rPr>
          <w:szCs w:val="22"/>
        </w:rPr>
        <w:t>Irinotecan (nanoliposomal)</w:t>
      </w:r>
      <w:r w:rsidR="00292986">
        <w:rPr>
          <w:szCs w:val="22"/>
        </w:rPr>
        <w:t xml:space="preserve"> was associated </w:t>
      </w:r>
      <w:r w:rsidR="002E1499">
        <w:rPr>
          <w:szCs w:val="22"/>
        </w:rPr>
        <w:t>with a hig</w:t>
      </w:r>
      <w:r w:rsidR="001D230B">
        <w:rPr>
          <w:szCs w:val="22"/>
        </w:rPr>
        <w:t>her incidence of severe or life</w:t>
      </w:r>
      <w:r w:rsidR="001D230B">
        <w:rPr>
          <w:szCs w:val="22"/>
        </w:rPr>
        <w:noBreakHyphen/>
      </w:r>
      <w:r w:rsidR="002E1499">
        <w:rPr>
          <w:szCs w:val="22"/>
        </w:rPr>
        <w:t xml:space="preserve">threatening treatment-related adverse events (primarily gastrointestinal toxicity, neutropenia, fatigue and decreased appetite) and reports of treatment-related deaths (neutropenic sepsis) compared </w:t>
      </w:r>
      <w:r w:rsidR="00D642B3">
        <w:rPr>
          <w:szCs w:val="22"/>
        </w:rPr>
        <w:t xml:space="preserve">with </w:t>
      </w:r>
      <w:r w:rsidR="002E1499">
        <w:rPr>
          <w:szCs w:val="22"/>
        </w:rPr>
        <w:t>5-FU/folinic acid. Overall, there was a significantly higher incidence of all treatment-related adverse events (</w:t>
      </w:r>
      <w:r w:rsidR="00D620C5">
        <w:rPr>
          <w:szCs w:val="22"/>
        </w:rPr>
        <w:t>for</w:t>
      </w:r>
      <w:r w:rsidR="002E1499">
        <w:rPr>
          <w:szCs w:val="22"/>
        </w:rPr>
        <w:t xml:space="preserve"> all severities) in patients receiving </w:t>
      </w:r>
      <w:r w:rsidR="00C82D5A">
        <w:rPr>
          <w:szCs w:val="22"/>
        </w:rPr>
        <w:t>irinotecan (nanoliposomal)</w:t>
      </w:r>
      <w:r w:rsidR="002E1499">
        <w:rPr>
          <w:szCs w:val="22"/>
        </w:rPr>
        <w:t xml:space="preserve"> compared with 5-FU/folinic acid that could substantially af</w:t>
      </w:r>
      <w:r w:rsidR="00BE2CC7">
        <w:rPr>
          <w:szCs w:val="22"/>
        </w:rPr>
        <w:t>fect patients’ quality of life.</w:t>
      </w:r>
    </w:p>
    <w:p w:rsidR="002E1499" w:rsidRDefault="002E1499" w:rsidP="000A7EB2">
      <w:pPr>
        <w:pStyle w:val="ListParagraph"/>
        <w:widowControl/>
        <w:rPr>
          <w:szCs w:val="22"/>
        </w:rPr>
      </w:pPr>
    </w:p>
    <w:p w:rsidR="002E1499" w:rsidRPr="00526248" w:rsidRDefault="00A169D5" w:rsidP="000A7EB2">
      <w:pPr>
        <w:pStyle w:val="ListParagraph"/>
        <w:widowControl/>
        <w:numPr>
          <w:ilvl w:val="1"/>
          <w:numId w:val="1"/>
        </w:numPr>
        <w:rPr>
          <w:szCs w:val="22"/>
        </w:rPr>
      </w:pPr>
      <w:r w:rsidRPr="00A169D5">
        <w:rPr>
          <w:szCs w:val="22"/>
          <w:u w:val="single"/>
        </w:rPr>
        <w:lastRenderedPageBreak/>
        <w:t>Indirect comparison with oxaliplatin-containing regimens</w:t>
      </w:r>
      <w:r>
        <w:rPr>
          <w:szCs w:val="22"/>
        </w:rPr>
        <w:t xml:space="preserve">: </w:t>
      </w:r>
      <w:r w:rsidR="002E1499" w:rsidRPr="00526248">
        <w:rPr>
          <w:szCs w:val="22"/>
        </w:rPr>
        <w:t xml:space="preserve">The submission presented a naïve indirect comparison of </w:t>
      </w:r>
      <w:r w:rsidR="00C82D5A" w:rsidRPr="00526248">
        <w:rPr>
          <w:szCs w:val="22"/>
        </w:rPr>
        <w:t>irinotecan (nanoliposomal)</w:t>
      </w:r>
      <w:r w:rsidR="002E1499" w:rsidRPr="00526248">
        <w:rPr>
          <w:szCs w:val="22"/>
        </w:rPr>
        <w:t xml:space="preserve"> with oxaliplatin-containing regimens using safety da</w:t>
      </w:r>
      <w:r w:rsidR="001D230B" w:rsidRPr="00526248">
        <w:rPr>
          <w:szCs w:val="22"/>
        </w:rPr>
        <w:t>ta from the NAPOLI-1 trial post</w:t>
      </w:r>
      <w:r w:rsidR="001D230B" w:rsidRPr="00526248">
        <w:rPr>
          <w:szCs w:val="22"/>
        </w:rPr>
        <w:noBreakHyphen/>
      </w:r>
      <w:r w:rsidR="002E1499" w:rsidRPr="00526248">
        <w:rPr>
          <w:szCs w:val="22"/>
        </w:rPr>
        <w:t xml:space="preserve">hoc analysis and a pooled safety analysis of the CONKO-003 and PANCREOX trials. </w:t>
      </w:r>
      <w:r w:rsidR="00241097" w:rsidRPr="00526248">
        <w:rPr>
          <w:szCs w:val="22"/>
        </w:rPr>
        <w:t>The comparison was largely uninformative given the limited documentation available from the CONKO-003 publication and PANCREOX abstract. Furthermore, there were major concerns of heterogeneity between the CONKO-003 and PANCREOX trials and a lack of exchangeability with the NAPOLI-1 trial.</w:t>
      </w:r>
    </w:p>
    <w:p w:rsidR="00242517" w:rsidRDefault="00242517" w:rsidP="000A7EB2">
      <w:pPr>
        <w:pStyle w:val="ListParagraph"/>
        <w:widowControl/>
        <w:ind w:left="0"/>
        <w:rPr>
          <w:szCs w:val="22"/>
        </w:rPr>
      </w:pPr>
    </w:p>
    <w:p w:rsidR="007F1017" w:rsidRPr="007E26D3" w:rsidRDefault="007F1017" w:rsidP="000A7EB2">
      <w:pPr>
        <w:pStyle w:val="Heading2"/>
        <w:rPr>
          <w:szCs w:val="22"/>
        </w:rPr>
      </w:pPr>
      <w:bookmarkStart w:id="12" w:name="_Toc461529330"/>
      <w:r w:rsidRPr="007E26D3">
        <w:t>Benefits/harms</w:t>
      </w:r>
      <w:bookmarkEnd w:id="12"/>
    </w:p>
    <w:p w:rsidR="007F1017" w:rsidRDefault="007F1017" w:rsidP="000A7EB2">
      <w:pPr>
        <w:widowControl/>
      </w:pPr>
    </w:p>
    <w:p w:rsidR="002E1499" w:rsidRDefault="002E1499" w:rsidP="000A7EB2">
      <w:pPr>
        <w:pStyle w:val="ListParagraph"/>
        <w:widowControl/>
        <w:numPr>
          <w:ilvl w:val="1"/>
          <w:numId w:val="1"/>
        </w:numPr>
        <w:rPr>
          <w:szCs w:val="22"/>
        </w:rPr>
      </w:pPr>
      <w:r w:rsidRPr="00B50DB8">
        <w:rPr>
          <w:szCs w:val="22"/>
        </w:rPr>
        <w:t>A summary of the comparati</w:t>
      </w:r>
      <w:r>
        <w:rPr>
          <w:szCs w:val="22"/>
        </w:rPr>
        <w:t xml:space="preserve">ve benefits and harms for </w:t>
      </w:r>
      <w:r w:rsidR="00C82D5A">
        <w:rPr>
          <w:szCs w:val="22"/>
        </w:rPr>
        <w:t>irinotecan (nanoliposomal)</w:t>
      </w:r>
      <w:r>
        <w:rPr>
          <w:szCs w:val="22"/>
        </w:rPr>
        <w:t xml:space="preserve"> versus 5-FU/folinic acid</w:t>
      </w:r>
      <w:r w:rsidR="00B53C4B">
        <w:rPr>
          <w:szCs w:val="22"/>
        </w:rPr>
        <w:t xml:space="preserve"> is presented in Table 6</w:t>
      </w:r>
      <w:r w:rsidRPr="00B50DB8">
        <w:rPr>
          <w:szCs w:val="22"/>
        </w:rPr>
        <w:t xml:space="preserve">. </w:t>
      </w:r>
    </w:p>
    <w:p w:rsidR="002E1499" w:rsidRDefault="002E1499" w:rsidP="000A7EB2">
      <w:pPr>
        <w:widowControl/>
        <w:jc w:val="left"/>
        <w:rPr>
          <w:rStyle w:val="CommentReference"/>
        </w:rPr>
      </w:pPr>
    </w:p>
    <w:p w:rsidR="002E1499" w:rsidRPr="00DE5450" w:rsidRDefault="00B53C4B" w:rsidP="000A7EB2">
      <w:pPr>
        <w:widowControl/>
        <w:ind w:left="720"/>
      </w:pPr>
      <w:r>
        <w:rPr>
          <w:rStyle w:val="CommentReference"/>
        </w:rPr>
        <w:t>Table 6</w:t>
      </w:r>
      <w:r w:rsidR="002E1499" w:rsidRPr="00DE5450">
        <w:rPr>
          <w:rStyle w:val="CommentReference"/>
        </w:rPr>
        <w:t>: Summary of comparati</w:t>
      </w:r>
      <w:r w:rsidR="002E1499">
        <w:rPr>
          <w:rStyle w:val="CommentReference"/>
        </w:rPr>
        <w:t>ve b</w:t>
      </w:r>
      <w:r w:rsidR="00241097">
        <w:rPr>
          <w:rStyle w:val="CommentReference"/>
        </w:rPr>
        <w:t xml:space="preserve">enefits and harms for </w:t>
      </w:r>
      <w:r w:rsidR="00C82D5A">
        <w:rPr>
          <w:rStyle w:val="CommentReference"/>
        </w:rPr>
        <w:t>irinotecan (nanoliposomal)</w:t>
      </w:r>
      <w:r w:rsidR="00241097">
        <w:rPr>
          <w:rStyle w:val="CommentReference"/>
        </w:rPr>
        <w:t xml:space="preserve"> and 5-FU/folinic acid</w:t>
      </w:r>
    </w:p>
    <w:tbl>
      <w:tblPr>
        <w:tblStyle w:val="TableGrid"/>
        <w:tblW w:w="4604" w:type="pct"/>
        <w:tblInd w:w="737" w:type="dxa"/>
        <w:tblLayout w:type="fixed"/>
        <w:tblCellMar>
          <w:left w:w="28" w:type="dxa"/>
          <w:right w:w="28" w:type="dxa"/>
        </w:tblCellMar>
        <w:tblLook w:val="04A0" w:firstRow="1" w:lastRow="0" w:firstColumn="1" w:lastColumn="0" w:noHBand="0" w:noVBand="1"/>
        <w:tblCaption w:val="Table 6: Summary of comparative benefits and harms for irinotecan (nanoliposomal) and 5-FU/folinic acid"/>
        <w:tblDescription w:val="Table 6: Summary of comparative benefits and harms for irinotecan (nanoliposomal) and 5-FU/folinic acid"/>
      </w:tblPr>
      <w:tblGrid>
        <w:gridCol w:w="1831"/>
        <w:gridCol w:w="1713"/>
        <w:gridCol w:w="1559"/>
        <w:gridCol w:w="1703"/>
        <w:gridCol w:w="1557"/>
      </w:tblGrid>
      <w:tr w:rsidR="002E1499" w:rsidRPr="00E2771E" w:rsidTr="000D5960">
        <w:trPr>
          <w:tblHeader/>
        </w:trPr>
        <w:tc>
          <w:tcPr>
            <w:tcW w:w="1095" w:type="pct"/>
            <w:shd w:val="clear" w:color="auto" w:fill="auto"/>
            <w:vAlign w:val="center"/>
          </w:tcPr>
          <w:p w:rsidR="002E1499" w:rsidRPr="00DE5450" w:rsidRDefault="002E1499" w:rsidP="000A7EB2">
            <w:pPr>
              <w:widowControl/>
              <w:jc w:val="left"/>
              <w:rPr>
                <w:rFonts w:ascii="Arial Narrow" w:hAnsi="Arial Narrow"/>
                <w:b/>
                <w:color w:val="000000"/>
                <w:sz w:val="20"/>
              </w:rPr>
            </w:pPr>
            <w:r w:rsidRPr="00DE5450">
              <w:rPr>
                <w:rFonts w:ascii="Arial Narrow" w:hAnsi="Arial Narrow"/>
                <w:b/>
                <w:color w:val="000000"/>
                <w:sz w:val="20"/>
              </w:rPr>
              <w:t>Benefits</w:t>
            </w:r>
          </w:p>
        </w:tc>
        <w:tc>
          <w:tcPr>
            <w:tcW w:w="1024" w:type="pct"/>
            <w:vAlign w:val="center"/>
          </w:tcPr>
          <w:p w:rsidR="002E1499" w:rsidRPr="00DE5450" w:rsidRDefault="00C82D5A" w:rsidP="000A7EB2">
            <w:pPr>
              <w:widowControl/>
              <w:jc w:val="center"/>
              <w:rPr>
                <w:rFonts w:ascii="Arial Narrow" w:hAnsi="Arial Narrow"/>
                <w:b/>
                <w:color w:val="000000"/>
                <w:sz w:val="20"/>
              </w:rPr>
            </w:pPr>
            <w:r>
              <w:rPr>
                <w:rFonts w:ascii="Arial Narrow" w:hAnsi="Arial Narrow"/>
                <w:b/>
                <w:color w:val="000000"/>
                <w:sz w:val="20"/>
              </w:rPr>
              <w:t>Irinotecan (nanoliposomal)</w:t>
            </w:r>
          </w:p>
        </w:tc>
        <w:tc>
          <w:tcPr>
            <w:tcW w:w="932" w:type="pct"/>
            <w:vAlign w:val="center"/>
          </w:tcPr>
          <w:p w:rsidR="002E1499" w:rsidRPr="00DE5450" w:rsidRDefault="00241097" w:rsidP="000A7EB2">
            <w:pPr>
              <w:widowControl/>
              <w:jc w:val="center"/>
              <w:rPr>
                <w:rFonts w:ascii="Arial Narrow" w:hAnsi="Arial Narrow"/>
                <w:b/>
                <w:color w:val="000000"/>
                <w:sz w:val="20"/>
              </w:rPr>
            </w:pPr>
            <w:r>
              <w:rPr>
                <w:rFonts w:ascii="Arial Narrow" w:hAnsi="Arial Narrow"/>
                <w:b/>
                <w:color w:val="000000"/>
                <w:sz w:val="20"/>
              </w:rPr>
              <w:t>5-FU/folinic acid</w:t>
            </w:r>
          </w:p>
        </w:tc>
        <w:tc>
          <w:tcPr>
            <w:tcW w:w="1018" w:type="pct"/>
            <w:vAlign w:val="center"/>
          </w:tcPr>
          <w:p w:rsidR="002E1499" w:rsidRPr="00DE5450" w:rsidRDefault="002E1499" w:rsidP="000A7EB2">
            <w:pPr>
              <w:widowControl/>
              <w:jc w:val="center"/>
              <w:rPr>
                <w:rFonts w:ascii="Arial Narrow" w:hAnsi="Arial Narrow"/>
                <w:b/>
                <w:color w:val="000000"/>
                <w:sz w:val="20"/>
              </w:rPr>
            </w:pPr>
            <w:r w:rsidRPr="00DE5450">
              <w:rPr>
                <w:rFonts w:ascii="Arial Narrow" w:hAnsi="Arial Narrow"/>
                <w:b/>
                <w:color w:val="000000"/>
                <w:sz w:val="20"/>
              </w:rPr>
              <w:t>Absolute Difference</w:t>
            </w:r>
          </w:p>
        </w:tc>
        <w:tc>
          <w:tcPr>
            <w:tcW w:w="931" w:type="pct"/>
            <w:vAlign w:val="center"/>
          </w:tcPr>
          <w:p w:rsidR="002E1499" w:rsidRPr="00DE5450" w:rsidRDefault="002E1499" w:rsidP="000A7EB2">
            <w:pPr>
              <w:widowControl/>
              <w:jc w:val="center"/>
              <w:rPr>
                <w:rFonts w:ascii="Arial Narrow" w:hAnsi="Arial Narrow"/>
                <w:b/>
                <w:color w:val="000000"/>
                <w:sz w:val="20"/>
              </w:rPr>
            </w:pPr>
            <w:r w:rsidRPr="00DE5450">
              <w:rPr>
                <w:rFonts w:ascii="Arial Narrow" w:hAnsi="Arial Narrow"/>
                <w:b/>
                <w:color w:val="000000"/>
                <w:sz w:val="20"/>
              </w:rPr>
              <w:t>HR (95% CI)</w:t>
            </w:r>
          </w:p>
        </w:tc>
      </w:tr>
      <w:tr w:rsidR="002E1499" w:rsidRPr="00E2771E" w:rsidTr="005338B9">
        <w:tc>
          <w:tcPr>
            <w:tcW w:w="5000" w:type="pct"/>
            <w:gridSpan w:val="5"/>
            <w:shd w:val="clear" w:color="auto" w:fill="auto"/>
            <w:vAlign w:val="center"/>
          </w:tcPr>
          <w:p w:rsidR="002E1499" w:rsidRPr="00DE5450" w:rsidRDefault="00241097" w:rsidP="000A7EB2">
            <w:pPr>
              <w:widowControl/>
              <w:jc w:val="left"/>
              <w:rPr>
                <w:rFonts w:ascii="Arial Narrow" w:hAnsi="Arial Narrow"/>
                <w:b/>
                <w:sz w:val="20"/>
              </w:rPr>
            </w:pPr>
            <w:r>
              <w:rPr>
                <w:rFonts w:ascii="Arial Narrow" w:hAnsi="Arial Narrow"/>
                <w:b/>
                <w:color w:val="000000"/>
                <w:sz w:val="20"/>
              </w:rPr>
              <w:t>Overall</w:t>
            </w:r>
            <w:r w:rsidR="002E1499" w:rsidRPr="00DE5450">
              <w:rPr>
                <w:rFonts w:ascii="Arial Narrow" w:hAnsi="Arial Narrow"/>
                <w:b/>
                <w:color w:val="000000"/>
                <w:sz w:val="20"/>
              </w:rPr>
              <w:t xml:space="preserve"> survival</w:t>
            </w:r>
          </w:p>
        </w:tc>
      </w:tr>
      <w:tr w:rsidR="000D30A5" w:rsidRPr="00E2771E" w:rsidTr="000D30A5">
        <w:tc>
          <w:tcPr>
            <w:tcW w:w="1095" w:type="pct"/>
            <w:shd w:val="clear" w:color="auto" w:fill="auto"/>
            <w:vAlign w:val="center"/>
          </w:tcPr>
          <w:p w:rsidR="000D30A5" w:rsidRPr="00DE5450" w:rsidRDefault="000D30A5" w:rsidP="000A7EB2">
            <w:pPr>
              <w:widowControl/>
              <w:rPr>
                <w:rFonts w:ascii="Arial Narrow" w:hAnsi="Arial Narrow"/>
                <w:color w:val="000000"/>
                <w:sz w:val="20"/>
              </w:rPr>
            </w:pPr>
            <w:r>
              <w:rPr>
                <w:rFonts w:ascii="Arial Narrow" w:hAnsi="Arial Narrow"/>
                <w:color w:val="000000"/>
                <w:sz w:val="20"/>
              </w:rPr>
              <w:t>Died</w:t>
            </w:r>
          </w:p>
        </w:tc>
        <w:tc>
          <w:tcPr>
            <w:tcW w:w="1024" w:type="pct"/>
            <w:vAlign w:val="center"/>
          </w:tcPr>
          <w:p w:rsidR="000D30A5"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0D30A5">
              <w:rPr>
                <w:rFonts w:ascii="Arial Narrow" w:hAnsi="Arial Narrow"/>
                <w:sz w:val="20"/>
              </w:rPr>
              <w:t>/</w:t>
            </w:r>
            <w:r>
              <w:rPr>
                <w:rFonts w:ascii="Arial Narrow" w:hAnsi="Arial Narrow"/>
                <w:noProof/>
                <w:color w:val="000000"/>
                <w:sz w:val="20"/>
                <w:highlight w:val="black"/>
              </w:rPr>
              <w:t>''''''''''</w:t>
            </w:r>
            <w:r w:rsidR="000D30A5">
              <w:rPr>
                <w:rFonts w:ascii="Arial Narrow" w:hAnsi="Arial Narrow"/>
                <w:sz w:val="20"/>
              </w:rPr>
              <w:t xml:space="preserve"> (</w:t>
            </w:r>
            <w:r>
              <w:rPr>
                <w:rFonts w:ascii="Arial Narrow" w:hAnsi="Arial Narrow"/>
                <w:noProof/>
                <w:color w:val="000000"/>
                <w:sz w:val="20"/>
                <w:highlight w:val="black"/>
              </w:rPr>
              <w:t>''''''''''</w:t>
            </w:r>
            <w:r w:rsidR="000D30A5">
              <w:rPr>
                <w:rFonts w:ascii="Arial Narrow" w:hAnsi="Arial Narrow"/>
                <w:sz w:val="20"/>
              </w:rPr>
              <w:t>%)</w:t>
            </w:r>
          </w:p>
        </w:tc>
        <w:tc>
          <w:tcPr>
            <w:tcW w:w="932" w:type="pct"/>
            <w:vAlign w:val="center"/>
          </w:tcPr>
          <w:p w:rsidR="000D30A5"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0D30A5">
              <w:rPr>
                <w:rFonts w:ascii="Arial Narrow" w:hAnsi="Arial Narrow"/>
                <w:sz w:val="20"/>
              </w:rPr>
              <w:t>/</w:t>
            </w:r>
            <w:r>
              <w:rPr>
                <w:rFonts w:ascii="Arial Narrow" w:hAnsi="Arial Narrow"/>
                <w:noProof/>
                <w:color w:val="000000"/>
                <w:sz w:val="20"/>
                <w:highlight w:val="black"/>
              </w:rPr>
              <w:t>'''''''''</w:t>
            </w:r>
            <w:r w:rsidR="000D30A5">
              <w:rPr>
                <w:rFonts w:ascii="Arial Narrow" w:hAnsi="Arial Narrow"/>
                <w:sz w:val="20"/>
              </w:rPr>
              <w:t xml:space="preserve"> (</w:t>
            </w:r>
            <w:r>
              <w:rPr>
                <w:rFonts w:ascii="Arial Narrow" w:hAnsi="Arial Narrow"/>
                <w:noProof/>
                <w:color w:val="000000"/>
                <w:sz w:val="20"/>
                <w:highlight w:val="black"/>
              </w:rPr>
              <w:t>''''''''''</w:t>
            </w:r>
            <w:r w:rsidR="000D30A5">
              <w:rPr>
                <w:rFonts w:ascii="Arial Narrow" w:hAnsi="Arial Narrow"/>
                <w:sz w:val="20"/>
              </w:rPr>
              <w:t>%)</w:t>
            </w:r>
          </w:p>
        </w:tc>
        <w:tc>
          <w:tcPr>
            <w:tcW w:w="1018" w:type="pct"/>
            <w:vMerge w:val="restart"/>
            <w:vAlign w:val="center"/>
          </w:tcPr>
          <w:p w:rsidR="000D30A5" w:rsidRPr="00DE5450" w:rsidRDefault="002A4E9A" w:rsidP="000A7EB2">
            <w:pPr>
              <w:jc w:val="center"/>
              <w:rPr>
                <w:rFonts w:ascii="Arial Narrow" w:hAnsi="Arial Narrow"/>
                <w:color w:val="000000"/>
                <w:sz w:val="20"/>
              </w:rPr>
            </w:pPr>
            <w:r>
              <w:rPr>
                <w:rFonts w:ascii="Arial Narrow" w:hAnsi="Arial Narrow"/>
                <w:noProof/>
                <w:color w:val="000000"/>
                <w:sz w:val="20"/>
                <w:highlight w:val="black"/>
              </w:rPr>
              <w:t>'''''''</w:t>
            </w:r>
            <w:r w:rsidR="000D30A5">
              <w:rPr>
                <w:rFonts w:ascii="Arial Narrow" w:hAnsi="Arial Narrow"/>
                <w:color w:val="000000"/>
                <w:sz w:val="20"/>
              </w:rPr>
              <w:t xml:space="preserve"> weeks</w:t>
            </w:r>
          </w:p>
        </w:tc>
        <w:tc>
          <w:tcPr>
            <w:tcW w:w="931" w:type="pct"/>
            <w:vMerge w:val="restart"/>
            <w:vAlign w:val="center"/>
          </w:tcPr>
          <w:p w:rsidR="000D30A5" w:rsidRPr="00DE5450" w:rsidRDefault="002A4E9A" w:rsidP="000A7EB2">
            <w:pPr>
              <w:widowControl/>
              <w:jc w:val="center"/>
              <w:rPr>
                <w:rFonts w:ascii="Arial Narrow" w:hAnsi="Arial Narrow"/>
                <w:color w:val="000000"/>
                <w:sz w:val="20"/>
              </w:rPr>
            </w:pPr>
            <w:r>
              <w:rPr>
                <w:rFonts w:ascii="Arial Narrow" w:hAnsi="Arial Narrow"/>
                <w:noProof/>
                <w:color w:val="000000"/>
                <w:sz w:val="20"/>
                <w:highlight w:val="black"/>
              </w:rPr>
              <w:t>''''''''''''</w:t>
            </w:r>
            <w:r w:rsidR="000D30A5">
              <w:rPr>
                <w:rFonts w:ascii="Arial Narrow" w:hAnsi="Arial Narrow"/>
                <w:color w:val="000000"/>
                <w:sz w:val="20"/>
              </w:rPr>
              <w:t xml:space="preserve"> (</w:t>
            </w:r>
            <w:r>
              <w:rPr>
                <w:rFonts w:ascii="Arial Narrow" w:hAnsi="Arial Narrow"/>
                <w:noProof/>
                <w:color w:val="000000"/>
                <w:sz w:val="20"/>
                <w:highlight w:val="black"/>
              </w:rPr>
              <w:t>'''''''''''</w:t>
            </w:r>
            <w:r w:rsidR="000D30A5">
              <w:rPr>
                <w:rFonts w:ascii="Arial Narrow" w:hAnsi="Arial Narrow"/>
                <w:color w:val="000000"/>
                <w:sz w:val="20"/>
              </w:rPr>
              <w:t xml:space="preserve">, </w:t>
            </w:r>
            <w:r>
              <w:rPr>
                <w:rFonts w:ascii="Arial Narrow" w:hAnsi="Arial Narrow"/>
                <w:noProof/>
                <w:color w:val="000000"/>
                <w:sz w:val="20"/>
                <w:highlight w:val="black"/>
              </w:rPr>
              <w:t>'''''''''''</w:t>
            </w:r>
            <w:r w:rsidR="000D30A5">
              <w:rPr>
                <w:rFonts w:ascii="Arial Narrow" w:hAnsi="Arial Narrow"/>
                <w:color w:val="000000"/>
                <w:sz w:val="20"/>
              </w:rPr>
              <w:t>)</w:t>
            </w:r>
          </w:p>
        </w:tc>
      </w:tr>
      <w:tr w:rsidR="000D30A5" w:rsidRPr="00E2771E" w:rsidTr="000D30A5">
        <w:tc>
          <w:tcPr>
            <w:tcW w:w="1095" w:type="pct"/>
            <w:shd w:val="clear" w:color="auto" w:fill="auto"/>
            <w:vAlign w:val="center"/>
          </w:tcPr>
          <w:p w:rsidR="000D30A5" w:rsidRPr="00DE5450" w:rsidRDefault="000D30A5" w:rsidP="000A7EB2">
            <w:pPr>
              <w:widowControl/>
              <w:rPr>
                <w:rFonts w:ascii="Arial Narrow" w:hAnsi="Arial Narrow"/>
                <w:color w:val="000000"/>
                <w:sz w:val="20"/>
              </w:rPr>
            </w:pPr>
            <w:r>
              <w:rPr>
                <w:rFonts w:ascii="Arial Narrow" w:hAnsi="Arial Narrow"/>
                <w:color w:val="000000"/>
                <w:sz w:val="20"/>
              </w:rPr>
              <w:t>Median OS</w:t>
            </w:r>
            <w:r w:rsidRPr="00DE5450">
              <w:rPr>
                <w:rFonts w:ascii="Arial Narrow" w:hAnsi="Arial Narrow"/>
                <w:color w:val="000000"/>
                <w:sz w:val="20"/>
              </w:rPr>
              <w:t xml:space="preserve"> (weeks)</w:t>
            </w:r>
          </w:p>
        </w:tc>
        <w:tc>
          <w:tcPr>
            <w:tcW w:w="1024" w:type="pct"/>
            <w:vAlign w:val="center"/>
          </w:tcPr>
          <w:p w:rsidR="000D30A5"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932" w:type="pct"/>
            <w:vAlign w:val="center"/>
          </w:tcPr>
          <w:p w:rsidR="000D30A5"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1018" w:type="pct"/>
            <w:vMerge/>
            <w:vAlign w:val="center"/>
          </w:tcPr>
          <w:p w:rsidR="000D30A5" w:rsidRPr="00DE5450" w:rsidRDefault="000D30A5" w:rsidP="000A7EB2">
            <w:pPr>
              <w:widowControl/>
              <w:jc w:val="center"/>
              <w:rPr>
                <w:rFonts w:ascii="Arial Narrow" w:hAnsi="Arial Narrow"/>
                <w:color w:val="000000"/>
                <w:sz w:val="20"/>
              </w:rPr>
            </w:pPr>
          </w:p>
        </w:tc>
        <w:tc>
          <w:tcPr>
            <w:tcW w:w="931" w:type="pct"/>
            <w:vMerge/>
            <w:vAlign w:val="center"/>
          </w:tcPr>
          <w:p w:rsidR="000D30A5" w:rsidRPr="00DE5450" w:rsidRDefault="000D30A5" w:rsidP="000A7EB2">
            <w:pPr>
              <w:widowControl/>
              <w:jc w:val="center"/>
              <w:rPr>
                <w:rFonts w:ascii="Arial Narrow" w:hAnsi="Arial Narrow"/>
                <w:color w:val="000000"/>
                <w:sz w:val="20"/>
              </w:rPr>
            </w:pPr>
          </w:p>
        </w:tc>
      </w:tr>
      <w:tr w:rsidR="002E1499" w:rsidRPr="00E2771E" w:rsidTr="005338B9">
        <w:tc>
          <w:tcPr>
            <w:tcW w:w="5000" w:type="pct"/>
            <w:gridSpan w:val="5"/>
            <w:shd w:val="clear" w:color="auto" w:fill="auto"/>
            <w:vAlign w:val="center"/>
          </w:tcPr>
          <w:p w:rsidR="002E1499" w:rsidRPr="00DE5450" w:rsidRDefault="00241097" w:rsidP="000A7EB2">
            <w:pPr>
              <w:widowControl/>
              <w:jc w:val="left"/>
              <w:rPr>
                <w:rFonts w:ascii="Arial Narrow" w:hAnsi="Arial Narrow"/>
                <w:b/>
                <w:color w:val="000000"/>
                <w:sz w:val="20"/>
              </w:rPr>
            </w:pPr>
            <w:r>
              <w:rPr>
                <w:rFonts w:ascii="Arial Narrow" w:hAnsi="Arial Narrow"/>
                <w:b/>
                <w:color w:val="000000"/>
                <w:sz w:val="20"/>
              </w:rPr>
              <w:t>Progression-free</w:t>
            </w:r>
            <w:r w:rsidR="002E1499" w:rsidRPr="00DE5450">
              <w:rPr>
                <w:rFonts w:ascii="Arial Narrow" w:hAnsi="Arial Narrow"/>
                <w:b/>
                <w:color w:val="000000"/>
                <w:sz w:val="20"/>
              </w:rPr>
              <w:t xml:space="preserve"> survival</w:t>
            </w:r>
          </w:p>
        </w:tc>
      </w:tr>
      <w:tr w:rsidR="000D30A5" w:rsidRPr="00E2771E" w:rsidTr="000D30A5">
        <w:tc>
          <w:tcPr>
            <w:tcW w:w="1095" w:type="pct"/>
            <w:shd w:val="clear" w:color="auto" w:fill="auto"/>
            <w:vAlign w:val="center"/>
          </w:tcPr>
          <w:p w:rsidR="000D30A5" w:rsidRPr="00DE5450" w:rsidRDefault="000D30A5" w:rsidP="000A7EB2">
            <w:pPr>
              <w:widowControl/>
              <w:rPr>
                <w:rFonts w:ascii="Arial Narrow" w:hAnsi="Arial Narrow"/>
                <w:color w:val="000000"/>
                <w:sz w:val="20"/>
              </w:rPr>
            </w:pPr>
            <w:r>
              <w:rPr>
                <w:rFonts w:ascii="Arial Narrow" w:hAnsi="Arial Narrow"/>
                <w:color w:val="000000"/>
                <w:sz w:val="20"/>
              </w:rPr>
              <w:t>Progressed or died</w:t>
            </w:r>
          </w:p>
        </w:tc>
        <w:tc>
          <w:tcPr>
            <w:tcW w:w="1024" w:type="pct"/>
          </w:tcPr>
          <w:p w:rsidR="000D30A5"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0D30A5">
              <w:rPr>
                <w:rFonts w:ascii="Arial Narrow" w:hAnsi="Arial Narrow"/>
                <w:sz w:val="20"/>
              </w:rPr>
              <w:t>/</w:t>
            </w:r>
            <w:r>
              <w:rPr>
                <w:rFonts w:ascii="Arial Narrow" w:hAnsi="Arial Narrow"/>
                <w:noProof/>
                <w:color w:val="000000"/>
                <w:sz w:val="20"/>
                <w:highlight w:val="black"/>
              </w:rPr>
              <w:t>''''''''''</w:t>
            </w:r>
            <w:r w:rsidR="000D30A5">
              <w:rPr>
                <w:rFonts w:ascii="Arial Narrow" w:hAnsi="Arial Narrow"/>
                <w:sz w:val="20"/>
              </w:rPr>
              <w:t xml:space="preserve"> (</w:t>
            </w:r>
            <w:r>
              <w:rPr>
                <w:rFonts w:ascii="Arial Narrow" w:hAnsi="Arial Narrow"/>
                <w:noProof/>
                <w:color w:val="000000"/>
                <w:sz w:val="20"/>
                <w:highlight w:val="black"/>
              </w:rPr>
              <w:t>'''''''''''</w:t>
            </w:r>
            <w:r w:rsidR="000D30A5">
              <w:rPr>
                <w:rFonts w:ascii="Arial Narrow" w:hAnsi="Arial Narrow"/>
                <w:sz w:val="20"/>
              </w:rPr>
              <w:t>%)</w:t>
            </w:r>
          </w:p>
        </w:tc>
        <w:tc>
          <w:tcPr>
            <w:tcW w:w="932" w:type="pct"/>
          </w:tcPr>
          <w:p w:rsidR="000D30A5"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0D30A5">
              <w:rPr>
                <w:rFonts w:ascii="Arial Narrow" w:hAnsi="Arial Narrow"/>
                <w:sz w:val="20"/>
              </w:rPr>
              <w:t>/</w:t>
            </w:r>
            <w:r>
              <w:rPr>
                <w:rFonts w:ascii="Arial Narrow" w:hAnsi="Arial Narrow"/>
                <w:noProof/>
                <w:color w:val="000000"/>
                <w:sz w:val="20"/>
                <w:highlight w:val="black"/>
              </w:rPr>
              <w:t>''''''''</w:t>
            </w:r>
            <w:r w:rsidR="000D30A5">
              <w:rPr>
                <w:rFonts w:ascii="Arial Narrow" w:hAnsi="Arial Narrow"/>
                <w:sz w:val="20"/>
              </w:rPr>
              <w:t xml:space="preserve"> (</w:t>
            </w:r>
            <w:r>
              <w:rPr>
                <w:rFonts w:ascii="Arial Narrow" w:hAnsi="Arial Narrow"/>
                <w:noProof/>
                <w:color w:val="000000"/>
                <w:sz w:val="20"/>
                <w:highlight w:val="black"/>
              </w:rPr>
              <w:t>'''''''''''</w:t>
            </w:r>
            <w:r w:rsidR="000D30A5">
              <w:rPr>
                <w:rFonts w:ascii="Arial Narrow" w:hAnsi="Arial Narrow"/>
                <w:sz w:val="20"/>
              </w:rPr>
              <w:t>%)</w:t>
            </w:r>
          </w:p>
        </w:tc>
        <w:tc>
          <w:tcPr>
            <w:tcW w:w="1018" w:type="pct"/>
            <w:vMerge w:val="restart"/>
            <w:vAlign w:val="center"/>
          </w:tcPr>
          <w:p w:rsidR="000D30A5" w:rsidRPr="00DE5450" w:rsidRDefault="002A4E9A" w:rsidP="000A7EB2">
            <w:pPr>
              <w:jc w:val="center"/>
              <w:rPr>
                <w:rFonts w:ascii="Arial Narrow" w:hAnsi="Arial Narrow"/>
                <w:color w:val="000000"/>
                <w:sz w:val="20"/>
              </w:rPr>
            </w:pPr>
            <w:r>
              <w:rPr>
                <w:rFonts w:ascii="Arial Narrow" w:hAnsi="Arial Narrow"/>
                <w:noProof/>
                <w:color w:val="000000"/>
                <w:sz w:val="20"/>
                <w:highlight w:val="black"/>
              </w:rPr>
              <w:t>'''''''</w:t>
            </w:r>
            <w:r w:rsidR="000D30A5">
              <w:rPr>
                <w:rFonts w:ascii="Arial Narrow" w:hAnsi="Arial Narrow"/>
                <w:color w:val="000000"/>
                <w:sz w:val="20"/>
              </w:rPr>
              <w:t xml:space="preserve"> weeks</w:t>
            </w:r>
          </w:p>
        </w:tc>
        <w:tc>
          <w:tcPr>
            <w:tcW w:w="931" w:type="pct"/>
            <w:vMerge w:val="restart"/>
            <w:vAlign w:val="center"/>
          </w:tcPr>
          <w:p w:rsidR="000D30A5" w:rsidRPr="00DE5450" w:rsidRDefault="002A4E9A" w:rsidP="000A7EB2">
            <w:pPr>
              <w:widowControl/>
              <w:jc w:val="center"/>
              <w:rPr>
                <w:rFonts w:ascii="Arial Narrow" w:hAnsi="Arial Narrow"/>
                <w:color w:val="000000"/>
                <w:sz w:val="20"/>
              </w:rPr>
            </w:pPr>
            <w:r>
              <w:rPr>
                <w:rFonts w:ascii="Arial Narrow" w:hAnsi="Arial Narrow"/>
                <w:noProof/>
                <w:color w:val="000000"/>
                <w:sz w:val="20"/>
                <w:highlight w:val="black"/>
              </w:rPr>
              <w:t>'''''''''''</w:t>
            </w:r>
            <w:r w:rsidR="000D30A5">
              <w:rPr>
                <w:rFonts w:ascii="Arial Narrow" w:hAnsi="Arial Narrow"/>
                <w:color w:val="000000"/>
                <w:sz w:val="20"/>
              </w:rPr>
              <w:t xml:space="preserve"> (</w:t>
            </w:r>
            <w:r>
              <w:rPr>
                <w:rFonts w:ascii="Arial Narrow" w:hAnsi="Arial Narrow"/>
                <w:noProof/>
                <w:color w:val="000000"/>
                <w:sz w:val="20"/>
                <w:highlight w:val="black"/>
              </w:rPr>
              <w:t>''''''''''</w:t>
            </w:r>
            <w:r w:rsidR="000D30A5">
              <w:rPr>
                <w:rFonts w:ascii="Arial Narrow" w:hAnsi="Arial Narrow"/>
                <w:color w:val="000000"/>
                <w:sz w:val="20"/>
              </w:rPr>
              <w:t xml:space="preserve">, </w:t>
            </w:r>
            <w:r>
              <w:rPr>
                <w:rFonts w:ascii="Arial Narrow" w:hAnsi="Arial Narrow"/>
                <w:noProof/>
                <w:color w:val="000000"/>
                <w:sz w:val="20"/>
                <w:highlight w:val="black"/>
              </w:rPr>
              <w:t>''''''''''</w:t>
            </w:r>
            <w:r w:rsidR="000D30A5">
              <w:rPr>
                <w:rFonts w:ascii="Arial Narrow" w:hAnsi="Arial Narrow"/>
                <w:color w:val="000000"/>
                <w:sz w:val="20"/>
              </w:rPr>
              <w:t>)</w:t>
            </w:r>
          </w:p>
        </w:tc>
      </w:tr>
      <w:tr w:rsidR="000D30A5" w:rsidRPr="00E2771E" w:rsidTr="000D30A5">
        <w:tc>
          <w:tcPr>
            <w:tcW w:w="1095" w:type="pct"/>
            <w:shd w:val="clear" w:color="auto" w:fill="auto"/>
            <w:vAlign w:val="center"/>
          </w:tcPr>
          <w:p w:rsidR="000D30A5" w:rsidRPr="00DE5450" w:rsidRDefault="000D30A5" w:rsidP="000A7EB2">
            <w:pPr>
              <w:widowControl/>
              <w:rPr>
                <w:rFonts w:ascii="Arial Narrow" w:hAnsi="Arial Narrow"/>
                <w:color w:val="000000"/>
                <w:sz w:val="20"/>
              </w:rPr>
            </w:pPr>
            <w:r>
              <w:rPr>
                <w:rFonts w:ascii="Arial Narrow" w:hAnsi="Arial Narrow"/>
                <w:color w:val="000000"/>
                <w:sz w:val="20"/>
              </w:rPr>
              <w:t xml:space="preserve">Median PFS </w:t>
            </w:r>
            <w:r w:rsidRPr="00DE5450">
              <w:rPr>
                <w:rFonts w:ascii="Arial Narrow" w:hAnsi="Arial Narrow"/>
                <w:color w:val="000000"/>
                <w:sz w:val="20"/>
              </w:rPr>
              <w:t>(weeks)</w:t>
            </w:r>
          </w:p>
        </w:tc>
        <w:tc>
          <w:tcPr>
            <w:tcW w:w="1024" w:type="pct"/>
            <w:vAlign w:val="center"/>
          </w:tcPr>
          <w:p w:rsidR="000D30A5"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932" w:type="pct"/>
            <w:vAlign w:val="center"/>
          </w:tcPr>
          <w:p w:rsidR="000D30A5"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1018" w:type="pct"/>
            <w:vMerge/>
            <w:vAlign w:val="center"/>
          </w:tcPr>
          <w:p w:rsidR="000D30A5" w:rsidRPr="00DE5450" w:rsidRDefault="000D30A5" w:rsidP="000A7EB2">
            <w:pPr>
              <w:widowControl/>
              <w:jc w:val="center"/>
              <w:rPr>
                <w:rFonts w:ascii="Arial Narrow" w:hAnsi="Arial Narrow"/>
                <w:color w:val="000000"/>
                <w:sz w:val="20"/>
              </w:rPr>
            </w:pPr>
          </w:p>
        </w:tc>
        <w:tc>
          <w:tcPr>
            <w:tcW w:w="931" w:type="pct"/>
            <w:vMerge/>
            <w:vAlign w:val="center"/>
          </w:tcPr>
          <w:p w:rsidR="000D30A5" w:rsidRPr="00DE5450" w:rsidRDefault="000D30A5" w:rsidP="000A7EB2">
            <w:pPr>
              <w:widowControl/>
              <w:jc w:val="center"/>
              <w:rPr>
                <w:rFonts w:ascii="Arial Narrow" w:hAnsi="Arial Narrow"/>
                <w:color w:val="000000"/>
                <w:sz w:val="20"/>
              </w:rPr>
            </w:pPr>
          </w:p>
        </w:tc>
      </w:tr>
      <w:tr w:rsidR="002E1499" w:rsidRPr="00E2771E" w:rsidTr="000D30A5">
        <w:tc>
          <w:tcPr>
            <w:tcW w:w="1095" w:type="pct"/>
            <w:vMerge w:val="restart"/>
            <w:shd w:val="clear" w:color="auto" w:fill="auto"/>
            <w:vAlign w:val="center"/>
          </w:tcPr>
          <w:p w:rsidR="002E1499" w:rsidRPr="00DE5450" w:rsidRDefault="002E1499" w:rsidP="000A7EB2">
            <w:pPr>
              <w:widowControl/>
              <w:rPr>
                <w:rFonts w:ascii="Arial Narrow" w:hAnsi="Arial Narrow"/>
                <w:b/>
                <w:color w:val="000000"/>
                <w:sz w:val="20"/>
              </w:rPr>
            </w:pPr>
            <w:r w:rsidRPr="00DE5450">
              <w:rPr>
                <w:rFonts w:ascii="Arial Narrow" w:hAnsi="Arial Narrow"/>
                <w:b/>
                <w:color w:val="000000"/>
                <w:sz w:val="20"/>
              </w:rPr>
              <w:t>Harms</w:t>
            </w:r>
          </w:p>
        </w:tc>
        <w:tc>
          <w:tcPr>
            <w:tcW w:w="1024" w:type="pct"/>
            <w:vMerge w:val="restart"/>
            <w:vAlign w:val="center"/>
          </w:tcPr>
          <w:p w:rsidR="002E1499" w:rsidRPr="00DE5450" w:rsidRDefault="00C82D5A" w:rsidP="000A7EB2">
            <w:pPr>
              <w:widowControl/>
              <w:jc w:val="center"/>
              <w:rPr>
                <w:rFonts w:ascii="Arial Narrow" w:hAnsi="Arial Narrow"/>
                <w:b/>
                <w:sz w:val="20"/>
              </w:rPr>
            </w:pPr>
            <w:r>
              <w:rPr>
                <w:rFonts w:ascii="Arial Narrow" w:hAnsi="Arial Narrow"/>
                <w:b/>
                <w:sz w:val="20"/>
              </w:rPr>
              <w:t>Irinotecan (nanoliposomal)</w:t>
            </w:r>
          </w:p>
        </w:tc>
        <w:tc>
          <w:tcPr>
            <w:tcW w:w="932" w:type="pct"/>
            <w:vMerge w:val="restart"/>
            <w:vAlign w:val="center"/>
          </w:tcPr>
          <w:p w:rsidR="002E1499" w:rsidRPr="00DE5450" w:rsidRDefault="00241097" w:rsidP="000A7EB2">
            <w:pPr>
              <w:widowControl/>
              <w:jc w:val="center"/>
              <w:rPr>
                <w:rFonts w:ascii="Arial Narrow" w:hAnsi="Arial Narrow"/>
                <w:b/>
                <w:sz w:val="20"/>
              </w:rPr>
            </w:pPr>
            <w:r>
              <w:rPr>
                <w:rFonts w:ascii="Arial Narrow" w:hAnsi="Arial Narrow"/>
                <w:b/>
                <w:sz w:val="20"/>
              </w:rPr>
              <w:t>5-FU/folinic acid</w:t>
            </w:r>
          </w:p>
        </w:tc>
        <w:tc>
          <w:tcPr>
            <w:tcW w:w="1949" w:type="pct"/>
            <w:gridSpan w:val="2"/>
            <w:vAlign w:val="center"/>
          </w:tcPr>
          <w:p w:rsidR="002E1499" w:rsidRPr="00DE5450" w:rsidRDefault="00B53C4B" w:rsidP="000A7EB2">
            <w:pPr>
              <w:widowControl/>
              <w:jc w:val="center"/>
              <w:rPr>
                <w:rFonts w:ascii="Arial Narrow" w:hAnsi="Arial Narrow"/>
                <w:b/>
                <w:color w:val="000000"/>
                <w:sz w:val="20"/>
              </w:rPr>
            </w:pPr>
            <w:r>
              <w:rPr>
                <w:rFonts w:ascii="Arial Narrow" w:hAnsi="Arial Narrow"/>
                <w:b/>
                <w:color w:val="000000"/>
                <w:sz w:val="20"/>
              </w:rPr>
              <w:t>Fatal</w:t>
            </w:r>
            <w:r w:rsidR="002C7F76">
              <w:rPr>
                <w:rFonts w:ascii="Arial Narrow" w:hAnsi="Arial Narrow"/>
                <w:b/>
                <w:color w:val="000000"/>
                <w:sz w:val="20"/>
              </w:rPr>
              <w:t xml:space="preserve"> or life-threatening</w:t>
            </w:r>
          </w:p>
        </w:tc>
      </w:tr>
      <w:tr w:rsidR="002E1499" w:rsidRPr="00E2771E" w:rsidTr="000D30A5">
        <w:tc>
          <w:tcPr>
            <w:tcW w:w="1095" w:type="pct"/>
            <w:vMerge/>
            <w:shd w:val="clear" w:color="auto" w:fill="auto"/>
            <w:vAlign w:val="center"/>
          </w:tcPr>
          <w:p w:rsidR="002E1499" w:rsidRPr="00DE5450" w:rsidRDefault="002E1499" w:rsidP="000A7EB2">
            <w:pPr>
              <w:widowControl/>
              <w:rPr>
                <w:rFonts w:ascii="Arial Narrow" w:hAnsi="Arial Narrow"/>
                <w:b/>
                <w:color w:val="000000"/>
                <w:sz w:val="20"/>
              </w:rPr>
            </w:pPr>
          </w:p>
        </w:tc>
        <w:tc>
          <w:tcPr>
            <w:tcW w:w="1024" w:type="pct"/>
            <w:vMerge/>
            <w:vAlign w:val="center"/>
          </w:tcPr>
          <w:p w:rsidR="002E1499" w:rsidRPr="00DE5450" w:rsidRDefault="002E1499" w:rsidP="000A7EB2">
            <w:pPr>
              <w:widowControl/>
              <w:jc w:val="center"/>
              <w:rPr>
                <w:rFonts w:ascii="Arial Narrow" w:hAnsi="Arial Narrow"/>
                <w:b/>
                <w:sz w:val="20"/>
              </w:rPr>
            </w:pPr>
          </w:p>
        </w:tc>
        <w:tc>
          <w:tcPr>
            <w:tcW w:w="932" w:type="pct"/>
            <w:vMerge/>
            <w:vAlign w:val="center"/>
          </w:tcPr>
          <w:p w:rsidR="002E1499" w:rsidRPr="00DE5450" w:rsidRDefault="002E1499" w:rsidP="000A7EB2">
            <w:pPr>
              <w:widowControl/>
              <w:jc w:val="center"/>
              <w:rPr>
                <w:rFonts w:ascii="Arial Narrow" w:hAnsi="Arial Narrow"/>
                <w:b/>
                <w:sz w:val="20"/>
              </w:rPr>
            </w:pPr>
          </w:p>
        </w:tc>
        <w:tc>
          <w:tcPr>
            <w:tcW w:w="1018" w:type="pct"/>
            <w:vAlign w:val="center"/>
          </w:tcPr>
          <w:p w:rsidR="002E1499" w:rsidRPr="00DE5450" w:rsidRDefault="00C82D5A" w:rsidP="000A7EB2">
            <w:pPr>
              <w:widowControl/>
              <w:jc w:val="center"/>
              <w:rPr>
                <w:rFonts w:ascii="Arial Narrow" w:hAnsi="Arial Narrow"/>
                <w:b/>
                <w:sz w:val="20"/>
              </w:rPr>
            </w:pPr>
            <w:r>
              <w:rPr>
                <w:rFonts w:ascii="Arial Narrow" w:hAnsi="Arial Narrow"/>
                <w:b/>
                <w:sz w:val="20"/>
              </w:rPr>
              <w:t>Irinotecan (nanoliposomal)</w:t>
            </w:r>
          </w:p>
        </w:tc>
        <w:tc>
          <w:tcPr>
            <w:tcW w:w="931" w:type="pct"/>
            <w:vAlign w:val="center"/>
          </w:tcPr>
          <w:p w:rsidR="002E1499" w:rsidRPr="00DE5450" w:rsidRDefault="002C7F76" w:rsidP="000A7EB2">
            <w:pPr>
              <w:widowControl/>
              <w:jc w:val="center"/>
              <w:rPr>
                <w:rFonts w:ascii="Arial Narrow" w:hAnsi="Arial Narrow"/>
                <w:b/>
                <w:sz w:val="20"/>
              </w:rPr>
            </w:pPr>
            <w:r>
              <w:rPr>
                <w:rFonts w:ascii="Arial Narrow" w:hAnsi="Arial Narrow"/>
                <w:b/>
                <w:sz w:val="20"/>
              </w:rPr>
              <w:t>5-FU/folin</w:t>
            </w:r>
            <w:r w:rsidR="00754E9C">
              <w:rPr>
                <w:rFonts w:ascii="Arial Narrow" w:hAnsi="Arial Narrow"/>
                <w:b/>
                <w:sz w:val="20"/>
              </w:rPr>
              <w:t>i</w:t>
            </w:r>
            <w:r>
              <w:rPr>
                <w:rFonts w:ascii="Arial Narrow" w:hAnsi="Arial Narrow"/>
                <w:b/>
                <w:sz w:val="20"/>
              </w:rPr>
              <w:t>c acid</w:t>
            </w:r>
          </w:p>
        </w:tc>
      </w:tr>
      <w:tr w:rsidR="002E1499" w:rsidRPr="00E2771E" w:rsidTr="000D30A5">
        <w:tc>
          <w:tcPr>
            <w:tcW w:w="1095" w:type="pct"/>
            <w:shd w:val="clear" w:color="auto" w:fill="auto"/>
            <w:vAlign w:val="center"/>
          </w:tcPr>
          <w:p w:rsidR="002E1499" w:rsidRPr="00DE5450" w:rsidRDefault="002C7F76" w:rsidP="000A7EB2">
            <w:pPr>
              <w:widowControl/>
              <w:rPr>
                <w:rFonts w:ascii="Arial Narrow" w:hAnsi="Arial Narrow"/>
                <w:color w:val="000000"/>
                <w:sz w:val="20"/>
              </w:rPr>
            </w:pPr>
            <w:r>
              <w:rPr>
                <w:rFonts w:ascii="Arial Narrow" w:hAnsi="Arial Narrow"/>
                <w:color w:val="000000"/>
                <w:sz w:val="20"/>
              </w:rPr>
              <w:t>Diarrhoea</w:t>
            </w:r>
          </w:p>
        </w:tc>
        <w:tc>
          <w:tcPr>
            <w:tcW w:w="1024" w:type="pct"/>
            <w:vAlign w:val="center"/>
          </w:tcPr>
          <w:p w:rsidR="002E1499"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C7F76">
              <w:rPr>
                <w:rFonts w:ascii="Arial Narrow" w:hAnsi="Arial Narrow"/>
                <w:sz w:val="20"/>
              </w:rPr>
              <w:t>/</w:t>
            </w:r>
            <w:r>
              <w:rPr>
                <w:rFonts w:ascii="Arial Narrow" w:hAnsi="Arial Narrow"/>
                <w:noProof/>
                <w:color w:val="000000"/>
                <w:sz w:val="20"/>
                <w:highlight w:val="black"/>
              </w:rPr>
              <w:t>'''''''''</w:t>
            </w:r>
            <w:r w:rsidR="002C7F76">
              <w:rPr>
                <w:rFonts w:ascii="Arial Narrow" w:hAnsi="Arial Narrow"/>
                <w:sz w:val="20"/>
              </w:rPr>
              <w:t xml:space="preserve"> (</w:t>
            </w:r>
            <w:r>
              <w:rPr>
                <w:rFonts w:ascii="Arial Narrow" w:hAnsi="Arial Narrow"/>
                <w:noProof/>
                <w:color w:val="000000"/>
                <w:sz w:val="20"/>
                <w:highlight w:val="black"/>
              </w:rPr>
              <w:t>'''''''''''</w:t>
            </w:r>
            <w:r w:rsidR="002C7F76">
              <w:rPr>
                <w:rFonts w:ascii="Arial Narrow" w:hAnsi="Arial Narrow"/>
                <w:sz w:val="20"/>
              </w:rPr>
              <w:t>%)</w:t>
            </w:r>
          </w:p>
        </w:tc>
        <w:tc>
          <w:tcPr>
            <w:tcW w:w="932" w:type="pct"/>
            <w:vAlign w:val="center"/>
          </w:tcPr>
          <w:p w:rsidR="002E1499"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C7F76">
              <w:rPr>
                <w:rFonts w:ascii="Arial Narrow" w:hAnsi="Arial Narrow"/>
                <w:sz w:val="20"/>
              </w:rPr>
              <w:t>/</w:t>
            </w:r>
            <w:r>
              <w:rPr>
                <w:rFonts w:ascii="Arial Narrow" w:hAnsi="Arial Narrow"/>
                <w:noProof/>
                <w:color w:val="000000"/>
                <w:sz w:val="20"/>
                <w:highlight w:val="black"/>
              </w:rPr>
              <w:t>''''''''''</w:t>
            </w:r>
            <w:r w:rsidR="002C7F76">
              <w:rPr>
                <w:rFonts w:ascii="Arial Narrow" w:hAnsi="Arial Narrow"/>
                <w:sz w:val="20"/>
              </w:rPr>
              <w:t xml:space="preserve"> (</w:t>
            </w:r>
            <w:r>
              <w:rPr>
                <w:rFonts w:ascii="Arial Narrow" w:hAnsi="Arial Narrow"/>
                <w:noProof/>
                <w:color w:val="000000"/>
                <w:sz w:val="20"/>
                <w:highlight w:val="black"/>
              </w:rPr>
              <w:t>'''''''''''</w:t>
            </w:r>
            <w:r w:rsidR="002C7F76">
              <w:rPr>
                <w:rFonts w:ascii="Arial Narrow" w:hAnsi="Arial Narrow"/>
                <w:sz w:val="20"/>
              </w:rPr>
              <w:t>%)</w:t>
            </w:r>
          </w:p>
        </w:tc>
        <w:tc>
          <w:tcPr>
            <w:tcW w:w="1018" w:type="pct"/>
            <w:vAlign w:val="center"/>
          </w:tcPr>
          <w:p w:rsidR="002E1499"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B53C4B">
              <w:rPr>
                <w:rFonts w:ascii="Arial Narrow" w:hAnsi="Arial Narrow"/>
                <w:sz w:val="20"/>
              </w:rPr>
              <w:t>/</w:t>
            </w:r>
            <w:r>
              <w:rPr>
                <w:rFonts w:ascii="Arial Narrow" w:hAnsi="Arial Narrow"/>
                <w:noProof/>
                <w:color w:val="000000"/>
                <w:sz w:val="20"/>
                <w:highlight w:val="black"/>
              </w:rPr>
              <w:t>''''''''</w:t>
            </w:r>
            <w:r w:rsidR="00B53C4B">
              <w:rPr>
                <w:rFonts w:ascii="Arial Narrow" w:hAnsi="Arial Narrow"/>
                <w:sz w:val="20"/>
              </w:rPr>
              <w:t xml:space="preserve"> (</w:t>
            </w:r>
            <w:r>
              <w:rPr>
                <w:rFonts w:ascii="Arial Narrow" w:hAnsi="Arial Narrow"/>
                <w:noProof/>
                <w:color w:val="000000"/>
                <w:sz w:val="20"/>
                <w:highlight w:val="black"/>
              </w:rPr>
              <w:t>'''''''''</w:t>
            </w:r>
            <w:r w:rsidR="00B53C4B">
              <w:rPr>
                <w:rFonts w:ascii="Arial Narrow" w:hAnsi="Arial Narrow"/>
                <w:sz w:val="20"/>
              </w:rPr>
              <w:t>%)</w:t>
            </w:r>
          </w:p>
        </w:tc>
        <w:tc>
          <w:tcPr>
            <w:tcW w:w="931" w:type="pct"/>
            <w:vAlign w:val="center"/>
          </w:tcPr>
          <w:p w:rsidR="002E1499"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B53C4B">
              <w:rPr>
                <w:rFonts w:ascii="Arial Narrow" w:hAnsi="Arial Narrow"/>
                <w:sz w:val="20"/>
              </w:rPr>
              <w:t>/</w:t>
            </w:r>
            <w:r>
              <w:rPr>
                <w:rFonts w:ascii="Arial Narrow" w:hAnsi="Arial Narrow"/>
                <w:noProof/>
                <w:color w:val="000000"/>
                <w:sz w:val="20"/>
                <w:highlight w:val="black"/>
              </w:rPr>
              <w:t>''''''''''</w:t>
            </w:r>
            <w:r w:rsidR="00B53C4B">
              <w:rPr>
                <w:rFonts w:ascii="Arial Narrow" w:hAnsi="Arial Narrow"/>
                <w:sz w:val="20"/>
              </w:rPr>
              <w:t xml:space="preserve"> (0.7%)</w:t>
            </w:r>
          </w:p>
        </w:tc>
      </w:tr>
      <w:tr w:rsidR="002C7F76" w:rsidRPr="00E2771E" w:rsidTr="000D30A5">
        <w:tc>
          <w:tcPr>
            <w:tcW w:w="1095" w:type="pct"/>
            <w:shd w:val="clear" w:color="auto" w:fill="auto"/>
            <w:vAlign w:val="center"/>
          </w:tcPr>
          <w:p w:rsidR="002C7F76" w:rsidRPr="00DE5450" w:rsidRDefault="002C7F76" w:rsidP="000A7EB2">
            <w:pPr>
              <w:widowControl/>
              <w:rPr>
                <w:rFonts w:ascii="Arial Narrow" w:hAnsi="Arial Narrow"/>
                <w:color w:val="000000"/>
                <w:sz w:val="20"/>
              </w:rPr>
            </w:pPr>
            <w:r>
              <w:rPr>
                <w:rFonts w:ascii="Arial Narrow" w:hAnsi="Arial Narrow"/>
                <w:color w:val="000000"/>
                <w:sz w:val="20"/>
              </w:rPr>
              <w:t>Nausea</w:t>
            </w:r>
          </w:p>
        </w:tc>
        <w:tc>
          <w:tcPr>
            <w:tcW w:w="1024" w:type="pct"/>
            <w:vAlign w:val="center"/>
          </w:tcPr>
          <w:p w:rsidR="002C7F76"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C7F76">
              <w:rPr>
                <w:rFonts w:ascii="Arial Narrow" w:hAnsi="Arial Narrow"/>
                <w:sz w:val="20"/>
              </w:rPr>
              <w:t>/</w:t>
            </w:r>
            <w:r>
              <w:rPr>
                <w:rFonts w:ascii="Arial Narrow" w:hAnsi="Arial Narrow"/>
                <w:noProof/>
                <w:color w:val="000000"/>
                <w:sz w:val="20"/>
                <w:highlight w:val="black"/>
              </w:rPr>
              <w:t>'''''''''</w:t>
            </w:r>
            <w:r w:rsidR="002C7F76">
              <w:rPr>
                <w:rFonts w:ascii="Arial Narrow" w:hAnsi="Arial Narrow"/>
                <w:sz w:val="20"/>
              </w:rPr>
              <w:t xml:space="preserve"> (</w:t>
            </w:r>
            <w:r>
              <w:rPr>
                <w:rFonts w:ascii="Arial Narrow" w:hAnsi="Arial Narrow"/>
                <w:noProof/>
                <w:color w:val="000000"/>
                <w:sz w:val="20"/>
                <w:highlight w:val="black"/>
              </w:rPr>
              <w:t>''''''''''</w:t>
            </w:r>
            <w:r w:rsidR="002C7F76">
              <w:rPr>
                <w:rFonts w:ascii="Arial Narrow" w:hAnsi="Arial Narrow"/>
                <w:sz w:val="20"/>
              </w:rPr>
              <w:t>%)</w:t>
            </w:r>
          </w:p>
        </w:tc>
        <w:tc>
          <w:tcPr>
            <w:tcW w:w="932" w:type="pct"/>
            <w:vAlign w:val="center"/>
          </w:tcPr>
          <w:p w:rsidR="002C7F76"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C7F76">
              <w:rPr>
                <w:rFonts w:ascii="Arial Narrow" w:hAnsi="Arial Narrow"/>
                <w:sz w:val="20"/>
              </w:rPr>
              <w:t>/</w:t>
            </w:r>
            <w:r>
              <w:rPr>
                <w:rFonts w:ascii="Arial Narrow" w:hAnsi="Arial Narrow"/>
                <w:noProof/>
                <w:color w:val="000000"/>
                <w:sz w:val="20"/>
                <w:highlight w:val="black"/>
              </w:rPr>
              <w:t>''''''''''</w:t>
            </w:r>
            <w:r w:rsidR="002C7F76">
              <w:rPr>
                <w:rFonts w:ascii="Arial Narrow" w:hAnsi="Arial Narrow"/>
                <w:sz w:val="20"/>
              </w:rPr>
              <w:t xml:space="preserve"> (</w:t>
            </w:r>
            <w:r>
              <w:rPr>
                <w:rFonts w:ascii="Arial Narrow" w:hAnsi="Arial Narrow"/>
                <w:noProof/>
                <w:color w:val="000000"/>
                <w:sz w:val="20"/>
                <w:highlight w:val="black"/>
              </w:rPr>
              <w:t>'''''''''''</w:t>
            </w:r>
            <w:r w:rsidR="002C7F76">
              <w:rPr>
                <w:rFonts w:ascii="Arial Narrow" w:hAnsi="Arial Narrow"/>
                <w:sz w:val="20"/>
              </w:rPr>
              <w:t>%)</w:t>
            </w:r>
          </w:p>
        </w:tc>
        <w:tc>
          <w:tcPr>
            <w:tcW w:w="1018" w:type="pct"/>
            <w:vAlign w:val="center"/>
          </w:tcPr>
          <w:p w:rsidR="002C7F76"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B53C4B">
              <w:rPr>
                <w:rFonts w:ascii="Arial Narrow" w:hAnsi="Arial Narrow"/>
                <w:sz w:val="20"/>
              </w:rPr>
              <w:t>/</w:t>
            </w:r>
            <w:r>
              <w:rPr>
                <w:rFonts w:ascii="Arial Narrow" w:hAnsi="Arial Narrow"/>
                <w:noProof/>
                <w:color w:val="000000"/>
                <w:sz w:val="20"/>
                <w:highlight w:val="black"/>
              </w:rPr>
              <w:t>'''''''''</w:t>
            </w:r>
            <w:r w:rsidR="00B53C4B">
              <w:rPr>
                <w:rFonts w:ascii="Arial Narrow" w:hAnsi="Arial Narrow"/>
                <w:sz w:val="20"/>
              </w:rPr>
              <w:t xml:space="preserve"> (</w:t>
            </w:r>
            <w:r>
              <w:rPr>
                <w:rFonts w:ascii="Arial Narrow" w:hAnsi="Arial Narrow"/>
                <w:noProof/>
                <w:color w:val="000000"/>
                <w:sz w:val="20"/>
                <w:highlight w:val="black"/>
              </w:rPr>
              <w:t>'''''''</w:t>
            </w:r>
            <w:r w:rsidR="00B53C4B">
              <w:rPr>
                <w:rFonts w:ascii="Arial Narrow" w:hAnsi="Arial Narrow"/>
                <w:sz w:val="20"/>
              </w:rPr>
              <w:t>%)</w:t>
            </w:r>
          </w:p>
        </w:tc>
        <w:tc>
          <w:tcPr>
            <w:tcW w:w="931" w:type="pct"/>
            <w:vAlign w:val="center"/>
          </w:tcPr>
          <w:p w:rsidR="002C7F76"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B53C4B">
              <w:rPr>
                <w:rFonts w:ascii="Arial Narrow" w:hAnsi="Arial Narrow"/>
                <w:sz w:val="20"/>
              </w:rPr>
              <w:t>/</w:t>
            </w:r>
            <w:r>
              <w:rPr>
                <w:rFonts w:ascii="Arial Narrow" w:hAnsi="Arial Narrow"/>
                <w:noProof/>
                <w:color w:val="000000"/>
                <w:sz w:val="20"/>
                <w:highlight w:val="black"/>
              </w:rPr>
              <w:t>''''''''''</w:t>
            </w:r>
            <w:r w:rsidR="00B53C4B">
              <w:rPr>
                <w:rFonts w:ascii="Arial Narrow" w:hAnsi="Arial Narrow"/>
                <w:sz w:val="20"/>
              </w:rPr>
              <w:t xml:space="preserve"> (0.7%)</w:t>
            </w:r>
          </w:p>
        </w:tc>
      </w:tr>
      <w:tr w:rsidR="002C7F76" w:rsidRPr="00E2771E" w:rsidTr="000D30A5">
        <w:tc>
          <w:tcPr>
            <w:tcW w:w="1095" w:type="pct"/>
            <w:shd w:val="clear" w:color="auto" w:fill="auto"/>
            <w:vAlign w:val="center"/>
          </w:tcPr>
          <w:p w:rsidR="002C7F76" w:rsidRPr="00DE5450" w:rsidRDefault="002C7F76" w:rsidP="000A7EB2">
            <w:pPr>
              <w:widowControl/>
              <w:rPr>
                <w:rFonts w:ascii="Arial Narrow" w:hAnsi="Arial Narrow"/>
                <w:color w:val="000000"/>
                <w:sz w:val="20"/>
              </w:rPr>
            </w:pPr>
            <w:r>
              <w:rPr>
                <w:rFonts w:ascii="Arial Narrow" w:hAnsi="Arial Narrow"/>
                <w:color w:val="000000"/>
                <w:sz w:val="20"/>
              </w:rPr>
              <w:t>Vomiting</w:t>
            </w:r>
          </w:p>
        </w:tc>
        <w:tc>
          <w:tcPr>
            <w:tcW w:w="1024" w:type="pct"/>
            <w:vAlign w:val="center"/>
          </w:tcPr>
          <w:p w:rsidR="002C7F76"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C7F76">
              <w:rPr>
                <w:rFonts w:ascii="Arial Narrow" w:hAnsi="Arial Narrow"/>
                <w:sz w:val="20"/>
              </w:rPr>
              <w:t>/</w:t>
            </w:r>
            <w:r>
              <w:rPr>
                <w:rFonts w:ascii="Arial Narrow" w:hAnsi="Arial Narrow"/>
                <w:noProof/>
                <w:color w:val="000000"/>
                <w:sz w:val="20"/>
                <w:highlight w:val="black"/>
              </w:rPr>
              <w:t>'''''''''</w:t>
            </w:r>
            <w:r w:rsidR="002C7F76">
              <w:rPr>
                <w:rFonts w:ascii="Arial Narrow" w:hAnsi="Arial Narrow"/>
                <w:sz w:val="20"/>
              </w:rPr>
              <w:t xml:space="preserve"> (</w:t>
            </w:r>
            <w:r>
              <w:rPr>
                <w:rFonts w:ascii="Arial Narrow" w:hAnsi="Arial Narrow"/>
                <w:noProof/>
                <w:color w:val="000000"/>
                <w:sz w:val="20"/>
                <w:highlight w:val="black"/>
              </w:rPr>
              <w:t>''''''''''</w:t>
            </w:r>
            <w:r w:rsidR="002C7F76">
              <w:rPr>
                <w:rFonts w:ascii="Arial Narrow" w:hAnsi="Arial Narrow"/>
                <w:sz w:val="20"/>
              </w:rPr>
              <w:t>%)</w:t>
            </w:r>
          </w:p>
        </w:tc>
        <w:tc>
          <w:tcPr>
            <w:tcW w:w="932" w:type="pct"/>
            <w:vAlign w:val="center"/>
          </w:tcPr>
          <w:p w:rsidR="002C7F76"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C7F76">
              <w:rPr>
                <w:rFonts w:ascii="Arial Narrow" w:hAnsi="Arial Narrow"/>
                <w:sz w:val="20"/>
              </w:rPr>
              <w:t>/</w:t>
            </w:r>
            <w:r>
              <w:rPr>
                <w:rFonts w:ascii="Arial Narrow" w:hAnsi="Arial Narrow"/>
                <w:noProof/>
                <w:color w:val="000000"/>
                <w:sz w:val="20"/>
                <w:highlight w:val="black"/>
              </w:rPr>
              <w:t>''''''''''</w:t>
            </w:r>
            <w:r w:rsidR="002C7F76">
              <w:rPr>
                <w:rFonts w:ascii="Arial Narrow" w:hAnsi="Arial Narrow"/>
                <w:sz w:val="20"/>
              </w:rPr>
              <w:t xml:space="preserve"> (</w:t>
            </w:r>
            <w:r>
              <w:rPr>
                <w:rFonts w:ascii="Arial Narrow" w:hAnsi="Arial Narrow"/>
                <w:noProof/>
                <w:color w:val="000000"/>
                <w:sz w:val="20"/>
                <w:highlight w:val="black"/>
              </w:rPr>
              <w:t>'''''''''''</w:t>
            </w:r>
            <w:r w:rsidR="002C7F76">
              <w:rPr>
                <w:rFonts w:ascii="Arial Narrow" w:hAnsi="Arial Narrow"/>
                <w:sz w:val="20"/>
              </w:rPr>
              <w:t>%)</w:t>
            </w:r>
          </w:p>
        </w:tc>
        <w:tc>
          <w:tcPr>
            <w:tcW w:w="1018" w:type="pct"/>
            <w:vAlign w:val="center"/>
          </w:tcPr>
          <w:p w:rsidR="002C7F76"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B53C4B">
              <w:rPr>
                <w:rFonts w:ascii="Arial Narrow" w:hAnsi="Arial Narrow"/>
                <w:sz w:val="20"/>
              </w:rPr>
              <w:t>/</w:t>
            </w:r>
            <w:r>
              <w:rPr>
                <w:rFonts w:ascii="Arial Narrow" w:hAnsi="Arial Narrow"/>
                <w:noProof/>
                <w:color w:val="000000"/>
                <w:sz w:val="20"/>
                <w:highlight w:val="black"/>
              </w:rPr>
              <w:t>'''''''''</w:t>
            </w:r>
            <w:r w:rsidR="00B53C4B">
              <w:rPr>
                <w:rFonts w:ascii="Arial Narrow" w:hAnsi="Arial Narrow"/>
                <w:sz w:val="20"/>
              </w:rPr>
              <w:t xml:space="preserve"> (</w:t>
            </w:r>
            <w:r>
              <w:rPr>
                <w:rFonts w:ascii="Arial Narrow" w:hAnsi="Arial Narrow"/>
                <w:noProof/>
                <w:color w:val="000000"/>
                <w:sz w:val="20"/>
                <w:highlight w:val="black"/>
              </w:rPr>
              <w:t>'''''''</w:t>
            </w:r>
            <w:r w:rsidR="00B53C4B">
              <w:rPr>
                <w:rFonts w:ascii="Arial Narrow" w:hAnsi="Arial Narrow"/>
                <w:sz w:val="20"/>
              </w:rPr>
              <w:t>%)</w:t>
            </w:r>
          </w:p>
        </w:tc>
        <w:tc>
          <w:tcPr>
            <w:tcW w:w="931" w:type="pct"/>
            <w:vAlign w:val="center"/>
          </w:tcPr>
          <w:p w:rsidR="002C7F76"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r>
      <w:tr w:rsidR="002C7F76" w:rsidRPr="00E2771E" w:rsidTr="000D30A5">
        <w:tc>
          <w:tcPr>
            <w:tcW w:w="1095" w:type="pct"/>
            <w:shd w:val="clear" w:color="auto" w:fill="auto"/>
            <w:vAlign w:val="center"/>
          </w:tcPr>
          <w:p w:rsidR="002C7F76" w:rsidRPr="00DE5450" w:rsidRDefault="002C7F76" w:rsidP="000A7EB2">
            <w:pPr>
              <w:widowControl/>
              <w:rPr>
                <w:rFonts w:ascii="Arial Narrow" w:hAnsi="Arial Narrow"/>
                <w:color w:val="000000"/>
                <w:sz w:val="20"/>
              </w:rPr>
            </w:pPr>
            <w:r>
              <w:rPr>
                <w:rFonts w:ascii="Arial Narrow" w:hAnsi="Arial Narrow"/>
                <w:color w:val="000000"/>
                <w:sz w:val="20"/>
              </w:rPr>
              <w:t>Fatigue</w:t>
            </w:r>
          </w:p>
        </w:tc>
        <w:tc>
          <w:tcPr>
            <w:tcW w:w="1024" w:type="pct"/>
            <w:vAlign w:val="center"/>
          </w:tcPr>
          <w:p w:rsidR="002C7F76"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C7F76">
              <w:rPr>
                <w:rFonts w:ascii="Arial Narrow" w:hAnsi="Arial Narrow"/>
                <w:sz w:val="20"/>
              </w:rPr>
              <w:t>/</w:t>
            </w:r>
            <w:r>
              <w:rPr>
                <w:rFonts w:ascii="Arial Narrow" w:hAnsi="Arial Narrow"/>
                <w:noProof/>
                <w:color w:val="000000"/>
                <w:sz w:val="20"/>
                <w:highlight w:val="black"/>
              </w:rPr>
              <w:t>''''''''''</w:t>
            </w:r>
            <w:r w:rsidR="002C7F76">
              <w:rPr>
                <w:rFonts w:ascii="Arial Narrow" w:hAnsi="Arial Narrow"/>
                <w:sz w:val="20"/>
              </w:rPr>
              <w:t xml:space="preserve"> (</w:t>
            </w:r>
            <w:r>
              <w:rPr>
                <w:rFonts w:ascii="Arial Narrow" w:hAnsi="Arial Narrow"/>
                <w:noProof/>
                <w:color w:val="000000"/>
                <w:sz w:val="20"/>
                <w:highlight w:val="black"/>
              </w:rPr>
              <w:t>'''''''''''</w:t>
            </w:r>
            <w:r w:rsidR="002C7F76">
              <w:rPr>
                <w:rFonts w:ascii="Arial Narrow" w:hAnsi="Arial Narrow"/>
                <w:sz w:val="20"/>
              </w:rPr>
              <w:t>%)</w:t>
            </w:r>
          </w:p>
        </w:tc>
        <w:tc>
          <w:tcPr>
            <w:tcW w:w="932" w:type="pct"/>
            <w:vAlign w:val="center"/>
          </w:tcPr>
          <w:p w:rsidR="002C7F76"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C7F76">
              <w:rPr>
                <w:rFonts w:ascii="Arial Narrow" w:hAnsi="Arial Narrow"/>
                <w:sz w:val="20"/>
              </w:rPr>
              <w:t>/</w:t>
            </w:r>
            <w:r>
              <w:rPr>
                <w:rFonts w:ascii="Arial Narrow" w:hAnsi="Arial Narrow"/>
                <w:noProof/>
                <w:color w:val="000000"/>
                <w:sz w:val="20"/>
                <w:highlight w:val="black"/>
              </w:rPr>
              <w:t>''''''''''</w:t>
            </w:r>
            <w:r w:rsidR="002C7F76">
              <w:rPr>
                <w:rFonts w:ascii="Arial Narrow" w:hAnsi="Arial Narrow"/>
                <w:sz w:val="20"/>
              </w:rPr>
              <w:t xml:space="preserve"> (</w:t>
            </w:r>
            <w:r>
              <w:rPr>
                <w:rFonts w:ascii="Arial Narrow" w:hAnsi="Arial Narrow"/>
                <w:noProof/>
                <w:color w:val="000000"/>
                <w:sz w:val="20"/>
                <w:highlight w:val="black"/>
              </w:rPr>
              <w:t>'''''''''''</w:t>
            </w:r>
            <w:r w:rsidR="002C7F76">
              <w:rPr>
                <w:rFonts w:ascii="Arial Narrow" w:hAnsi="Arial Narrow"/>
                <w:sz w:val="20"/>
              </w:rPr>
              <w:t>%)</w:t>
            </w:r>
          </w:p>
        </w:tc>
        <w:tc>
          <w:tcPr>
            <w:tcW w:w="1018" w:type="pct"/>
            <w:vAlign w:val="center"/>
          </w:tcPr>
          <w:p w:rsidR="002C7F76"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2C7F76"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r>
      <w:tr w:rsidR="002C7F76" w:rsidRPr="00E2771E" w:rsidTr="000D30A5">
        <w:tc>
          <w:tcPr>
            <w:tcW w:w="1095" w:type="pct"/>
            <w:shd w:val="clear" w:color="auto" w:fill="auto"/>
            <w:vAlign w:val="center"/>
          </w:tcPr>
          <w:p w:rsidR="002C7F76" w:rsidRDefault="002C7F76" w:rsidP="000A7EB2">
            <w:pPr>
              <w:widowControl/>
              <w:rPr>
                <w:rFonts w:ascii="Arial Narrow" w:hAnsi="Arial Narrow"/>
                <w:color w:val="000000"/>
                <w:sz w:val="20"/>
              </w:rPr>
            </w:pPr>
            <w:r>
              <w:rPr>
                <w:rFonts w:ascii="Arial Narrow" w:hAnsi="Arial Narrow"/>
                <w:color w:val="000000"/>
                <w:sz w:val="20"/>
              </w:rPr>
              <w:t>Decreased appetite</w:t>
            </w:r>
          </w:p>
        </w:tc>
        <w:tc>
          <w:tcPr>
            <w:tcW w:w="1024" w:type="pct"/>
            <w:vAlign w:val="center"/>
          </w:tcPr>
          <w:p w:rsidR="002C7F76"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C7F76">
              <w:rPr>
                <w:rFonts w:ascii="Arial Narrow" w:hAnsi="Arial Narrow"/>
                <w:sz w:val="20"/>
              </w:rPr>
              <w:t>/</w:t>
            </w:r>
            <w:r>
              <w:rPr>
                <w:rFonts w:ascii="Arial Narrow" w:hAnsi="Arial Narrow"/>
                <w:noProof/>
                <w:color w:val="000000"/>
                <w:sz w:val="20"/>
                <w:highlight w:val="black"/>
              </w:rPr>
              <w:t>''''''''</w:t>
            </w:r>
            <w:r w:rsidR="002C7F76">
              <w:rPr>
                <w:rFonts w:ascii="Arial Narrow" w:hAnsi="Arial Narrow"/>
                <w:sz w:val="20"/>
              </w:rPr>
              <w:t xml:space="preserve"> (</w:t>
            </w:r>
            <w:r>
              <w:rPr>
                <w:rFonts w:ascii="Arial Narrow" w:hAnsi="Arial Narrow"/>
                <w:noProof/>
                <w:color w:val="000000"/>
                <w:sz w:val="20"/>
                <w:highlight w:val="black"/>
              </w:rPr>
              <w:t>''''''''''</w:t>
            </w:r>
            <w:r w:rsidR="002C7F76">
              <w:rPr>
                <w:rFonts w:ascii="Arial Narrow" w:hAnsi="Arial Narrow"/>
                <w:sz w:val="20"/>
              </w:rPr>
              <w:t>%)</w:t>
            </w:r>
          </w:p>
        </w:tc>
        <w:tc>
          <w:tcPr>
            <w:tcW w:w="932" w:type="pct"/>
            <w:vAlign w:val="center"/>
          </w:tcPr>
          <w:p w:rsidR="002C7F76" w:rsidRPr="00DE5450" w:rsidRDefault="002A4E9A" w:rsidP="000A7EB2">
            <w:pPr>
              <w:widowControl/>
              <w:jc w:val="center"/>
              <w:rPr>
                <w:rFonts w:ascii="Arial Narrow" w:hAnsi="Arial Narrow"/>
                <w:sz w:val="20"/>
              </w:rPr>
            </w:pPr>
            <w:r>
              <w:rPr>
                <w:rFonts w:ascii="Arial Narrow" w:hAnsi="Arial Narrow"/>
                <w:noProof/>
                <w:color w:val="000000"/>
                <w:sz w:val="20"/>
                <w:highlight w:val="black"/>
              </w:rPr>
              <w:t>'''''''</w:t>
            </w:r>
            <w:r w:rsidR="002C7F76">
              <w:rPr>
                <w:rFonts w:ascii="Arial Narrow" w:hAnsi="Arial Narrow"/>
                <w:sz w:val="20"/>
              </w:rPr>
              <w:t>/</w:t>
            </w:r>
            <w:r>
              <w:rPr>
                <w:rFonts w:ascii="Arial Narrow" w:hAnsi="Arial Narrow"/>
                <w:noProof/>
                <w:color w:val="000000"/>
                <w:sz w:val="20"/>
                <w:highlight w:val="black"/>
              </w:rPr>
              <w:t>''''''''</w:t>
            </w:r>
            <w:r w:rsidR="002C7F76">
              <w:rPr>
                <w:rFonts w:ascii="Arial Narrow" w:hAnsi="Arial Narrow"/>
                <w:sz w:val="20"/>
              </w:rPr>
              <w:t xml:space="preserve"> (</w:t>
            </w:r>
            <w:r>
              <w:rPr>
                <w:rFonts w:ascii="Arial Narrow" w:hAnsi="Arial Narrow"/>
                <w:noProof/>
                <w:color w:val="000000"/>
                <w:sz w:val="20"/>
                <w:highlight w:val="black"/>
              </w:rPr>
              <w:t>''''''''''</w:t>
            </w:r>
            <w:r w:rsidR="002C7F76">
              <w:rPr>
                <w:rFonts w:ascii="Arial Narrow" w:hAnsi="Arial Narrow"/>
                <w:sz w:val="20"/>
              </w:rPr>
              <w:t>%)</w:t>
            </w:r>
          </w:p>
        </w:tc>
        <w:tc>
          <w:tcPr>
            <w:tcW w:w="1018" w:type="pct"/>
            <w:vAlign w:val="center"/>
          </w:tcPr>
          <w:p w:rsidR="002C7F76"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2C7F76"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r>
      <w:tr w:rsidR="002E1499" w:rsidRPr="00E2771E" w:rsidTr="000D30A5">
        <w:tc>
          <w:tcPr>
            <w:tcW w:w="1095" w:type="pct"/>
            <w:shd w:val="clear" w:color="auto" w:fill="auto"/>
            <w:vAlign w:val="center"/>
          </w:tcPr>
          <w:p w:rsidR="002E1499" w:rsidRPr="00DE5450" w:rsidRDefault="002C7F76" w:rsidP="000A7EB2">
            <w:pPr>
              <w:widowControl/>
              <w:rPr>
                <w:rFonts w:ascii="Arial Narrow" w:hAnsi="Arial Narrow"/>
                <w:color w:val="000000"/>
                <w:sz w:val="20"/>
              </w:rPr>
            </w:pPr>
            <w:r>
              <w:rPr>
                <w:rFonts w:ascii="Arial Narrow" w:hAnsi="Arial Narrow"/>
                <w:color w:val="000000"/>
                <w:sz w:val="20"/>
              </w:rPr>
              <w:t>Neutropenia</w:t>
            </w:r>
            <w:r w:rsidR="00B53C4B">
              <w:rPr>
                <w:rFonts w:ascii="Arial Narrow" w:hAnsi="Arial Narrow"/>
                <w:color w:val="000000"/>
                <w:sz w:val="20"/>
              </w:rPr>
              <w:t>/febrile neutropenia</w:t>
            </w:r>
          </w:p>
        </w:tc>
        <w:tc>
          <w:tcPr>
            <w:tcW w:w="1024" w:type="pct"/>
            <w:vAlign w:val="center"/>
          </w:tcPr>
          <w:p w:rsidR="002E1499" w:rsidRPr="00DE5450" w:rsidRDefault="002E1499" w:rsidP="000A7EB2">
            <w:pPr>
              <w:widowControl/>
              <w:tabs>
                <w:tab w:val="left" w:pos="720"/>
              </w:tabs>
              <w:jc w:val="center"/>
              <w:rPr>
                <w:rFonts w:ascii="Arial Narrow" w:hAnsi="Arial Narrow"/>
                <w:sz w:val="20"/>
              </w:rPr>
            </w:pPr>
            <w:r w:rsidRPr="00DE5450">
              <w:rPr>
                <w:rFonts w:ascii="Arial Narrow" w:hAnsi="Arial Narrow"/>
                <w:sz w:val="20"/>
              </w:rPr>
              <w:t xml:space="preserve"> </w:t>
            </w:r>
            <w:r w:rsidR="002A4E9A">
              <w:rPr>
                <w:rFonts w:ascii="Arial Narrow" w:hAnsi="Arial Narrow"/>
                <w:noProof/>
                <w:color w:val="000000"/>
                <w:sz w:val="20"/>
                <w:highlight w:val="black"/>
              </w:rPr>
              <w:t>''''''</w:t>
            </w:r>
            <w:r w:rsidR="002C7F76">
              <w:rPr>
                <w:rFonts w:ascii="Arial Narrow" w:hAnsi="Arial Narrow"/>
                <w:sz w:val="20"/>
              </w:rPr>
              <w:t>/</w:t>
            </w:r>
            <w:r w:rsidR="002A4E9A">
              <w:rPr>
                <w:rFonts w:ascii="Arial Narrow" w:hAnsi="Arial Narrow"/>
                <w:noProof/>
                <w:color w:val="000000"/>
                <w:sz w:val="20"/>
                <w:highlight w:val="black"/>
              </w:rPr>
              <w:t>''''''''''</w:t>
            </w:r>
            <w:r w:rsidR="002C7F76">
              <w:rPr>
                <w:rFonts w:ascii="Arial Narrow" w:hAnsi="Arial Narrow"/>
                <w:sz w:val="20"/>
              </w:rPr>
              <w:t xml:space="preserve"> (</w:t>
            </w:r>
            <w:r w:rsidR="002A4E9A">
              <w:rPr>
                <w:rFonts w:ascii="Arial Narrow" w:hAnsi="Arial Narrow"/>
                <w:noProof/>
                <w:color w:val="000000"/>
                <w:sz w:val="20"/>
                <w:highlight w:val="black"/>
              </w:rPr>
              <w:t>'''''''''''</w:t>
            </w:r>
            <w:r w:rsidR="002C7F76">
              <w:rPr>
                <w:rFonts w:ascii="Arial Narrow" w:hAnsi="Arial Narrow"/>
                <w:sz w:val="20"/>
              </w:rPr>
              <w:t>%)</w:t>
            </w:r>
          </w:p>
        </w:tc>
        <w:tc>
          <w:tcPr>
            <w:tcW w:w="932" w:type="pct"/>
            <w:vAlign w:val="center"/>
          </w:tcPr>
          <w:p w:rsidR="002E1499" w:rsidRPr="00DE5450" w:rsidRDefault="002A4E9A" w:rsidP="000A7EB2">
            <w:pPr>
              <w:widowControl/>
              <w:tabs>
                <w:tab w:val="left" w:pos="720"/>
              </w:tabs>
              <w:jc w:val="center"/>
              <w:rPr>
                <w:rFonts w:ascii="Arial Narrow" w:hAnsi="Arial Narrow"/>
                <w:sz w:val="20"/>
              </w:rPr>
            </w:pPr>
            <w:r>
              <w:rPr>
                <w:rFonts w:ascii="Arial Narrow" w:hAnsi="Arial Narrow"/>
                <w:noProof/>
                <w:color w:val="000000"/>
                <w:sz w:val="20"/>
                <w:highlight w:val="black"/>
              </w:rPr>
              <w:t>'''</w:t>
            </w:r>
            <w:r w:rsidR="002C7F76">
              <w:rPr>
                <w:rFonts w:ascii="Arial Narrow" w:hAnsi="Arial Narrow"/>
                <w:sz w:val="20"/>
              </w:rPr>
              <w:t>/</w:t>
            </w:r>
            <w:r>
              <w:rPr>
                <w:rFonts w:ascii="Arial Narrow" w:hAnsi="Arial Narrow"/>
                <w:noProof/>
                <w:color w:val="000000"/>
                <w:sz w:val="20"/>
                <w:highlight w:val="black"/>
              </w:rPr>
              <w:t>'''''''''</w:t>
            </w:r>
            <w:r w:rsidR="002C7F76">
              <w:rPr>
                <w:rFonts w:ascii="Arial Narrow" w:hAnsi="Arial Narrow"/>
                <w:sz w:val="20"/>
              </w:rPr>
              <w:t xml:space="preserve"> (</w:t>
            </w:r>
            <w:r>
              <w:rPr>
                <w:rFonts w:ascii="Arial Narrow" w:hAnsi="Arial Narrow"/>
                <w:noProof/>
                <w:color w:val="000000"/>
                <w:sz w:val="20"/>
                <w:highlight w:val="black"/>
              </w:rPr>
              <w:t>'''''''''</w:t>
            </w:r>
            <w:r w:rsidR="002C7F76">
              <w:rPr>
                <w:rFonts w:ascii="Arial Narrow" w:hAnsi="Arial Narrow"/>
                <w:sz w:val="20"/>
              </w:rPr>
              <w:t>%)</w:t>
            </w:r>
          </w:p>
        </w:tc>
        <w:tc>
          <w:tcPr>
            <w:tcW w:w="1018" w:type="pct"/>
            <w:vAlign w:val="center"/>
          </w:tcPr>
          <w:p w:rsidR="002E1499" w:rsidRPr="00DE5450" w:rsidRDefault="002A4E9A" w:rsidP="000A7EB2">
            <w:pPr>
              <w:widowControl/>
              <w:jc w:val="center"/>
              <w:rPr>
                <w:rFonts w:ascii="Arial Narrow" w:hAnsi="Arial Narrow"/>
                <w:color w:val="000000"/>
                <w:sz w:val="20"/>
              </w:rPr>
            </w:pPr>
            <w:r>
              <w:rPr>
                <w:rFonts w:ascii="Arial Narrow" w:hAnsi="Arial Narrow"/>
                <w:noProof/>
                <w:color w:val="000000"/>
                <w:sz w:val="20"/>
                <w:highlight w:val="black"/>
              </w:rPr>
              <w:t>'''</w:t>
            </w:r>
            <w:r w:rsidR="00B53C4B">
              <w:rPr>
                <w:rFonts w:ascii="Arial Narrow" w:hAnsi="Arial Narrow"/>
                <w:color w:val="000000"/>
                <w:sz w:val="20"/>
              </w:rPr>
              <w:t>/</w:t>
            </w:r>
            <w:r>
              <w:rPr>
                <w:rFonts w:ascii="Arial Narrow" w:hAnsi="Arial Narrow"/>
                <w:noProof/>
                <w:color w:val="000000"/>
                <w:sz w:val="20"/>
                <w:highlight w:val="black"/>
              </w:rPr>
              <w:t>''''''''''</w:t>
            </w:r>
            <w:r w:rsidR="00B53C4B">
              <w:rPr>
                <w:rFonts w:ascii="Arial Narrow" w:hAnsi="Arial Narrow"/>
                <w:color w:val="000000"/>
                <w:sz w:val="20"/>
              </w:rPr>
              <w:t xml:space="preserve"> (</w:t>
            </w:r>
            <w:r>
              <w:rPr>
                <w:rFonts w:ascii="Arial Narrow" w:hAnsi="Arial Narrow"/>
                <w:noProof/>
                <w:color w:val="000000"/>
                <w:sz w:val="20"/>
                <w:highlight w:val="black"/>
              </w:rPr>
              <w:t>'''''''''</w:t>
            </w:r>
            <w:r w:rsidR="00B53C4B">
              <w:rPr>
                <w:rFonts w:ascii="Arial Narrow" w:hAnsi="Arial Narrow"/>
                <w:color w:val="000000"/>
                <w:sz w:val="20"/>
              </w:rPr>
              <w:t>%)</w:t>
            </w:r>
          </w:p>
        </w:tc>
        <w:tc>
          <w:tcPr>
            <w:tcW w:w="931" w:type="pct"/>
            <w:vAlign w:val="center"/>
          </w:tcPr>
          <w:p w:rsidR="002E1499" w:rsidRPr="002A4E9A" w:rsidRDefault="002A4E9A" w:rsidP="000A7EB2">
            <w:pPr>
              <w:widowControl/>
              <w:jc w:val="center"/>
              <w:rPr>
                <w:rFonts w:ascii="Arial Narrow" w:hAnsi="Arial Narrow"/>
                <w:color w:val="000000"/>
                <w:sz w:val="20"/>
                <w:highlight w:val="black"/>
              </w:rPr>
            </w:pPr>
            <w:r>
              <w:rPr>
                <w:rFonts w:ascii="Arial Narrow" w:hAnsi="Arial Narrow"/>
                <w:noProof/>
                <w:color w:val="000000"/>
                <w:sz w:val="20"/>
                <w:highlight w:val="black"/>
              </w:rPr>
              <w:t>'''</w:t>
            </w:r>
          </w:p>
        </w:tc>
      </w:tr>
      <w:tr w:rsidR="00B53C4B" w:rsidRPr="00E2771E" w:rsidTr="000D30A5">
        <w:tc>
          <w:tcPr>
            <w:tcW w:w="1095" w:type="pct"/>
            <w:shd w:val="clear" w:color="auto" w:fill="auto"/>
            <w:vAlign w:val="center"/>
          </w:tcPr>
          <w:p w:rsidR="00B53C4B" w:rsidRDefault="00B53C4B" w:rsidP="000A7EB2">
            <w:pPr>
              <w:widowControl/>
              <w:rPr>
                <w:rFonts w:ascii="Arial Narrow" w:hAnsi="Arial Narrow"/>
                <w:color w:val="000000"/>
                <w:sz w:val="20"/>
              </w:rPr>
            </w:pPr>
            <w:r>
              <w:rPr>
                <w:rFonts w:ascii="Arial Narrow" w:hAnsi="Arial Narrow"/>
                <w:color w:val="000000"/>
                <w:sz w:val="20"/>
              </w:rPr>
              <w:t>Septic shock</w:t>
            </w:r>
          </w:p>
        </w:tc>
        <w:tc>
          <w:tcPr>
            <w:tcW w:w="1024" w:type="pct"/>
            <w:vAlign w:val="center"/>
          </w:tcPr>
          <w:p w:rsidR="00B53C4B" w:rsidRPr="002A4E9A" w:rsidRDefault="002A4E9A" w:rsidP="000A7EB2">
            <w:pPr>
              <w:widowControl/>
              <w:tabs>
                <w:tab w:val="left" w:pos="720"/>
              </w:tabs>
              <w:jc w:val="center"/>
              <w:rPr>
                <w:rFonts w:ascii="Arial Narrow" w:hAnsi="Arial Narrow"/>
                <w:sz w:val="20"/>
                <w:highlight w:val="black"/>
              </w:rPr>
            </w:pPr>
            <w:r>
              <w:rPr>
                <w:rFonts w:ascii="Arial Narrow" w:hAnsi="Arial Narrow"/>
                <w:noProof/>
                <w:color w:val="000000"/>
                <w:sz w:val="20"/>
                <w:highlight w:val="black"/>
              </w:rPr>
              <w:t>'''</w:t>
            </w:r>
          </w:p>
        </w:tc>
        <w:tc>
          <w:tcPr>
            <w:tcW w:w="932" w:type="pct"/>
            <w:vAlign w:val="center"/>
          </w:tcPr>
          <w:p w:rsidR="00B53C4B" w:rsidRPr="002A4E9A" w:rsidRDefault="002A4E9A" w:rsidP="000A7EB2">
            <w:pPr>
              <w:widowControl/>
              <w:tabs>
                <w:tab w:val="left" w:pos="720"/>
              </w:tabs>
              <w:jc w:val="center"/>
              <w:rPr>
                <w:rFonts w:ascii="Arial Narrow" w:hAnsi="Arial Narrow"/>
                <w:sz w:val="20"/>
                <w:highlight w:val="black"/>
              </w:rPr>
            </w:pPr>
            <w:r>
              <w:rPr>
                <w:rFonts w:ascii="Arial Narrow" w:hAnsi="Arial Narrow"/>
                <w:noProof/>
                <w:color w:val="000000"/>
                <w:sz w:val="20"/>
                <w:highlight w:val="black"/>
              </w:rPr>
              <w:t>''</w:t>
            </w:r>
          </w:p>
        </w:tc>
        <w:tc>
          <w:tcPr>
            <w:tcW w:w="1018" w:type="pct"/>
            <w:vAlign w:val="center"/>
          </w:tcPr>
          <w:p w:rsidR="00B53C4B" w:rsidRDefault="002A4E9A" w:rsidP="000A7EB2">
            <w:pPr>
              <w:widowControl/>
              <w:jc w:val="center"/>
              <w:rPr>
                <w:rFonts w:ascii="Arial Narrow" w:hAnsi="Arial Narrow"/>
                <w:color w:val="000000"/>
                <w:sz w:val="20"/>
              </w:rPr>
            </w:pPr>
            <w:r>
              <w:rPr>
                <w:rFonts w:ascii="Arial Narrow" w:hAnsi="Arial Narrow"/>
                <w:noProof/>
                <w:color w:val="000000"/>
                <w:sz w:val="20"/>
                <w:highlight w:val="black"/>
              </w:rPr>
              <w:t>''''</w:t>
            </w:r>
            <w:r w:rsidR="00B53C4B">
              <w:rPr>
                <w:rFonts w:ascii="Arial Narrow" w:hAnsi="Arial Narrow"/>
                <w:color w:val="000000"/>
                <w:sz w:val="20"/>
              </w:rPr>
              <w:t>/</w:t>
            </w:r>
            <w:r>
              <w:rPr>
                <w:rFonts w:ascii="Arial Narrow" w:hAnsi="Arial Narrow"/>
                <w:noProof/>
                <w:color w:val="000000"/>
                <w:sz w:val="20"/>
                <w:highlight w:val="black"/>
              </w:rPr>
              <w:t>'''''''''</w:t>
            </w:r>
            <w:r w:rsidR="00B53C4B">
              <w:rPr>
                <w:rFonts w:ascii="Arial Narrow" w:hAnsi="Arial Narrow"/>
                <w:color w:val="000000"/>
                <w:sz w:val="20"/>
              </w:rPr>
              <w:t xml:space="preserve"> (</w:t>
            </w:r>
            <w:r>
              <w:rPr>
                <w:rFonts w:ascii="Arial Narrow" w:hAnsi="Arial Narrow"/>
                <w:noProof/>
                <w:color w:val="000000"/>
                <w:sz w:val="20"/>
                <w:highlight w:val="black"/>
              </w:rPr>
              <w:t>''''''''</w:t>
            </w:r>
            <w:r w:rsidR="00B53C4B">
              <w:rPr>
                <w:rFonts w:ascii="Arial Narrow" w:hAnsi="Arial Narrow"/>
                <w:color w:val="000000"/>
                <w:sz w:val="20"/>
              </w:rPr>
              <w:t>%)</w:t>
            </w:r>
          </w:p>
          <w:p w:rsidR="00B53C4B" w:rsidRDefault="00B53C4B" w:rsidP="000A7EB2">
            <w:pPr>
              <w:widowControl/>
              <w:jc w:val="center"/>
              <w:rPr>
                <w:rFonts w:ascii="Arial Narrow" w:hAnsi="Arial Narrow"/>
                <w:color w:val="000000"/>
                <w:sz w:val="20"/>
              </w:rPr>
            </w:pPr>
            <w:r>
              <w:rPr>
                <w:rFonts w:ascii="Arial Narrow" w:hAnsi="Arial Narrow"/>
                <w:color w:val="000000"/>
                <w:sz w:val="20"/>
              </w:rPr>
              <w:t>(fatal)</w:t>
            </w:r>
          </w:p>
        </w:tc>
        <w:tc>
          <w:tcPr>
            <w:tcW w:w="931" w:type="pct"/>
            <w:vAlign w:val="center"/>
          </w:tcPr>
          <w:p w:rsidR="00B53C4B" w:rsidRPr="002A4E9A" w:rsidRDefault="002A4E9A" w:rsidP="000A7EB2">
            <w:pPr>
              <w:widowControl/>
              <w:jc w:val="center"/>
              <w:rPr>
                <w:rFonts w:ascii="Arial Narrow" w:hAnsi="Arial Narrow"/>
                <w:color w:val="000000"/>
                <w:sz w:val="20"/>
                <w:highlight w:val="black"/>
              </w:rPr>
            </w:pPr>
            <w:r>
              <w:rPr>
                <w:rFonts w:ascii="Arial Narrow" w:hAnsi="Arial Narrow"/>
                <w:noProof/>
                <w:color w:val="000000"/>
                <w:sz w:val="20"/>
                <w:highlight w:val="black"/>
              </w:rPr>
              <w:t>'''</w:t>
            </w:r>
          </w:p>
        </w:tc>
      </w:tr>
    </w:tbl>
    <w:p w:rsidR="00B53C4B" w:rsidRDefault="00B53C4B" w:rsidP="000A7EB2">
      <w:pPr>
        <w:widowControl/>
        <w:ind w:left="709"/>
        <w:rPr>
          <w:rFonts w:ascii="Arial Narrow" w:hAnsi="Arial Narrow"/>
          <w:sz w:val="18"/>
        </w:rPr>
      </w:pPr>
      <w:r>
        <w:rPr>
          <w:rFonts w:ascii="Arial Narrow" w:hAnsi="Arial Narrow"/>
          <w:sz w:val="18"/>
        </w:rPr>
        <w:t>Source: Table</w:t>
      </w:r>
      <w:r w:rsidR="0007029A">
        <w:rPr>
          <w:rFonts w:ascii="Arial Narrow" w:hAnsi="Arial Narrow"/>
          <w:sz w:val="18"/>
        </w:rPr>
        <w:t>s</w:t>
      </w:r>
      <w:r>
        <w:rPr>
          <w:rFonts w:ascii="Arial Narrow" w:hAnsi="Arial Narrow"/>
          <w:sz w:val="18"/>
        </w:rPr>
        <w:t xml:space="preserve"> 14.2.1.1 and 14.2.2.1,</w:t>
      </w:r>
      <w:r w:rsidR="0007029A">
        <w:rPr>
          <w:rFonts w:ascii="Arial Narrow" w:hAnsi="Arial Narrow"/>
          <w:sz w:val="18"/>
        </w:rPr>
        <w:t xml:space="preserve"> Appendix 13 of the submission; </w:t>
      </w:r>
      <w:r>
        <w:rPr>
          <w:rFonts w:ascii="Arial Narrow" w:hAnsi="Arial Narrow"/>
          <w:sz w:val="18"/>
        </w:rPr>
        <w:t xml:space="preserve">Table 8-9, p152 and pp157-158 of the NAPOLI-1 clinical study report </w:t>
      </w:r>
    </w:p>
    <w:p w:rsidR="002E1499" w:rsidRPr="00FE2DEC" w:rsidRDefault="002E1499" w:rsidP="000A7EB2">
      <w:pPr>
        <w:widowControl/>
        <w:ind w:left="709"/>
        <w:rPr>
          <w:rFonts w:ascii="Arial Narrow" w:hAnsi="Arial Narrow"/>
          <w:sz w:val="18"/>
        </w:rPr>
      </w:pPr>
      <w:r w:rsidRPr="00FE2DEC">
        <w:rPr>
          <w:rFonts w:ascii="Arial Narrow" w:hAnsi="Arial Narrow"/>
          <w:sz w:val="18"/>
        </w:rPr>
        <w:t xml:space="preserve">Abbreviations: </w:t>
      </w:r>
      <w:r w:rsidR="0007029A">
        <w:rPr>
          <w:rFonts w:ascii="Arial Narrow" w:hAnsi="Arial Narrow"/>
          <w:sz w:val="18"/>
        </w:rPr>
        <w:t xml:space="preserve">CI, confidence interval; </w:t>
      </w:r>
      <w:r>
        <w:rPr>
          <w:rFonts w:ascii="Arial Narrow" w:hAnsi="Arial Narrow"/>
          <w:sz w:val="18"/>
        </w:rPr>
        <w:t xml:space="preserve">HR, hazard ratio; </w:t>
      </w:r>
      <w:r w:rsidRPr="00FE2DEC">
        <w:rPr>
          <w:rFonts w:ascii="Arial Narrow" w:hAnsi="Arial Narrow"/>
          <w:sz w:val="18"/>
        </w:rPr>
        <w:t>OS, overall survival; PFS, progression-free survival</w:t>
      </w:r>
    </w:p>
    <w:p w:rsidR="002E1499" w:rsidRPr="00B50DB8" w:rsidRDefault="002E1499" w:rsidP="000A7EB2">
      <w:pPr>
        <w:widowControl/>
      </w:pPr>
    </w:p>
    <w:p w:rsidR="00EA36F1" w:rsidRPr="00715222" w:rsidRDefault="00EA36F1" w:rsidP="00715222">
      <w:pPr>
        <w:pStyle w:val="ListParagraph"/>
        <w:widowControl/>
        <w:numPr>
          <w:ilvl w:val="1"/>
          <w:numId w:val="1"/>
        </w:numPr>
        <w:rPr>
          <w:szCs w:val="22"/>
        </w:rPr>
      </w:pPr>
      <w:r w:rsidRPr="00EA36F1">
        <w:rPr>
          <w:szCs w:val="22"/>
        </w:rPr>
        <w:t>On the basis of the direct evidence presented in the submission,</w:t>
      </w:r>
      <w:r w:rsidRPr="00715222">
        <w:rPr>
          <w:szCs w:val="22"/>
        </w:rPr>
        <w:t xml:space="preserve"> </w:t>
      </w:r>
      <w:r w:rsidR="00C4776A" w:rsidRPr="00715222">
        <w:rPr>
          <w:szCs w:val="22"/>
        </w:rPr>
        <w:t>t</w:t>
      </w:r>
      <w:r w:rsidRPr="00715222">
        <w:rPr>
          <w:szCs w:val="22"/>
        </w:rPr>
        <w:t xml:space="preserve">reatment with </w:t>
      </w:r>
      <w:r w:rsidR="00C82D5A" w:rsidRPr="00715222">
        <w:rPr>
          <w:szCs w:val="22"/>
        </w:rPr>
        <w:t>irinotecan (nanoliposomal)</w:t>
      </w:r>
      <w:r w:rsidRPr="00715222">
        <w:rPr>
          <w:szCs w:val="22"/>
        </w:rPr>
        <w:t xml:space="preserve"> compared with 5</w:t>
      </w:r>
      <w:r w:rsidR="00715222" w:rsidRPr="00715222">
        <w:rPr>
          <w:szCs w:val="22"/>
        </w:rPr>
        <w:noBreakHyphen/>
      </w:r>
      <w:r w:rsidRPr="00715222">
        <w:rPr>
          <w:szCs w:val="22"/>
        </w:rPr>
        <w:t>FU/folinic acid resulted in a statistically significant increase in overall survival (</w:t>
      </w:r>
      <w:r w:rsidR="00D264CD" w:rsidRPr="00715222">
        <w:rPr>
          <w:szCs w:val="22"/>
        </w:rPr>
        <w:t xml:space="preserve">median of </w:t>
      </w:r>
      <w:r w:rsidRPr="00715222">
        <w:rPr>
          <w:szCs w:val="22"/>
        </w:rPr>
        <w:t>approximatel</w:t>
      </w:r>
      <w:r w:rsidR="0044525D" w:rsidRPr="00715222">
        <w:rPr>
          <w:szCs w:val="22"/>
        </w:rPr>
        <w:t xml:space="preserve">y </w:t>
      </w:r>
      <w:r w:rsidR="002A4E9A">
        <w:rPr>
          <w:noProof/>
          <w:color w:val="000000"/>
          <w:szCs w:val="22"/>
          <w:highlight w:val="black"/>
        </w:rPr>
        <w:t>''''</w:t>
      </w:r>
      <w:r w:rsidR="0044525D" w:rsidRPr="00715222">
        <w:rPr>
          <w:szCs w:val="22"/>
        </w:rPr>
        <w:t> </w:t>
      </w:r>
      <w:r w:rsidRPr="00715222">
        <w:rPr>
          <w:szCs w:val="22"/>
        </w:rPr>
        <w:t>weeks) and progression-free survival (</w:t>
      </w:r>
      <w:r w:rsidR="00D264CD" w:rsidRPr="00715222">
        <w:rPr>
          <w:szCs w:val="22"/>
        </w:rPr>
        <w:t xml:space="preserve">median of </w:t>
      </w:r>
      <w:r w:rsidRPr="00715222">
        <w:rPr>
          <w:szCs w:val="22"/>
        </w:rPr>
        <w:t xml:space="preserve">approximately </w:t>
      </w:r>
      <w:r w:rsidR="002A4E9A">
        <w:rPr>
          <w:noProof/>
          <w:color w:val="000000"/>
          <w:szCs w:val="22"/>
          <w:highlight w:val="black"/>
        </w:rPr>
        <w:t>''''</w:t>
      </w:r>
      <w:r w:rsidRPr="00715222">
        <w:rPr>
          <w:szCs w:val="22"/>
        </w:rPr>
        <w:t xml:space="preserve"> weeks).</w:t>
      </w:r>
    </w:p>
    <w:p w:rsidR="00EA36F1" w:rsidRDefault="00EA36F1" w:rsidP="000A7EB2">
      <w:pPr>
        <w:pStyle w:val="ListParagraph"/>
        <w:widowControl/>
        <w:rPr>
          <w:szCs w:val="22"/>
        </w:rPr>
      </w:pPr>
    </w:p>
    <w:p w:rsidR="002E1499" w:rsidRPr="00225989" w:rsidRDefault="002E1499" w:rsidP="000A7EB2">
      <w:pPr>
        <w:pStyle w:val="ListParagraph"/>
        <w:widowControl/>
        <w:numPr>
          <w:ilvl w:val="1"/>
          <w:numId w:val="1"/>
        </w:numPr>
        <w:rPr>
          <w:szCs w:val="22"/>
        </w:rPr>
      </w:pPr>
      <w:r w:rsidRPr="00EA36F1">
        <w:rPr>
          <w:szCs w:val="22"/>
        </w:rPr>
        <w:t xml:space="preserve">On the basis of the direct evidence presented in the submission, </w:t>
      </w:r>
      <w:r w:rsidR="009477A5">
        <w:rPr>
          <w:szCs w:val="22"/>
        </w:rPr>
        <w:t xml:space="preserve">for </w:t>
      </w:r>
      <w:r w:rsidR="00B20058" w:rsidRPr="00EA36F1">
        <w:rPr>
          <w:szCs w:val="22"/>
        </w:rPr>
        <w:t xml:space="preserve">every 100 patients treated with </w:t>
      </w:r>
      <w:r w:rsidR="00C82D5A">
        <w:rPr>
          <w:szCs w:val="22"/>
        </w:rPr>
        <w:t>irinotecan (nanoliposomal)</w:t>
      </w:r>
      <w:r w:rsidRPr="00EA36F1">
        <w:rPr>
          <w:szCs w:val="22"/>
        </w:rPr>
        <w:t xml:space="preserve"> compared with </w:t>
      </w:r>
      <w:r w:rsidR="0007029A" w:rsidRPr="00EA36F1">
        <w:rPr>
          <w:szCs w:val="22"/>
        </w:rPr>
        <w:t>5-FU/folinic acid</w:t>
      </w:r>
      <w:r w:rsidR="00D642B3">
        <w:rPr>
          <w:szCs w:val="22"/>
        </w:rPr>
        <w:t xml:space="preserve"> over a maximum fo</w:t>
      </w:r>
      <w:r w:rsidR="00D642B3" w:rsidRPr="00225989">
        <w:rPr>
          <w:szCs w:val="22"/>
        </w:rPr>
        <w:t xml:space="preserve">llow-up period </w:t>
      </w:r>
      <w:r w:rsidR="00D642B3" w:rsidRPr="00131DAF">
        <w:rPr>
          <w:szCs w:val="22"/>
        </w:rPr>
        <w:t xml:space="preserve">of </w:t>
      </w:r>
      <w:r w:rsidR="002A4E9A">
        <w:rPr>
          <w:noProof/>
          <w:color w:val="000000"/>
          <w:szCs w:val="22"/>
          <w:highlight w:val="black"/>
        </w:rPr>
        <w:t>'''''''</w:t>
      </w:r>
      <w:r w:rsidR="00D642B3" w:rsidRPr="00225989">
        <w:rPr>
          <w:szCs w:val="22"/>
        </w:rPr>
        <w:t xml:space="preserve"> months, approximately</w:t>
      </w:r>
      <w:r w:rsidRPr="00225989">
        <w:rPr>
          <w:szCs w:val="22"/>
        </w:rPr>
        <w:t>:</w:t>
      </w:r>
    </w:p>
    <w:p w:rsidR="00C82FEA" w:rsidRPr="00225989" w:rsidRDefault="00C82FEA" w:rsidP="000A7EB2">
      <w:pPr>
        <w:pStyle w:val="ListParagraph"/>
        <w:widowControl/>
        <w:numPr>
          <w:ilvl w:val="0"/>
          <w:numId w:val="4"/>
        </w:numPr>
      </w:pPr>
      <w:r w:rsidRPr="00225989">
        <w:t>15 more patients would have a serious (fatal or life-threatening) treatment-related adverse event.</w:t>
      </w:r>
    </w:p>
    <w:p w:rsidR="007856D3" w:rsidRDefault="00C82FEA" w:rsidP="000A7EB2">
      <w:pPr>
        <w:pStyle w:val="ListParagraph"/>
        <w:widowControl/>
        <w:numPr>
          <w:ilvl w:val="0"/>
          <w:numId w:val="4"/>
        </w:numPr>
      </w:pPr>
      <w:r w:rsidRPr="00225989">
        <w:t>32 more patients would have a treatment-related adverse event of any severity</w:t>
      </w:r>
      <w:r w:rsidR="00F87B29" w:rsidRPr="00225989">
        <w:t>, with diarrhoea, nausea and vomiting being the most common of these adverse event</w:t>
      </w:r>
      <w:r w:rsidR="00332604" w:rsidRPr="00225989">
        <w:t>s</w:t>
      </w:r>
      <w:r w:rsidRPr="00225989">
        <w:t>.</w:t>
      </w:r>
    </w:p>
    <w:p w:rsidR="00D642B3" w:rsidRPr="00715222" w:rsidRDefault="00D642B3" w:rsidP="000A7EB2">
      <w:pPr>
        <w:widowControl/>
        <w:ind w:left="709"/>
      </w:pPr>
    </w:p>
    <w:p w:rsidR="00332604" w:rsidRPr="00225989" w:rsidRDefault="00D642B3" w:rsidP="000A7EB2">
      <w:pPr>
        <w:pStyle w:val="ListParagraph"/>
        <w:widowControl/>
        <w:numPr>
          <w:ilvl w:val="1"/>
          <w:numId w:val="1"/>
        </w:numPr>
        <w:rPr>
          <w:szCs w:val="22"/>
        </w:rPr>
      </w:pPr>
      <w:r w:rsidRPr="00225989">
        <w:rPr>
          <w:szCs w:val="22"/>
        </w:rPr>
        <w:t xml:space="preserve">The </w:t>
      </w:r>
      <w:r w:rsidR="00D9377B" w:rsidRPr="00225989">
        <w:rPr>
          <w:szCs w:val="22"/>
        </w:rPr>
        <w:t xml:space="preserve">naïve indirect comparison presented in the submission did not allow for a </w:t>
      </w:r>
      <w:r w:rsidR="00332604" w:rsidRPr="00225989">
        <w:rPr>
          <w:szCs w:val="22"/>
        </w:rPr>
        <w:t xml:space="preserve">comparison </w:t>
      </w:r>
      <w:r w:rsidR="00D9377B" w:rsidRPr="00225989">
        <w:rPr>
          <w:szCs w:val="22"/>
        </w:rPr>
        <w:t xml:space="preserve">of the benefits and </w:t>
      </w:r>
      <w:r w:rsidR="00332604" w:rsidRPr="00225989">
        <w:rPr>
          <w:szCs w:val="22"/>
        </w:rPr>
        <w:t>harm</w:t>
      </w:r>
      <w:r w:rsidR="00D9377B" w:rsidRPr="00225989">
        <w:rPr>
          <w:szCs w:val="22"/>
        </w:rPr>
        <w:t>s</w:t>
      </w:r>
      <w:r w:rsidR="00332604" w:rsidRPr="00225989">
        <w:rPr>
          <w:szCs w:val="22"/>
        </w:rPr>
        <w:t xml:space="preserve"> of irinotecan (nanoliposomal) and oxaliplatin</w:t>
      </w:r>
      <w:r w:rsidR="00BA78F4">
        <w:rPr>
          <w:szCs w:val="22"/>
        </w:rPr>
        <w:noBreakHyphen/>
      </w:r>
      <w:r w:rsidR="00332604" w:rsidRPr="00225989">
        <w:rPr>
          <w:szCs w:val="22"/>
        </w:rPr>
        <w:t>containing regimen</w:t>
      </w:r>
      <w:r w:rsidR="00D9377B" w:rsidRPr="00225989">
        <w:rPr>
          <w:szCs w:val="22"/>
        </w:rPr>
        <w:t>s (FOLFIRINOX, mFOLFOX6)</w:t>
      </w:r>
      <w:r w:rsidR="00332604" w:rsidRPr="00225989">
        <w:rPr>
          <w:szCs w:val="22"/>
        </w:rPr>
        <w:t>.</w:t>
      </w:r>
    </w:p>
    <w:p w:rsidR="00242517" w:rsidRPr="00882085" w:rsidRDefault="00242517" w:rsidP="000A7EB2">
      <w:pPr>
        <w:widowControl/>
        <w:rPr>
          <w:szCs w:val="22"/>
        </w:rPr>
      </w:pPr>
    </w:p>
    <w:p w:rsidR="00B60939" w:rsidRPr="007E26D3" w:rsidRDefault="007856D3" w:rsidP="000A7EB2">
      <w:pPr>
        <w:pStyle w:val="Heading2"/>
      </w:pPr>
      <w:bookmarkStart w:id="13" w:name="_Toc461529331"/>
      <w:r w:rsidRPr="007E26D3">
        <w:t>Clinical claim</w:t>
      </w:r>
      <w:bookmarkEnd w:id="13"/>
    </w:p>
    <w:p w:rsidR="00B60939" w:rsidRPr="00882085" w:rsidRDefault="00B60939" w:rsidP="000A7EB2">
      <w:pPr>
        <w:keepNext/>
        <w:widowControl/>
        <w:ind w:left="720" w:hanging="720"/>
        <w:rPr>
          <w:szCs w:val="22"/>
        </w:rPr>
      </w:pPr>
    </w:p>
    <w:p w:rsidR="007856D3" w:rsidRPr="00225989" w:rsidRDefault="00A169D5" w:rsidP="000A7EB2">
      <w:pPr>
        <w:pStyle w:val="ListParagraph"/>
        <w:widowControl/>
        <w:numPr>
          <w:ilvl w:val="1"/>
          <w:numId w:val="1"/>
        </w:numPr>
        <w:rPr>
          <w:szCs w:val="22"/>
        </w:rPr>
      </w:pPr>
      <w:r w:rsidRPr="00A169D5">
        <w:rPr>
          <w:szCs w:val="22"/>
          <w:u w:val="single"/>
        </w:rPr>
        <w:t>Direct comparison with 5-FU/folinic acid</w:t>
      </w:r>
      <w:r>
        <w:rPr>
          <w:szCs w:val="22"/>
        </w:rPr>
        <w:t xml:space="preserve">: </w:t>
      </w:r>
      <w:r w:rsidR="007B3A29">
        <w:rPr>
          <w:szCs w:val="22"/>
        </w:rPr>
        <w:t xml:space="preserve">The submission described </w:t>
      </w:r>
      <w:r w:rsidR="00C82D5A">
        <w:rPr>
          <w:szCs w:val="22"/>
        </w:rPr>
        <w:t>irinotecan (nanoliposomal)</w:t>
      </w:r>
      <w:r w:rsidR="007B3A29">
        <w:rPr>
          <w:szCs w:val="22"/>
        </w:rPr>
        <w:t xml:space="preserve"> in combinat</w:t>
      </w:r>
      <w:r w:rsidR="00EA36F1">
        <w:rPr>
          <w:szCs w:val="22"/>
        </w:rPr>
        <w:t>ion with 5</w:t>
      </w:r>
      <w:r w:rsidR="00EA36F1">
        <w:rPr>
          <w:szCs w:val="22"/>
        </w:rPr>
        <w:noBreakHyphen/>
      </w:r>
      <w:r w:rsidR="007B3A29">
        <w:rPr>
          <w:szCs w:val="22"/>
        </w:rPr>
        <w:t xml:space="preserve">FU/folinic acid as superior in terms of efficacy and inferior in </w:t>
      </w:r>
      <w:r w:rsidR="000C2F2D">
        <w:rPr>
          <w:szCs w:val="22"/>
        </w:rPr>
        <w:t>terms of safety compared with 5</w:t>
      </w:r>
      <w:r w:rsidR="000C2F2D">
        <w:rPr>
          <w:szCs w:val="22"/>
        </w:rPr>
        <w:noBreakHyphen/>
      </w:r>
      <w:r w:rsidR="007B3A29">
        <w:rPr>
          <w:szCs w:val="22"/>
        </w:rPr>
        <w:t xml:space="preserve">FU/folinic acid. </w:t>
      </w:r>
      <w:r w:rsidR="007B3A29" w:rsidRPr="00225989">
        <w:rPr>
          <w:szCs w:val="22"/>
        </w:rPr>
        <w:t>Th</w:t>
      </w:r>
      <w:r w:rsidR="00D759BA" w:rsidRPr="00225989">
        <w:rPr>
          <w:szCs w:val="22"/>
        </w:rPr>
        <w:t xml:space="preserve">e ESC considered the </w:t>
      </w:r>
      <w:r w:rsidR="007B3A29" w:rsidRPr="00225989">
        <w:rPr>
          <w:szCs w:val="22"/>
        </w:rPr>
        <w:t>claim was reasonable</w:t>
      </w:r>
      <w:r w:rsidR="001A25D7" w:rsidRPr="00225989">
        <w:rPr>
          <w:szCs w:val="22"/>
        </w:rPr>
        <w:t xml:space="preserve"> but noted that the comparison was largely uninformative if 5-FU/folinic acid is not a relevant comparator</w:t>
      </w:r>
      <w:r w:rsidR="007B3A29" w:rsidRPr="00225989">
        <w:rPr>
          <w:szCs w:val="22"/>
        </w:rPr>
        <w:t>.</w:t>
      </w:r>
    </w:p>
    <w:p w:rsidR="004F6E0E" w:rsidRPr="00526248" w:rsidRDefault="004F6E0E" w:rsidP="000A7EB2">
      <w:pPr>
        <w:pStyle w:val="ListParagraph"/>
        <w:widowControl/>
        <w:rPr>
          <w:szCs w:val="22"/>
        </w:rPr>
      </w:pPr>
    </w:p>
    <w:p w:rsidR="004F6E0E" w:rsidRDefault="00C82D5A" w:rsidP="000A7EB2">
      <w:pPr>
        <w:pStyle w:val="ListParagraph"/>
        <w:widowControl/>
        <w:numPr>
          <w:ilvl w:val="1"/>
          <w:numId w:val="1"/>
        </w:numPr>
      </w:pPr>
      <w:r w:rsidRPr="00526248">
        <w:rPr>
          <w:szCs w:val="22"/>
        </w:rPr>
        <w:t>Irinotecan (nanoliposomal)</w:t>
      </w:r>
      <w:r w:rsidR="004F6E0E" w:rsidRPr="00526248">
        <w:rPr>
          <w:szCs w:val="22"/>
        </w:rPr>
        <w:t xml:space="preserve"> was associated with significantly higher incidences of severe or life-threatening treatment-related adverse events (primarily gastrointestinal toxicity, neutropenia, </w:t>
      </w:r>
      <w:r w:rsidR="0067063C" w:rsidRPr="00526248">
        <w:rPr>
          <w:szCs w:val="22"/>
        </w:rPr>
        <w:t xml:space="preserve">fatigue and decreased appetite) compared </w:t>
      </w:r>
      <w:r w:rsidR="000866E5">
        <w:rPr>
          <w:szCs w:val="22"/>
        </w:rPr>
        <w:t>with</w:t>
      </w:r>
      <w:r w:rsidR="000866E5" w:rsidRPr="00526248">
        <w:rPr>
          <w:szCs w:val="22"/>
        </w:rPr>
        <w:t xml:space="preserve"> </w:t>
      </w:r>
      <w:r w:rsidR="0067063C" w:rsidRPr="00526248">
        <w:rPr>
          <w:szCs w:val="22"/>
        </w:rPr>
        <w:t xml:space="preserve">5-FU/folinic acid. In addition, there were </w:t>
      </w:r>
      <w:r w:rsidR="004F6E0E" w:rsidRPr="00526248">
        <w:rPr>
          <w:szCs w:val="22"/>
        </w:rPr>
        <w:t xml:space="preserve">reports of </w:t>
      </w:r>
      <w:r w:rsidR="0067063C" w:rsidRPr="00526248">
        <w:rPr>
          <w:szCs w:val="22"/>
        </w:rPr>
        <w:t xml:space="preserve">irinotecan </w:t>
      </w:r>
      <w:r w:rsidR="004F6E0E" w:rsidRPr="00526248">
        <w:rPr>
          <w:szCs w:val="22"/>
        </w:rPr>
        <w:t>treatment-related deaths</w:t>
      </w:r>
      <w:r w:rsidR="0067063C" w:rsidRPr="00526248">
        <w:rPr>
          <w:szCs w:val="22"/>
        </w:rPr>
        <w:t>.</w:t>
      </w:r>
      <w:r w:rsidR="000866E5">
        <w:rPr>
          <w:szCs w:val="22"/>
        </w:rPr>
        <w:t xml:space="preserve"> </w:t>
      </w:r>
      <w:r w:rsidR="004F6E0E" w:rsidRPr="000866E5">
        <w:t xml:space="preserve">The significantly higher incidence of treatment-related adverse events of any severity in patients receiving </w:t>
      </w:r>
      <w:r w:rsidRPr="000866E5">
        <w:t>irinotecan (nanoliposomal)</w:t>
      </w:r>
      <w:r w:rsidR="004F6E0E" w:rsidRPr="000866E5">
        <w:t xml:space="preserve"> compared with 5</w:t>
      </w:r>
      <w:r w:rsidR="00D6351A" w:rsidRPr="000866E5">
        <w:noBreakHyphen/>
      </w:r>
      <w:r w:rsidR="004F6E0E" w:rsidRPr="000866E5">
        <w:t>FU/folinic acid could substantially affec</w:t>
      </w:r>
      <w:r w:rsidR="004F6E0E" w:rsidRPr="00225989">
        <w:t>t patients’ quality of life.</w:t>
      </w:r>
      <w:r w:rsidR="00D264CD" w:rsidRPr="00225989">
        <w:t xml:space="preserve"> T</w:t>
      </w:r>
      <w:r w:rsidR="00332604" w:rsidRPr="00225989">
        <w:t xml:space="preserve">he ESC noted that quality of life is likely to already </w:t>
      </w:r>
      <w:r w:rsidR="00D759BA" w:rsidRPr="00225989">
        <w:t xml:space="preserve">be </w:t>
      </w:r>
      <w:r w:rsidR="00332604" w:rsidRPr="00225989">
        <w:t>limited for a patient with metastatic pancreatic adenocarcinoma.</w:t>
      </w:r>
    </w:p>
    <w:p w:rsidR="000D3ED3" w:rsidRDefault="000D3ED3" w:rsidP="000D3ED3">
      <w:pPr>
        <w:pStyle w:val="ListParagraph"/>
      </w:pPr>
    </w:p>
    <w:p w:rsidR="000D3ED3" w:rsidRPr="000866E5" w:rsidRDefault="000D3ED3" w:rsidP="000A7EB2">
      <w:pPr>
        <w:pStyle w:val="ListParagraph"/>
        <w:widowControl/>
        <w:numPr>
          <w:ilvl w:val="1"/>
          <w:numId w:val="1"/>
        </w:numPr>
      </w:pPr>
      <w:r>
        <w:t>The PBAC considered that the claim of superior efficacy and inferior safety compared with 5-FU/folinic acid was adequately supported</w:t>
      </w:r>
      <w:r w:rsidR="00906074">
        <w:t>, while noting that 5</w:t>
      </w:r>
      <w:r w:rsidR="00906074">
        <w:noBreakHyphen/>
        <w:t xml:space="preserve">FU/folinic acid is rarely </w:t>
      </w:r>
      <w:r w:rsidR="00906074" w:rsidRPr="003C42D6">
        <w:t xml:space="preserve">used in </w:t>
      </w:r>
      <w:r w:rsidR="00906074">
        <w:t>this setting</w:t>
      </w:r>
      <w:r>
        <w:t>.</w:t>
      </w:r>
    </w:p>
    <w:p w:rsidR="007B3A29" w:rsidRPr="007B3A29" w:rsidRDefault="007B3A29" w:rsidP="000A7EB2">
      <w:pPr>
        <w:pStyle w:val="ListParagraph"/>
        <w:widowControl/>
        <w:rPr>
          <w:szCs w:val="22"/>
        </w:rPr>
      </w:pPr>
    </w:p>
    <w:p w:rsidR="007B3A29" w:rsidRPr="001F56D7" w:rsidRDefault="00A169D5" w:rsidP="000A7EB2">
      <w:pPr>
        <w:pStyle w:val="ListParagraph"/>
        <w:widowControl/>
        <w:numPr>
          <w:ilvl w:val="1"/>
          <w:numId w:val="1"/>
        </w:numPr>
        <w:rPr>
          <w:szCs w:val="22"/>
        </w:rPr>
      </w:pPr>
      <w:r w:rsidRPr="00A169D5">
        <w:rPr>
          <w:szCs w:val="22"/>
          <w:u w:val="single"/>
        </w:rPr>
        <w:t>Indirect comparison with oxaliplatin-containing regimens</w:t>
      </w:r>
      <w:r>
        <w:rPr>
          <w:szCs w:val="22"/>
        </w:rPr>
        <w:t xml:space="preserve">: </w:t>
      </w:r>
      <w:r w:rsidR="007B3A29" w:rsidRPr="001F56D7">
        <w:rPr>
          <w:szCs w:val="22"/>
        </w:rPr>
        <w:t xml:space="preserve">The submission described </w:t>
      </w:r>
      <w:r w:rsidR="00C82D5A" w:rsidRPr="001F56D7">
        <w:rPr>
          <w:szCs w:val="22"/>
        </w:rPr>
        <w:t>irinotecan (nanoliposomal)</w:t>
      </w:r>
      <w:r w:rsidR="007B3A29" w:rsidRPr="001F56D7">
        <w:rPr>
          <w:szCs w:val="22"/>
        </w:rPr>
        <w:t xml:space="preserve"> as superior in terms of efficacy and non-inferior in terms of safety compared with oxaliplatin-containing regimens. Th</w:t>
      </w:r>
      <w:r w:rsidR="00D759BA" w:rsidRPr="001F56D7">
        <w:rPr>
          <w:szCs w:val="22"/>
        </w:rPr>
        <w:t xml:space="preserve">e ESC considered this </w:t>
      </w:r>
      <w:r w:rsidR="007B3A29" w:rsidRPr="001F56D7">
        <w:rPr>
          <w:szCs w:val="22"/>
        </w:rPr>
        <w:t>claim was unreasonable in terms of both efficacy and safety.</w:t>
      </w:r>
    </w:p>
    <w:p w:rsidR="004F6E0E" w:rsidRPr="00526248" w:rsidRDefault="004F6E0E" w:rsidP="000A7EB2">
      <w:pPr>
        <w:pStyle w:val="ListParagraph"/>
        <w:widowControl/>
        <w:rPr>
          <w:szCs w:val="22"/>
        </w:rPr>
      </w:pPr>
    </w:p>
    <w:p w:rsidR="004F6E0E" w:rsidRPr="00526248" w:rsidRDefault="004F6E0E" w:rsidP="000A7EB2">
      <w:pPr>
        <w:pStyle w:val="ListParagraph"/>
        <w:widowControl/>
        <w:numPr>
          <w:ilvl w:val="1"/>
          <w:numId w:val="1"/>
        </w:numPr>
        <w:rPr>
          <w:szCs w:val="22"/>
        </w:rPr>
      </w:pPr>
      <w:r w:rsidRPr="00526248">
        <w:rPr>
          <w:szCs w:val="22"/>
        </w:rPr>
        <w:t>The results from the meta-analysis of the CONKO-003 and PANCREOX trials comparing oxaliplatin-containing regimens (OFF and mFOLFOX6) with 5-FU/folinic acid were</w:t>
      </w:r>
      <w:r w:rsidR="00754E9C" w:rsidRPr="00526248">
        <w:rPr>
          <w:szCs w:val="22"/>
        </w:rPr>
        <w:t xml:space="preserve"> of limited reliability. The</w:t>
      </w:r>
      <w:r w:rsidRPr="00526248">
        <w:rPr>
          <w:szCs w:val="22"/>
        </w:rPr>
        <w:t xml:space="preserve"> trials were not sufficiently comparable with contrasting results (the CONKO-003 trial suggested that the OFF regimen was superior to 5-FU/folinic acid and the PANCREOX trial results indicated that mFOLFOX6 was inferior to 5-FU/folinic acid) as well as differences in the dose strength, frequency and cycles of administration used for each treatment (OFF, mFOLFOX6 and 5-FU/folinic acid arms in both trials). The patient populations in the trials included patients with earlier stage pancreatic cancer, with potentially better survival risk compare</w:t>
      </w:r>
      <w:r w:rsidR="009477A5" w:rsidRPr="00526248">
        <w:rPr>
          <w:szCs w:val="22"/>
        </w:rPr>
        <w:t>d with the target population.</w:t>
      </w:r>
    </w:p>
    <w:p w:rsidR="004F6E0E" w:rsidRPr="00526248" w:rsidRDefault="004F6E0E" w:rsidP="000A7EB2">
      <w:pPr>
        <w:pStyle w:val="ListParagraph"/>
        <w:widowControl/>
        <w:rPr>
          <w:szCs w:val="22"/>
        </w:rPr>
      </w:pPr>
    </w:p>
    <w:p w:rsidR="004F6E0E" w:rsidRPr="004E4128" w:rsidRDefault="004F6E0E" w:rsidP="000A7EB2">
      <w:pPr>
        <w:pStyle w:val="ListParagraph"/>
        <w:widowControl/>
        <w:numPr>
          <w:ilvl w:val="1"/>
          <w:numId w:val="1"/>
        </w:numPr>
        <w:rPr>
          <w:szCs w:val="22"/>
        </w:rPr>
      </w:pPr>
      <w:r w:rsidRPr="00526248">
        <w:rPr>
          <w:szCs w:val="22"/>
        </w:rPr>
        <w:t xml:space="preserve">The </w:t>
      </w:r>
      <w:r w:rsidR="006E6133">
        <w:rPr>
          <w:szCs w:val="22"/>
        </w:rPr>
        <w:t xml:space="preserve">evaluation and the ESC considered that the </w:t>
      </w:r>
      <w:r w:rsidRPr="00526248">
        <w:rPr>
          <w:szCs w:val="22"/>
        </w:rPr>
        <w:t xml:space="preserve">naïve indirect comparison of </w:t>
      </w:r>
      <w:r w:rsidR="00C82D5A" w:rsidRPr="00526248">
        <w:rPr>
          <w:szCs w:val="22"/>
        </w:rPr>
        <w:t>irinotecan (nanoliposomal)</w:t>
      </w:r>
      <w:r w:rsidR="0018701C" w:rsidRPr="00526248">
        <w:rPr>
          <w:szCs w:val="22"/>
        </w:rPr>
        <w:t xml:space="preserve"> with oxaliplatin</w:t>
      </w:r>
      <w:r w:rsidR="0018701C" w:rsidRPr="00526248">
        <w:rPr>
          <w:szCs w:val="22"/>
        </w:rPr>
        <w:noBreakHyphen/>
      </w:r>
      <w:r w:rsidRPr="00526248">
        <w:rPr>
          <w:szCs w:val="22"/>
        </w:rPr>
        <w:t xml:space="preserve">containing regimens (OFF and mFOLFOX6) was largely uninformative due to significant applicability and heterogeneity issues </w:t>
      </w:r>
      <w:r w:rsidR="00730540">
        <w:rPr>
          <w:szCs w:val="22"/>
        </w:rPr>
        <w:t>across</w:t>
      </w:r>
      <w:r w:rsidR="00730540" w:rsidRPr="00526248">
        <w:rPr>
          <w:szCs w:val="22"/>
        </w:rPr>
        <w:t xml:space="preserve"> </w:t>
      </w:r>
      <w:r w:rsidRPr="00526248">
        <w:rPr>
          <w:szCs w:val="22"/>
        </w:rPr>
        <w:t xml:space="preserve">the CONKO-003 and PANCREOX trials and exchangeability </w:t>
      </w:r>
      <w:r w:rsidR="009477A5" w:rsidRPr="00526248">
        <w:rPr>
          <w:szCs w:val="22"/>
        </w:rPr>
        <w:t>issues with the NAPOLI-1 trial.</w:t>
      </w:r>
      <w:r w:rsidR="004E4128" w:rsidRPr="003E25CA" w:rsidDel="004E4128">
        <w:rPr>
          <w:i/>
          <w:szCs w:val="22"/>
        </w:rPr>
        <w:t xml:space="preserve"> </w:t>
      </w:r>
    </w:p>
    <w:p w:rsidR="004F6E0E" w:rsidRPr="00526248" w:rsidRDefault="004F6E0E" w:rsidP="004E4128">
      <w:pPr>
        <w:pStyle w:val="ListParagraph"/>
        <w:widowControl/>
        <w:rPr>
          <w:szCs w:val="22"/>
        </w:rPr>
      </w:pPr>
    </w:p>
    <w:p w:rsidR="004F6E0E" w:rsidRPr="00885F12" w:rsidRDefault="004F6E0E" w:rsidP="000A7EB2">
      <w:pPr>
        <w:pStyle w:val="ListParagraph"/>
        <w:widowControl/>
        <w:numPr>
          <w:ilvl w:val="1"/>
          <w:numId w:val="1"/>
        </w:numPr>
        <w:rPr>
          <w:szCs w:val="22"/>
        </w:rPr>
      </w:pPr>
      <w:r w:rsidRPr="00526248">
        <w:rPr>
          <w:szCs w:val="22"/>
        </w:rPr>
        <w:t>There were limited safety data available from the CONKO-003 and PANCREOX trials. The naïve indirect safety comparison between the pooled analysis and selected data from the NAPOLI-1 trial d</w:t>
      </w:r>
      <w:r w:rsidR="0018701C" w:rsidRPr="00526248">
        <w:rPr>
          <w:szCs w:val="22"/>
        </w:rPr>
        <w:t>id not support the claim of non</w:t>
      </w:r>
      <w:r w:rsidR="0018701C" w:rsidRPr="00526248">
        <w:rPr>
          <w:szCs w:val="22"/>
        </w:rPr>
        <w:noBreakHyphen/>
      </w:r>
      <w:r w:rsidRPr="00526248">
        <w:rPr>
          <w:szCs w:val="22"/>
        </w:rPr>
        <w:t xml:space="preserve">inferiority in </w:t>
      </w:r>
      <w:r w:rsidRPr="00526248">
        <w:rPr>
          <w:szCs w:val="22"/>
        </w:rPr>
        <w:lastRenderedPageBreak/>
        <w:t xml:space="preserve">terms of safety between </w:t>
      </w:r>
      <w:r w:rsidR="00C82D5A" w:rsidRPr="00526248">
        <w:rPr>
          <w:szCs w:val="22"/>
        </w:rPr>
        <w:t>irinotecan (nanoliposomal)</w:t>
      </w:r>
      <w:r w:rsidR="0018701C" w:rsidRPr="00526248">
        <w:rPr>
          <w:szCs w:val="22"/>
        </w:rPr>
        <w:t xml:space="preserve"> and oxaliplatin</w:t>
      </w:r>
      <w:r w:rsidR="0018701C" w:rsidRPr="00526248">
        <w:rPr>
          <w:szCs w:val="22"/>
        </w:rPr>
        <w:noBreakHyphen/>
      </w:r>
      <w:r w:rsidRPr="00526248">
        <w:rPr>
          <w:szCs w:val="22"/>
        </w:rPr>
        <w:t xml:space="preserve">containing </w:t>
      </w:r>
      <w:r w:rsidRPr="00885F12">
        <w:rPr>
          <w:szCs w:val="22"/>
        </w:rPr>
        <w:t>regimens.</w:t>
      </w:r>
      <w:r w:rsidR="008033B6" w:rsidRPr="00885F12">
        <w:rPr>
          <w:szCs w:val="22"/>
        </w:rPr>
        <w:t xml:space="preserve"> </w:t>
      </w:r>
      <w:r w:rsidR="00885F12" w:rsidRPr="00885F12">
        <w:rPr>
          <w:szCs w:val="22"/>
        </w:rPr>
        <w:t>The</w:t>
      </w:r>
      <w:r w:rsidR="00FF7F27" w:rsidRPr="00885F12">
        <w:rPr>
          <w:szCs w:val="22"/>
        </w:rPr>
        <w:t xml:space="preserve"> pre-PBAC response (p2)</w:t>
      </w:r>
      <w:r w:rsidR="00885F12" w:rsidRPr="00885F12">
        <w:rPr>
          <w:szCs w:val="22"/>
        </w:rPr>
        <w:t xml:space="preserve"> </w:t>
      </w:r>
      <w:r w:rsidR="00885F12">
        <w:rPr>
          <w:szCs w:val="22"/>
        </w:rPr>
        <w:t xml:space="preserve">stated that </w:t>
      </w:r>
      <w:r w:rsidR="00885F12" w:rsidRPr="00885F12">
        <w:t xml:space="preserve">5-FU/folinic acid is not likely to be inferior in safety to </w:t>
      </w:r>
      <w:r w:rsidR="00885F12">
        <w:t xml:space="preserve">oxaliplatin-containing regimens on the basis of </w:t>
      </w:r>
      <w:r w:rsidR="00885F12">
        <w:rPr>
          <w:szCs w:val="22"/>
        </w:rPr>
        <w:t xml:space="preserve">a comparison of </w:t>
      </w:r>
      <w:r w:rsidR="000C2776" w:rsidRPr="00885F12">
        <w:t xml:space="preserve">pooled risks of any grade three or higher </w:t>
      </w:r>
      <w:r w:rsidR="000C2776" w:rsidRPr="00885F12">
        <w:rPr>
          <w:shd w:val="clear" w:color="auto" w:fill="FFFFFF"/>
        </w:rPr>
        <w:t>treatment emergent adverse events</w:t>
      </w:r>
      <w:r w:rsidR="000C2776" w:rsidRPr="00885F12">
        <w:t xml:space="preserve"> in the CONKO-003, PANCREOX, and NAPOLI-1 trials</w:t>
      </w:r>
      <w:r w:rsidR="00885F12">
        <w:t xml:space="preserve"> (resulting in a relative risk of </w:t>
      </w:r>
      <w:r w:rsidR="002A4E9A">
        <w:rPr>
          <w:noProof/>
          <w:color w:val="000000"/>
          <w:highlight w:val="black"/>
        </w:rPr>
        <w:t>'''''''''''</w:t>
      </w:r>
      <w:r w:rsidR="00885F12">
        <w:t xml:space="preserve"> for irinotecan (nanoliposomal) </w:t>
      </w:r>
      <w:r w:rsidR="00730540">
        <w:t xml:space="preserve">versus </w:t>
      </w:r>
      <w:r w:rsidR="00D357BC">
        <w:t xml:space="preserve">5-FU/folinic acid </w:t>
      </w:r>
      <w:r w:rsidR="00885F12">
        <w:t xml:space="preserve">and </w:t>
      </w:r>
      <w:r w:rsidR="002A4E9A">
        <w:rPr>
          <w:noProof/>
          <w:color w:val="000000"/>
          <w:highlight w:val="black"/>
        </w:rPr>
        <w:t>''''''''''</w:t>
      </w:r>
      <w:r w:rsidR="00885F12">
        <w:t xml:space="preserve"> for oxaliplatin-containing regimens</w:t>
      </w:r>
      <w:r w:rsidR="00D357BC">
        <w:t xml:space="preserve"> versus 5-FU/folinic acid</w:t>
      </w:r>
      <w:r w:rsidR="00885F12">
        <w:t>).</w:t>
      </w:r>
    </w:p>
    <w:p w:rsidR="00B62F42" w:rsidRPr="004E4128" w:rsidRDefault="00B62F42" w:rsidP="000A7EB2">
      <w:pPr>
        <w:pStyle w:val="ListParagraph"/>
        <w:widowControl/>
        <w:rPr>
          <w:szCs w:val="22"/>
        </w:rPr>
      </w:pPr>
    </w:p>
    <w:p w:rsidR="00B62F42" w:rsidRPr="00885F12" w:rsidRDefault="00B75797" w:rsidP="00B75797">
      <w:pPr>
        <w:pStyle w:val="ListParagraph"/>
        <w:widowControl/>
        <w:numPr>
          <w:ilvl w:val="1"/>
          <w:numId w:val="1"/>
        </w:numPr>
        <w:rPr>
          <w:bCs/>
        </w:rPr>
      </w:pPr>
      <w:r w:rsidRPr="00B75797">
        <w:rPr>
          <w:bCs/>
          <w:szCs w:val="22"/>
        </w:rPr>
        <w:t>The PBAC considered that in principle (even though it is not widely used in Australian practice), 5 FU/folinic acid could be considered representative of the efficacy and toxicity of mFOLFOX6</w:t>
      </w:r>
      <w:r>
        <w:rPr>
          <w:bCs/>
          <w:szCs w:val="22"/>
        </w:rPr>
        <w:t>. Accordingly, t</w:t>
      </w:r>
      <w:r w:rsidR="00B62F42" w:rsidRPr="00885F12">
        <w:rPr>
          <w:bCs/>
          <w:szCs w:val="22"/>
        </w:rPr>
        <w:t xml:space="preserve">he PBAC considered that the claim of superior comparative effectiveness </w:t>
      </w:r>
      <w:r w:rsidR="006E6133" w:rsidRPr="00885F12">
        <w:rPr>
          <w:bCs/>
          <w:szCs w:val="22"/>
        </w:rPr>
        <w:t xml:space="preserve">compared with </w:t>
      </w:r>
      <w:r w:rsidR="00BA78F4">
        <w:rPr>
          <w:bCs/>
          <w:szCs w:val="22"/>
        </w:rPr>
        <w:t>oxaliplatin-</w:t>
      </w:r>
      <w:r w:rsidR="006E6133" w:rsidRPr="00885F12">
        <w:rPr>
          <w:bCs/>
          <w:szCs w:val="22"/>
        </w:rPr>
        <w:t xml:space="preserve">containing </w:t>
      </w:r>
      <w:r w:rsidR="00D357BC" w:rsidRPr="00885F12">
        <w:rPr>
          <w:bCs/>
          <w:szCs w:val="22"/>
        </w:rPr>
        <w:t>regimens</w:t>
      </w:r>
      <w:r w:rsidR="006E6133" w:rsidRPr="00885F12">
        <w:rPr>
          <w:bCs/>
          <w:szCs w:val="22"/>
        </w:rPr>
        <w:t xml:space="preserve"> (OFF and mFOLFOX6) </w:t>
      </w:r>
      <w:r w:rsidR="00B62F42" w:rsidRPr="00885F12">
        <w:rPr>
          <w:bCs/>
          <w:szCs w:val="22"/>
        </w:rPr>
        <w:t>was adequately supported by the data.</w:t>
      </w:r>
      <w:r w:rsidR="004E4128" w:rsidRPr="00885F12">
        <w:rPr>
          <w:bCs/>
          <w:szCs w:val="22"/>
        </w:rPr>
        <w:t xml:space="preserve"> </w:t>
      </w:r>
      <w:r w:rsidR="00F22662" w:rsidRPr="00885F12">
        <w:rPr>
          <w:bCs/>
          <w:szCs w:val="22"/>
        </w:rPr>
        <w:t xml:space="preserve">However, </w:t>
      </w:r>
      <w:r w:rsidR="00F22662" w:rsidRPr="00885F12">
        <w:rPr>
          <w:szCs w:val="22"/>
        </w:rPr>
        <w:t>t</w:t>
      </w:r>
      <w:r w:rsidR="004E4128" w:rsidRPr="00885F12">
        <w:rPr>
          <w:szCs w:val="22"/>
        </w:rPr>
        <w:t xml:space="preserve">he PBAC considered that the limitations of the </w:t>
      </w:r>
      <w:r w:rsidR="00885F12">
        <w:rPr>
          <w:szCs w:val="22"/>
        </w:rPr>
        <w:t xml:space="preserve">naïve indirect </w:t>
      </w:r>
      <w:r w:rsidR="004E4128" w:rsidRPr="00885F12">
        <w:rPr>
          <w:szCs w:val="22"/>
        </w:rPr>
        <w:t>comparison meant that confidence about statements of relative efficacy between irinotecan (nanoliposomal) and oxaliplatin</w:t>
      </w:r>
      <w:r w:rsidR="004E4128" w:rsidRPr="00885F12">
        <w:rPr>
          <w:szCs w:val="22"/>
        </w:rPr>
        <w:noBreakHyphen/>
        <w:t>containing regimens was necessarily low.</w:t>
      </w:r>
    </w:p>
    <w:p w:rsidR="00B62F42" w:rsidRPr="00FC3F98" w:rsidRDefault="00B62F42" w:rsidP="000A7EB2">
      <w:pPr>
        <w:pStyle w:val="ListParagraph"/>
        <w:widowControl/>
        <w:rPr>
          <w:bCs/>
          <w:szCs w:val="22"/>
          <w:highlight w:val="yellow"/>
        </w:rPr>
      </w:pPr>
    </w:p>
    <w:p w:rsidR="00885F12" w:rsidRPr="00906074" w:rsidRDefault="00885F12" w:rsidP="00885F12">
      <w:pPr>
        <w:widowControl/>
        <w:numPr>
          <w:ilvl w:val="1"/>
          <w:numId w:val="1"/>
        </w:numPr>
        <w:rPr>
          <w:bCs/>
          <w:lang w:val="en-GB"/>
        </w:rPr>
      </w:pPr>
      <w:r>
        <w:rPr>
          <w:szCs w:val="22"/>
        </w:rPr>
        <w:t xml:space="preserve">The PBAC considered that irinotecan (nanoliposomal) is likely to be of </w:t>
      </w:r>
      <w:r w:rsidRPr="00906074">
        <w:rPr>
          <w:szCs w:val="22"/>
        </w:rPr>
        <w:t xml:space="preserve">similar safety to </w:t>
      </w:r>
      <w:r>
        <w:rPr>
          <w:szCs w:val="22"/>
        </w:rPr>
        <w:t xml:space="preserve">oxaliplatin-containing regimens (with both regimens having significant toxicities) </w:t>
      </w:r>
      <w:r w:rsidRPr="00906074">
        <w:rPr>
          <w:szCs w:val="22"/>
        </w:rPr>
        <w:t xml:space="preserve">but </w:t>
      </w:r>
      <w:r>
        <w:rPr>
          <w:szCs w:val="22"/>
        </w:rPr>
        <w:t>may be</w:t>
      </w:r>
      <w:r w:rsidRPr="00906074">
        <w:rPr>
          <w:szCs w:val="22"/>
        </w:rPr>
        <w:t xml:space="preserve"> inferior </w:t>
      </w:r>
      <w:r>
        <w:rPr>
          <w:szCs w:val="22"/>
        </w:rPr>
        <w:t xml:space="preserve">in </w:t>
      </w:r>
      <w:r w:rsidRPr="00906074">
        <w:rPr>
          <w:szCs w:val="22"/>
        </w:rPr>
        <w:t>safety to some other alternative</w:t>
      </w:r>
      <w:r>
        <w:rPr>
          <w:szCs w:val="22"/>
        </w:rPr>
        <w:t xml:space="preserve"> second-line</w:t>
      </w:r>
      <w:r w:rsidRPr="00906074">
        <w:rPr>
          <w:szCs w:val="22"/>
        </w:rPr>
        <w:t xml:space="preserve"> treatment options.</w:t>
      </w:r>
    </w:p>
    <w:p w:rsidR="00242517" w:rsidRPr="005750D3" w:rsidRDefault="00242517" w:rsidP="000A7EB2">
      <w:pPr>
        <w:widowControl/>
        <w:rPr>
          <w:szCs w:val="22"/>
        </w:rPr>
      </w:pPr>
    </w:p>
    <w:p w:rsidR="007856D3" w:rsidRPr="007E26D3" w:rsidRDefault="007856D3" w:rsidP="000A7EB2">
      <w:pPr>
        <w:pStyle w:val="Heading2"/>
      </w:pPr>
      <w:bookmarkStart w:id="14" w:name="_Toc461529332"/>
      <w:r w:rsidRPr="007E26D3">
        <w:t>Economic analysis</w:t>
      </w:r>
      <w:bookmarkEnd w:id="14"/>
      <w:r w:rsidRPr="007E26D3">
        <w:t xml:space="preserve"> </w:t>
      </w:r>
    </w:p>
    <w:p w:rsidR="007856D3" w:rsidRPr="004F6E0E" w:rsidRDefault="007856D3" w:rsidP="000A7EB2">
      <w:pPr>
        <w:keepNext/>
        <w:widowControl/>
        <w:rPr>
          <w:szCs w:val="22"/>
        </w:rPr>
      </w:pPr>
    </w:p>
    <w:p w:rsidR="007B3A29" w:rsidRDefault="007B3A29" w:rsidP="000A7EB2">
      <w:pPr>
        <w:pStyle w:val="ListParagraph"/>
        <w:widowControl/>
        <w:numPr>
          <w:ilvl w:val="1"/>
          <w:numId w:val="1"/>
        </w:numPr>
        <w:rPr>
          <w:szCs w:val="22"/>
        </w:rPr>
      </w:pPr>
      <w:r>
        <w:rPr>
          <w:szCs w:val="22"/>
        </w:rPr>
        <w:t xml:space="preserve">The submission presented a modelled cost-utility analysis comparing </w:t>
      </w:r>
      <w:r w:rsidR="00C82D5A">
        <w:rPr>
          <w:szCs w:val="22"/>
        </w:rPr>
        <w:t>irinotecan (nanoliposomal)</w:t>
      </w:r>
      <w:r>
        <w:rPr>
          <w:szCs w:val="22"/>
        </w:rPr>
        <w:t xml:space="preserve"> to 5-FU/folinic acid</w:t>
      </w:r>
      <w:r w:rsidR="00AD0377">
        <w:rPr>
          <w:szCs w:val="22"/>
        </w:rPr>
        <w:t xml:space="preserve"> and mFOLFOX6</w:t>
      </w:r>
      <w:r>
        <w:rPr>
          <w:szCs w:val="22"/>
        </w:rPr>
        <w:t xml:space="preserve"> for the treatment of metastatic pancreatic cancer in patients with disease progression who have previously received gemcitabine-ba</w:t>
      </w:r>
      <w:r w:rsidR="0018701C">
        <w:rPr>
          <w:szCs w:val="22"/>
        </w:rPr>
        <w:t>sed therapy.</w:t>
      </w:r>
    </w:p>
    <w:p w:rsidR="007B3A29" w:rsidRDefault="007B3A29" w:rsidP="000A7EB2">
      <w:pPr>
        <w:pStyle w:val="ListParagraph"/>
        <w:widowControl/>
        <w:rPr>
          <w:szCs w:val="22"/>
        </w:rPr>
      </w:pPr>
    </w:p>
    <w:p w:rsidR="00B60939" w:rsidRPr="00B50DB8" w:rsidRDefault="007B3A29" w:rsidP="000A7EB2">
      <w:pPr>
        <w:pStyle w:val="ListParagraph"/>
        <w:widowControl/>
        <w:numPr>
          <w:ilvl w:val="1"/>
          <w:numId w:val="1"/>
        </w:numPr>
        <w:rPr>
          <w:szCs w:val="22"/>
        </w:rPr>
      </w:pPr>
      <w:r>
        <w:rPr>
          <w:szCs w:val="22"/>
        </w:rPr>
        <w:t xml:space="preserve">A summary of the model structure and rationale is presented in </w:t>
      </w:r>
      <w:r w:rsidR="0018701C">
        <w:rPr>
          <w:szCs w:val="22"/>
        </w:rPr>
        <w:t>T</w:t>
      </w:r>
      <w:r>
        <w:rPr>
          <w:szCs w:val="22"/>
        </w:rPr>
        <w:t xml:space="preserve">able </w:t>
      </w:r>
      <w:r w:rsidR="0018701C">
        <w:rPr>
          <w:szCs w:val="22"/>
        </w:rPr>
        <w:t>7.</w:t>
      </w:r>
    </w:p>
    <w:p w:rsidR="00275C5A" w:rsidRDefault="00275C5A" w:rsidP="000A7EB2">
      <w:pPr>
        <w:widowControl/>
        <w:rPr>
          <w:szCs w:val="22"/>
        </w:rPr>
      </w:pPr>
    </w:p>
    <w:p w:rsidR="00275C5A" w:rsidRDefault="00275C5A" w:rsidP="000A7EB2">
      <w:pPr>
        <w:keepNext/>
        <w:widowControl/>
        <w:ind w:firstLine="720"/>
        <w:rPr>
          <w:rStyle w:val="CommentReference"/>
        </w:rPr>
      </w:pPr>
      <w:r w:rsidRPr="00A56B6A">
        <w:rPr>
          <w:rStyle w:val="CommentReference"/>
        </w:rPr>
        <w:t xml:space="preserve">Table </w:t>
      </w:r>
      <w:r w:rsidR="007B3A29">
        <w:rPr>
          <w:rStyle w:val="CommentReference"/>
        </w:rPr>
        <w:t>7</w:t>
      </w:r>
      <w:r w:rsidRPr="00A56B6A">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275C5A" w:rsidRPr="00E2771E" w:rsidTr="005D044D">
        <w:trPr>
          <w:tblHeader/>
        </w:trPr>
        <w:tc>
          <w:tcPr>
            <w:tcW w:w="1529" w:type="pct"/>
            <w:shd w:val="clear" w:color="auto" w:fill="auto"/>
            <w:vAlign w:val="center"/>
          </w:tcPr>
          <w:p w:rsidR="00275C5A" w:rsidRPr="00E2771E" w:rsidRDefault="00275C5A" w:rsidP="000A7EB2">
            <w:pPr>
              <w:keepNext/>
              <w:widowControl/>
              <w:jc w:val="left"/>
              <w:rPr>
                <w:rFonts w:ascii="Arial Narrow" w:hAnsi="Arial Narrow"/>
                <w:b/>
                <w:sz w:val="20"/>
              </w:rPr>
            </w:pPr>
            <w:r w:rsidRPr="00E2771E">
              <w:rPr>
                <w:rFonts w:ascii="Arial Narrow" w:hAnsi="Arial Narrow"/>
                <w:b/>
                <w:sz w:val="20"/>
              </w:rPr>
              <w:t>Component</w:t>
            </w:r>
          </w:p>
        </w:tc>
        <w:tc>
          <w:tcPr>
            <w:tcW w:w="3471" w:type="pct"/>
            <w:shd w:val="clear" w:color="auto" w:fill="auto"/>
            <w:vAlign w:val="center"/>
          </w:tcPr>
          <w:p w:rsidR="00275C5A" w:rsidRPr="00E2771E" w:rsidRDefault="00275C5A" w:rsidP="000A7EB2">
            <w:pPr>
              <w:keepNext/>
              <w:widowControl/>
              <w:jc w:val="left"/>
              <w:rPr>
                <w:rFonts w:ascii="Arial Narrow" w:hAnsi="Arial Narrow"/>
                <w:b/>
                <w:sz w:val="20"/>
              </w:rPr>
            </w:pPr>
            <w:r w:rsidRPr="00E2771E">
              <w:rPr>
                <w:rFonts w:ascii="Arial Narrow" w:hAnsi="Arial Narrow"/>
                <w:b/>
                <w:sz w:val="20"/>
              </w:rPr>
              <w:t>Summary</w:t>
            </w:r>
          </w:p>
        </w:tc>
      </w:tr>
      <w:tr w:rsidR="00275C5A" w:rsidRPr="00E2771E" w:rsidTr="005D044D">
        <w:tc>
          <w:tcPr>
            <w:tcW w:w="1529" w:type="pct"/>
            <w:shd w:val="clear" w:color="auto" w:fill="auto"/>
            <w:vAlign w:val="center"/>
          </w:tcPr>
          <w:p w:rsidR="00275C5A" w:rsidRPr="00E2771E" w:rsidRDefault="00275C5A" w:rsidP="000A7EB2">
            <w:pPr>
              <w:keepNext/>
              <w:widowControl/>
              <w:jc w:val="left"/>
              <w:rPr>
                <w:rFonts w:ascii="Arial Narrow" w:hAnsi="Arial Narrow"/>
                <w:sz w:val="20"/>
              </w:rPr>
            </w:pPr>
            <w:r w:rsidRPr="00E2771E">
              <w:rPr>
                <w:rFonts w:ascii="Arial Narrow" w:hAnsi="Arial Narrow"/>
                <w:sz w:val="20"/>
              </w:rPr>
              <w:t>Time horizon</w:t>
            </w:r>
          </w:p>
        </w:tc>
        <w:tc>
          <w:tcPr>
            <w:tcW w:w="3471" w:type="pct"/>
            <w:shd w:val="clear" w:color="auto" w:fill="auto"/>
            <w:vAlign w:val="center"/>
          </w:tcPr>
          <w:p w:rsidR="00275C5A" w:rsidRPr="00E2771E" w:rsidRDefault="007B3A29" w:rsidP="000A7EB2">
            <w:pPr>
              <w:keepNext/>
              <w:widowControl/>
              <w:jc w:val="left"/>
              <w:rPr>
                <w:rFonts w:ascii="Arial Narrow" w:hAnsi="Arial Narrow"/>
                <w:sz w:val="20"/>
              </w:rPr>
            </w:pPr>
            <w:r w:rsidRPr="00966A47">
              <w:rPr>
                <w:rFonts w:ascii="Arial Narrow" w:hAnsi="Arial Narrow"/>
                <w:sz w:val="20"/>
              </w:rPr>
              <w:t>5 years in the model base case versus 2 years in the trial</w:t>
            </w:r>
          </w:p>
        </w:tc>
      </w:tr>
      <w:tr w:rsidR="00275C5A" w:rsidRPr="00E2771E" w:rsidTr="005D044D">
        <w:tc>
          <w:tcPr>
            <w:tcW w:w="1529" w:type="pct"/>
            <w:shd w:val="clear" w:color="auto" w:fill="auto"/>
            <w:vAlign w:val="center"/>
          </w:tcPr>
          <w:p w:rsidR="00275C5A" w:rsidRPr="00E2771E" w:rsidRDefault="00275C5A" w:rsidP="000A7EB2">
            <w:pPr>
              <w:keepNext/>
              <w:widowControl/>
              <w:jc w:val="left"/>
              <w:rPr>
                <w:rFonts w:ascii="Arial Narrow" w:hAnsi="Arial Narrow"/>
                <w:sz w:val="20"/>
              </w:rPr>
            </w:pPr>
            <w:r w:rsidRPr="00E2771E">
              <w:rPr>
                <w:rFonts w:ascii="Arial Narrow" w:hAnsi="Arial Narrow"/>
                <w:sz w:val="20"/>
              </w:rPr>
              <w:t>Outcomes</w:t>
            </w:r>
          </w:p>
        </w:tc>
        <w:tc>
          <w:tcPr>
            <w:tcW w:w="3471" w:type="pct"/>
            <w:shd w:val="clear" w:color="auto" w:fill="auto"/>
            <w:vAlign w:val="center"/>
          </w:tcPr>
          <w:p w:rsidR="00275C5A" w:rsidRPr="00E2771E" w:rsidRDefault="007B3A29" w:rsidP="000A7EB2">
            <w:pPr>
              <w:keepNext/>
              <w:widowControl/>
              <w:jc w:val="left"/>
              <w:rPr>
                <w:rFonts w:ascii="Arial Narrow" w:hAnsi="Arial Narrow"/>
                <w:sz w:val="20"/>
              </w:rPr>
            </w:pPr>
            <w:r w:rsidRPr="00966A47">
              <w:rPr>
                <w:rFonts w:ascii="Arial Narrow" w:hAnsi="Arial Narrow"/>
                <w:sz w:val="20"/>
              </w:rPr>
              <w:t>Quality-adjusted life years, life years</w:t>
            </w:r>
          </w:p>
        </w:tc>
      </w:tr>
      <w:tr w:rsidR="00275C5A" w:rsidRPr="00E2771E" w:rsidTr="005D044D">
        <w:tc>
          <w:tcPr>
            <w:tcW w:w="1529" w:type="pct"/>
            <w:shd w:val="clear" w:color="auto" w:fill="auto"/>
            <w:vAlign w:val="center"/>
          </w:tcPr>
          <w:p w:rsidR="00275C5A" w:rsidRPr="00E2771E" w:rsidRDefault="00275C5A" w:rsidP="000A7EB2">
            <w:pPr>
              <w:keepNext/>
              <w:widowControl/>
              <w:jc w:val="left"/>
              <w:rPr>
                <w:rFonts w:ascii="Arial Narrow" w:hAnsi="Arial Narrow"/>
                <w:sz w:val="20"/>
              </w:rPr>
            </w:pPr>
            <w:r w:rsidRPr="00E2771E">
              <w:rPr>
                <w:rFonts w:ascii="Arial Narrow" w:hAnsi="Arial Narrow"/>
                <w:sz w:val="20"/>
              </w:rPr>
              <w:t>Methods used to generate results</w:t>
            </w:r>
          </w:p>
        </w:tc>
        <w:tc>
          <w:tcPr>
            <w:tcW w:w="3471" w:type="pct"/>
            <w:shd w:val="clear" w:color="auto" w:fill="auto"/>
            <w:vAlign w:val="center"/>
          </w:tcPr>
          <w:p w:rsidR="00275C5A" w:rsidRPr="00E2771E" w:rsidRDefault="007B3A29" w:rsidP="000A7EB2">
            <w:pPr>
              <w:keepNext/>
              <w:widowControl/>
              <w:jc w:val="left"/>
              <w:rPr>
                <w:rFonts w:ascii="Arial Narrow" w:hAnsi="Arial Narrow"/>
                <w:sz w:val="20"/>
              </w:rPr>
            </w:pPr>
            <w:r w:rsidRPr="00966A47">
              <w:rPr>
                <w:rFonts w:ascii="Arial Narrow" w:hAnsi="Arial Narrow"/>
                <w:sz w:val="20"/>
              </w:rPr>
              <w:t>Markov cohort expected value analysis</w:t>
            </w:r>
          </w:p>
        </w:tc>
      </w:tr>
      <w:tr w:rsidR="007B3A29" w:rsidRPr="00E2771E" w:rsidTr="005D044D">
        <w:tc>
          <w:tcPr>
            <w:tcW w:w="1529" w:type="pct"/>
            <w:shd w:val="clear" w:color="auto" w:fill="auto"/>
            <w:vAlign w:val="center"/>
          </w:tcPr>
          <w:p w:rsidR="007B3A29" w:rsidRPr="00E2771E" w:rsidRDefault="007B3A29" w:rsidP="000A7EB2">
            <w:pPr>
              <w:keepNext/>
              <w:widowControl/>
              <w:jc w:val="left"/>
              <w:rPr>
                <w:rFonts w:ascii="Arial Narrow" w:hAnsi="Arial Narrow"/>
                <w:sz w:val="20"/>
              </w:rPr>
            </w:pPr>
            <w:r>
              <w:rPr>
                <w:rFonts w:ascii="Arial Narrow" w:hAnsi="Arial Narrow"/>
                <w:sz w:val="20"/>
              </w:rPr>
              <w:t>Treatments</w:t>
            </w:r>
          </w:p>
        </w:tc>
        <w:tc>
          <w:tcPr>
            <w:tcW w:w="3471" w:type="pct"/>
            <w:shd w:val="clear" w:color="auto" w:fill="auto"/>
            <w:vAlign w:val="center"/>
          </w:tcPr>
          <w:p w:rsidR="007B3A29" w:rsidRPr="00966A47" w:rsidRDefault="00C82D5A" w:rsidP="000A7EB2">
            <w:pPr>
              <w:keepNext/>
              <w:widowControl/>
              <w:jc w:val="left"/>
              <w:rPr>
                <w:rFonts w:ascii="Arial Narrow" w:hAnsi="Arial Narrow"/>
                <w:sz w:val="20"/>
              </w:rPr>
            </w:pPr>
            <w:r>
              <w:rPr>
                <w:rFonts w:ascii="Arial Narrow" w:hAnsi="Arial Narrow"/>
                <w:sz w:val="20"/>
              </w:rPr>
              <w:t>Irinotecan (nanoliposomal)</w:t>
            </w:r>
            <w:r w:rsidR="007B3A29">
              <w:rPr>
                <w:rFonts w:ascii="Arial Narrow" w:hAnsi="Arial Narrow"/>
                <w:sz w:val="20"/>
              </w:rPr>
              <w:t xml:space="preserve"> plus 5-FU/folinic acid, 5-FU/folinic acid and mFOLFOX6</w:t>
            </w:r>
          </w:p>
        </w:tc>
      </w:tr>
      <w:tr w:rsidR="00275C5A" w:rsidRPr="00E2771E" w:rsidTr="005D044D">
        <w:tc>
          <w:tcPr>
            <w:tcW w:w="1529" w:type="pct"/>
            <w:shd w:val="clear" w:color="auto" w:fill="auto"/>
            <w:vAlign w:val="center"/>
          </w:tcPr>
          <w:p w:rsidR="00275C5A" w:rsidRPr="00E2771E" w:rsidRDefault="00275C5A" w:rsidP="000A7EB2">
            <w:pPr>
              <w:keepNext/>
              <w:widowControl/>
              <w:jc w:val="left"/>
              <w:rPr>
                <w:rFonts w:ascii="Arial Narrow" w:hAnsi="Arial Narrow"/>
                <w:sz w:val="20"/>
              </w:rPr>
            </w:pPr>
            <w:r w:rsidRPr="00E2771E">
              <w:rPr>
                <w:rFonts w:ascii="Arial Narrow" w:hAnsi="Arial Narrow"/>
                <w:sz w:val="20"/>
              </w:rPr>
              <w:t>Health states</w:t>
            </w:r>
          </w:p>
        </w:tc>
        <w:tc>
          <w:tcPr>
            <w:tcW w:w="3471" w:type="pct"/>
            <w:shd w:val="clear" w:color="auto" w:fill="auto"/>
            <w:vAlign w:val="center"/>
          </w:tcPr>
          <w:p w:rsidR="00275C5A" w:rsidRPr="00E2771E" w:rsidRDefault="007B3A29" w:rsidP="000A7EB2">
            <w:pPr>
              <w:keepNext/>
              <w:widowControl/>
              <w:rPr>
                <w:rFonts w:ascii="Arial Narrow" w:hAnsi="Arial Narrow"/>
                <w:sz w:val="20"/>
              </w:rPr>
            </w:pPr>
            <w:r>
              <w:rPr>
                <w:rFonts w:ascii="Arial Narrow" w:hAnsi="Arial Narrow"/>
                <w:sz w:val="20"/>
              </w:rPr>
              <w:t>Pre-progression on-</w:t>
            </w:r>
            <w:r w:rsidRPr="00966A47">
              <w:rPr>
                <w:rFonts w:ascii="Arial Narrow" w:hAnsi="Arial Narrow"/>
                <w:sz w:val="20"/>
              </w:rPr>
              <w:t>treat</w:t>
            </w:r>
            <w:r>
              <w:rPr>
                <w:rFonts w:ascii="Arial Narrow" w:hAnsi="Arial Narrow"/>
                <w:sz w:val="20"/>
              </w:rPr>
              <w:t>ment, pre-progression off-</w:t>
            </w:r>
            <w:r w:rsidRPr="00966A47">
              <w:rPr>
                <w:rFonts w:ascii="Arial Narrow" w:hAnsi="Arial Narrow"/>
                <w:sz w:val="20"/>
              </w:rPr>
              <w:t>treatment, post-progression, death</w:t>
            </w:r>
          </w:p>
        </w:tc>
      </w:tr>
      <w:tr w:rsidR="00275C5A" w:rsidRPr="00E2771E" w:rsidTr="005D044D">
        <w:tc>
          <w:tcPr>
            <w:tcW w:w="1529" w:type="pct"/>
            <w:shd w:val="clear" w:color="auto" w:fill="auto"/>
            <w:vAlign w:val="center"/>
          </w:tcPr>
          <w:p w:rsidR="00275C5A" w:rsidRPr="00E2771E" w:rsidRDefault="00275C5A" w:rsidP="000A7EB2">
            <w:pPr>
              <w:keepNext/>
              <w:widowControl/>
              <w:jc w:val="left"/>
              <w:rPr>
                <w:rFonts w:ascii="Arial Narrow" w:hAnsi="Arial Narrow"/>
                <w:sz w:val="20"/>
              </w:rPr>
            </w:pPr>
            <w:r w:rsidRPr="00E2771E">
              <w:rPr>
                <w:rFonts w:ascii="Arial Narrow" w:hAnsi="Arial Narrow"/>
                <w:sz w:val="20"/>
              </w:rPr>
              <w:t>Cycle length</w:t>
            </w:r>
          </w:p>
        </w:tc>
        <w:tc>
          <w:tcPr>
            <w:tcW w:w="3471" w:type="pct"/>
            <w:shd w:val="clear" w:color="auto" w:fill="auto"/>
            <w:vAlign w:val="center"/>
          </w:tcPr>
          <w:p w:rsidR="00275C5A" w:rsidRPr="00E2771E" w:rsidRDefault="007B3A29" w:rsidP="000A7EB2">
            <w:pPr>
              <w:keepNext/>
              <w:widowControl/>
              <w:jc w:val="left"/>
              <w:rPr>
                <w:rFonts w:ascii="Arial Narrow" w:hAnsi="Arial Narrow"/>
                <w:sz w:val="20"/>
              </w:rPr>
            </w:pPr>
            <w:r>
              <w:rPr>
                <w:rFonts w:ascii="Arial Narrow" w:hAnsi="Arial Narrow"/>
                <w:sz w:val="20"/>
              </w:rPr>
              <w:t>1 week;</w:t>
            </w:r>
            <w:r w:rsidRPr="00966A47">
              <w:rPr>
                <w:rFonts w:ascii="Arial Narrow" w:hAnsi="Arial Narrow"/>
                <w:sz w:val="20"/>
              </w:rPr>
              <w:t xml:space="preserve"> half-cycle correction</w:t>
            </w:r>
            <w:r>
              <w:rPr>
                <w:rFonts w:ascii="Arial Narrow" w:hAnsi="Arial Narrow"/>
                <w:sz w:val="20"/>
              </w:rPr>
              <w:t xml:space="preserve"> applied to outcomes but not costs</w:t>
            </w:r>
          </w:p>
        </w:tc>
      </w:tr>
      <w:tr w:rsidR="007B3A29" w:rsidRPr="00E2771E" w:rsidTr="005D044D">
        <w:tc>
          <w:tcPr>
            <w:tcW w:w="1529" w:type="pct"/>
            <w:shd w:val="clear" w:color="auto" w:fill="auto"/>
            <w:vAlign w:val="center"/>
          </w:tcPr>
          <w:p w:rsidR="007B3A29" w:rsidRPr="00E2771E" w:rsidRDefault="007B3A29" w:rsidP="000A7EB2">
            <w:pPr>
              <w:keepNext/>
              <w:widowControl/>
              <w:jc w:val="left"/>
              <w:rPr>
                <w:rFonts w:ascii="Arial Narrow" w:hAnsi="Arial Narrow"/>
                <w:sz w:val="20"/>
              </w:rPr>
            </w:pPr>
            <w:r>
              <w:rPr>
                <w:rFonts w:ascii="Arial Narrow" w:hAnsi="Arial Narrow"/>
                <w:sz w:val="20"/>
              </w:rPr>
              <w:t xml:space="preserve">Discount rate </w:t>
            </w:r>
          </w:p>
        </w:tc>
        <w:tc>
          <w:tcPr>
            <w:tcW w:w="3471" w:type="pct"/>
            <w:shd w:val="clear" w:color="auto" w:fill="auto"/>
            <w:vAlign w:val="center"/>
          </w:tcPr>
          <w:p w:rsidR="007B3A29" w:rsidRDefault="007B3A29" w:rsidP="000A7EB2">
            <w:pPr>
              <w:keepNext/>
              <w:widowControl/>
              <w:jc w:val="left"/>
              <w:rPr>
                <w:rFonts w:ascii="Arial Narrow" w:hAnsi="Arial Narrow"/>
                <w:sz w:val="20"/>
              </w:rPr>
            </w:pPr>
            <w:r>
              <w:rPr>
                <w:rFonts w:ascii="Arial Narrow" w:hAnsi="Arial Narrow"/>
                <w:sz w:val="20"/>
              </w:rPr>
              <w:t>5% for costs and outcomes</w:t>
            </w:r>
          </w:p>
        </w:tc>
      </w:tr>
      <w:tr w:rsidR="00275C5A" w:rsidRPr="00E2771E" w:rsidTr="005D044D">
        <w:tc>
          <w:tcPr>
            <w:tcW w:w="1529" w:type="pct"/>
            <w:shd w:val="clear" w:color="auto" w:fill="auto"/>
            <w:vAlign w:val="center"/>
          </w:tcPr>
          <w:p w:rsidR="00275C5A" w:rsidRPr="00E2771E" w:rsidRDefault="00275C5A" w:rsidP="000A7EB2">
            <w:pPr>
              <w:keepNext/>
              <w:widowControl/>
              <w:jc w:val="left"/>
              <w:rPr>
                <w:rFonts w:ascii="Arial Narrow" w:hAnsi="Arial Narrow"/>
                <w:sz w:val="20"/>
              </w:rPr>
            </w:pPr>
            <w:r w:rsidRPr="00E2771E">
              <w:rPr>
                <w:rFonts w:ascii="Arial Narrow" w:hAnsi="Arial Narrow"/>
                <w:sz w:val="20"/>
              </w:rPr>
              <w:t>Transition probabilities</w:t>
            </w:r>
          </w:p>
        </w:tc>
        <w:tc>
          <w:tcPr>
            <w:tcW w:w="3471" w:type="pct"/>
            <w:shd w:val="clear" w:color="auto" w:fill="auto"/>
            <w:vAlign w:val="center"/>
          </w:tcPr>
          <w:p w:rsidR="00275C5A" w:rsidRPr="00E2771E" w:rsidRDefault="007B3A29" w:rsidP="00F22662">
            <w:pPr>
              <w:keepNext/>
              <w:widowControl/>
              <w:jc w:val="left"/>
              <w:rPr>
                <w:rFonts w:ascii="Arial Narrow" w:hAnsi="Arial Narrow"/>
                <w:sz w:val="20"/>
              </w:rPr>
            </w:pPr>
            <w:r w:rsidRPr="00966A47">
              <w:rPr>
                <w:rFonts w:ascii="Arial Narrow" w:hAnsi="Arial Narrow"/>
                <w:sz w:val="20"/>
              </w:rPr>
              <w:t>Based on partitioned survival analysis. Progression-free, time on treatment and overall survival probabilities derived from extrapolated survival curves from the NAPOLI-1 trial</w:t>
            </w:r>
            <w:r w:rsidR="00F22662">
              <w:rPr>
                <w:rFonts w:ascii="Arial Narrow" w:hAnsi="Arial Narrow"/>
                <w:sz w:val="20"/>
              </w:rPr>
              <w:t>.</w:t>
            </w:r>
          </w:p>
        </w:tc>
      </w:tr>
      <w:tr w:rsidR="007B3A29" w:rsidRPr="00E2771E" w:rsidTr="005D044D">
        <w:tc>
          <w:tcPr>
            <w:tcW w:w="1529" w:type="pct"/>
            <w:shd w:val="clear" w:color="auto" w:fill="auto"/>
            <w:vAlign w:val="center"/>
          </w:tcPr>
          <w:p w:rsidR="007B3A29" w:rsidRPr="00E2771E" w:rsidRDefault="007B3A29" w:rsidP="000A7EB2">
            <w:pPr>
              <w:keepNext/>
              <w:widowControl/>
              <w:jc w:val="left"/>
              <w:rPr>
                <w:rFonts w:ascii="Arial Narrow" w:hAnsi="Arial Narrow"/>
                <w:sz w:val="20"/>
              </w:rPr>
            </w:pPr>
            <w:r>
              <w:rPr>
                <w:rFonts w:ascii="Arial Narrow" w:hAnsi="Arial Narrow"/>
                <w:sz w:val="20"/>
              </w:rPr>
              <w:t>Software package</w:t>
            </w:r>
          </w:p>
        </w:tc>
        <w:tc>
          <w:tcPr>
            <w:tcW w:w="3471" w:type="pct"/>
            <w:shd w:val="clear" w:color="auto" w:fill="auto"/>
            <w:vAlign w:val="center"/>
          </w:tcPr>
          <w:p w:rsidR="007B3A29" w:rsidRPr="00966A47" w:rsidRDefault="007B3A29" w:rsidP="000A7EB2">
            <w:pPr>
              <w:keepNext/>
              <w:widowControl/>
              <w:jc w:val="left"/>
              <w:rPr>
                <w:rFonts w:ascii="Arial Narrow" w:hAnsi="Arial Narrow"/>
                <w:sz w:val="20"/>
              </w:rPr>
            </w:pPr>
            <w:r>
              <w:rPr>
                <w:rFonts w:ascii="Arial Narrow" w:hAnsi="Arial Narrow"/>
                <w:sz w:val="20"/>
              </w:rPr>
              <w:t>Excel 2013</w:t>
            </w:r>
          </w:p>
        </w:tc>
      </w:tr>
    </w:tbl>
    <w:p w:rsidR="007B3A29" w:rsidRPr="007B3A29" w:rsidRDefault="007B3A29" w:rsidP="000A7EB2">
      <w:pPr>
        <w:pStyle w:val="TableFooter"/>
        <w:widowControl/>
        <w:ind w:firstLine="720"/>
      </w:pPr>
      <w:r>
        <w:t>Source: constructed</w:t>
      </w:r>
      <w:r w:rsidR="00275C5A" w:rsidRPr="00275C5A">
        <w:t xml:space="preserve"> during the evaluation</w:t>
      </w:r>
    </w:p>
    <w:p w:rsidR="007B3A29" w:rsidRPr="00275C5A" w:rsidRDefault="007B3A29" w:rsidP="000A7EB2">
      <w:pPr>
        <w:widowControl/>
        <w:rPr>
          <w:szCs w:val="22"/>
        </w:rPr>
      </w:pPr>
    </w:p>
    <w:p w:rsidR="00D110BD" w:rsidRDefault="006F051D" w:rsidP="000A7EB2">
      <w:pPr>
        <w:pStyle w:val="ListParagraph"/>
        <w:widowControl/>
        <w:numPr>
          <w:ilvl w:val="1"/>
          <w:numId w:val="1"/>
        </w:numPr>
      </w:pPr>
      <w:r w:rsidRPr="00526248">
        <w:t>The economic model was based on survival data from the NAPOLI-1 trial without explicit patient characteristics. The modelled population for mFOLFOX6 was synthesised using survival estimates from the 5-FU/folinic acid arm in the model, drug costs using the dosing regimen from eviQ guidelines (</w:t>
      </w:r>
      <w:r w:rsidR="00EA109C">
        <w:t>which differed</w:t>
      </w:r>
      <w:r w:rsidR="00EA109C" w:rsidRPr="00526248">
        <w:t xml:space="preserve"> </w:t>
      </w:r>
      <w:r w:rsidRPr="00526248">
        <w:t xml:space="preserve">to </w:t>
      </w:r>
      <w:r w:rsidR="00EA109C">
        <w:t xml:space="preserve">the </w:t>
      </w:r>
      <w:r w:rsidRPr="00526248">
        <w:t>regimen</w:t>
      </w:r>
      <w:r w:rsidR="00727A50">
        <w:t xml:space="preserve"> in the trials</w:t>
      </w:r>
      <w:r w:rsidRPr="00526248">
        <w:t xml:space="preserve">), utility values from published literature and adverse event data </w:t>
      </w:r>
      <w:r w:rsidRPr="00526248">
        <w:lastRenderedPageBreak/>
        <w:t>from the meta-analysis of the CONKO-003 and PANCREOX trials.</w:t>
      </w:r>
      <w:r w:rsidRPr="00225989">
        <w:t xml:space="preserve"> </w:t>
      </w:r>
      <w:r w:rsidR="00A8508C" w:rsidRPr="00225989">
        <w:t>The modelled population is unlikely to be applicable to the PBS population</w:t>
      </w:r>
      <w:r w:rsidRPr="00225989">
        <w:t>.</w:t>
      </w:r>
    </w:p>
    <w:p w:rsidR="006F051D" w:rsidRPr="00526248" w:rsidRDefault="006F051D" w:rsidP="000A7EB2">
      <w:pPr>
        <w:pStyle w:val="ListParagraph"/>
        <w:widowControl/>
      </w:pPr>
    </w:p>
    <w:p w:rsidR="00504239" w:rsidRPr="00504239" w:rsidRDefault="006F051D" w:rsidP="00EF09BE">
      <w:pPr>
        <w:pStyle w:val="ListParagraph"/>
        <w:widowControl/>
        <w:numPr>
          <w:ilvl w:val="1"/>
          <w:numId w:val="1"/>
        </w:numPr>
      </w:pPr>
      <w:r w:rsidRPr="00526248">
        <w:t>Given the poor prognosis of the</w:t>
      </w:r>
      <w:r w:rsidRPr="00225989">
        <w:t xml:space="preserve"> disease and very low </w:t>
      </w:r>
      <w:r w:rsidR="0018701C" w:rsidRPr="00225989">
        <w:t>five</w:t>
      </w:r>
      <w:r w:rsidRPr="00225989">
        <w:t xml:space="preserve">-year survival rates, </w:t>
      </w:r>
      <w:r w:rsidR="003804C9" w:rsidRPr="00225989">
        <w:t xml:space="preserve">the ESC considered it was </w:t>
      </w:r>
      <w:r w:rsidR="00A015B3" w:rsidRPr="00225989">
        <w:t xml:space="preserve">not reasonable to use a time horizon beyond the trial period of </w:t>
      </w:r>
      <w:r w:rsidR="0018701C" w:rsidRPr="00225989">
        <w:t>two</w:t>
      </w:r>
      <w:r w:rsidR="00A015B3" w:rsidRPr="00225989">
        <w:t xml:space="preserve"> years. A trial-based analysis </w:t>
      </w:r>
      <w:r w:rsidR="003804C9" w:rsidRPr="00225989">
        <w:t xml:space="preserve">would </w:t>
      </w:r>
      <w:r w:rsidR="00A015B3" w:rsidRPr="00225989">
        <w:t xml:space="preserve">have been more appropriate as majority of events </w:t>
      </w:r>
      <w:r w:rsidR="00A015B3" w:rsidRPr="00182AEA">
        <w:t>were captured by the end of the trial</w:t>
      </w:r>
      <w:r w:rsidR="000730BA" w:rsidRPr="00182AEA">
        <w:t xml:space="preserve"> and the survival curves had effectively converged</w:t>
      </w:r>
      <w:r w:rsidR="00A015B3" w:rsidRPr="00182AEA">
        <w:t>.</w:t>
      </w:r>
      <w:r w:rsidR="00EF09BE">
        <w:t xml:space="preserve"> </w:t>
      </w:r>
      <w:r w:rsidR="00EF09BE" w:rsidRPr="00EF09BE">
        <w:t>The pre-PBAC response (p3) argued that a five year time horizon is appropriate to ensure the outcomes and costs of the 5% to 10% of patients with metastatic pancreatic adenocarcinoma who survive longer than two years are captured.</w:t>
      </w:r>
    </w:p>
    <w:p w:rsidR="00010535" w:rsidRPr="00526248" w:rsidRDefault="00010535" w:rsidP="000A7EB2">
      <w:pPr>
        <w:pStyle w:val="ListParagraph"/>
        <w:widowControl/>
      </w:pPr>
    </w:p>
    <w:p w:rsidR="00010535" w:rsidRPr="00526248" w:rsidRDefault="00B33A32" w:rsidP="000A7EB2">
      <w:pPr>
        <w:pStyle w:val="ListParagraph"/>
        <w:widowControl/>
        <w:numPr>
          <w:ilvl w:val="1"/>
          <w:numId w:val="1"/>
        </w:numPr>
      </w:pPr>
      <w:r w:rsidRPr="00225989">
        <w:t>The ESC</w:t>
      </w:r>
      <w:r w:rsidR="00D264CD" w:rsidRPr="00225989">
        <w:t xml:space="preserve"> considered the lack of a relationship between </w:t>
      </w:r>
      <w:r w:rsidR="000D30A5" w:rsidRPr="00526248">
        <w:t>overall survival, progression-free</w:t>
      </w:r>
      <w:r w:rsidR="000D30A5">
        <w:t xml:space="preserve"> survival and time on treatment in the model </w:t>
      </w:r>
      <w:r w:rsidR="00D264CD" w:rsidRPr="00225989">
        <w:t xml:space="preserve">could result in </w:t>
      </w:r>
      <w:r w:rsidR="00A65E3B" w:rsidRPr="00225989">
        <w:t>invalid</w:t>
      </w:r>
      <w:r w:rsidR="00D264CD" w:rsidRPr="00225989">
        <w:t xml:space="preserve"> </w:t>
      </w:r>
      <w:r w:rsidRPr="00225989">
        <w:t xml:space="preserve">sensitivity analyses </w:t>
      </w:r>
      <w:r w:rsidR="0052165D" w:rsidRPr="00225989">
        <w:t>due to</w:t>
      </w:r>
      <w:r w:rsidR="00D264CD" w:rsidRPr="00225989">
        <w:t xml:space="preserve"> </w:t>
      </w:r>
      <w:r w:rsidR="0052165D" w:rsidRPr="00225989">
        <w:t xml:space="preserve">the possibility of </w:t>
      </w:r>
      <w:r w:rsidR="00A65E3B" w:rsidRPr="00225989">
        <w:t xml:space="preserve">logical </w:t>
      </w:r>
      <w:r w:rsidR="00D264CD" w:rsidRPr="00225989">
        <w:t>clinical relationships between the parameters not be</w:t>
      </w:r>
      <w:r w:rsidR="0052165D" w:rsidRPr="00225989">
        <w:t>ing</w:t>
      </w:r>
      <w:r w:rsidR="00D264CD" w:rsidRPr="00225989">
        <w:t xml:space="preserve"> maintained</w:t>
      </w:r>
      <w:r w:rsidR="00010535" w:rsidRPr="00225989">
        <w:t>.</w:t>
      </w:r>
    </w:p>
    <w:p w:rsidR="00A015B3" w:rsidRPr="00526248" w:rsidRDefault="00A015B3" w:rsidP="000A7EB2">
      <w:pPr>
        <w:pStyle w:val="ListParagraph"/>
        <w:widowControl/>
      </w:pPr>
    </w:p>
    <w:p w:rsidR="00A015B3" w:rsidRPr="00526248" w:rsidRDefault="00A015B3" w:rsidP="000A7EB2">
      <w:pPr>
        <w:pStyle w:val="ListParagraph"/>
        <w:widowControl/>
        <w:numPr>
          <w:ilvl w:val="1"/>
          <w:numId w:val="1"/>
        </w:numPr>
      </w:pPr>
      <w:r w:rsidRPr="00526248">
        <w:t xml:space="preserve">The key drivers of the model were the </w:t>
      </w:r>
      <w:r w:rsidR="007C7015">
        <w:t>extrapolated</w:t>
      </w:r>
      <w:r w:rsidR="007C7015" w:rsidRPr="00526248">
        <w:t xml:space="preserve"> </w:t>
      </w:r>
      <w:r w:rsidRPr="00526248">
        <w:t xml:space="preserve">survival and time on treatment estimates, and utility estimates (baseline and </w:t>
      </w:r>
      <w:r w:rsidR="00601514" w:rsidRPr="00526248">
        <w:t>adverse event utility decrement</w:t>
      </w:r>
      <w:r w:rsidR="00196E01" w:rsidRPr="00526248">
        <w:t>) as summarised in the table below.</w:t>
      </w:r>
    </w:p>
    <w:p w:rsidR="004F6E0E" w:rsidRDefault="004F6E0E" w:rsidP="000A7EB2">
      <w:pPr>
        <w:pStyle w:val="ListParagraph"/>
        <w:widowControl/>
        <w:rPr>
          <w:i/>
        </w:rPr>
      </w:pPr>
    </w:p>
    <w:p w:rsidR="004F6E0E" w:rsidRDefault="004F6E0E" w:rsidP="000A7EB2">
      <w:pPr>
        <w:keepNext/>
        <w:widowControl/>
        <w:ind w:firstLine="720"/>
        <w:rPr>
          <w:rStyle w:val="CommentReference"/>
        </w:rPr>
      </w:pPr>
      <w:r w:rsidRPr="00A56B6A">
        <w:rPr>
          <w:rStyle w:val="CommentReference"/>
        </w:rPr>
        <w:t xml:space="preserve">Table </w:t>
      </w:r>
      <w:r w:rsidR="00196E01">
        <w:rPr>
          <w:rStyle w:val="CommentReference"/>
        </w:rPr>
        <w:t>8</w:t>
      </w:r>
      <w:r w:rsidRPr="00A56B6A">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45"/>
        <w:gridCol w:w="4760"/>
        <w:gridCol w:w="1540"/>
      </w:tblGrid>
      <w:tr w:rsidR="004F6E0E" w:rsidRPr="00225989" w:rsidTr="00CC23F9">
        <w:trPr>
          <w:tblHeader/>
        </w:trPr>
        <w:tc>
          <w:tcPr>
            <w:tcW w:w="1225" w:type="pct"/>
            <w:shd w:val="clear" w:color="auto" w:fill="auto"/>
            <w:vAlign w:val="center"/>
          </w:tcPr>
          <w:p w:rsidR="004F6E0E" w:rsidRPr="00225989" w:rsidRDefault="004F6E0E" w:rsidP="000A7EB2">
            <w:pPr>
              <w:keepNext/>
              <w:widowControl/>
              <w:jc w:val="left"/>
              <w:rPr>
                <w:rFonts w:ascii="Arial Narrow" w:hAnsi="Arial Narrow"/>
                <w:b/>
                <w:sz w:val="20"/>
                <w:lang w:val="en-US"/>
              </w:rPr>
            </w:pPr>
            <w:r w:rsidRPr="00225989">
              <w:rPr>
                <w:rFonts w:ascii="Arial Narrow" w:hAnsi="Arial Narrow"/>
                <w:b/>
                <w:sz w:val="20"/>
                <w:lang w:val="en-US"/>
              </w:rPr>
              <w:t>Description</w:t>
            </w:r>
          </w:p>
        </w:tc>
        <w:tc>
          <w:tcPr>
            <w:tcW w:w="2851" w:type="pct"/>
            <w:shd w:val="clear" w:color="auto" w:fill="auto"/>
            <w:vAlign w:val="center"/>
          </w:tcPr>
          <w:p w:rsidR="004F6E0E" w:rsidRPr="00225989" w:rsidRDefault="004F6E0E" w:rsidP="000A7EB2">
            <w:pPr>
              <w:keepNext/>
              <w:widowControl/>
              <w:jc w:val="center"/>
              <w:rPr>
                <w:rFonts w:ascii="Arial Narrow" w:hAnsi="Arial Narrow"/>
                <w:b/>
                <w:sz w:val="20"/>
                <w:lang w:val="en-US"/>
              </w:rPr>
            </w:pPr>
            <w:r w:rsidRPr="00225989">
              <w:rPr>
                <w:rFonts w:ascii="Arial Narrow" w:hAnsi="Arial Narrow"/>
                <w:b/>
                <w:sz w:val="20"/>
                <w:lang w:val="en-US"/>
              </w:rPr>
              <w:t>Method/Value</w:t>
            </w:r>
          </w:p>
        </w:tc>
        <w:tc>
          <w:tcPr>
            <w:tcW w:w="923" w:type="pct"/>
            <w:shd w:val="clear" w:color="auto" w:fill="auto"/>
            <w:vAlign w:val="center"/>
          </w:tcPr>
          <w:p w:rsidR="004F6E0E" w:rsidRPr="00225989" w:rsidRDefault="004F6E0E" w:rsidP="000A7EB2">
            <w:pPr>
              <w:keepNext/>
              <w:widowControl/>
              <w:jc w:val="center"/>
              <w:rPr>
                <w:rFonts w:ascii="Arial Narrow" w:hAnsi="Arial Narrow"/>
                <w:b/>
                <w:sz w:val="20"/>
                <w:lang w:val="en-US"/>
              </w:rPr>
            </w:pPr>
            <w:r w:rsidRPr="00225989">
              <w:rPr>
                <w:rFonts w:ascii="Arial Narrow" w:hAnsi="Arial Narrow"/>
                <w:b/>
                <w:sz w:val="20"/>
                <w:lang w:val="en-US"/>
              </w:rPr>
              <w:t>Impact</w:t>
            </w:r>
          </w:p>
        </w:tc>
      </w:tr>
      <w:tr w:rsidR="004304FE" w:rsidRPr="00225989" w:rsidTr="00CC23F9">
        <w:tc>
          <w:tcPr>
            <w:tcW w:w="1225" w:type="pct"/>
            <w:shd w:val="clear" w:color="auto" w:fill="auto"/>
            <w:vAlign w:val="center"/>
          </w:tcPr>
          <w:p w:rsidR="004304FE" w:rsidRPr="00225989" w:rsidRDefault="004304FE" w:rsidP="000A7EB2">
            <w:pPr>
              <w:keepNext/>
              <w:widowControl/>
              <w:jc w:val="left"/>
              <w:rPr>
                <w:rFonts w:ascii="Arial Narrow" w:hAnsi="Arial Narrow"/>
                <w:sz w:val="20"/>
                <w:lang w:val="en-US"/>
              </w:rPr>
            </w:pPr>
            <w:r w:rsidRPr="00225989">
              <w:rPr>
                <w:rFonts w:ascii="Arial Narrow" w:hAnsi="Arial Narrow"/>
                <w:sz w:val="20"/>
                <w:lang w:val="en-US"/>
              </w:rPr>
              <w:t>Extrapolation</w:t>
            </w:r>
            <w:r w:rsidR="003C2B3A" w:rsidRPr="00225989">
              <w:rPr>
                <w:rFonts w:ascii="Arial Narrow" w:hAnsi="Arial Narrow"/>
                <w:sz w:val="20"/>
                <w:lang w:val="en-US"/>
              </w:rPr>
              <w:t xml:space="preserve"> of survival and progression free survival</w:t>
            </w:r>
          </w:p>
        </w:tc>
        <w:tc>
          <w:tcPr>
            <w:tcW w:w="2851" w:type="pct"/>
            <w:shd w:val="clear" w:color="auto" w:fill="auto"/>
            <w:vAlign w:val="center"/>
          </w:tcPr>
          <w:p w:rsidR="004304FE" w:rsidRPr="00225989" w:rsidRDefault="003C2B3A" w:rsidP="000A7EB2">
            <w:pPr>
              <w:keepNext/>
              <w:widowControl/>
              <w:jc w:val="center"/>
              <w:rPr>
                <w:rFonts w:ascii="Arial Narrow" w:hAnsi="Arial Narrow"/>
                <w:sz w:val="20"/>
                <w:lang w:val="en-US"/>
              </w:rPr>
            </w:pPr>
            <w:r w:rsidRPr="00225989">
              <w:rPr>
                <w:rFonts w:ascii="Arial Narrow" w:hAnsi="Arial Narrow"/>
                <w:sz w:val="20"/>
                <w:lang w:val="en-US"/>
              </w:rPr>
              <w:t>Extrapolation to 5 years using 2 years trial data. Majority of events were captured by the end of the trial</w:t>
            </w:r>
            <w:r w:rsidR="000730BA" w:rsidRPr="00225989">
              <w:rPr>
                <w:rFonts w:ascii="Arial Narrow" w:hAnsi="Arial Narrow"/>
                <w:sz w:val="20"/>
                <w:lang w:val="en-US"/>
              </w:rPr>
              <w:t xml:space="preserve"> and the survival curves had effectively converged</w:t>
            </w:r>
            <w:r w:rsidRPr="00225989">
              <w:rPr>
                <w:rFonts w:ascii="Arial Narrow" w:hAnsi="Arial Narrow"/>
                <w:sz w:val="20"/>
                <w:lang w:val="en-US"/>
              </w:rPr>
              <w:t>.</w:t>
            </w:r>
          </w:p>
        </w:tc>
        <w:tc>
          <w:tcPr>
            <w:tcW w:w="923" w:type="pct"/>
            <w:shd w:val="clear" w:color="auto" w:fill="auto"/>
            <w:vAlign w:val="center"/>
          </w:tcPr>
          <w:p w:rsidR="004304FE" w:rsidRPr="00225989" w:rsidRDefault="004304FE" w:rsidP="000A7EB2">
            <w:pPr>
              <w:keepNext/>
              <w:widowControl/>
              <w:jc w:val="center"/>
              <w:rPr>
                <w:rFonts w:ascii="Arial Narrow" w:hAnsi="Arial Narrow"/>
                <w:sz w:val="20"/>
                <w:lang w:val="en-US"/>
              </w:rPr>
            </w:pPr>
            <w:r w:rsidRPr="00225989">
              <w:rPr>
                <w:rFonts w:ascii="Arial Narrow" w:hAnsi="Arial Narrow"/>
                <w:sz w:val="20"/>
                <w:lang w:val="en-US"/>
              </w:rPr>
              <w:t xml:space="preserve">High, favours </w:t>
            </w:r>
            <w:r w:rsidR="00A65E3B" w:rsidRPr="00225989">
              <w:rPr>
                <w:rFonts w:ascii="Arial Narrow" w:hAnsi="Arial Narrow"/>
                <w:sz w:val="20"/>
                <w:lang w:val="en-US"/>
              </w:rPr>
              <w:t>i</w:t>
            </w:r>
            <w:r w:rsidRPr="00225989">
              <w:rPr>
                <w:rFonts w:ascii="Arial Narrow" w:hAnsi="Arial Narrow"/>
                <w:sz w:val="20"/>
                <w:lang w:val="en-US"/>
              </w:rPr>
              <w:t>rinotecan</w:t>
            </w:r>
            <w:r w:rsidR="00A65E3B" w:rsidRPr="00225989">
              <w:rPr>
                <w:rFonts w:ascii="Arial Narrow" w:hAnsi="Arial Narrow"/>
                <w:sz w:val="20"/>
                <w:lang w:val="en-US"/>
              </w:rPr>
              <w:t xml:space="preserve"> (nanoliposomal)</w:t>
            </w:r>
          </w:p>
        </w:tc>
      </w:tr>
      <w:tr w:rsidR="004304FE" w:rsidRPr="00225989" w:rsidTr="00CC23F9">
        <w:tc>
          <w:tcPr>
            <w:tcW w:w="1225" w:type="pct"/>
            <w:shd w:val="clear" w:color="auto" w:fill="auto"/>
            <w:vAlign w:val="center"/>
          </w:tcPr>
          <w:p w:rsidR="004304FE" w:rsidRPr="00225989" w:rsidRDefault="004304FE" w:rsidP="000A7EB2">
            <w:pPr>
              <w:keepNext/>
              <w:widowControl/>
              <w:jc w:val="left"/>
              <w:rPr>
                <w:rFonts w:ascii="Arial Narrow" w:hAnsi="Arial Narrow"/>
                <w:sz w:val="20"/>
                <w:lang w:val="en-US"/>
              </w:rPr>
            </w:pPr>
            <w:r w:rsidRPr="00225989">
              <w:rPr>
                <w:rFonts w:ascii="Arial Narrow" w:hAnsi="Arial Narrow"/>
                <w:sz w:val="20"/>
                <w:lang w:val="en-US"/>
              </w:rPr>
              <w:t>Baseline utility estimates</w:t>
            </w:r>
          </w:p>
        </w:tc>
        <w:tc>
          <w:tcPr>
            <w:tcW w:w="2851" w:type="pct"/>
            <w:shd w:val="clear" w:color="auto" w:fill="auto"/>
            <w:vAlign w:val="center"/>
          </w:tcPr>
          <w:p w:rsidR="004304FE" w:rsidRPr="00225989" w:rsidRDefault="004304FE" w:rsidP="000A7EB2">
            <w:pPr>
              <w:keepNext/>
              <w:widowControl/>
              <w:jc w:val="center"/>
              <w:rPr>
                <w:rFonts w:ascii="Arial Narrow" w:hAnsi="Arial Narrow"/>
                <w:sz w:val="20"/>
                <w:lang w:val="en-US"/>
              </w:rPr>
            </w:pPr>
            <w:r w:rsidRPr="00225989">
              <w:rPr>
                <w:rFonts w:ascii="Arial Narrow" w:hAnsi="Arial Narrow"/>
                <w:sz w:val="20"/>
                <w:lang w:val="en-US"/>
              </w:rPr>
              <w:t>Pre-progression (on-treatment and off-treatment states), 0.80; Post</w:t>
            </w:r>
            <w:r w:rsidRPr="00225989">
              <w:rPr>
                <w:rFonts w:ascii="Arial Narrow" w:hAnsi="Arial Narrow"/>
                <w:sz w:val="20"/>
                <w:lang w:val="en-US"/>
              </w:rPr>
              <w:noBreakHyphen/>
              <w:t>progression, 0.75 from Romanus et al (2012)</w:t>
            </w:r>
          </w:p>
        </w:tc>
        <w:tc>
          <w:tcPr>
            <w:tcW w:w="923" w:type="pct"/>
            <w:shd w:val="clear" w:color="auto" w:fill="auto"/>
            <w:vAlign w:val="center"/>
          </w:tcPr>
          <w:p w:rsidR="004304FE" w:rsidRPr="00225989" w:rsidRDefault="004304FE" w:rsidP="000A7EB2">
            <w:pPr>
              <w:keepNext/>
              <w:widowControl/>
              <w:jc w:val="center"/>
              <w:rPr>
                <w:rFonts w:ascii="Arial Narrow" w:hAnsi="Arial Narrow"/>
                <w:sz w:val="20"/>
                <w:lang w:val="en-US"/>
              </w:rPr>
            </w:pPr>
            <w:r w:rsidRPr="00225989">
              <w:rPr>
                <w:rFonts w:ascii="Arial Narrow" w:hAnsi="Arial Narrow"/>
                <w:sz w:val="20"/>
                <w:lang w:val="en-US"/>
              </w:rPr>
              <w:t xml:space="preserve">High, </w:t>
            </w:r>
            <w:r w:rsidRPr="00225989">
              <w:rPr>
                <w:rFonts w:ascii="Arial Narrow" w:hAnsi="Arial Narrow"/>
                <w:sz w:val="20"/>
              </w:rPr>
              <w:t>favours</w:t>
            </w:r>
            <w:r w:rsidRPr="00225989">
              <w:rPr>
                <w:rFonts w:ascii="Arial Narrow" w:hAnsi="Arial Narrow"/>
                <w:sz w:val="20"/>
                <w:lang w:val="en-US"/>
              </w:rPr>
              <w:t xml:space="preserve"> irinotecan (nanoliposomal)</w:t>
            </w:r>
          </w:p>
        </w:tc>
      </w:tr>
      <w:tr w:rsidR="004304FE" w:rsidRPr="00225989" w:rsidTr="00CC23F9">
        <w:tc>
          <w:tcPr>
            <w:tcW w:w="1225" w:type="pct"/>
            <w:shd w:val="clear" w:color="auto" w:fill="auto"/>
            <w:vAlign w:val="center"/>
          </w:tcPr>
          <w:p w:rsidR="004304FE" w:rsidRPr="00225989" w:rsidRDefault="004304FE" w:rsidP="000A7EB2">
            <w:pPr>
              <w:keepNext/>
              <w:widowControl/>
              <w:jc w:val="left"/>
              <w:rPr>
                <w:rFonts w:ascii="Arial Narrow" w:hAnsi="Arial Narrow"/>
                <w:sz w:val="20"/>
                <w:lang w:val="en-US"/>
              </w:rPr>
            </w:pPr>
            <w:r w:rsidRPr="00225989">
              <w:rPr>
                <w:rFonts w:ascii="Arial Narrow" w:hAnsi="Arial Narrow"/>
                <w:sz w:val="20"/>
                <w:lang w:val="en-US"/>
              </w:rPr>
              <w:t>AE utility decrements</w:t>
            </w:r>
            <w:r w:rsidR="00F60308" w:rsidRPr="00225989">
              <w:rPr>
                <w:rFonts w:ascii="Arial Narrow" w:hAnsi="Arial Narrow"/>
                <w:sz w:val="20"/>
                <w:lang w:val="en-US"/>
              </w:rPr>
              <w:t xml:space="preserve"> (base case)</w:t>
            </w:r>
          </w:p>
        </w:tc>
        <w:tc>
          <w:tcPr>
            <w:tcW w:w="2851" w:type="pct"/>
            <w:shd w:val="clear" w:color="auto" w:fill="auto"/>
            <w:vAlign w:val="center"/>
          </w:tcPr>
          <w:p w:rsidR="004304FE" w:rsidRPr="00225989" w:rsidRDefault="004304FE" w:rsidP="000A7EB2">
            <w:pPr>
              <w:keepNext/>
              <w:widowControl/>
              <w:jc w:val="center"/>
              <w:rPr>
                <w:rFonts w:ascii="Arial Narrow" w:hAnsi="Arial Narrow"/>
                <w:sz w:val="20"/>
                <w:lang w:val="en-US"/>
              </w:rPr>
            </w:pPr>
            <w:r w:rsidRPr="00225989">
              <w:rPr>
                <w:rFonts w:ascii="Arial Narrow" w:hAnsi="Arial Narrow"/>
                <w:sz w:val="20"/>
                <w:lang w:val="en-US"/>
              </w:rPr>
              <w:t>Excluded from base case analysis</w:t>
            </w:r>
            <w:r w:rsidR="00F60308" w:rsidRPr="00225989">
              <w:rPr>
                <w:rFonts w:ascii="Arial Narrow" w:hAnsi="Arial Narrow"/>
                <w:sz w:val="20"/>
                <w:lang w:val="en-US"/>
              </w:rPr>
              <w:t>.</w:t>
            </w:r>
          </w:p>
        </w:tc>
        <w:tc>
          <w:tcPr>
            <w:tcW w:w="923" w:type="pct"/>
            <w:shd w:val="clear" w:color="auto" w:fill="auto"/>
            <w:vAlign w:val="center"/>
          </w:tcPr>
          <w:p w:rsidR="004304FE" w:rsidRPr="00225989" w:rsidRDefault="004304FE" w:rsidP="000A7EB2">
            <w:pPr>
              <w:keepNext/>
              <w:widowControl/>
              <w:jc w:val="center"/>
              <w:rPr>
                <w:rFonts w:ascii="Arial Narrow" w:hAnsi="Arial Narrow"/>
                <w:sz w:val="20"/>
                <w:lang w:val="en-US"/>
              </w:rPr>
            </w:pPr>
            <w:r w:rsidRPr="00225989">
              <w:rPr>
                <w:rFonts w:ascii="Arial Narrow" w:hAnsi="Arial Narrow"/>
                <w:sz w:val="20"/>
                <w:lang w:val="en-US"/>
              </w:rPr>
              <w:t xml:space="preserve">High, </w:t>
            </w:r>
            <w:r w:rsidRPr="00225989">
              <w:rPr>
                <w:rFonts w:ascii="Arial Narrow" w:hAnsi="Arial Narrow"/>
                <w:sz w:val="20"/>
              </w:rPr>
              <w:t>favours</w:t>
            </w:r>
            <w:r w:rsidRPr="00225989">
              <w:rPr>
                <w:rFonts w:ascii="Arial Narrow" w:hAnsi="Arial Narrow"/>
                <w:sz w:val="20"/>
                <w:lang w:val="en-US"/>
              </w:rPr>
              <w:t xml:space="preserve"> irinotecan (nanoliposomal)</w:t>
            </w:r>
          </w:p>
        </w:tc>
      </w:tr>
      <w:tr w:rsidR="00F60308" w:rsidRPr="00225989" w:rsidTr="00CC23F9">
        <w:tc>
          <w:tcPr>
            <w:tcW w:w="1225" w:type="pct"/>
            <w:shd w:val="clear" w:color="auto" w:fill="auto"/>
            <w:vAlign w:val="center"/>
          </w:tcPr>
          <w:p w:rsidR="00F60308" w:rsidRPr="00225989" w:rsidRDefault="00F60308" w:rsidP="000A7EB2">
            <w:pPr>
              <w:keepNext/>
              <w:widowControl/>
              <w:jc w:val="left"/>
              <w:rPr>
                <w:rFonts w:ascii="Arial Narrow" w:hAnsi="Arial Narrow"/>
                <w:sz w:val="20"/>
                <w:lang w:val="en-US"/>
              </w:rPr>
            </w:pPr>
            <w:r w:rsidRPr="00225989">
              <w:rPr>
                <w:rFonts w:ascii="Arial Narrow" w:hAnsi="Arial Narrow"/>
                <w:sz w:val="20"/>
                <w:lang w:val="en-US"/>
              </w:rPr>
              <w:t>AE utility decrements (sensitivity analysis)</w:t>
            </w:r>
          </w:p>
        </w:tc>
        <w:tc>
          <w:tcPr>
            <w:tcW w:w="2851" w:type="pct"/>
            <w:shd w:val="clear" w:color="auto" w:fill="auto"/>
            <w:vAlign w:val="center"/>
          </w:tcPr>
          <w:p w:rsidR="00F60308" w:rsidRPr="00225989" w:rsidRDefault="00F60308" w:rsidP="000A7EB2">
            <w:pPr>
              <w:keepNext/>
              <w:widowControl/>
              <w:jc w:val="center"/>
              <w:rPr>
                <w:rFonts w:ascii="Arial Narrow" w:hAnsi="Arial Narrow"/>
                <w:sz w:val="20"/>
                <w:lang w:val="en-US"/>
              </w:rPr>
            </w:pPr>
            <w:r w:rsidRPr="00225989">
              <w:rPr>
                <w:rFonts w:ascii="Arial Narrow" w:hAnsi="Arial Narrow"/>
                <w:sz w:val="20"/>
                <w:lang w:val="en-US"/>
              </w:rPr>
              <w:t>Selection of adverse events (assumption) with utility decrements from published literature not specific to pancreatic cancer; adjusted by adverse event incidence and treatment exposure time</w:t>
            </w:r>
          </w:p>
        </w:tc>
        <w:tc>
          <w:tcPr>
            <w:tcW w:w="923" w:type="pct"/>
            <w:shd w:val="clear" w:color="auto" w:fill="auto"/>
            <w:vAlign w:val="center"/>
          </w:tcPr>
          <w:p w:rsidR="00F60308" w:rsidRPr="00225989" w:rsidRDefault="00F60308" w:rsidP="000A7EB2">
            <w:pPr>
              <w:keepNext/>
              <w:widowControl/>
              <w:jc w:val="center"/>
              <w:rPr>
                <w:rFonts w:ascii="Arial Narrow" w:hAnsi="Arial Narrow"/>
                <w:sz w:val="20"/>
                <w:lang w:val="en-US"/>
              </w:rPr>
            </w:pPr>
            <w:r w:rsidRPr="00225989">
              <w:rPr>
                <w:rFonts w:ascii="Arial Narrow" w:hAnsi="Arial Narrow"/>
                <w:sz w:val="20"/>
                <w:lang w:val="en-US"/>
              </w:rPr>
              <w:t>Unclear</w:t>
            </w:r>
          </w:p>
        </w:tc>
      </w:tr>
      <w:tr w:rsidR="00F60308" w:rsidRPr="00225989" w:rsidTr="00CC23F9">
        <w:tc>
          <w:tcPr>
            <w:tcW w:w="1225" w:type="pct"/>
            <w:shd w:val="clear" w:color="auto" w:fill="auto"/>
            <w:vAlign w:val="center"/>
          </w:tcPr>
          <w:p w:rsidR="00F60308" w:rsidRPr="00225989" w:rsidRDefault="00F60308" w:rsidP="000A7EB2">
            <w:pPr>
              <w:keepNext/>
              <w:widowControl/>
              <w:jc w:val="left"/>
              <w:rPr>
                <w:rFonts w:ascii="Arial Narrow" w:hAnsi="Arial Narrow"/>
                <w:sz w:val="20"/>
                <w:lang w:val="en-US"/>
              </w:rPr>
            </w:pPr>
            <w:r w:rsidRPr="00225989">
              <w:rPr>
                <w:rFonts w:ascii="Arial Narrow" w:hAnsi="Arial Narrow"/>
                <w:sz w:val="20"/>
                <w:lang w:val="en-US"/>
              </w:rPr>
              <w:t>Treatment costs</w:t>
            </w:r>
          </w:p>
        </w:tc>
        <w:tc>
          <w:tcPr>
            <w:tcW w:w="2851" w:type="pct"/>
            <w:shd w:val="clear" w:color="auto" w:fill="auto"/>
            <w:vAlign w:val="center"/>
          </w:tcPr>
          <w:p w:rsidR="00F60308" w:rsidRPr="00225989" w:rsidRDefault="00F60308" w:rsidP="000A7EB2">
            <w:pPr>
              <w:keepNext/>
              <w:widowControl/>
              <w:jc w:val="center"/>
              <w:rPr>
                <w:rFonts w:ascii="Arial Narrow" w:hAnsi="Arial Narrow"/>
                <w:sz w:val="20"/>
                <w:lang w:val="en-US"/>
              </w:rPr>
            </w:pPr>
            <w:r w:rsidRPr="00225989">
              <w:rPr>
                <w:rFonts w:ascii="Arial Narrow" w:hAnsi="Arial Narrow"/>
                <w:sz w:val="20"/>
                <w:lang w:val="en-US"/>
              </w:rPr>
              <w:t xml:space="preserve">Predicted &gt; </w:t>
            </w:r>
            <w:r w:rsidR="00AD0377" w:rsidRPr="00225989">
              <w:rPr>
                <w:rFonts w:ascii="Arial Narrow" w:hAnsi="Arial Narrow"/>
                <w:sz w:val="20"/>
                <w:lang w:val="en-US"/>
              </w:rPr>
              <w:t>o</w:t>
            </w:r>
            <w:r w:rsidRPr="00225989">
              <w:rPr>
                <w:rFonts w:ascii="Arial Narrow" w:hAnsi="Arial Narrow"/>
                <w:sz w:val="20"/>
                <w:lang w:val="en-US"/>
              </w:rPr>
              <w:t>bserved time off treatment in pre-progression state.</w:t>
            </w:r>
          </w:p>
        </w:tc>
        <w:tc>
          <w:tcPr>
            <w:tcW w:w="923" w:type="pct"/>
            <w:shd w:val="clear" w:color="auto" w:fill="auto"/>
            <w:vAlign w:val="center"/>
          </w:tcPr>
          <w:p w:rsidR="00F60308" w:rsidRPr="00225989" w:rsidRDefault="00F60308" w:rsidP="000A7EB2">
            <w:pPr>
              <w:keepNext/>
              <w:widowControl/>
              <w:jc w:val="center"/>
              <w:rPr>
                <w:rFonts w:ascii="Arial Narrow" w:hAnsi="Arial Narrow"/>
                <w:sz w:val="20"/>
                <w:lang w:val="en-US"/>
              </w:rPr>
            </w:pPr>
            <w:r w:rsidRPr="00225989">
              <w:rPr>
                <w:rFonts w:ascii="Arial Narrow" w:hAnsi="Arial Narrow"/>
                <w:sz w:val="20"/>
                <w:lang w:val="en-US"/>
              </w:rPr>
              <w:t>H</w:t>
            </w:r>
            <w:r w:rsidR="00A65E3B" w:rsidRPr="00225989">
              <w:rPr>
                <w:rFonts w:ascii="Arial Narrow" w:hAnsi="Arial Narrow"/>
                <w:sz w:val="20"/>
                <w:lang w:val="en-US"/>
              </w:rPr>
              <w:t>i</w:t>
            </w:r>
            <w:r w:rsidRPr="00225989">
              <w:rPr>
                <w:rFonts w:ascii="Arial Narrow" w:hAnsi="Arial Narrow"/>
                <w:sz w:val="20"/>
                <w:lang w:val="en-US"/>
              </w:rPr>
              <w:t xml:space="preserve">gh, </w:t>
            </w:r>
            <w:r w:rsidRPr="00225989">
              <w:rPr>
                <w:rFonts w:ascii="Arial Narrow" w:hAnsi="Arial Narrow"/>
                <w:sz w:val="20"/>
              </w:rPr>
              <w:t>favours</w:t>
            </w:r>
            <w:r w:rsidRPr="00225989">
              <w:rPr>
                <w:rFonts w:ascii="Arial Narrow" w:hAnsi="Arial Narrow"/>
                <w:sz w:val="20"/>
                <w:lang w:val="en-US"/>
              </w:rPr>
              <w:t xml:space="preserve"> irinotecan (nanoliposomal)</w:t>
            </w:r>
          </w:p>
        </w:tc>
      </w:tr>
      <w:tr w:rsidR="00F60308" w:rsidRPr="00225989" w:rsidTr="00CC23F9">
        <w:tc>
          <w:tcPr>
            <w:tcW w:w="1225" w:type="pct"/>
            <w:shd w:val="clear" w:color="auto" w:fill="auto"/>
            <w:vAlign w:val="center"/>
          </w:tcPr>
          <w:p w:rsidR="00F60308" w:rsidRPr="00225989" w:rsidRDefault="00F60308" w:rsidP="000A7EB2">
            <w:pPr>
              <w:keepNext/>
              <w:widowControl/>
              <w:jc w:val="left"/>
              <w:rPr>
                <w:rFonts w:ascii="Arial Narrow" w:hAnsi="Arial Narrow"/>
                <w:sz w:val="20"/>
                <w:lang w:val="en-US"/>
              </w:rPr>
            </w:pPr>
            <w:r w:rsidRPr="00225989">
              <w:rPr>
                <w:rFonts w:ascii="Arial Narrow" w:hAnsi="Arial Narrow"/>
                <w:sz w:val="20"/>
                <w:lang w:val="en-US"/>
              </w:rPr>
              <w:t>Post-progression costs</w:t>
            </w:r>
          </w:p>
        </w:tc>
        <w:tc>
          <w:tcPr>
            <w:tcW w:w="2851" w:type="pct"/>
            <w:shd w:val="clear" w:color="auto" w:fill="auto"/>
            <w:vAlign w:val="center"/>
          </w:tcPr>
          <w:p w:rsidR="00F60308" w:rsidRPr="00225989" w:rsidRDefault="00F60308" w:rsidP="000A7EB2">
            <w:pPr>
              <w:keepNext/>
              <w:widowControl/>
              <w:jc w:val="center"/>
              <w:rPr>
                <w:rFonts w:ascii="Arial Narrow" w:hAnsi="Arial Narrow"/>
                <w:sz w:val="20"/>
                <w:lang w:val="en-US"/>
              </w:rPr>
            </w:pPr>
            <w:r w:rsidRPr="00225989">
              <w:rPr>
                <w:rFonts w:ascii="Arial Narrow" w:hAnsi="Arial Narrow"/>
                <w:sz w:val="20"/>
                <w:lang w:val="en-US"/>
              </w:rPr>
              <w:t>Differential post-progression irinotecan (nanoliposomal) costs</w:t>
            </w:r>
            <w:r w:rsidR="00F876A2" w:rsidRPr="00225989">
              <w:rPr>
                <w:rFonts w:ascii="Arial Narrow" w:hAnsi="Arial Narrow"/>
                <w:sz w:val="20"/>
                <w:lang w:val="en-US"/>
              </w:rPr>
              <w:t xml:space="preserve"> </w:t>
            </w:r>
            <w:r w:rsidRPr="00225989">
              <w:rPr>
                <w:rFonts w:ascii="Arial Narrow" w:hAnsi="Arial Narrow"/>
                <w:sz w:val="20"/>
                <w:lang w:val="en-US"/>
              </w:rPr>
              <w:t>applied to treatment and comparator arms.</w:t>
            </w:r>
          </w:p>
        </w:tc>
        <w:tc>
          <w:tcPr>
            <w:tcW w:w="923" w:type="pct"/>
            <w:shd w:val="clear" w:color="auto" w:fill="auto"/>
            <w:vAlign w:val="center"/>
          </w:tcPr>
          <w:p w:rsidR="00F60308" w:rsidRPr="00225989" w:rsidRDefault="00F60308" w:rsidP="000A7EB2">
            <w:pPr>
              <w:keepNext/>
              <w:widowControl/>
              <w:jc w:val="center"/>
              <w:rPr>
                <w:rFonts w:ascii="Arial Narrow" w:hAnsi="Arial Narrow"/>
                <w:sz w:val="20"/>
                <w:lang w:val="en-US"/>
              </w:rPr>
            </w:pPr>
            <w:r w:rsidRPr="00225989">
              <w:rPr>
                <w:rFonts w:ascii="Arial Narrow" w:hAnsi="Arial Narrow"/>
                <w:sz w:val="20"/>
                <w:lang w:val="en-US"/>
              </w:rPr>
              <w:t xml:space="preserve">Moderate, </w:t>
            </w:r>
            <w:r w:rsidRPr="00225989">
              <w:rPr>
                <w:rFonts w:ascii="Arial Narrow" w:hAnsi="Arial Narrow"/>
                <w:sz w:val="20"/>
              </w:rPr>
              <w:t>favours</w:t>
            </w:r>
            <w:r w:rsidRPr="00225989">
              <w:rPr>
                <w:rFonts w:ascii="Arial Narrow" w:hAnsi="Arial Narrow"/>
                <w:sz w:val="20"/>
                <w:lang w:val="en-US"/>
              </w:rPr>
              <w:t xml:space="preserve"> irinotecan (nanoliposomal)</w:t>
            </w:r>
          </w:p>
        </w:tc>
      </w:tr>
    </w:tbl>
    <w:p w:rsidR="004F6E0E" w:rsidRPr="00171320" w:rsidRDefault="00EF47E5" w:rsidP="000A7EB2">
      <w:pPr>
        <w:pStyle w:val="TableFooter"/>
        <w:widowControl/>
        <w:ind w:firstLine="720"/>
      </w:pPr>
      <w:r>
        <w:t>Source: constructed</w:t>
      </w:r>
      <w:r w:rsidR="004F6E0E" w:rsidRPr="00D110BD">
        <w:t xml:space="preserve"> during the evaluation</w:t>
      </w:r>
    </w:p>
    <w:p w:rsidR="00171320" w:rsidRPr="00171320" w:rsidRDefault="00171320" w:rsidP="000A7EB2">
      <w:pPr>
        <w:pStyle w:val="ListParagraph"/>
        <w:widowControl/>
      </w:pPr>
    </w:p>
    <w:p w:rsidR="00171320" w:rsidRPr="00526248" w:rsidRDefault="00171320" w:rsidP="000A7EB2">
      <w:pPr>
        <w:pStyle w:val="ListParagraph"/>
        <w:widowControl/>
        <w:numPr>
          <w:ilvl w:val="1"/>
          <w:numId w:val="1"/>
        </w:numPr>
      </w:pPr>
      <w:r w:rsidRPr="00526248">
        <w:t>The transition probabilities used in the model were based on extrapolated overall survival</w:t>
      </w:r>
      <w:r w:rsidR="00347B93" w:rsidRPr="00526248">
        <w:t xml:space="preserve"> and progression-free survival from the NAPOLI-1 trial (post-hoc analysis). The source of data used to inform the modelled time on treatment estimates could not be validated due to poor documentation in the submission. In the model, progression-free survival estimates </w:t>
      </w:r>
      <w:r w:rsidR="00601514" w:rsidRPr="00526248">
        <w:t>were higher and time on treatment estimates were lower compared with trial data. The use of modelled estimates increased the proportion of patients who rema</w:t>
      </w:r>
      <w:r w:rsidR="0018701C" w:rsidRPr="00526248">
        <w:t>ined in the pre-progression off</w:t>
      </w:r>
      <w:r w:rsidR="0018701C" w:rsidRPr="00526248">
        <w:noBreakHyphen/>
      </w:r>
      <w:r w:rsidR="00601514" w:rsidRPr="00526248">
        <w:t xml:space="preserve">treatment state who maintained treatment benefit without accruing drug costs. This approach favoured </w:t>
      </w:r>
      <w:r w:rsidR="00C82D5A" w:rsidRPr="00526248">
        <w:lastRenderedPageBreak/>
        <w:t>irinotecan (nanoliposomal)</w:t>
      </w:r>
      <w:r w:rsidR="00601514" w:rsidRPr="00526248">
        <w:t xml:space="preserve"> as the incremental cost was </w:t>
      </w:r>
      <w:r w:rsidR="00C638E6">
        <w:t>primarily driven by drug costs.</w:t>
      </w:r>
    </w:p>
    <w:p w:rsidR="00601514" w:rsidRPr="00526248" w:rsidRDefault="00601514" w:rsidP="000A7EB2">
      <w:pPr>
        <w:pStyle w:val="ListParagraph"/>
        <w:widowControl/>
      </w:pPr>
    </w:p>
    <w:p w:rsidR="00A53329" w:rsidRPr="00407D65" w:rsidRDefault="00601514" w:rsidP="000A7EB2">
      <w:pPr>
        <w:pStyle w:val="ListParagraph"/>
        <w:widowControl/>
        <w:numPr>
          <w:ilvl w:val="1"/>
          <w:numId w:val="1"/>
        </w:numPr>
        <w:rPr>
          <w:i/>
        </w:rPr>
      </w:pPr>
      <w:r w:rsidRPr="00526248">
        <w:t xml:space="preserve">There was limited justification to support the baseline utilities </w:t>
      </w:r>
      <w:r w:rsidR="001459A2" w:rsidRPr="00526248">
        <w:t>applied to the pre</w:t>
      </w:r>
      <w:r w:rsidR="001459A2" w:rsidRPr="00526248">
        <w:noBreakHyphen/>
      </w:r>
      <w:r w:rsidR="00A53329" w:rsidRPr="00526248">
        <w:t>progression (on-treatment and off-treatment) and post-progression states. The utility values used (pre-progression states</w:t>
      </w:r>
      <w:r w:rsidR="004013FD">
        <w:t xml:space="preserve"> = </w:t>
      </w:r>
      <w:r w:rsidR="00A53329" w:rsidRPr="00526248">
        <w:t>0.8; post-progression state</w:t>
      </w:r>
      <w:r w:rsidR="004013FD">
        <w:t xml:space="preserve"> = </w:t>
      </w:r>
      <w:r w:rsidR="00A53329" w:rsidRPr="00526248">
        <w:t xml:space="preserve">0.75) may not be representative of the target population. </w:t>
      </w:r>
      <w:r w:rsidR="006700D7" w:rsidRPr="00225989">
        <w:t xml:space="preserve">The ESC noted that </w:t>
      </w:r>
      <w:r w:rsidR="004013FD">
        <w:t xml:space="preserve">patients in </w:t>
      </w:r>
      <w:r w:rsidR="006700D7" w:rsidRPr="00225989">
        <w:t>the p</w:t>
      </w:r>
      <w:r w:rsidR="0066725C" w:rsidRPr="00225989">
        <w:t>re</w:t>
      </w:r>
      <w:r w:rsidR="004013FD">
        <w:noBreakHyphen/>
      </w:r>
      <w:r w:rsidR="0066725C" w:rsidRPr="00225989">
        <w:t xml:space="preserve">progression </w:t>
      </w:r>
      <w:r w:rsidR="006700D7" w:rsidRPr="00225989">
        <w:t xml:space="preserve">health state </w:t>
      </w:r>
      <w:r w:rsidR="0066725C" w:rsidRPr="00225989">
        <w:t xml:space="preserve">still </w:t>
      </w:r>
      <w:r w:rsidR="004013FD">
        <w:t xml:space="preserve">have </w:t>
      </w:r>
      <w:r w:rsidR="0066725C" w:rsidRPr="00225989">
        <w:t xml:space="preserve">metastatic pancreatic cancer and the specified utility values are </w:t>
      </w:r>
      <w:r w:rsidR="004013FD">
        <w:t xml:space="preserve">inappropriately </w:t>
      </w:r>
      <w:r w:rsidR="0066725C" w:rsidRPr="00225989">
        <w:t>similar to those of the general population of the same age.</w:t>
      </w:r>
      <w:r w:rsidR="0066725C">
        <w:t xml:space="preserve"> </w:t>
      </w:r>
      <w:r w:rsidR="00A53329" w:rsidRPr="00526248">
        <w:t>Other studies suggested considerably lower values of between 0.6 and 0.7 for metastatic pancreatic cancer</w:t>
      </w:r>
      <w:r w:rsidR="00F60308">
        <w:t xml:space="preserve"> </w:t>
      </w:r>
      <w:r w:rsidR="00F60308" w:rsidRPr="00225989">
        <w:t>(e.g. Heiberg 2013, Ljungman 2013 and Müller-Nordhorn 2006 using UK tariffs)</w:t>
      </w:r>
      <w:r w:rsidR="00A53329" w:rsidRPr="00225989">
        <w:t>.</w:t>
      </w:r>
    </w:p>
    <w:p w:rsidR="00A53329" w:rsidRPr="00526248" w:rsidRDefault="00A53329" w:rsidP="000A7EB2">
      <w:pPr>
        <w:pStyle w:val="ListParagraph"/>
        <w:widowControl/>
      </w:pPr>
    </w:p>
    <w:p w:rsidR="005338B9" w:rsidRPr="00526248" w:rsidRDefault="00A53329" w:rsidP="000A7EB2">
      <w:pPr>
        <w:pStyle w:val="ListParagraph"/>
        <w:widowControl/>
        <w:numPr>
          <w:ilvl w:val="1"/>
          <w:numId w:val="1"/>
        </w:numPr>
      </w:pPr>
      <w:r w:rsidRPr="00526248">
        <w:t>There was inadequate justification for</w:t>
      </w:r>
      <w:r w:rsidR="005338B9" w:rsidRPr="00526248">
        <w:t xml:space="preserve"> not including</w:t>
      </w:r>
      <w:r w:rsidRPr="00526248">
        <w:t xml:space="preserve"> the </w:t>
      </w:r>
      <w:r w:rsidR="00601514" w:rsidRPr="00526248">
        <w:t xml:space="preserve">adverse event utility </w:t>
      </w:r>
      <w:r w:rsidR="00601514" w:rsidRPr="00225989">
        <w:t xml:space="preserve">decrement </w:t>
      </w:r>
      <w:r w:rsidR="005338B9" w:rsidRPr="00225989">
        <w:t>in the base case</w:t>
      </w:r>
      <w:r w:rsidR="00601514" w:rsidRPr="00225989">
        <w:t>.</w:t>
      </w:r>
      <w:r w:rsidR="005338B9" w:rsidRPr="00225989">
        <w:t xml:space="preserve"> The </w:t>
      </w:r>
      <w:r w:rsidR="006700D7" w:rsidRPr="00225989">
        <w:t xml:space="preserve">PSCR noted that the </w:t>
      </w:r>
      <w:r w:rsidR="005338B9" w:rsidRPr="00225989">
        <w:t xml:space="preserve">baseline utility values were </w:t>
      </w:r>
      <w:r w:rsidR="005338B9" w:rsidRPr="00526248">
        <w:t>considered to include treatment-related adverse events</w:t>
      </w:r>
      <w:r w:rsidR="006700D7">
        <w:t>,</w:t>
      </w:r>
      <w:r w:rsidR="005338B9" w:rsidRPr="00526248">
        <w:t xml:space="preserve"> </w:t>
      </w:r>
      <w:r w:rsidR="00EC1ACB" w:rsidRPr="00526248">
        <w:t>al</w:t>
      </w:r>
      <w:r w:rsidR="005338B9" w:rsidRPr="00526248">
        <w:t>though this assumption was in contrast with the same utility value being applied to both pre-progressi</w:t>
      </w:r>
      <w:r w:rsidR="0018701C" w:rsidRPr="00526248">
        <w:t xml:space="preserve">on </w:t>
      </w:r>
      <w:r w:rsidR="0018701C" w:rsidRPr="00225989">
        <w:t>states (on-treatment and off</w:t>
      </w:r>
      <w:r w:rsidR="0018701C" w:rsidRPr="00225989">
        <w:noBreakHyphen/>
      </w:r>
      <w:r w:rsidR="005338B9" w:rsidRPr="00225989">
        <w:t>treatment) regardless of treatment status.</w:t>
      </w:r>
      <w:r w:rsidR="006700D7" w:rsidRPr="00225989">
        <w:t xml:space="preserve"> The PSCR noted that the submission presented the results w</w:t>
      </w:r>
      <w:r w:rsidR="00F876A2" w:rsidRPr="00225989">
        <w:t>ith utility decrements included and that</w:t>
      </w:r>
      <w:r w:rsidR="006700D7" w:rsidRPr="00225989">
        <w:t xml:space="preserve"> </w:t>
      </w:r>
      <w:r w:rsidR="00F876A2" w:rsidRPr="00225989">
        <w:t xml:space="preserve">the inclusion </w:t>
      </w:r>
      <w:r w:rsidR="006700D7" w:rsidRPr="00225989">
        <w:t>demonstrated a moderate impact on the ICER (</w:t>
      </w:r>
      <w:r w:rsidR="00F876A2" w:rsidRPr="00225989">
        <w:t>see Step 5 in Table 9).</w:t>
      </w:r>
    </w:p>
    <w:p w:rsidR="005338B9" w:rsidRPr="00526248" w:rsidRDefault="005338B9" w:rsidP="000A7EB2">
      <w:pPr>
        <w:pStyle w:val="ListParagraph"/>
        <w:widowControl/>
      </w:pPr>
    </w:p>
    <w:p w:rsidR="00601514" w:rsidRPr="00526248" w:rsidRDefault="00A53329" w:rsidP="000A7EB2">
      <w:pPr>
        <w:pStyle w:val="ListParagraph"/>
        <w:widowControl/>
        <w:numPr>
          <w:ilvl w:val="1"/>
          <w:numId w:val="1"/>
        </w:numPr>
      </w:pPr>
      <w:r w:rsidRPr="00526248">
        <w:t>The selection of adverse events used to estimate utility decrements did not reflect the full list of treatment-related adverse events reported in the trial. The approach used to adjust the utility decrements for treatment exposure time was also inconsistent with the costing approach</w:t>
      </w:r>
      <w:r w:rsidR="006700D7">
        <w:t>;</w:t>
      </w:r>
      <w:r w:rsidRPr="00526248">
        <w:t xml:space="preserve"> utility decrements were adjusted based on adverse event incidence and treatment exposure time whereas cost of treating adverse events was based on adverse event duration and exposure. Due to insufficient documentation, the source of data used to inform adverse event duration and exposure could not be validated.</w:t>
      </w:r>
    </w:p>
    <w:p w:rsidR="0066725C" w:rsidRDefault="0066725C" w:rsidP="000A7EB2">
      <w:pPr>
        <w:pStyle w:val="ListParagraph"/>
        <w:widowControl/>
      </w:pPr>
    </w:p>
    <w:p w:rsidR="00601514" w:rsidRPr="00526248" w:rsidRDefault="00092A8B" w:rsidP="000A7EB2">
      <w:pPr>
        <w:pStyle w:val="ListParagraph"/>
        <w:widowControl/>
        <w:numPr>
          <w:ilvl w:val="1"/>
          <w:numId w:val="1"/>
        </w:numPr>
      </w:pPr>
      <w:r w:rsidRPr="00526248">
        <w:t>In addition, p</w:t>
      </w:r>
      <w:r w:rsidR="00601514" w:rsidRPr="00526248">
        <w:t>ost-progression treatment costs were highly uncertain as the cost</w:t>
      </w:r>
      <w:r w:rsidR="00C571AC">
        <w:t>s</w:t>
      </w:r>
      <w:r w:rsidR="00601514" w:rsidRPr="00526248">
        <w:t xml:space="preserve"> relied on the unreasonable assumption that any patient r</w:t>
      </w:r>
      <w:r w:rsidR="00BE4E6F" w:rsidRPr="00526248">
        <w:t>eceiving post</w:t>
      </w:r>
      <w:r w:rsidR="00BE4E6F" w:rsidRPr="00526248">
        <w:noBreakHyphen/>
      </w:r>
      <w:r w:rsidR="001459A2" w:rsidRPr="00526248">
        <w:t>progression anti</w:t>
      </w:r>
      <w:r w:rsidR="001459A2" w:rsidRPr="00526248">
        <w:noBreakHyphen/>
      </w:r>
      <w:r w:rsidR="00601514" w:rsidRPr="00526248">
        <w:t xml:space="preserve">cancer therapy would be treated with </w:t>
      </w:r>
      <w:r w:rsidR="00C82D5A" w:rsidRPr="00526248">
        <w:t>irinotecan (nanoliposomal)</w:t>
      </w:r>
      <w:r w:rsidR="00601514" w:rsidRPr="00526248">
        <w:t xml:space="preserve"> monotherapy (not being considered for TGA approval)</w:t>
      </w:r>
      <w:r w:rsidRPr="00526248">
        <w:t xml:space="preserve"> </w:t>
      </w:r>
      <w:r w:rsidR="0038217E" w:rsidRPr="00526248">
        <w:t xml:space="preserve">which </w:t>
      </w:r>
      <w:r w:rsidRPr="00526248">
        <w:t xml:space="preserve">was inconsistent with </w:t>
      </w:r>
      <w:r w:rsidR="0038217E" w:rsidRPr="00526248">
        <w:t xml:space="preserve">the </w:t>
      </w:r>
      <w:r w:rsidRPr="00526248">
        <w:t>draft product information and the proposed PBS restriction (cease therapy upon disease progressi</w:t>
      </w:r>
      <w:r w:rsidRPr="00225989">
        <w:t>on).</w:t>
      </w:r>
      <w:r w:rsidR="004479DC" w:rsidRPr="00225989">
        <w:t xml:space="preserve"> The PSCR (p5) agreed </w:t>
      </w:r>
      <w:r w:rsidR="00052453" w:rsidRPr="00225989">
        <w:t>‘</w:t>
      </w:r>
      <w:r w:rsidR="004479DC" w:rsidRPr="00225989">
        <w:t xml:space="preserve">that the selection of irinotecan (nanoliposomal) monotherapy for post-progression treatment in a subset of patients may not be </w:t>
      </w:r>
      <w:r w:rsidR="00052453" w:rsidRPr="00225989">
        <w:t xml:space="preserve">representative of all possible therapies or regimens used in patients with disease progression’, where ‘the </w:t>
      </w:r>
      <w:r w:rsidR="000E3517" w:rsidRPr="00225989">
        <w:t>true post-progression treatment cost may be greater than or less than the assumed irinotecan (nanoliposomal) treatment’.</w:t>
      </w:r>
    </w:p>
    <w:p w:rsidR="00D110BD" w:rsidRPr="00526248" w:rsidRDefault="00D110BD" w:rsidP="000A7EB2">
      <w:pPr>
        <w:widowControl/>
        <w:rPr>
          <w:szCs w:val="22"/>
        </w:rPr>
      </w:pPr>
    </w:p>
    <w:p w:rsidR="0066725C" w:rsidRPr="00225989" w:rsidRDefault="0066725C" w:rsidP="000A7EB2">
      <w:pPr>
        <w:pStyle w:val="ListParagraph"/>
        <w:widowControl/>
        <w:numPr>
          <w:ilvl w:val="1"/>
          <w:numId w:val="1"/>
        </w:numPr>
        <w:rPr>
          <w:szCs w:val="22"/>
        </w:rPr>
      </w:pPr>
      <w:r w:rsidRPr="00225989">
        <w:t>Post-progression treatment costs assume</w:t>
      </w:r>
      <w:r w:rsidR="00AD0377" w:rsidRPr="00225989">
        <w:t>d</w:t>
      </w:r>
      <w:r w:rsidRPr="00225989">
        <w:t xml:space="preserve"> </w:t>
      </w:r>
      <w:r w:rsidR="002A4E9A">
        <w:rPr>
          <w:noProof/>
          <w:color w:val="000000"/>
          <w:highlight w:val="black"/>
        </w:rPr>
        <w:t>'''''</w:t>
      </w:r>
      <w:r w:rsidRPr="00225989">
        <w:t xml:space="preserve">% and </w:t>
      </w:r>
      <w:r w:rsidR="002A4E9A">
        <w:rPr>
          <w:noProof/>
          <w:color w:val="000000"/>
          <w:highlight w:val="black"/>
        </w:rPr>
        <w:t>''''''</w:t>
      </w:r>
      <w:r w:rsidRPr="00225989">
        <w:t>% of irinotecan (nanoliposomal) and comparator patients</w:t>
      </w:r>
      <w:r w:rsidR="00AC68DB">
        <w:t>,</w:t>
      </w:r>
      <w:r w:rsidR="009A1A35" w:rsidRPr="00225989">
        <w:t xml:space="preserve"> respectively,</w:t>
      </w:r>
      <w:r w:rsidRPr="00225989">
        <w:t xml:space="preserve"> incur $</w:t>
      </w:r>
      <w:r w:rsidR="002A4E9A">
        <w:rPr>
          <w:noProof/>
          <w:color w:val="000000"/>
          <w:highlight w:val="black"/>
        </w:rPr>
        <w:t>''''''''''</w:t>
      </w:r>
      <w:r w:rsidRPr="00225989">
        <w:t xml:space="preserve"> weekly irinotecan (nanoliposomal) treatment cost post-progression.</w:t>
      </w:r>
      <w:r w:rsidR="00F60308" w:rsidRPr="00225989">
        <w:t xml:space="preserve"> The ESC considered that the differential application of treatment costs was </w:t>
      </w:r>
      <w:r w:rsidR="00AC68DB">
        <w:t>in</w:t>
      </w:r>
      <w:r w:rsidR="00F60308" w:rsidRPr="00225989">
        <w:t xml:space="preserve">adequately justified. </w:t>
      </w:r>
    </w:p>
    <w:p w:rsidR="0066725C" w:rsidRPr="0066725C" w:rsidRDefault="0066725C" w:rsidP="000A7EB2">
      <w:pPr>
        <w:pStyle w:val="ListParagraph"/>
        <w:widowControl/>
        <w:rPr>
          <w:szCs w:val="22"/>
        </w:rPr>
      </w:pPr>
    </w:p>
    <w:p w:rsidR="00347B93" w:rsidRPr="00526248" w:rsidRDefault="00347B93" w:rsidP="000A7EB2">
      <w:pPr>
        <w:pStyle w:val="ListParagraph"/>
        <w:widowControl/>
        <w:numPr>
          <w:ilvl w:val="1"/>
          <w:numId w:val="1"/>
        </w:numPr>
        <w:rPr>
          <w:szCs w:val="22"/>
        </w:rPr>
      </w:pPr>
      <w:r w:rsidRPr="00526248">
        <w:rPr>
          <w:szCs w:val="22"/>
        </w:rPr>
        <w:t>The results of the</w:t>
      </w:r>
      <w:r w:rsidR="00731573" w:rsidRPr="00526248">
        <w:rPr>
          <w:szCs w:val="22"/>
        </w:rPr>
        <w:t xml:space="preserve"> stepped</w:t>
      </w:r>
      <w:r w:rsidRPr="00526248">
        <w:rPr>
          <w:szCs w:val="22"/>
        </w:rPr>
        <w:t xml:space="preserve"> economic evaluation comparing </w:t>
      </w:r>
      <w:r w:rsidR="00C82D5A" w:rsidRPr="00526248">
        <w:rPr>
          <w:szCs w:val="22"/>
        </w:rPr>
        <w:t>irinotecan (nanoliposomal)</w:t>
      </w:r>
      <w:r w:rsidRPr="00526248">
        <w:rPr>
          <w:szCs w:val="22"/>
        </w:rPr>
        <w:t xml:space="preserve"> and 5-FU/folinic acid are summarised </w:t>
      </w:r>
      <w:r w:rsidR="00BE4E6F" w:rsidRPr="00526248">
        <w:rPr>
          <w:szCs w:val="22"/>
        </w:rPr>
        <w:t>in Table 9.</w:t>
      </w:r>
    </w:p>
    <w:p w:rsidR="00171320" w:rsidRPr="00526248" w:rsidRDefault="00171320" w:rsidP="000A7EB2">
      <w:pPr>
        <w:widowControl/>
        <w:rPr>
          <w:szCs w:val="22"/>
        </w:rPr>
      </w:pPr>
    </w:p>
    <w:p w:rsidR="00731573" w:rsidRPr="00944C7C" w:rsidRDefault="00731573" w:rsidP="000A7EB2">
      <w:pPr>
        <w:keepNext/>
        <w:widowControl/>
        <w:ind w:left="720"/>
        <w:rPr>
          <w:rFonts w:ascii="Arial Narrow" w:hAnsi="Arial Narrow"/>
          <w:b/>
          <w:sz w:val="20"/>
          <w:szCs w:val="16"/>
        </w:rPr>
      </w:pPr>
      <w:r>
        <w:rPr>
          <w:rFonts w:ascii="Arial Narrow" w:hAnsi="Arial Narrow"/>
          <w:b/>
          <w:sz w:val="20"/>
          <w:szCs w:val="16"/>
        </w:rPr>
        <w:lastRenderedPageBreak/>
        <w:t>Table 9</w:t>
      </w:r>
      <w:r w:rsidRPr="00944C7C">
        <w:rPr>
          <w:rFonts w:ascii="Arial Narrow" w:hAnsi="Arial Narrow"/>
          <w:b/>
          <w:sz w:val="20"/>
          <w:szCs w:val="16"/>
        </w:rPr>
        <w:t xml:space="preserve">: Results of the stepped economic evaluation </w:t>
      </w:r>
      <w:r>
        <w:rPr>
          <w:rFonts w:ascii="Arial Narrow" w:hAnsi="Arial Narrow"/>
          <w:b/>
          <w:sz w:val="20"/>
          <w:szCs w:val="16"/>
        </w:rPr>
        <w:t>(irinotecan (nanoliposomal) versus 5-FU/folinic acid)</w:t>
      </w:r>
    </w:p>
    <w:tbl>
      <w:tblPr>
        <w:tblW w:w="4625" w:type="pct"/>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88"/>
        <w:gridCol w:w="2312"/>
        <w:gridCol w:w="1699"/>
        <w:gridCol w:w="1702"/>
      </w:tblGrid>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b/>
                <w:sz w:val="20"/>
              </w:rPr>
            </w:pPr>
            <w:r w:rsidRPr="00944C7C">
              <w:rPr>
                <w:rFonts w:ascii="Arial Narrow" w:hAnsi="Arial Narrow" w:cs="Times New Roman"/>
                <w:b/>
                <w:sz w:val="20"/>
              </w:rPr>
              <w:t>Step and component</w:t>
            </w:r>
          </w:p>
        </w:tc>
        <w:tc>
          <w:tcPr>
            <w:tcW w:w="1376" w:type="pct"/>
          </w:tcPr>
          <w:p w:rsidR="00731573" w:rsidRPr="00944C7C" w:rsidRDefault="00731573" w:rsidP="000A7EB2">
            <w:pPr>
              <w:keepNext/>
              <w:widowControl/>
              <w:jc w:val="center"/>
              <w:rPr>
                <w:rFonts w:ascii="Arial Narrow" w:hAnsi="Arial Narrow" w:cs="Times New Roman"/>
                <w:b/>
                <w:sz w:val="20"/>
              </w:rPr>
            </w:pPr>
            <w:r>
              <w:rPr>
                <w:rFonts w:ascii="Arial Narrow" w:hAnsi="Arial Narrow" w:cs="Times New Roman"/>
                <w:b/>
                <w:sz w:val="20"/>
              </w:rPr>
              <w:t>Irinotecan (nanoliposomal)</w:t>
            </w:r>
          </w:p>
        </w:tc>
        <w:tc>
          <w:tcPr>
            <w:tcW w:w="1011" w:type="pct"/>
            <w:vAlign w:val="center"/>
          </w:tcPr>
          <w:p w:rsidR="00731573" w:rsidRPr="00944C7C" w:rsidRDefault="00731573" w:rsidP="000A7EB2">
            <w:pPr>
              <w:keepNext/>
              <w:widowControl/>
              <w:jc w:val="center"/>
              <w:rPr>
                <w:rFonts w:ascii="Arial Narrow" w:hAnsi="Arial Narrow" w:cs="Times New Roman"/>
                <w:b/>
                <w:sz w:val="20"/>
              </w:rPr>
            </w:pPr>
            <w:r>
              <w:rPr>
                <w:rFonts w:ascii="Arial Narrow" w:hAnsi="Arial Narrow" w:cs="Times New Roman"/>
                <w:b/>
                <w:sz w:val="20"/>
              </w:rPr>
              <w:t>5-FU/folinic acid</w:t>
            </w:r>
          </w:p>
        </w:tc>
        <w:tc>
          <w:tcPr>
            <w:tcW w:w="1013" w:type="pct"/>
          </w:tcPr>
          <w:p w:rsidR="00731573" w:rsidRPr="00944C7C" w:rsidRDefault="00731573" w:rsidP="000A7EB2">
            <w:pPr>
              <w:keepNext/>
              <w:widowControl/>
              <w:jc w:val="center"/>
              <w:rPr>
                <w:rFonts w:ascii="Arial Narrow" w:hAnsi="Arial Narrow" w:cs="Times New Roman"/>
                <w:b/>
                <w:sz w:val="20"/>
              </w:rPr>
            </w:pPr>
            <w:r w:rsidRPr="00944C7C">
              <w:rPr>
                <w:rFonts w:ascii="Arial Narrow" w:hAnsi="Arial Narrow" w:cs="Times New Roman"/>
                <w:b/>
                <w:sz w:val="20"/>
              </w:rPr>
              <w:t>Increment</w:t>
            </w:r>
          </w:p>
        </w:tc>
      </w:tr>
      <w:tr w:rsidR="00731573" w:rsidRPr="00944C7C" w:rsidTr="0097478C">
        <w:tc>
          <w:tcPr>
            <w:tcW w:w="5000" w:type="pct"/>
            <w:gridSpan w:val="4"/>
            <w:vAlign w:val="center"/>
          </w:tcPr>
          <w:p w:rsidR="00731573" w:rsidRPr="00944C7C" w:rsidRDefault="00731573" w:rsidP="000A7EB2">
            <w:pPr>
              <w:keepNext/>
              <w:widowControl/>
              <w:jc w:val="left"/>
              <w:rPr>
                <w:rFonts w:ascii="Arial Narrow" w:hAnsi="Arial Narrow" w:cs="Arial Narrow"/>
                <w:b/>
                <w:bCs/>
                <w:sz w:val="20"/>
              </w:rPr>
            </w:pPr>
            <w:r w:rsidRPr="00944C7C">
              <w:rPr>
                <w:rFonts w:ascii="Arial Narrow" w:hAnsi="Arial Narrow" w:cs="Arial Narrow"/>
                <w:b/>
                <w:bCs/>
                <w:sz w:val="20"/>
              </w:rPr>
              <w:t>Step 1: Trial-based analysi</w:t>
            </w:r>
            <w:r>
              <w:rPr>
                <w:rFonts w:ascii="Arial Narrow" w:hAnsi="Arial Narrow" w:cs="Arial Narrow"/>
                <w:b/>
                <w:bCs/>
                <w:sz w:val="20"/>
              </w:rPr>
              <w:t xml:space="preserve">s, based on 2-year trial data for survival and treatment exposure time plus drug and administration costs </w:t>
            </w:r>
          </w:p>
        </w:tc>
      </w:tr>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sz w:val="20"/>
              </w:rPr>
            </w:pPr>
            <w:r w:rsidRPr="00944C7C">
              <w:rPr>
                <w:rFonts w:ascii="Arial Narrow" w:hAnsi="Arial Narrow" w:cs="Times New Roman"/>
                <w:sz w:val="20"/>
              </w:rPr>
              <w:t>Costs</w:t>
            </w:r>
          </w:p>
        </w:tc>
        <w:tc>
          <w:tcPr>
            <w:tcW w:w="1376" w:type="pct"/>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1" w:type="pct"/>
            <w:vAlign w:val="center"/>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3" w:type="pct"/>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r>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sz w:val="20"/>
              </w:rPr>
            </w:pPr>
            <w:r>
              <w:rPr>
                <w:rFonts w:ascii="Arial Narrow" w:hAnsi="Arial Narrow" w:cs="Times New Roman"/>
                <w:sz w:val="20"/>
              </w:rPr>
              <w:t xml:space="preserve">LY gained </w:t>
            </w:r>
          </w:p>
        </w:tc>
        <w:tc>
          <w:tcPr>
            <w:tcW w:w="1376" w:type="pct"/>
            <w:vAlign w:val="center"/>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1" w:type="pct"/>
            <w:vAlign w:val="center"/>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3" w:type="pct"/>
            <w:vAlign w:val="center"/>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31573" w:rsidRPr="00944C7C" w:rsidTr="0097478C">
        <w:tc>
          <w:tcPr>
            <w:tcW w:w="3987" w:type="pct"/>
            <w:gridSpan w:val="3"/>
            <w:tcBorders>
              <w:bottom w:val="double" w:sz="4" w:space="0" w:color="auto"/>
            </w:tcBorders>
            <w:vAlign w:val="center"/>
          </w:tcPr>
          <w:p w:rsidR="00731573" w:rsidRPr="00944C7C" w:rsidRDefault="00731573" w:rsidP="000A7EB2">
            <w:pPr>
              <w:keepNext/>
              <w:widowControl/>
              <w:jc w:val="left"/>
              <w:rPr>
                <w:rFonts w:ascii="Arial Narrow" w:hAnsi="Arial Narrow" w:cs="Times New Roman"/>
                <w:sz w:val="20"/>
              </w:rPr>
            </w:pPr>
            <w:r w:rsidRPr="00944C7C">
              <w:rPr>
                <w:rFonts w:ascii="Arial Narrow" w:hAnsi="Arial Narrow" w:cs="Times New Roman"/>
                <w:b/>
                <w:snapToGrid/>
                <w:sz w:val="20"/>
              </w:rPr>
              <w:t xml:space="preserve">Incremental cost per </w:t>
            </w:r>
            <w:r>
              <w:rPr>
                <w:rFonts w:ascii="Arial Narrow" w:hAnsi="Arial Narrow" w:cs="Times New Roman"/>
                <w:b/>
                <w:snapToGrid/>
                <w:sz w:val="20"/>
              </w:rPr>
              <w:t>LY gained</w:t>
            </w:r>
          </w:p>
        </w:tc>
        <w:tc>
          <w:tcPr>
            <w:tcW w:w="1013" w:type="pct"/>
            <w:tcBorders>
              <w:bottom w:val="double" w:sz="4" w:space="0" w:color="auto"/>
            </w:tcBorders>
          </w:tcPr>
          <w:p w:rsidR="00731573" w:rsidRPr="00944C7C" w:rsidRDefault="00731573" w:rsidP="000A7EB2">
            <w:pPr>
              <w:keepNext/>
              <w:widowControl/>
              <w:jc w:val="center"/>
              <w:rPr>
                <w:rFonts w:ascii="Arial Narrow" w:hAnsi="Arial Narrow" w:cs="Times New Roman"/>
                <w:b/>
                <w:sz w:val="20"/>
              </w:rPr>
            </w:pPr>
            <w:r w:rsidRPr="00CE5148">
              <w:rPr>
                <w:rFonts w:ascii="Arial Narrow" w:hAnsi="Arial Narrow" w:cs="Times New Roman"/>
                <w:b/>
                <w:sz w:val="20"/>
              </w:rPr>
              <w:t>$</w:t>
            </w:r>
            <w:r w:rsidR="002A4E9A">
              <w:rPr>
                <w:rFonts w:ascii="Arial Narrow" w:hAnsi="Arial Narrow" w:cs="Times New Roman"/>
                <w:b/>
                <w:noProof/>
                <w:color w:val="000000"/>
                <w:sz w:val="20"/>
                <w:highlight w:val="black"/>
              </w:rPr>
              <w:t>''''''''''''''''''</w:t>
            </w:r>
          </w:p>
        </w:tc>
      </w:tr>
      <w:tr w:rsidR="00731573" w:rsidRPr="00944C7C" w:rsidTr="0097478C">
        <w:tc>
          <w:tcPr>
            <w:tcW w:w="5000" w:type="pct"/>
            <w:gridSpan w:val="4"/>
            <w:tcBorders>
              <w:top w:val="double" w:sz="4" w:space="0" w:color="auto"/>
            </w:tcBorders>
            <w:vAlign w:val="center"/>
          </w:tcPr>
          <w:p w:rsidR="00731573" w:rsidRPr="00944C7C" w:rsidRDefault="00731573" w:rsidP="000A7EB2">
            <w:pPr>
              <w:keepNext/>
              <w:widowControl/>
              <w:jc w:val="left"/>
              <w:rPr>
                <w:rFonts w:ascii="Arial Narrow" w:hAnsi="Arial Narrow" w:cs="Arial Narrow"/>
                <w:b/>
                <w:bCs/>
                <w:sz w:val="20"/>
              </w:rPr>
            </w:pPr>
            <w:r w:rsidRPr="00944C7C">
              <w:rPr>
                <w:rFonts w:ascii="Arial Narrow" w:hAnsi="Arial Narrow" w:cs="Arial Narrow"/>
                <w:b/>
                <w:bCs/>
                <w:sz w:val="20"/>
              </w:rPr>
              <w:t xml:space="preserve">Step 2: </w:t>
            </w:r>
            <w:r>
              <w:rPr>
                <w:rFonts w:ascii="Arial Narrow" w:hAnsi="Arial Narrow" w:cs="Arial Narrow"/>
                <w:b/>
                <w:bCs/>
                <w:sz w:val="20"/>
              </w:rPr>
              <w:t>Trial-based analysis, based on 2-year trial data for survival and treatment exposure time plus monitoring and adverse event costs</w:t>
            </w:r>
          </w:p>
        </w:tc>
      </w:tr>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sz w:val="20"/>
              </w:rPr>
            </w:pPr>
            <w:r w:rsidRPr="00944C7C">
              <w:rPr>
                <w:rFonts w:ascii="Arial Narrow" w:hAnsi="Arial Narrow" w:cs="Times New Roman"/>
                <w:sz w:val="20"/>
              </w:rPr>
              <w:t>Costs</w:t>
            </w:r>
          </w:p>
        </w:tc>
        <w:tc>
          <w:tcPr>
            <w:tcW w:w="1376" w:type="pct"/>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1" w:type="pct"/>
            <w:vAlign w:val="center"/>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3" w:type="pct"/>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r>
      <w:tr w:rsidR="00731573" w:rsidRPr="00944C7C" w:rsidTr="0097478C">
        <w:tc>
          <w:tcPr>
            <w:tcW w:w="1600" w:type="pct"/>
            <w:tcBorders>
              <w:bottom w:val="single" w:sz="4" w:space="0" w:color="auto"/>
            </w:tcBorders>
            <w:vAlign w:val="center"/>
          </w:tcPr>
          <w:p w:rsidR="00731573" w:rsidRPr="00944C7C" w:rsidRDefault="00731573" w:rsidP="000A7EB2">
            <w:pPr>
              <w:keepNext/>
              <w:widowControl/>
              <w:jc w:val="left"/>
              <w:rPr>
                <w:rFonts w:ascii="Arial Narrow" w:hAnsi="Arial Narrow" w:cs="Times New Roman"/>
                <w:sz w:val="20"/>
              </w:rPr>
            </w:pPr>
            <w:r>
              <w:rPr>
                <w:rFonts w:ascii="Arial Narrow" w:hAnsi="Arial Narrow" w:cs="Times New Roman"/>
                <w:sz w:val="20"/>
              </w:rPr>
              <w:t>LY gained</w:t>
            </w:r>
          </w:p>
        </w:tc>
        <w:tc>
          <w:tcPr>
            <w:tcW w:w="1376" w:type="pct"/>
            <w:tcBorders>
              <w:bottom w:val="single" w:sz="4" w:space="0" w:color="auto"/>
            </w:tcBorders>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1" w:type="pct"/>
            <w:tcBorders>
              <w:bottom w:val="single" w:sz="4" w:space="0" w:color="auto"/>
            </w:tcBorders>
            <w:vAlign w:val="center"/>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3" w:type="pct"/>
            <w:tcBorders>
              <w:bottom w:val="single" w:sz="4" w:space="0" w:color="auto"/>
            </w:tcBorders>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31573" w:rsidRPr="00944C7C" w:rsidTr="0097478C">
        <w:trPr>
          <w:trHeight w:val="70"/>
        </w:trPr>
        <w:tc>
          <w:tcPr>
            <w:tcW w:w="3987" w:type="pct"/>
            <w:gridSpan w:val="3"/>
            <w:tcBorders>
              <w:bottom w:val="double" w:sz="4" w:space="0" w:color="auto"/>
            </w:tcBorders>
            <w:vAlign w:val="center"/>
          </w:tcPr>
          <w:p w:rsidR="00731573" w:rsidRPr="00944C7C" w:rsidRDefault="00731573" w:rsidP="000A7EB2">
            <w:pPr>
              <w:keepNext/>
              <w:widowControl/>
              <w:jc w:val="left"/>
              <w:rPr>
                <w:rFonts w:ascii="Arial Narrow" w:hAnsi="Arial Narrow" w:cs="Times New Roman"/>
                <w:sz w:val="20"/>
              </w:rPr>
            </w:pPr>
            <w:r w:rsidRPr="00944C7C">
              <w:rPr>
                <w:rFonts w:ascii="Arial Narrow" w:hAnsi="Arial Narrow" w:cs="Times New Roman"/>
                <w:b/>
                <w:snapToGrid/>
                <w:sz w:val="20"/>
              </w:rPr>
              <w:t xml:space="preserve">Incremental cost per </w:t>
            </w:r>
            <w:r>
              <w:rPr>
                <w:rFonts w:ascii="Arial Narrow" w:hAnsi="Arial Narrow" w:cs="Times New Roman"/>
                <w:b/>
                <w:snapToGrid/>
                <w:sz w:val="20"/>
              </w:rPr>
              <w:t>LY gained</w:t>
            </w:r>
          </w:p>
        </w:tc>
        <w:tc>
          <w:tcPr>
            <w:tcW w:w="1013" w:type="pct"/>
            <w:tcBorders>
              <w:bottom w:val="double" w:sz="4" w:space="0" w:color="auto"/>
            </w:tcBorders>
          </w:tcPr>
          <w:p w:rsidR="00731573" w:rsidRPr="00944C7C" w:rsidRDefault="00731573" w:rsidP="000A7EB2">
            <w:pPr>
              <w:keepNext/>
              <w:widowControl/>
              <w:jc w:val="center"/>
              <w:rPr>
                <w:rFonts w:ascii="Arial Narrow" w:hAnsi="Arial Narrow" w:cs="Times New Roman"/>
                <w:b/>
                <w:sz w:val="20"/>
              </w:rPr>
            </w:pPr>
            <w:r w:rsidRPr="00CE5148">
              <w:rPr>
                <w:rFonts w:ascii="Arial Narrow" w:hAnsi="Arial Narrow" w:cs="Times New Roman"/>
                <w:b/>
                <w:sz w:val="20"/>
              </w:rPr>
              <w:t>$</w:t>
            </w:r>
            <w:r w:rsidR="002A4E9A">
              <w:rPr>
                <w:rFonts w:ascii="Arial Narrow" w:hAnsi="Arial Narrow" w:cs="Times New Roman"/>
                <w:b/>
                <w:noProof/>
                <w:color w:val="000000"/>
                <w:sz w:val="20"/>
                <w:highlight w:val="black"/>
              </w:rPr>
              <w:t>''''''''''''''''</w:t>
            </w:r>
          </w:p>
        </w:tc>
      </w:tr>
      <w:tr w:rsidR="00731573" w:rsidRPr="001A1419" w:rsidTr="0097478C">
        <w:tc>
          <w:tcPr>
            <w:tcW w:w="5000" w:type="pct"/>
            <w:gridSpan w:val="4"/>
            <w:tcBorders>
              <w:top w:val="double" w:sz="4" w:space="0" w:color="auto"/>
            </w:tcBorders>
            <w:vAlign w:val="center"/>
          </w:tcPr>
          <w:p w:rsidR="00731573" w:rsidRPr="00F876A2" w:rsidRDefault="00731573" w:rsidP="000A7EB2">
            <w:pPr>
              <w:keepNext/>
              <w:widowControl/>
              <w:jc w:val="left"/>
              <w:rPr>
                <w:rFonts w:ascii="Arial Narrow" w:hAnsi="Arial Narrow" w:cs="Arial Narrow"/>
                <w:b/>
                <w:bCs/>
                <w:sz w:val="20"/>
              </w:rPr>
            </w:pPr>
            <w:r w:rsidRPr="00F876A2">
              <w:rPr>
                <w:rFonts w:ascii="Arial Narrow" w:hAnsi="Arial Narrow" w:cs="Arial Narrow"/>
                <w:b/>
                <w:bCs/>
                <w:sz w:val="20"/>
              </w:rPr>
              <w:t xml:space="preserve">Step 3a: Modelled analysis, 2 year duration, treatment exposure time from modelled estimates plus all costs (drug, administration, monitoring, adverse event, post-progression treatment and last 4 weeks of life cost) </w:t>
            </w:r>
            <w:r w:rsidR="00F876A2">
              <w:rPr>
                <w:rFonts w:ascii="Arial Narrow" w:hAnsi="Arial Narrow" w:cs="Arial Narrow"/>
                <w:b/>
                <w:bCs/>
                <w:sz w:val="20"/>
              </w:rPr>
              <w:t>– calculated during the evaluation</w:t>
            </w:r>
          </w:p>
        </w:tc>
      </w:tr>
      <w:tr w:rsidR="00731573" w:rsidRPr="001A1419" w:rsidTr="0097478C">
        <w:tc>
          <w:tcPr>
            <w:tcW w:w="1600" w:type="pct"/>
            <w:vAlign w:val="center"/>
          </w:tcPr>
          <w:p w:rsidR="00731573" w:rsidRPr="00F876A2" w:rsidRDefault="00731573" w:rsidP="000A7EB2">
            <w:pPr>
              <w:keepNext/>
              <w:widowControl/>
              <w:jc w:val="left"/>
              <w:rPr>
                <w:rFonts w:ascii="Arial Narrow" w:hAnsi="Arial Narrow" w:cs="Times New Roman"/>
                <w:sz w:val="20"/>
              </w:rPr>
            </w:pPr>
            <w:r w:rsidRPr="00F876A2">
              <w:rPr>
                <w:rFonts w:ascii="Arial Narrow" w:hAnsi="Arial Narrow" w:cs="Times New Roman"/>
                <w:sz w:val="20"/>
              </w:rPr>
              <w:t>Costs</w:t>
            </w:r>
          </w:p>
        </w:tc>
        <w:tc>
          <w:tcPr>
            <w:tcW w:w="1376" w:type="pct"/>
          </w:tcPr>
          <w:p w:rsidR="00731573" w:rsidRPr="00F876A2" w:rsidRDefault="00731573" w:rsidP="000A7EB2">
            <w:pPr>
              <w:keepNext/>
              <w:widowControl/>
              <w:jc w:val="center"/>
              <w:rPr>
                <w:rFonts w:ascii="Arial Narrow" w:hAnsi="Arial Narrow" w:cs="Times New Roman"/>
                <w:sz w:val="20"/>
              </w:rPr>
            </w:pPr>
            <w:r w:rsidRPr="00F876A2">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1" w:type="pct"/>
            <w:vAlign w:val="center"/>
          </w:tcPr>
          <w:p w:rsidR="00731573" w:rsidRPr="00F876A2" w:rsidRDefault="00731573" w:rsidP="000A7EB2">
            <w:pPr>
              <w:keepNext/>
              <w:widowControl/>
              <w:jc w:val="center"/>
              <w:rPr>
                <w:rFonts w:ascii="Arial Narrow" w:hAnsi="Arial Narrow" w:cs="Times New Roman"/>
                <w:sz w:val="20"/>
              </w:rPr>
            </w:pPr>
            <w:r w:rsidRPr="00F876A2">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3" w:type="pct"/>
          </w:tcPr>
          <w:p w:rsidR="00731573" w:rsidRPr="00F876A2" w:rsidRDefault="00731573" w:rsidP="000A7EB2">
            <w:pPr>
              <w:keepNext/>
              <w:widowControl/>
              <w:jc w:val="center"/>
              <w:rPr>
                <w:rFonts w:ascii="Arial Narrow" w:hAnsi="Arial Narrow" w:cs="Times New Roman"/>
                <w:sz w:val="20"/>
              </w:rPr>
            </w:pPr>
            <w:r w:rsidRPr="00F876A2">
              <w:rPr>
                <w:rFonts w:ascii="Arial Narrow" w:hAnsi="Arial Narrow" w:cs="Times New Roman"/>
                <w:sz w:val="20"/>
              </w:rPr>
              <w:t>$</w:t>
            </w:r>
            <w:r w:rsidR="002A4E9A">
              <w:rPr>
                <w:rFonts w:ascii="Arial Narrow" w:hAnsi="Arial Narrow" w:cs="Times New Roman"/>
                <w:noProof/>
                <w:color w:val="000000"/>
                <w:sz w:val="20"/>
                <w:highlight w:val="black"/>
              </w:rPr>
              <w:t>'''''''''''''''</w:t>
            </w:r>
          </w:p>
        </w:tc>
      </w:tr>
      <w:tr w:rsidR="00731573" w:rsidRPr="001A1419" w:rsidTr="0097478C">
        <w:tc>
          <w:tcPr>
            <w:tcW w:w="1600" w:type="pct"/>
            <w:vAlign w:val="center"/>
          </w:tcPr>
          <w:p w:rsidR="00731573" w:rsidRPr="00F876A2" w:rsidRDefault="00731573" w:rsidP="000A7EB2">
            <w:pPr>
              <w:keepNext/>
              <w:widowControl/>
              <w:jc w:val="left"/>
              <w:rPr>
                <w:rFonts w:ascii="Arial Narrow" w:hAnsi="Arial Narrow" w:cs="Times New Roman"/>
                <w:sz w:val="20"/>
              </w:rPr>
            </w:pPr>
            <w:r w:rsidRPr="00F876A2">
              <w:rPr>
                <w:rFonts w:ascii="Arial Narrow" w:hAnsi="Arial Narrow" w:cs="Times New Roman"/>
                <w:sz w:val="20"/>
              </w:rPr>
              <w:t>LY gained</w:t>
            </w:r>
          </w:p>
        </w:tc>
        <w:tc>
          <w:tcPr>
            <w:tcW w:w="1376" w:type="pct"/>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1" w:type="pct"/>
            <w:vAlign w:val="center"/>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3" w:type="pct"/>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31573" w:rsidRPr="001A1419" w:rsidTr="0097478C">
        <w:tc>
          <w:tcPr>
            <w:tcW w:w="3987" w:type="pct"/>
            <w:gridSpan w:val="3"/>
            <w:vAlign w:val="center"/>
          </w:tcPr>
          <w:p w:rsidR="00731573" w:rsidRPr="00F876A2" w:rsidRDefault="00731573" w:rsidP="000A7EB2">
            <w:pPr>
              <w:keepNext/>
              <w:widowControl/>
              <w:jc w:val="left"/>
              <w:rPr>
                <w:rFonts w:ascii="Arial Narrow" w:hAnsi="Arial Narrow" w:cs="Times New Roman"/>
                <w:b/>
                <w:sz w:val="20"/>
              </w:rPr>
            </w:pPr>
            <w:r w:rsidRPr="00F876A2">
              <w:rPr>
                <w:rFonts w:ascii="Arial Narrow" w:hAnsi="Arial Narrow" w:cs="Times New Roman"/>
                <w:b/>
                <w:snapToGrid/>
                <w:sz w:val="20"/>
              </w:rPr>
              <w:t>Incremental cost per LY gained</w:t>
            </w:r>
          </w:p>
        </w:tc>
        <w:tc>
          <w:tcPr>
            <w:tcW w:w="1013" w:type="pct"/>
          </w:tcPr>
          <w:p w:rsidR="00731573" w:rsidRPr="00F876A2" w:rsidRDefault="00731573" w:rsidP="000A7EB2">
            <w:pPr>
              <w:keepNext/>
              <w:widowControl/>
              <w:jc w:val="center"/>
              <w:rPr>
                <w:rFonts w:ascii="Arial Narrow" w:hAnsi="Arial Narrow" w:cs="Times New Roman"/>
                <w:b/>
                <w:sz w:val="20"/>
              </w:rPr>
            </w:pPr>
            <w:r w:rsidRPr="00F876A2">
              <w:rPr>
                <w:rFonts w:ascii="Arial Narrow" w:hAnsi="Arial Narrow" w:cs="Times New Roman"/>
                <w:b/>
                <w:sz w:val="20"/>
              </w:rPr>
              <w:t>$</w:t>
            </w:r>
            <w:r w:rsidR="002A4E9A">
              <w:rPr>
                <w:rFonts w:ascii="Arial Narrow" w:hAnsi="Arial Narrow" w:cs="Times New Roman"/>
                <w:b/>
                <w:noProof/>
                <w:color w:val="000000"/>
                <w:sz w:val="20"/>
                <w:highlight w:val="black"/>
              </w:rPr>
              <w:t>'''''''''''''</w:t>
            </w:r>
          </w:p>
        </w:tc>
      </w:tr>
      <w:tr w:rsidR="00731573" w:rsidRPr="00944C7C" w:rsidTr="0097478C">
        <w:tc>
          <w:tcPr>
            <w:tcW w:w="5000" w:type="pct"/>
            <w:gridSpan w:val="4"/>
            <w:tcBorders>
              <w:top w:val="double" w:sz="4" w:space="0" w:color="auto"/>
            </w:tcBorders>
            <w:vAlign w:val="center"/>
          </w:tcPr>
          <w:p w:rsidR="00731573" w:rsidRPr="00944C7C" w:rsidRDefault="00731573" w:rsidP="000A7EB2">
            <w:pPr>
              <w:keepNext/>
              <w:widowControl/>
              <w:jc w:val="left"/>
              <w:rPr>
                <w:rFonts w:ascii="Arial Narrow" w:hAnsi="Arial Narrow" w:cs="Arial Narrow"/>
                <w:b/>
                <w:bCs/>
                <w:sz w:val="20"/>
              </w:rPr>
            </w:pPr>
            <w:r w:rsidRPr="00944C7C">
              <w:rPr>
                <w:rFonts w:ascii="Arial Narrow" w:hAnsi="Arial Narrow" w:cs="Arial Narrow"/>
                <w:b/>
                <w:bCs/>
                <w:sz w:val="20"/>
              </w:rPr>
              <w:t>Step 3</w:t>
            </w:r>
            <w:r>
              <w:rPr>
                <w:rFonts w:ascii="Arial Narrow" w:hAnsi="Arial Narrow" w:cs="Arial Narrow"/>
                <w:b/>
                <w:bCs/>
                <w:sz w:val="20"/>
              </w:rPr>
              <w:t>b</w:t>
            </w:r>
            <w:r w:rsidRPr="00944C7C">
              <w:rPr>
                <w:rFonts w:ascii="Arial Narrow" w:hAnsi="Arial Narrow" w:cs="Arial Narrow"/>
                <w:b/>
                <w:bCs/>
                <w:sz w:val="20"/>
              </w:rPr>
              <w:t xml:space="preserve">: Modelled analysis, </w:t>
            </w:r>
            <w:r>
              <w:rPr>
                <w:rFonts w:ascii="Arial Narrow" w:hAnsi="Arial Narrow" w:cs="Arial Narrow"/>
                <w:b/>
                <w:bCs/>
                <w:sz w:val="20"/>
              </w:rPr>
              <w:t xml:space="preserve">3 year duration, treatment exposure time from modelled estimates plus all costs (drug, administration, monitoring, adverse event, post-progression treatment and last 4 weeks of life cost) </w:t>
            </w:r>
          </w:p>
        </w:tc>
      </w:tr>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sz w:val="20"/>
              </w:rPr>
            </w:pPr>
            <w:r w:rsidRPr="00944C7C">
              <w:rPr>
                <w:rFonts w:ascii="Arial Narrow" w:hAnsi="Arial Narrow" w:cs="Times New Roman"/>
                <w:sz w:val="20"/>
              </w:rPr>
              <w:t>Costs</w:t>
            </w:r>
          </w:p>
        </w:tc>
        <w:tc>
          <w:tcPr>
            <w:tcW w:w="1376" w:type="pct"/>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1" w:type="pct"/>
            <w:vAlign w:val="center"/>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3" w:type="pct"/>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r>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sz w:val="20"/>
              </w:rPr>
            </w:pPr>
            <w:r>
              <w:rPr>
                <w:rFonts w:ascii="Arial Narrow" w:hAnsi="Arial Narrow" w:cs="Times New Roman"/>
                <w:sz w:val="20"/>
              </w:rPr>
              <w:t>LY gained</w:t>
            </w:r>
          </w:p>
        </w:tc>
        <w:tc>
          <w:tcPr>
            <w:tcW w:w="1376" w:type="pct"/>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1" w:type="pct"/>
            <w:vAlign w:val="center"/>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3" w:type="pct"/>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31573" w:rsidRPr="00944C7C" w:rsidTr="0097478C">
        <w:tc>
          <w:tcPr>
            <w:tcW w:w="3987" w:type="pct"/>
            <w:gridSpan w:val="3"/>
            <w:vAlign w:val="center"/>
          </w:tcPr>
          <w:p w:rsidR="00731573" w:rsidRPr="00944C7C" w:rsidRDefault="00731573" w:rsidP="000A7EB2">
            <w:pPr>
              <w:keepNext/>
              <w:widowControl/>
              <w:jc w:val="left"/>
              <w:rPr>
                <w:rFonts w:ascii="Arial Narrow" w:hAnsi="Arial Narrow" w:cs="Times New Roman"/>
                <w:b/>
                <w:sz w:val="20"/>
              </w:rPr>
            </w:pPr>
            <w:r w:rsidRPr="00944C7C">
              <w:rPr>
                <w:rFonts w:ascii="Arial Narrow" w:hAnsi="Arial Narrow" w:cs="Times New Roman"/>
                <w:b/>
                <w:snapToGrid/>
                <w:sz w:val="20"/>
              </w:rPr>
              <w:t xml:space="preserve">Incremental cost per </w:t>
            </w:r>
            <w:r>
              <w:rPr>
                <w:rFonts w:ascii="Arial Narrow" w:hAnsi="Arial Narrow" w:cs="Times New Roman"/>
                <w:b/>
                <w:snapToGrid/>
                <w:sz w:val="20"/>
              </w:rPr>
              <w:t>LY gained</w:t>
            </w:r>
          </w:p>
        </w:tc>
        <w:tc>
          <w:tcPr>
            <w:tcW w:w="1013" w:type="pct"/>
          </w:tcPr>
          <w:p w:rsidR="00731573" w:rsidRPr="00944C7C" w:rsidRDefault="00731573" w:rsidP="000A7EB2">
            <w:pPr>
              <w:keepNext/>
              <w:widowControl/>
              <w:jc w:val="center"/>
              <w:rPr>
                <w:rFonts w:ascii="Arial Narrow" w:hAnsi="Arial Narrow" w:cs="Times New Roman"/>
                <w:b/>
                <w:sz w:val="20"/>
              </w:rPr>
            </w:pPr>
            <w:r w:rsidRPr="00CE5148">
              <w:rPr>
                <w:rFonts w:ascii="Arial Narrow" w:hAnsi="Arial Narrow" w:cs="Times New Roman"/>
                <w:b/>
                <w:sz w:val="20"/>
              </w:rPr>
              <w:t>$</w:t>
            </w:r>
            <w:r w:rsidR="002A4E9A">
              <w:rPr>
                <w:rFonts w:ascii="Arial Narrow" w:hAnsi="Arial Narrow" w:cs="Times New Roman"/>
                <w:b/>
                <w:noProof/>
                <w:color w:val="000000"/>
                <w:sz w:val="20"/>
                <w:highlight w:val="black"/>
              </w:rPr>
              <w:t>'''''''''''''</w:t>
            </w:r>
          </w:p>
        </w:tc>
      </w:tr>
      <w:tr w:rsidR="00731573" w:rsidRPr="00944C7C" w:rsidTr="0097478C">
        <w:tc>
          <w:tcPr>
            <w:tcW w:w="5000" w:type="pct"/>
            <w:gridSpan w:val="4"/>
            <w:tcBorders>
              <w:top w:val="double" w:sz="4" w:space="0" w:color="auto"/>
            </w:tcBorders>
            <w:vAlign w:val="center"/>
          </w:tcPr>
          <w:p w:rsidR="00731573" w:rsidRPr="00944C7C" w:rsidRDefault="00731573" w:rsidP="000A7EB2">
            <w:pPr>
              <w:keepNext/>
              <w:widowControl/>
              <w:jc w:val="left"/>
              <w:rPr>
                <w:rFonts w:ascii="Arial Narrow" w:hAnsi="Arial Narrow" w:cs="Arial Narrow"/>
                <w:b/>
                <w:bCs/>
                <w:sz w:val="20"/>
              </w:rPr>
            </w:pPr>
            <w:r w:rsidRPr="00944C7C">
              <w:rPr>
                <w:rFonts w:ascii="Arial Narrow" w:hAnsi="Arial Narrow" w:cs="Arial Narrow"/>
                <w:b/>
                <w:bCs/>
                <w:sz w:val="20"/>
              </w:rPr>
              <w:t xml:space="preserve">Step 4: Modelled analysis, </w:t>
            </w:r>
            <w:r>
              <w:rPr>
                <w:rFonts w:ascii="Arial Narrow" w:hAnsi="Arial Narrow" w:cs="Arial Narrow"/>
                <w:b/>
                <w:bCs/>
                <w:sz w:val="20"/>
              </w:rPr>
              <w:t xml:space="preserve">5 year duration </w:t>
            </w:r>
          </w:p>
        </w:tc>
      </w:tr>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sz w:val="20"/>
              </w:rPr>
            </w:pPr>
            <w:r w:rsidRPr="00944C7C">
              <w:rPr>
                <w:rFonts w:ascii="Arial Narrow" w:hAnsi="Arial Narrow" w:cs="Times New Roman"/>
                <w:sz w:val="20"/>
              </w:rPr>
              <w:t>Costs</w:t>
            </w:r>
          </w:p>
        </w:tc>
        <w:tc>
          <w:tcPr>
            <w:tcW w:w="1376" w:type="pct"/>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1" w:type="pct"/>
            <w:vAlign w:val="center"/>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3" w:type="pct"/>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r>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sz w:val="20"/>
              </w:rPr>
            </w:pPr>
            <w:r>
              <w:rPr>
                <w:rFonts w:ascii="Arial Narrow" w:hAnsi="Arial Narrow" w:cs="Times New Roman"/>
                <w:sz w:val="20"/>
              </w:rPr>
              <w:t>LY gained</w:t>
            </w:r>
          </w:p>
        </w:tc>
        <w:tc>
          <w:tcPr>
            <w:tcW w:w="1376" w:type="pct"/>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1" w:type="pct"/>
            <w:vAlign w:val="center"/>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3" w:type="pct"/>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31573" w:rsidRPr="00944C7C" w:rsidTr="0097478C">
        <w:tc>
          <w:tcPr>
            <w:tcW w:w="3987" w:type="pct"/>
            <w:gridSpan w:val="3"/>
            <w:vAlign w:val="center"/>
          </w:tcPr>
          <w:p w:rsidR="00731573" w:rsidRPr="00944C7C" w:rsidRDefault="00731573" w:rsidP="000A7EB2">
            <w:pPr>
              <w:keepNext/>
              <w:widowControl/>
              <w:jc w:val="left"/>
              <w:rPr>
                <w:rFonts w:ascii="Arial Narrow" w:hAnsi="Arial Narrow" w:cs="Times New Roman"/>
                <w:b/>
                <w:sz w:val="20"/>
              </w:rPr>
            </w:pPr>
            <w:r w:rsidRPr="00944C7C">
              <w:rPr>
                <w:rFonts w:ascii="Arial Narrow" w:hAnsi="Arial Narrow" w:cs="Times New Roman"/>
                <w:b/>
                <w:snapToGrid/>
                <w:sz w:val="20"/>
              </w:rPr>
              <w:t xml:space="preserve">Incremental cost per </w:t>
            </w:r>
            <w:r>
              <w:rPr>
                <w:rFonts w:ascii="Arial Narrow" w:hAnsi="Arial Narrow" w:cs="Times New Roman"/>
                <w:b/>
                <w:snapToGrid/>
                <w:sz w:val="20"/>
              </w:rPr>
              <w:t>LY gained</w:t>
            </w:r>
          </w:p>
        </w:tc>
        <w:tc>
          <w:tcPr>
            <w:tcW w:w="1013" w:type="pct"/>
          </w:tcPr>
          <w:p w:rsidR="00731573" w:rsidRPr="00944C7C" w:rsidRDefault="00731573" w:rsidP="000A7EB2">
            <w:pPr>
              <w:keepNext/>
              <w:widowControl/>
              <w:jc w:val="center"/>
              <w:rPr>
                <w:rFonts w:ascii="Arial Narrow" w:hAnsi="Arial Narrow" w:cs="Times New Roman"/>
                <w:b/>
                <w:sz w:val="20"/>
              </w:rPr>
            </w:pPr>
            <w:r>
              <w:rPr>
                <w:rFonts w:ascii="Arial Narrow" w:hAnsi="Arial Narrow" w:cs="Times New Roman"/>
                <w:b/>
                <w:sz w:val="20"/>
              </w:rPr>
              <w:t>$</w:t>
            </w:r>
            <w:r w:rsidR="002A4E9A">
              <w:rPr>
                <w:rFonts w:ascii="Arial Narrow" w:hAnsi="Arial Narrow" w:cs="Times New Roman"/>
                <w:b/>
                <w:noProof/>
                <w:color w:val="000000"/>
                <w:sz w:val="20"/>
                <w:highlight w:val="black"/>
              </w:rPr>
              <w:t>''''''''''''''</w:t>
            </w:r>
          </w:p>
        </w:tc>
      </w:tr>
      <w:tr w:rsidR="00731573" w:rsidRPr="00944C7C" w:rsidTr="0097478C">
        <w:tc>
          <w:tcPr>
            <w:tcW w:w="5000" w:type="pct"/>
            <w:gridSpan w:val="4"/>
            <w:tcBorders>
              <w:top w:val="double" w:sz="4" w:space="0" w:color="auto"/>
            </w:tcBorders>
            <w:vAlign w:val="center"/>
          </w:tcPr>
          <w:p w:rsidR="00731573" w:rsidRPr="00944C7C" w:rsidRDefault="00731573" w:rsidP="000A7EB2">
            <w:pPr>
              <w:keepNext/>
              <w:widowControl/>
              <w:jc w:val="left"/>
              <w:rPr>
                <w:rFonts w:ascii="Arial Narrow" w:hAnsi="Arial Narrow" w:cs="Arial Narrow"/>
                <w:b/>
                <w:bCs/>
                <w:sz w:val="20"/>
              </w:rPr>
            </w:pPr>
            <w:r w:rsidRPr="00944C7C">
              <w:rPr>
                <w:rFonts w:ascii="Arial Narrow" w:hAnsi="Arial Narrow" w:cs="Arial Narrow"/>
                <w:b/>
                <w:bCs/>
                <w:sz w:val="20"/>
              </w:rPr>
              <w:t>Step 5: Modelled analy</w:t>
            </w:r>
            <w:r>
              <w:rPr>
                <w:rFonts w:ascii="Arial Narrow" w:hAnsi="Arial Narrow" w:cs="Arial Narrow"/>
                <w:b/>
                <w:bCs/>
                <w:sz w:val="20"/>
              </w:rPr>
              <w:t>sis, 5 year duration with baseline utilities and adverse event utility decrement</w:t>
            </w:r>
          </w:p>
        </w:tc>
      </w:tr>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sz w:val="20"/>
              </w:rPr>
            </w:pPr>
            <w:r w:rsidRPr="00944C7C">
              <w:rPr>
                <w:rFonts w:ascii="Arial Narrow" w:hAnsi="Arial Narrow" w:cs="Times New Roman"/>
                <w:sz w:val="20"/>
              </w:rPr>
              <w:t>Costs</w:t>
            </w:r>
          </w:p>
        </w:tc>
        <w:tc>
          <w:tcPr>
            <w:tcW w:w="1376" w:type="pct"/>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1" w:type="pct"/>
            <w:vAlign w:val="center"/>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3" w:type="pct"/>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r>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sz w:val="20"/>
              </w:rPr>
            </w:pPr>
            <w:r w:rsidRPr="00944C7C">
              <w:rPr>
                <w:rFonts w:ascii="Arial Narrow" w:hAnsi="Arial Narrow" w:cs="Times New Roman"/>
                <w:sz w:val="20"/>
              </w:rPr>
              <w:t>QALY</w:t>
            </w:r>
          </w:p>
        </w:tc>
        <w:tc>
          <w:tcPr>
            <w:tcW w:w="1376" w:type="pct"/>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1" w:type="pct"/>
            <w:vAlign w:val="center"/>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3" w:type="pct"/>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31573" w:rsidRPr="00944C7C" w:rsidTr="0097478C">
        <w:tc>
          <w:tcPr>
            <w:tcW w:w="3987" w:type="pct"/>
            <w:gridSpan w:val="3"/>
            <w:vAlign w:val="center"/>
          </w:tcPr>
          <w:p w:rsidR="00731573" w:rsidRPr="00944C7C" w:rsidRDefault="00731573" w:rsidP="000A7EB2">
            <w:pPr>
              <w:keepNext/>
              <w:widowControl/>
              <w:jc w:val="left"/>
              <w:rPr>
                <w:rFonts w:ascii="Arial Narrow" w:hAnsi="Arial Narrow" w:cs="Times New Roman"/>
                <w:b/>
                <w:sz w:val="20"/>
              </w:rPr>
            </w:pPr>
            <w:r w:rsidRPr="00944C7C">
              <w:rPr>
                <w:rFonts w:ascii="Arial Narrow" w:hAnsi="Arial Narrow" w:cs="Times New Roman"/>
                <w:b/>
                <w:sz w:val="20"/>
              </w:rPr>
              <w:t>Incremental cost per QALY gained</w:t>
            </w:r>
          </w:p>
        </w:tc>
        <w:tc>
          <w:tcPr>
            <w:tcW w:w="1013" w:type="pct"/>
          </w:tcPr>
          <w:p w:rsidR="00731573" w:rsidRPr="00944C7C" w:rsidRDefault="00731573" w:rsidP="000A7EB2">
            <w:pPr>
              <w:keepNext/>
              <w:widowControl/>
              <w:jc w:val="center"/>
              <w:rPr>
                <w:rFonts w:ascii="Arial Narrow" w:hAnsi="Arial Narrow" w:cs="Times New Roman"/>
                <w:b/>
                <w:sz w:val="20"/>
              </w:rPr>
            </w:pPr>
            <w:r>
              <w:rPr>
                <w:rFonts w:ascii="Arial Narrow" w:hAnsi="Arial Narrow" w:cs="Times New Roman"/>
                <w:b/>
                <w:sz w:val="20"/>
              </w:rPr>
              <w:t>$</w:t>
            </w:r>
            <w:r w:rsidR="002A4E9A">
              <w:rPr>
                <w:rFonts w:ascii="Arial Narrow" w:hAnsi="Arial Narrow" w:cs="Times New Roman"/>
                <w:b/>
                <w:noProof/>
                <w:color w:val="000000"/>
                <w:sz w:val="20"/>
                <w:highlight w:val="black"/>
              </w:rPr>
              <w:t>'''''''''''''''</w:t>
            </w:r>
          </w:p>
        </w:tc>
      </w:tr>
      <w:tr w:rsidR="00731573" w:rsidRPr="00944C7C" w:rsidTr="0097478C">
        <w:tc>
          <w:tcPr>
            <w:tcW w:w="5000" w:type="pct"/>
            <w:gridSpan w:val="4"/>
            <w:tcBorders>
              <w:top w:val="double" w:sz="4" w:space="0" w:color="auto"/>
            </w:tcBorders>
            <w:vAlign w:val="center"/>
          </w:tcPr>
          <w:p w:rsidR="00731573" w:rsidRPr="00944C7C" w:rsidRDefault="00731573" w:rsidP="000A7EB2">
            <w:pPr>
              <w:keepNext/>
              <w:widowControl/>
              <w:jc w:val="left"/>
              <w:rPr>
                <w:rFonts w:ascii="Arial Narrow" w:hAnsi="Arial Narrow" w:cs="Arial Narrow"/>
                <w:b/>
                <w:bCs/>
                <w:sz w:val="20"/>
              </w:rPr>
            </w:pPr>
            <w:r w:rsidRPr="00944C7C">
              <w:rPr>
                <w:rFonts w:ascii="Arial Narrow" w:hAnsi="Arial Narrow" w:cs="Arial Narrow"/>
                <w:b/>
                <w:bCs/>
                <w:sz w:val="20"/>
              </w:rPr>
              <w:t xml:space="preserve">Step 6: Modelled analysis, </w:t>
            </w:r>
            <w:r>
              <w:rPr>
                <w:rFonts w:ascii="Arial Narrow" w:hAnsi="Arial Narrow" w:cs="Arial Narrow"/>
                <w:b/>
                <w:bCs/>
                <w:sz w:val="20"/>
              </w:rPr>
              <w:t>5 year duration with baseline utilities and no adverse event utility decrement</w:t>
            </w:r>
          </w:p>
        </w:tc>
      </w:tr>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sz w:val="20"/>
              </w:rPr>
            </w:pPr>
            <w:r w:rsidRPr="00944C7C">
              <w:rPr>
                <w:rFonts w:ascii="Arial Narrow" w:hAnsi="Arial Narrow" w:cs="Times New Roman"/>
                <w:sz w:val="20"/>
              </w:rPr>
              <w:t>Costs</w:t>
            </w:r>
          </w:p>
        </w:tc>
        <w:tc>
          <w:tcPr>
            <w:tcW w:w="1376" w:type="pct"/>
            <w:vAlign w:val="center"/>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1" w:type="pct"/>
            <w:vAlign w:val="center"/>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c>
          <w:tcPr>
            <w:tcW w:w="1013" w:type="pct"/>
            <w:vAlign w:val="center"/>
          </w:tcPr>
          <w:p w:rsidR="00731573" w:rsidRPr="00944C7C" w:rsidRDefault="00731573" w:rsidP="000A7EB2">
            <w:pPr>
              <w:keepNext/>
              <w:widowControl/>
              <w:jc w:val="center"/>
              <w:rPr>
                <w:rFonts w:ascii="Arial Narrow" w:hAnsi="Arial Narrow" w:cs="Times New Roman"/>
                <w:sz w:val="20"/>
              </w:rPr>
            </w:pPr>
            <w:r>
              <w:rPr>
                <w:rFonts w:ascii="Arial Narrow" w:hAnsi="Arial Narrow" w:cs="Times New Roman"/>
                <w:sz w:val="20"/>
              </w:rPr>
              <w:t>$</w:t>
            </w:r>
            <w:r w:rsidR="002A4E9A">
              <w:rPr>
                <w:rFonts w:ascii="Arial Narrow" w:hAnsi="Arial Narrow" w:cs="Times New Roman"/>
                <w:noProof/>
                <w:color w:val="000000"/>
                <w:sz w:val="20"/>
                <w:highlight w:val="black"/>
              </w:rPr>
              <w:t>''''''''''''''''</w:t>
            </w:r>
          </w:p>
        </w:tc>
      </w:tr>
      <w:tr w:rsidR="00731573" w:rsidRPr="00944C7C" w:rsidTr="0097478C">
        <w:tc>
          <w:tcPr>
            <w:tcW w:w="1600" w:type="pct"/>
            <w:vAlign w:val="center"/>
          </w:tcPr>
          <w:p w:rsidR="00731573" w:rsidRPr="00944C7C" w:rsidRDefault="00731573" w:rsidP="000A7EB2">
            <w:pPr>
              <w:keepNext/>
              <w:widowControl/>
              <w:jc w:val="left"/>
              <w:rPr>
                <w:rFonts w:ascii="Arial Narrow" w:hAnsi="Arial Narrow" w:cs="Times New Roman"/>
                <w:sz w:val="20"/>
              </w:rPr>
            </w:pPr>
            <w:r w:rsidRPr="00944C7C">
              <w:rPr>
                <w:rFonts w:ascii="Arial Narrow" w:hAnsi="Arial Narrow" w:cs="Times New Roman"/>
                <w:sz w:val="20"/>
              </w:rPr>
              <w:t>QALY</w:t>
            </w:r>
          </w:p>
        </w:tc>
        <w:tc>
          <w:tcPr>
            <w:tcW w:w="1376" w:type="pct"/>
            <w:vAlign w:val="center"/>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1" w:type="pct"/>
            <w:vAlign w:val="center"/>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13" w:type="pct"/>
            <w:vAlign w:val="center"/>
          </w:tcPr>
          <w:p w:rsidR="00731573" w:rsidRPr="002A4E9A" w:rsidRDefault="002A4E9A" w:rsidP="000A7EB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31573" w:rsidRPr="00944C7C" w:rsidTr="0097478C">
        <w:tc>
          <w:tcPr>
            <w:tcW w:w="3987" w:type="pct"/>
            <w:gridSpan w:val="3"/>
            <w:vAlign w:val="center"/>
          </w:tcPr>
          <w:p w:rsidR="00731573" w:rsidRPr="00944C7C" w:rsidRDefault="00731573" w:rsidP="000A7EB2">
            <w:pPr>
              <w:keepNext/>
              <w:widowControl/>
              <w:jc w:val="left"/>
              <w:rPr>
                <w:rFonts w:ascii="Arial Narrow" w:hAnsi="Arial Narrow" w:cs="Times New Roman"/>
                <w:b/>
                <w:sz w:val="20"/>
              </w:rPr>
            </w:pPr>
            <w:r w:rsidRPr="00944C7C">
              <w:rPr>
                <w:rFonts w:ascii="Arial Narrow" w:hAnsi="Arial Narrow" w:cs="Times New Roman"/>
                <w:b/>
                <w:sz w:val="20"/>
              </w:rPr>
              <w:t>Incremental cost per QALY gained</w:t>
            </w:r>
          </w:p>
        </w:tc>
        <w:tc>
          <w:tcPr>
            <w:tcW w:w="1013" w:type="pct"/>
          </w:tcPr>
          <w:p w:rsidR="00731573" w:rsidRPr="00944C7C" w:rsidRDefault="00731573" w:rsidP="000A7EB2">
            <w:pPr>
              <w:keepNext/>
              <w:widowControl/>
              <w:jc w:val="center"/>
              <w:rPr>
                <w:rFonts w:ascii="Arial Narrow" w:hAnsi="Arial Narrow" w:cs="Times New Roman"/>
                <w:b/>
                <w:sz w:val="20"/>
              </w:rPr>
            </w:pPr>
            <w:r>
              <w:rPr>
                <w:rFonts w:ascii="Arial Narrow" w:hAnsi="Arial Narrow" w:cs="Times New Roman"/>
                <w:b/>
                <w:sz w:val="20"/>
              </w:rPr>
              <w:t>$</w:t>
            </w:r>
            <w:r w:rsidR="002A4E9A">
              <w:rPr>
                <w:rFonts w:ascii="Arial Narrow" w:hAnsi="Arial Narrow" w:cs="Times New Roman"/>
                <w:b/>
                <w:noProof/>
                <w:color w:val="000000"/>
                <w:sz w:val="20"/>
                <w:highlight w:val="black"/>
              </w:rPr>
              <w:t>''''''''''''''''</w:t>
            </w:r>
          </w:p>
        </w:tc>
      </w:tr>
    </w:tbl>
    <w:p w:rsidR="00731573" w:rsidRDefault="00731573" w:rsidP="000A7EB2">
      <w:pPr>
        <w:pStyle w:val="TableFooter"/>
        <w:keepNext/>
        <w:widowControl/>
        <w:ind w:left="720"/>
      </w:pPr>
      <w:r>
        <w:t>Source: Table D.5.13, p215 and ‘ONIVYDE PBAC Model_final version for analyses_final’ Excel Workbook, Appendix 19 of the submission</w:t>
      </w:r>
    </w:p>
    <w:p w:rsidR="00731573" w:rsidRPr="00872215" w:rsidRDefault="00731573" w:rsidP="000A7EB2">
      <w:pPr>
        <w:pStyle w:val="TableFooter"/>
        <w:keepNext/>
        <w:widowControl/>
        <w:ind w:left="720"/>
      </w:pPr>
      <w:r>
        <w:t>Abbreviations: LY, life years; QALY, quality-adjusted life years</w:t>
      </w:r>
    </w:p>
    <w:p w:rsidR="00872215" w:rsidRPr="00872215" w:rsidRDefault="00872215" w:rsidP="000A7EB2">
      <w:pPr>
        <w:pStyle w:val="ListParagraph"/>
        <w:widowControl/>
        <w:rPr>
          <w:szCs w:val="22"/>
        </w:rPr>
      </w:pPr>
    </w:p>
    <w:p w:rsidR="00092A8B" w:rsidRPr="00731573" w:rsidRDefault="00092A8B" w:rsidP="000A7EB2">
      <w:pPr>
        <w:pStyle w:val="ListParagraph"/>
        <w:widowControl/>
        <w:numPr>
          <w:ilvl w:val="1"/>
          <w:numId w:val="1"/>
        </w:numPr>
        <w:rPr>
          <w:szCs w:val="22"/>
        </w:rPr>
      </w:pPr>
      <w:r>
        <w:t xml:space="preserve">Based on the economic model, treatment with </w:t>
      </w:r>
      <w:r w:rsidR="00C82D5A">
        <w:t>irinotecan (nanoliposomal)</w:t>
      </w:r>
      <w:r>
        <w:t xml:space="preserve"> was associated with a</w:t>
      </w:r>
      <w:r w:rsidR="00EC1ACB">
        <w:t>n incremental</w:t>
      </w:r>
      <w:r>
        <w:t xml:space="preserve"> cost </w:t>
      </w:r>
      <w:r w:rsidR="0038217E">
        <w:t xml:space="preserve">of </w:t>
      </w:r>
      <w:r w:rsidR="0097478C">
        <w:t>$75,000 - $105,000</w:t>
      </w:r>
      <w:r w:rsidR="0038217E">
        <w:t xml:space="preserve"> </w:t>
      </w:r>
      <w:r w:rsidR="00F876A2">
        <w:t xml:space="preserve">per QALY gained </w:t>
      </w:r>
      <w:r w:rsidR="0038217E">
        <w:t>compared with 5</w:t>
      </w:r>
      <w:r w:rsidR="0038217E">
        <w:noBreakHyphen/>
      </w:r>
      <w:r>
        <w:t>FU/folinic acid.</w:t>
      </w:r>
      <w:r w:rsidR="00F876A2">
        <w:t xml:space="preserve"> </w:t>
      </w:r>
      <w:r w:rsidR="00F876A2" w:rsidRPr="00225989">
        <w:t xml:space="preserve">The ESC noted that </w:t>
      </w:r>
      <w:r w:rsidR="00371B8E" w:rsidRPr="00225989">
        <w:t xml:space="preserve">the trial based analysis (step 2 in Table 9) had an incremental cost of </w:t>
      </w:r>
      <w:r w:rsidR="0097478C">
        <w:t>$105,000 - $200,000</w:t>
      </w:r>
      <w:r w:rsidR="00371B8E" w:rsidRPr="00225989">
        <w:t xml:space="preserve"> per life year gained. However, the ESC considered </w:t>
      </w:r>
      <w:r w:rsidR="00F876A2" w:rsidRPr="00225989">
        <w:t xml:space="preserve">these results were not informative if </w:t>
      </w:r>
      <w:r w:rsidR="002332CB" w:rsidRPr="00225989">
        <w:rPr>
          <w:szCs w:val="22"/>
        </w:rPr>
        <w:t>5</w:t>
      </w:r>
      <w:r w:rsidR="002332CB" w:rsidRPr="00225989">
        <w:rPr>
          <w:szCs w:val="22"/>
        </w:rPr>
        <w:noBreakHyphen/>
      </w:r>
      <w:r w:rsidR="00F876A2" w:rsidRPr="00225989">
        <w:rPr>
          <w:szCs w:val="22"/>
        </w:rPr>
        <w:t>FU/folinic acid is not a relevant comparator.</w:t>
      </w:r>
    </w:p>
    <w:p w:rsidR="00731573" w:rsidRPr="00731573" w:rsidRDefault="00731573" w:rsidP="000A7EB2">
      <w:pPr>
        <w:pStyle w:val="ListParagraph"/>
        <w:widowControl/>
        <w:rPr>
          <w:szCs w:val="22"/>
        </w:rPr>
      </w:pPr>
    </w:p>
    <w:p w:rsidR="00731573" w:rsidRPr="00526248" w:rsidRDefault="00731573" w:rsidP="000A7EB2">
      <w:pPr>
        <w:pStyle w:val="ListParagraph"/>
        <w:widowControl/>
        <w:numPr>
          <w:ilvl w:val="1"/>
          <w:numId w:val="1"/>
        </w:numPr>
        <w:rPr>
          <w:szCs w:val="22"/>
        </w:rPr>
      </w:pPr>
      <w:r w:rsidRPr="00526248">
        <w:t>Results from the stepped analysis suggest</w:t>
      </w:r>
      <w:r w:rsidR="00F876A2">
        <w:t>ed</w:t>
      </w:r>
      <w:r w:rsidRPr="00526248">
        <w:t xml:space="preserve"> that the ICER was most sensitive to the switching from trial data to modelled estimates plus the addition of all relevant costs. The ICER was also sensitive to the addition of baseline utilities and adverse event utility decrements.</w:t>
      </w:r>
    </w:p>
    <w:p w:rsidR="007C226F" w:rsidRPr="007C226F" w:rsidRDefault="007C226F" w:rsidP="000A7EB2">
      <w:pPr>
        <w:pStyle w:val="ListParagraph"/>
        <w:widowControl/>
        <w:rPr>
          <w:szCs w:val="22"/>
        </w:rPr>
      </w:pPr>
    </w:p>
    <w:p w:rsidR="007C226F" w:rsidRDefault="007C226F" w:rsidP="000A7EB2">
      <w:pPr>
        <w:pStyle w:val="ListParagraph"/>
        <w:widowControl/>
        <w:numPr>
          <w:ilvl w:val="1"/>
          <w:numId w:val="1"/>
        </w:numPr>
        <w:rPr>
          <w:szCs w:val="22"/>
        </w:rPr>
      </w:pPr>
      <w:r>
        <w:rPr>
          <w:szCs w:val="22"/>
        </w:rPr>
        <w:lastRenderedPageBreak/>
        <w:t xml:space="preserve">The results of the economic evaluation comparing </w:t>
      </w:r>
      <w:r w:rsidR="00C82D5A">
        <w:rPr>
          <w:szCs w:val="22"/>
        </w:rPr>
        <w:t>irinotecan (nanoliposomal)</w:t>
      </w:r>
      <w:r>
        <w:rPr>
          <w:szCs w:val="22"/>
        </w:rPr>
        <w:t xml:space="preserve"> and mFOLFOX6 are summarised </w:t>
      </w:r>
      <w:r w:rsidR="0038217E">
        <w:rPr>
          <w:szCs w:val="22"/>
        </w:rPr>
        <w:t>in Table 10.</w:t>
      </w:r>
    </w:p>
    <w:p w:rsidR="00F22662" w:rsidRPr="00F22662" w:rsidRDefault="00F22662" w:rsidP="00F22662">
      <w:pPr>
        <w:widowControl/>
        <w:rPr>
          <w:szCs w:val="22"/>
        </w:rPr>
      </w:pPr>
    </w:p>
    <w:p w:rsidR="007C226F" w:rsidRDefault="0088337A" w:rsidP="000A7EB2">
      <w:pPr>
        <w:widowControl/>
        <w:ind w:firstLine="720"/>
        <w:rPr>
          <w:rStyle w:val="CommentReference"/>
        </w:rPr>
      </w:pPr>
      <w:r>
        <w:rPr>
          <w:rStyle w:val="CommentReference"/>
        </w:rPr>
        <w:t>Table 10</w:t>
      </w:r>
      <w:r w:rsidR="007C226F" w:rsidRPr="00410EC7">
        <w:rPr>
          <w:rStyle w:val="CommentReference"/>
        </w:rPr>
        <w:t>: Results of the economic evaluation</w:t>
      </w:r>
      <w:r w:rsidR="007C226F">
        <w:rPr>
          <w:rStyle w:val="CommentReference"/>
        </w:rPr>
        <w:t xml:space="preserve"> (</w:t>
      </w:r>
      <w:r w:rsidR="00C82D5A">
        <w:rPr>
          <w:rStyle w:val="CommentReference"/>
        </w:rPr>
        <w:t>irinotecan (nanoliposomal)</w:t>
      </w:r>
      <w:r w:rsidR="00EF31F0">
        <w:rPr>
          <w:rStyle w:val="CommentReference"/>
        </w:rPr>
        <w:t xml:space="preserve"> versus mFOLFOX6</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98"/>
        <w:gridCol w:w="2428"/>
        <w:gridCol w:w="1571"/>
        <w:gridCol w:w="1377"/>
      </w:tblGrid>
      <w:tr w:rsidR="007C226F" w:rsidRPr="004E2ADC" w:rsidTr="005338B9">
        <w:tc>
          <w:tcPr>
            <w:tcW w:w="1790" w:type="pct"/>
          </w:tcPr>
          <w:p w:rsidR="007C226F" w:rsidRPr="004E2ADC" w:rsidRDefault="007C226F" w:rsidP="000A7EB2">
            <w:pPr>
              <w:widowControl/>
              <w:rPr>
                <w:rFonts w:ascii="Arial Narrow" w:hAnsi="Arial Narrow"/>
                <w:b/>
                <w:sz w:val="20"/>
              </w:rPr>
            </w:pPr>
            <w:r w:rsidRPr="004E2ADC">
              <w:rPr>
                <w:rFonts w:ascii="Arial Narrow" w:hAnsi="Arial Narrow"/>
                <w:b/>
                <w:sz w:val="20"/>
              </w:rPr>
              <w:t>Component</w:t>
            </w:r>
          </w:p>
        </w:tc>
        <w:tc>
          <w:tcPr>
            <w:tcW w:w="1450" w:type="pct"/>
          </w:tcPr>
          <w:p w:rsidR="007C226F" w:rsidRPr="004E2ADC" w:rsidRDefault="00C82D5A" w:rsidP="000A7EB2">
            <w:pPr>
              <w:widowControl/>
              <w:jc w:val="center"/>
              <w:rPr>
                <w:rFonts w:ascii="Arial Narrow" w:hAnsi="Arial Narrow"/>
                <w:b/>
                <w:sz w:val="20"/>
              </w:rPr>
            </w:pPr>
            <w:r>
              <w:rPr>
                <w:rFonts w:ascii="Arial Narrow" w:hAnsi="Arial Narrow"/>
                <w:b/>
                <w:sz w:val="20"/>
              </w:rPr>
              <w:t>Irinotecan (nanoliposomal)</w:t>
            </w:r>
          </w:p>
        </w:tc>
        <w:tc>
          <w:tcPr>
            <w:tcW w:w="937" w:type="pct"/>
          </w:tcPr>
          <w:p w:rsidR="007C226F" w:rsidRPr="004E2ADC" w:rsidRDefault="007C226F" w:rsidP="000A7EB2">
            <w:pPr>
              <w:widowControl/>
              <w:jc w:val="center"/>
              <w:rPr>
                <w:rFonts w:ascii="Arial Narrow" w:hAnsi="Arial Narrow"/>
                <w:b/>
                <w:sz w:val="20"/>
              </w:rPr>
            </w:pPr>
            <w:r>
              <w:rPr>
                <w:rFonts w:ascii="Arial Narrow" w:hAnsi="Arial Narrow"/>
                <w:b/>
                <w:sz w:val="20"/>
              </w:rPr>
              <w:t>mFOLFOX6</w:t>
            </w:r>
          </w:p>
        </w:tc>
        <w:tc>
          <w:tcPr>
            <w:tcW w:w="822" w:type="pct"/>
          </w:tcPr>
          <w:p w:rsidR="007C226F" w:rsidRPr="004E2ADC" w:rsidRDefault="007C226F" w:rsidP="000A7EB2">
            <w:pPr>
              <w:widowControl/>
              <w:jc w:val="center"/>
              <w:rPr>
                <w:rFonts w:ascii="Arial Narrow" w:hAnsi="Arial Narrow"/>
                <w:b/>
                <w:sz w:val="20"/>
              </w:rPr>
            </w:pPr>
            <w:r w:rsidRPr="004E2ADC">
              <w:rPr>
                <w:rFonts w:ascii="Arial Narrow" w:hAnsi="Arial Narrow"/>
                <w:b/>
                <w:sz w:val="20"/>
              </w:rPr>
              <w:t>Increment</w:t>
            </w:r>
          </w:p>
        </w:tc>
      </w:tr>
      <w:tr w:rsidR="007C226F" w:rsidRPr="004E2ADC" w:rsidTr="005338B9">
        <w:tc>
          <w:tcPr>
            <w:tcW w:w="1790" w:type="pct"/>
          </w:tcPr>
          <w:p w:rsidR="007C226F" w:rsidRPr="004E2ADC" w:rsidRDefault="007C226F" w:rsidP="000A7EB2">
            <w:pPr>
              <w:widowControl/>
              <w:rPr>
                <w:rFonts w:ascii="Arial Narrow" w:hAnsi="Arial Narrow"/>
                <w:sz w:val="20"/>
              </w:rPr>
            </w:pPr>
            <w:r w:rsidRPr="004E2ADC">
              <w:rPr>
                <w:rFonts w:ascii="Arial Narrow" w:hAnsi="Arial Narrow"/>
                <w:sz w:val="20"/>
              </w:rPr>
              <w:t>Costs</w:t>
            </w:r>
          </w:p>
        </w:tc>
        <w:tc>
          <w:tcPr>
            <w:tcW w:w="1450" w:type="pct"/>
          </w:tcPr>
          <w:p w:rsidR="007C226F" w:rsidRPr="004E2ADC" w:rsidRDefault="007C226F"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c>
          <w:tcPr>
            <w:tcW w:w="937" w:type="pct"/>
          </w:tcPr>
          <w:p w:rsidR="007C226F" w:rsidRPr="004E2ADC" w:rsidRDefault="007C226F"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c>
          <w:tcPr>
            <w:tcW w:w="822" w:type="pct"/>
          </w:tcPr>
          <w:p w:rsidR="007C226F" w:rsidRPr="004E2ADC" w:rsidRDefault="007C226F"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r>
      <w:tr w:rsidR="007C226F" w:rsidRPr="004E2ADC" w:rsidTr="005338B9">
        <w:tc>
          <w:tcPr>
            <w:tcW w:w="1790" w:type="pct"/>
          </w:tcPr>
          <w:p w:rsidR="007C226F" w:rsidRPr="004E2ADC" w:rsidRDefault="007C226F" w:rsidP="000A7EB2">
            <w:pPr>
              <w:widowControl/>
              <w:rPr>
                <w:rFonts w:ascii="Arial Narrow" w:hAnsi="Arial Narrow"/>
                <w:sz w:val="20"/>
              </w:rPr>
            </w:pPr>
            <w:r>
              <w:rPr>
                <w:rFonts w:ascii="Arial Narrow" w:hAnsi="Arial Narrow"/>
                <w:sz w:val="20"/>
              </w:rPr>
              <w:t>L</w:t>
            </w:r>
            <w:r w:rsidR="00E775C7">
              <w:rPr>
                <w:rFonts w:ascii="Arial Narrow" w:hAnsi="Arial Narrow"/>
                <w:sz w:val="20"/>
              </w:rPr>
              <w:t>y</w:t>
            </w:r>
            <w:r>
              <w:rPr>
                <w:rFonts w:ascii="Arial Narrow" w:hAnsi="Arial Narrow"/>
                <w:sz w:val="20"/>
              </w:rPr>
              <w:t>s</w:t>
            </w:r>
          </w:p>
        </w:tc>
        <w:tc>
          <w:tcPr>
            <w:tcW w:w="1450" w:type="pct"/>
          </w:tcPr>
          <w:p w:rsidR="007C226F"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937" w:type="pct"/>
          </w:tcPr>
          <w:p w:rsidR="007C226F"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822" w:type="pct"/>
          </w:tcPr>
          <w:p w:rsidR="007C226F"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r>
      <w:tr w:rsidR="007C226F" w:rsidRPr="004E2ADC" w:rsidTr="005338B9">
        <w:tc>
          <w:tcPr>
            <w:tcW w:w="4178" w:type="pct"/>
            <w:gridSpan w:val="3"/>
          </w:tcPr>
          <w:p w:rsidR="007C226F" w:rsidRPr="004E2ADC" w:rsidRDefault="007C226F" w:rsidP="000A7EB2">
            <w:pPr>
              <w:widowControl/>
              <w:rPr>
                <w:rFonts w:ascii="Arial Narrow" w:hAnsi="Arial Narrow"/>
                <w:b/>
                <w:sz w:val="20"/>
              </w:rPr>
            </w:pPr>
            <w:r>
              <w:rPr>
                <w:rFonts w:ascii="Arial Narrow" w:hAnsi="Arial Narrow"/>
                <w:b/>
                <w:sz w:val="20"/>
              </w:rPr>
              <w:t>Incremental cost per LY</w:t>
            </w:r>
            <w:r w:rsidRPr="004E2ADC">
              <w:rPr>
                <w:rFonts w:ascii="Arial Narrow" w:hAnsi="Arial Narrow"/>
                <w:b/>
                <w:sz w:val="20"/>
              </w:rPr>
              <w:t xml:space="preserve"> gained</w:t>
            </w:r>
          </w:p>
        </w:tc>
        <w:tc>
          <w:tcPr>
            <w:tcW w:w="822" w:type="pct"/>
          </w:tcPr>
          <w:p w:rsidR="007C226F" w:rsidRPr="004E2ADC" w:rsidRDefault="007C226F" w:rsidP="000A7EB2">
            <w:pPr>
              <w:widowControl/>
              <w:jc w:val="center"/>
              <w:rPr>
                <w:rFonts w:ascii="Arial Narrow" w:hAnsi="Arial Narrow"/>
                <w:b/>
                <w:sz w:val="20"/>
              </w:rPr>
            </w:pPr>
            <w:r>
              <w:rPr>
                <w:rFonts w:ascii="Arial Narrow" w:hAnsi="Arial Narrow"/>
                <w:b/>
                <w:sz w:val="20"/>
              </w:rPr>
              <w:t>$</w:t>
            </w:r>
            <w:r w:rsidR="002A4E9A">
              <w:rPr>
                <w:rFonts w:ascii="Arial Narrow" w:hAnsi="Arial Narrow"/>
                <w:b/>
                <w:noProof/>
                <w:color w:val="000000"/>
                <w:sz w:val="20"/>
                <w:highlight w:val="black"/>
              </w:rPr>
              <w:t>'''''''''''''''</w:t>
            </w:r>
          </w:p>
        </w:tc>
      </w:tr>
      <w:tr w:rsidR="007C226F" w:rsidRPr="004E2ADC" w:rsidTr="005338B9">
        <w:tc>
          <w:tcPr>
            <w:tcW w:w="1790" w:type="pct"/>
          </w:tcPr>
          <w:p w:rsidR="007C226F" w:rsidRPr="004E2ADC" w:rsidRDefault="007C226F" w:rsidP="000A7EB2">
            <w:pPr>
              <w:widowControl/>
              <w:rPr>
                <w:rFonts w:ascii="Arial Narrow" w:hAnsi="Arial Narrow"/>
                <w:sz w:val="20"/>
              </w:rPr>
            </w:pPr>
            <w:r w:rsidRPr="004E2ADC">
              <w:rPr>
                <w:rFonts w:ascii="Arial Narrow" w:hAnsi="Arial Narrow"/>
                <w:sz w:val="20"/>
              </w:rPr>
              <w:t>Costs</w:t>
            </w:r>
          </w:p>
        </w:tc>
        <w:tc>
          <w:tcPr>
            <w:tcW w:w="1450" w:type="pct"/>
          </w:tcPr>
          <w:p w:rsidR="007C226F" w:rsidRPr="004E2ADC" w:rsidRDefault="007C226F"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c>
          <w:tcPr>
            <w:tcW w:w="937" w:type="pct"/>
          </w:tcPr>
          <w:p w:rsidR="007C226F" w:rsidRPr="004E2ADC" w:rsidRDefault="007C226F"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c>
          <w:tcPr>
            <w:tcW w:w="822" w:type="pct"/>
          </w:tcPr>
          <w:p w:rsidR="007C226F" w:rsidRPr="004E2ADC" w:rsidRDefault="007C226F"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r>
      <w:tr w:rsidR="007C226F" w:rsidRPr="004E2ADC" w:rsidTr="005338B9">
        <w:tc>
          <w:tcPr>
            <w:tcW w:w="1790" w:type="pct"/>
          </w:tcPr>
          <w:p w:rsidR="007C226F" w:rsidRPr="004E2ADC" w:rsidRDefault="007C226F" w:rsidP="000A7EB2">
            <w:pPr>
              <w:widowControl/>
              <w:rPr>
                <w:rFonts w:ascii="Arial Narrow" w:hAnsi="Arial Narrow"/>
                <w:sz w:val="20"/>
              </w:rPr>
            </w:pPr>
            <w:r>
              <w:rPr>
                <w:rFonts w:ascii="Arial Narrow" w:hAnsi="Arial Narrow"/>
                <w:sz w:val="20"/>
              </w:rPr>
              <w:t>QALYs</w:t>
            </w:r>
          </w:p>
        </w:tc>
        <w:tc>
          <w:tcPr>
            <w:tcW w:w="1450" w:type="pct"/>
          </w:tcPr>
          <w:p w:rsidR="007C226F"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937" w:type="pct"/>
          </w:tcPr>
          <w:p w:rsidR="007C226F"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822" w:type="pct"/>
          </w:tcPr>
          <w:p w:rsidR="007C226F"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r>
      <w:tr w:rsidR="007C226F" w:rsidRPr="004E2ADC" w:rsidTr="005338B9">
        <w:tc>
          <w:tcPr>
            <w:tcW w:w="4178" w:type="pct"/>
            <w:gridSpan w:val="3"/>
          </w:tcPr>
          <w:p w:rsidR="007C226F" w:rsidRPr="004E2ADC" w:rsidRDefault="007C226F" w:rsidP="000A7EB2">
            <w:pPr>
              <w:widowControl/>
              <w:rPr>
                <w:rFonts w:ascii="Arial Narrow" w:hAnsi="Arial Narrow"/>
                <w:b/>
                <w:sz w:val="20"/>
              </w:rPr>
            </w:pPr>
            <w:r>
              <w:rPr>
                <w:rFonts w:ascii="Arial Narrow" w:hAnsi="Arial Narrow"/>
                <w:b/>
                <w:sz w:val="20"/>
              </w:rPr>
              <w:t>Incremental cost per QALY</w:t>
            </w:r>
            <w:r w:rsidRPr="004E2ADC">
              <w:rPr>
                <w:rFonts w:ascii="Arial Narrow" w:hAnsi="Arial Narrow"/>
                <w:b/>
                <w:sz w:val="20"/>
              </w:rPr>
              <w:t xml:space="preserve"> gained</w:t>
            </w:r>
            <w:r>
              <w:rPr>
                <w:rFonts w:ascii="Arial Narrow" w:hAnsi="Arial Narrow"/>
                <w:b/>
                <w:sz w:val="20"/>
              </w:rPr>
              <w:t xml:space="preserve"> (base case)</w:t>
            </w:r>
          </w:p>
        </w:tc>
        <w:tc>
          <w:tcPr>
            <w:tcW w:w="822" w:type="pct"/>
          </w:tcPr>
          <w:p w:rsidR="007C226F" w:rsidRPr="004E2ADC" w:rsidRDefault="007C226F" w:rsidP="000A7EB2">
            <w:pPr>
              <w:widowControl/>
              <w:jc w:val="center"/>
              <w:rPr>
                <w:rFonts w:ascii="Arial Narrow" w:hAnsi="Arial Narrow"/>
                <w:b/>
                <w:sz w:val="20"/>
              </w:rPr>
            </w:pPr>
            <w:r>
              <w:rPr>
                <w:rFonts w:ascii="Arial Narrow" w:hAnsi="Arial Narrow"/>
                <w:b/>
                <w:sz w:val="20"/>
              </w:rPr>
              <w:t>$</w:t>
            </w:r>
            <w:r w:rsidR="002A4E9A">
              <w:rPr>
                <w:rFonts w:ascii="Arial Narrow" w:hAnsi="Arial Narrow"/>
                <w:b/>
                <w:noProof/>
                <w:color w:val="000000"/>
                <w:sz w:val="20"/>
                <w:highlight w:val="black"/>
              </w:rPr>
              <w:t>''''''''''''''''</w:t>
            </w:r>
          </w:p>
        </w:tc>
      </w:tr>
      <w:tr w:rsidR="007C226F" w:rsidRPr="004E2ADC" w:rsidTr="005338B9">
        <w:tc>
          <w:tcPr>
            <w:tcW w:w="1790" w:type="pct"/>
          </w:tcPr>
          <w:p w:rsidR="007C226F" w:rsidRPr="004E2ADC" w:rsidRDefault="007C226F" w:rsidP="000A7EB2">
            <w:pPr>
              <w:widowControl/>
              <w:rPr>
                <w:rFonts w:ascii="Arial Narrow" w:hAnsi="Arial Narrow"/>
                <w:sz w:val="20"/>
              </w:rPr>
            </w:pPr>
            <w:r w:rsidRPr="004E2ADC">
              <w:rPr>
                <w:rFonts w:ascii="Arial Narrow" w:hAnsi="Arial Narrow"/>
                <w:sz w:val="20"/>
              </w:rPr>
              <w:t>Costs</w:t>
            </w:r>
          </w:p>
        </w:tc>
        <w:tc>
          <w:tcPr>
            <w:tcW w:w="1450" w:type="pct"/>
          </w:tcPr>
          <w:p w:rsidR="007C226F" w:rsidRPr="004E2ADC" w:rsidRDefault="007C226F"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c>
          <w:tcPr>
            <w:tcW w:w="937" w:type="pct"/>
          </w:tcPr>
          <w:p w:rsidR="007C226F" w:rsidRPr="004E2ADC" w:rsidRDefault="007C226F"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c>
          <w:tcPr>
            <w:tcW w:w="822" w:type="pct"/>
          </w:tcPr>
          <w:p w:rsidR="007C226F" w:rsidRPr="004E2ADC" w:rsidRDefault="007C226F"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r>
      <w:tr w:rsidR="007C226F" w:rsidRPr="004E2ADC" w:rsidTr="005338B9">
        <w:tc>
          <w:tcPr>
            <w:tcW w:w="1790" w:type="pct"/>
          </w:tcPr>
          <w:p w:rsidR="007C226F" w:rsidRPr="004E2ADC" w:rsidRDefault="007C226F" w:rsidP="000A7EB2">
            <w:pPr>
              <w:widowControl/>
              <w:rPr>
                <w:rFonts w:ascii="Arial Narrow" w:hAnsi="Arial Narrow"/>
                <w:sz w:val="20"/>
              </w:rPr>
            </w:pPr>
            <w:r>
              <w:rPr>
                <w:rFonts w:ascii="Arial Narrow" w:hAnsi="Arial Narrow"/>
                <w:sz w:val="20"/>
              </w:rPr>
              <w:t>QALYs (with AE decrements)</w:t>
            </w:r>
          </w:p>
        </w:tc>
        <w:tc>
          <w:tcPr>
            <w:tcW w:w="1450" w:type="pct"/>
          </w:tcPr>
          <w:p w:rsidR="007C226F"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937" w:type="pct"/>
          </w:tcPr>
          <w:p w:rsidR="007C226F"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822" w:type="pct"/>
          </w:tcPr>
          <w:p w:rsidR="007C226F"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r>
      <w:tr w:rsidR="007C226F" w:rsidRPr="004E2ADC" w:rsidTr="005338B9">
        <w:tc>
          <w:tcPr>
            <w:tcW w:w="4178" w:type="pct"/>
            <w:gridSpan w:val="3"/>
          </w:tcPr>
          <w:p w:rsidR="007C226F" w:rsidRPr="004E2ADC" w:rsidRDefault="007C226F" w:rsidP="000A7EB2">
            <w:pPr>
              <w:widowControl/>
              <w:rPr>
                <w:rFonts w:ascii="Arial Narrow" w:hAnsi="Arial Narrow"/>
                <w:b/>
                <w:sz w:val="20"/>
              </w:rPr>
            </w:pPr>
            <w:r>
              <w:rPr>
                <w:rFonts w:ascii="Arial Narrow" w:hAnsi="Arial Narrow"/>
                <w:b/>
                <w:sz w:val="20"/>
              </w:rPr>
              <w:t>Incremental cost per QALY</w:t>
            </w:r>
            <w:r w:rsidRPr="004E2ADC">
              <w:rPr>
                <w:rFonts w:ascii="Arial Narrow" w:hAnsi="Arial Narrow"/>
                <w:b/>
                <w:sz w:val="20"/>
              </w:rPr>
              <w:t xml:space="preserve"> gained</w:t>
            </w:r>
          </w:p>
        </w:tc>
        <w:tc>
          <w:tcPr>
            <w:tcW w:w="822" w:type="pct"/>
          </w:tcPr>
          <w:p w:rsidR="007C226F" w:rsidRPr="004E2ADC" w:rsidRDefault="007C226F" w:rsidP="000A7EB2">
            <w:pPr>
              <w:widowControl/>
              <w:jc w:val="center"/>
              <w:rPr>
                <w:rFonts w:ascii="Arial Narrow" w:hAnsi="Arial Narrow"/>
                <w:b/>
                <w:sz w:val="20"/>
              </w:rPr>
            </w:pPr>
            <w:r>
              <w:rPr>
                <w:rFonts w:ascii="Arial Narrow" w:hAnsi="Arial Narrow"/>
                <w:b/>
                <w:sz w:val="20"/>
              </w:rPr>
              <w:t>$</w:t>
            </w:r>
            <w:r w:rsidR="002A4E9A">
              <w:rPr>
                <w:rFonts w:ascii="Arial Narrow" w:hAnsi="Arial Narrow"/>
                <w:b/>
                <w:noProof/>
                <w:color w:val="000000"/>
                <w:sz w:val="20"/>
                <w:highlight w:val="black"/>
              </w:rPr>
              <w:t>''''''''''''''''</w:t>
            </w:r>
          </w:p>
        </w:tc>
      </w:tr>
    </w:tbl>
    <w:p w:rsidR="007C226F" w:rsidRDefault="007C226F" w:rsidP="000A7EB2">
      <w:pPr>
        <w:pStyle w:val="TableFooter"/>
        <w:widowControl/>
        <w:ind w:left="720"/>
      </w:pPr>
      <w:r w:rsidRPr="00D13A3E">
        <w:t xml:space="preserve">Source: </w:t>
      </w:r>
      <w:r>
        <w:t>Tables D.5.4 and D.5.6, pp210-211 and ‘ONIVYDE PBAC Model_final version for analyses_final’ Excel workbook</w:t>
      </w:r>
    </w:p>
    <w:p w:rsidR="007C226F" w:rsidRDefault="007C226F" w:rsidP="000A7EB2">
      <w:pPr>
        <w:widowControl/>
        <w:ind w:firstLine="720"/>
        <w:rPr>
          <w:rFonts w:ascii="Arial Narrow" w:hAnsi="Arial Narrow"/>
          <w:sz w:val="18"/>
        </w:rPr>
      </w:pPr>
      <w:r w:rsidRPr="0027533B">
        <w:rPr>
          <w:rFonts w:ascii="Arial Narrow" w:hAnsi="Arial Narrow"/>
          <w:sz w:val="18"/>
        </w:rPr>
        <w:t xml:space="preserve">Abbreviations: </w:t>
      </w:r>
      <w:r>
        <w:rPr>
          <w:rFonts w:ascii="Arial Narrow" w:hAnsi="Arial Narrow"/>
          <w:sz w:val="18"/>
        </w:rPr>
        <w:t xml:space="preserve">AE, adverse event; </w:t>
      </w:r>
      <w:r w:rsidRPr="0027533B">
        <w:rPr>
          <w:rFonts w:ascii="Arial Narrow" w:hAnsi="Arial Narrow"/>
          <w:sz w:val="18"/>
        </w:rPr>
        <w:t>LYs, life years; QALYs, quality-adjusted life years</w:t>
      </w:r>
    </w:p>
    <w:p w:rsidR="007C226F" w:rsidRPr="00D13A3E" w:rsidRDefault="007C226F" w:rsidP="000A7EB2">
      <w:pPr>
        <w:widowControl/>
        <w:ind w:firstLine="720"/>
      </w:pPr>
    </w:p>
    <w:p w:rsidR="007C226F" w:rsidRPr="007C226F" w:rsidRDefault="007C226F" w:rsidP="000A7EB2">
      <w:pPr>
        <w:pStyle w:val="ListParagraph"/>
        <w:widowControl/>
        <w:numPr>
          <w:ilvl w:val="1"/>
          <w:numId w:val="1"/>
        </w:numPr>
        <w:rPr>
          <w:szCs w:val="22"/>
        </w:rPr>
      </w:pPr>
      <w:r>
        <w:t xml:space="preserve">Based on the economic model, treatment with </w:t>
      </w:r>
      <w:r w:rsidR="00C82D5A">
        <w:t>irinotecan (nanoliposomal)</w:t>
      </w:r>
      <w:r>
        <w:t xml:space="preserve"> was associated with a</w:t>
      </w:r>
      <w:r w:rsidR="00EC1ACB">
        <w:t>n incremental</w:t>
      </w:r>
      <w:r>
        <w:t xml:space="preserve"> cost per QALY gained of </w:t>
      </w:r>
      <w:r w:rsidR="00FD4AE8">
        <w:t>$105,000 - $200,000</w:t>
      </w:r>
      <w:r>
        <w:t xml:space="preserve"> compared with mFOLFOX6</w:t>
      </w:r>
      <w:r w:rsidR="005644D4">
        <w:t xml:space="preserve"> (including utility decrements for treatment-related adverse events)</w:t>
      </w:r>
      <w:r>
        <w:t>.</w:t>
      </w:r>
      <w:r w:rsidR="00FF52C8" w:rsidDel="00FF52C8">
        <w:t xml:space="preserve"> </w:t>
      </w:r>
    </w:p>
    <w:p w:rsidR="007C226F" w:rsidRPr="00526248" w:rsidRDefault="007C226F" w:rsidP="00FF52C8">
      <w:pPr>
        <w:pStyle w:val="ListParagraph"/>
        <w:widowControl/>
        <w:rPr>
          <w:szCs w:val="22"/>
        </w:rPr>
      </w:pPr>
    </w:p>
    <w:p w:rsidR="00FF52C8" w:rsidRDefault="007C226F" w:rsidP="000A7EB2">
      <w:pPr>
        <w:pStyle w:val="ListParagraph"/>
        <w:widowControl/>
        <w:numPr>
          <w:ilvl w:val="1"/>
          <w:numId w:val="1"/>
        </w:numPr>
        <w:rPr>
          <w:szCs w:val="22"/>
        </w:rPr>
      </w:pPr>
      <w:r w:rsidRPr="00313EF0">
        <w:rPr>
          <w:szCs w:val="22"/>
        </w:rPr>
        <w:t>The estimated ICERs should not be considered reliable given the major concerns regarding issues with the model structure (</w:t>
      </w:r>
      <w:r w:rsidR="00010535" w:rsidRPr="00313EF0">
        <w:rPr>
          <w:szCs w:val="22"/>
        </w:rPr>
        <w:t>inflation of time spent in the pre</w:t>
      </w:r>
      <w:r w:rsidR="00AD0377" w:rsidRPr="00313EF0">
        <w:rPr>
          <w:szCs w:val="22"/>
        </w:rPr>
        <w:noBreakHyphen/>
      </w:r>
      <w:r w:rsidR="00010535" w:rsidRPr="00313EF0">
        <w:rPr>
          <w:szCs w:val="22"/>
        </w:rPr>
        <w:t>progression off-treatment state),</w:t>
      </w:r>
      <w:r w:rsidR="00371B8E" w:rsidRPr="00313EF0">
        <w:rPr>
          <w:szCs w:val="22"/>
        </w:rPr>
        <w:t xml:space="preserve"> </w:t>
      </w:r>
      <w:r w:rsidR="00371B8E" w:rsidRPr="00313EF0">
        <w:t>unnecessary extrapolation of survival (as majority of events were captured by the end of the trial and the survival curves had effectively converged),</w:t>
      </w:r>
      <w:r w:rsidR="00010535" w:rsidRPr="00313EF0">
        <w:rPr>
          <w:szCs w:val="22"/>
        </w:rPr>
        <w:t xml:space="preserve"> highly uncertain utility values and issues of applicability of the synthesised population to the proposed PBS population for the mFOLFOX6 comparison. The economic model was sensitive to survival curves, utility values, drug costs and post-progression treatment costs. </w:t>
      </w:r>
    </w:p>
    <w:p w:rsidR="00FF52C8" w:rsidRPr="00FF52C8" w:rsidRDefault="00FF52C8" w:rsidP="00FF52C8">
      <w:pPr>
        <w:pStyle w:val="ListParagraph"/>
        <w:rPr>
          <w:i/>
          <w:szCs w:val="22"/>
          <w:highlight w:val="yellow"/>
        </w:rPr>
      </w:pPr>
    </w:p>
    <w:p w:rsidR="00FF52C8" w:rsidRDefault="00D10ED2" w:rsidP="000A7EB2">
      <w:pPr>
        <w:pStyle w:val="ListParagraph"/>
        <w:widowControl/>
        <w:numPr>
          <w:ilvl w:val="1"/>
          <w:numId w:val="1"/>
        </w:numPr>
        <w:rPr>
          <w:szCs w:val="22"/>
        </w:rPr>
      </w:pPr>
      <w:r w:rsidRPr="00FF52C8">
        <w:rPr>
          <w:szCs w:val="22"/>
        </w:rPr>
        <w:t xml:space="preserve">The pre-PBAC response </w:t>
      </w:r>
      <w:r w:rsidR="00FF52C8" w:rsidRPr="00FF52C8">
        <w:rPr>
          <w:szCs w:val="22"/>
        </w:rPr>
        <w:t xml:space="preserve">(p3) provided three alternative base case ICERs </w:t>
      </w:r>
      <w:r w:rsidR="00FF52C8">
        <w:rPr>
          <w:szCs w:val="22"/>
        </w:rPr>
        <w:t xml:space="preserve">to individual examine the impact of a reduction in </w:t>
      </w:r>
      <w:r w:rsidR="00FF52C8" w:rsidRPr="00FF52C8">
        <w:rPr>
          <w:szCs w:val="22"/>
        </w:rPr>
        <w:t xml:space="preserve">the modelled time horizon, </w:t>
      </w:r>
      <w:r w:rsidR="00FF52C8">
        <w:rPr>
          <w:szCs w:val="22"/>
        </w:rPr>
        <w:t>an increase in</w:t>
      </w:r>
      <w:r w:rsidR="00FF52C8" w:rsidRPr="00FF52C8">
        <w:rPr>
          <w:szCs w:val="22"/>
        </w:rPr>
        <w:t xml:space="preserve"> the cost of comparative treatments and </w:t>
      </w:r>
      <w:r w:rsidR="00FF52C8">
        <w:rPr>
          <w:szCs w:val="22"/>
        </w:rPr>
        <w:t>a reduction in</w:t>
      </w:r>
      <w:r w:rsidR="00FF52C8" w:rsidRPr="00FF52C8">
        <w:rPr>
          <w:szCs w:val="22"/>
        </w:rPr>
        <w:t xml:space="preserve"> the utility </w:t>
      </w:r>
      <w:r w:rsidR="00FF52C8">
        <w:rPr>
          <w:szCs w:val="22"/>
        </w:rPr>
        <w:t>values for the pre and post-progression health states</w:t>
      </w:r>
      <w:r w:rsidR="00FF52C8" w:rsidRPr="00FF52C8">
        <w:rPr>
          <w:szCs w:val="22"/>
        </w:rPr>
        <w:t>.</w:t>
      </w:r>
      <w:r w:rsidR="00FD4AE8">
        <w:rPr>
          <w:szCs w:val="22"/>
        </w:rPr>
        <w:t xml:space="preserve"> The redacted table below shows that all of the alternative ICERs presented in the pre-PBAC response were $105,000 - $200,000 per QALY.</w:t>
      </w:r>
      <w:r w:rsidR="00FF52C8" w:rsidRPr="00FF52C8">
        <w:rPr>
          <w:szCs w:val="22"/>
        </w:rPr>
        <w:t xml:space="preserve"> </w:t>
      </w:r>
      <w:r w:rsidR="00FF52C8">
        <w:rPr>
          <w:szCs w:val="22"/>
        </w:rPr>
        <w:t>The pre-PBAC response claimed that these changes demonstrated the robustness of the model; however, the response did not present a revised ICER with all three changes combined, or with a trial based analysis as recommended by ESC.</w:t>
      </w:r>
    </w:p>
    <w:p w:rsidR="00313EF0" w:rsidRPr="00FF52C8" w:rsidRDefault="00FF52C8" w:rsidP="00FF52C8">
      <w:pPr>
        <w:widowControl/>
        <w:rPr>
          <w:szCs w:val="22"/>
        </w:rPr>
      </w:pPr>
      <w:r w:rsidRPr="00FF52C8">
        <w:rPr>
          <w:szCs w:val="22"/>
        </w:rPr>
        <w:t xml:space="preserve"> </w:t>
      </w:r>
    </w:p>
    <w:p w:rsidR="00313EF0" w:rsidRPr="00FF52C8" w:rsidRDefault="00313EF0" w:rsidP="000A7EB2">
      <w:pPr>
        <w:pStyle w:val="ListParagraph"/>
        <w:widowControl/>
        <w:rPr>
          <w:szCs w:val="22"/>
        </w:rPr>
      </w:pPr>
      <w:r w:rsidRPr="00FF52C8">
        <w:rPr>
          <w:rStyle w:val="CommentReference"/>
        </w:rPr>
        <w:t xml:space="preserve">Table 11: </w:t>
      </w:r>
      <w:r w:rsidR="0043643D">
        <w:rPr>
          <w:rStyle w:val="CommentReference"/>
        </w:rPr>
        <w:t>Alternative</w:t>
      </w:r>
      <w:r w:rsidRPr="00FF52C8">
        <w:rPr>
          <w:rStyle w:val="CommentReference"/>
        </w:rPr>
        <w:t xml:space="preserve"> ICER</w:t>
      </w:r>
      <w:r w:rsidR="00FF52C8" w:rsidRPr="00FF52C8">
        <w:rPr>
          <w:rStyle w:val="CommentReference"/>
        </w:rPr>
        <w:t>s presented in the pre-PBAC response</w:t>
      </w:r>
    </w:p>
    <w:tbl>
      <w:tblPr>
        <w:tblStyle w:val="TableGrid"/>
        <w:tblW w:w="0" w:type="auto"/>
        <w:tblInd w:w="817" w:type="dxa"/>
        <w:tblLook w:val="06A0" w:firstRow="1" w:lastRow="0" w:firstColumn="1" w:lastColumn="0" w:noHBand="1" w:noVBand="1"/>
        <w:tblCaption w:val="Table 11: Alternative ICERs presented in the pre-PBAC response"/>
        <w:tblDescription w:val="Table 11: Alternative ICERs presented in the pre-PBAC response"/>
      </w:tblPr>
      <w:tblGrid>
        <w:gridCol w:w="4961"/>
        <w:gridCol w:w="1701"/>
        <w:gridCol w:w="1701"/>
      </w:tblGrid>
      <w:tr w:rsidR="00C92A72" w:rsidRPr="00FF52C8" w:rsidTr="000D5960">
        <w:trPr>
          <w:tblHeader/>
        </w:trPr>
        <w:tc>
          <w:tcPr>
            <w:tcW w:w="4961" w:type="dxa"/>
            <w:shd w:val="clear" w:color="auto" w:fill="auto"/>
          </w:tcPr>
          <w:p w:rsidR="00C92A72" w:rsidRPr="00FF52C8" w:rsidRDefault="00C92A72" w:rsidP="000A7EB2">
            <w:pPr>
              <w:widowControl/>
              <w:rPr>
                <w:rFonts w:ascii="Arial Narrow" w:hAnsi="Arial Narrow"/>
                <w:b/>
                <w:sz w:val="20"/>
              </w:rPr>
            </w:pPr>
            <w:r w:rsidRPr="00FF52C8">
              <w:rPr>
                <w:rFonts w:ascii="Arial Narrow" w:hAnsi="Arial Narrow"/>
                <w:b/>
                <w:sz w:val="20"/>
              </w:rPr>
              <w:t>Change to the model</w:t>
            </w:r>
          </w:p>
        </w:tc>
        <w:tc>
          <w:tcPr>
            <w:tcW w:w="1701" w:type="dxa"/>
            <w:shd w:val="clear" w:color="auto" w:fill="auto"/>
          </w:tcPr>
          <w:p w:rsidR="00C92A72" w:rsidRPr="00FF52C8" w:rsidRDefault="00C92A72" w:rsidP="000A7EB2">
            <w:pPr>
              <w:widowControl/>
              <w:rPr>
                <w:rFonts w:ascii="Arial Narrow" w:hAnsi="Arial Narrow"/>
                <w:b/>
                <w:sz w:val="20"/>
              </w:rPr>
            </w:pPr>
            <w:r w:rsidRPr="00FF52C8">
              <w:rPr>
                <w:rFonts w:ascii="Arial Narrow" w:hAnsi="Arial Narrow"/>
                <w:b/>
                <w:sz w:val="20"/>
              </w:rPr>
              <w:t>ICER</w:t>
            </w:r>
            <w:r>
              <w:rPr>
                <w:rFonts w:ascii="Arial Narrow" w:hAnsi="Arial Narrow"/>
                <w:b/>
                <w:sz w:val="20"/>
              </w:rPr>
              <w:t xml:space="preserve"> per QALY vs. </w:t>
            </w:r>
            <w:r w:rsidRPr="00C92A72">
              <w:rPr>
                <w:rFonts w:ascii="Arial Narrow" w:hAnsi="Arial Narrow"/>
                <w:b/>
                <w:sz w:val="20"/>
              </w:rPr>
              <w:t>5-FU/LV</w:t>
            </w:r>
          </w:p>
        </w:tc>
        <w:tc>
          <w:tcPr>
            <w:tcW w:w="1701" w:type="dxa"/>
          </w:tcPr>
          <w:p w:rsidR="00C92A72" w:rsidRPr="00FF52C8" w:rsidDel="00C92A72" w:rsidRDefault="00C92A72" w:rsidP="00C92A72">
            <w:pPr>
              <w:widowControl/>
              <w:rPr>
                <w:rFonts w:ascii="Arial Narrow" w:hAnsi="Arial Narrow"/>
                <w:b/>
                <w:sz w:val="20"/>
              </w:rPr>
            </w:pPr>
            <w:r w:rsidRPr="00FF52C8">
              <w:rPr>
                <w:rFonts w:ascii="Arial Narrow" w:hAnsi="Arial Narrow"/>
                <w:b/>
                <w:sz w:val="20"/>
              </w:rPr>
              <w:t>ICER</w:t>
            </w:r>
            <w:r>
              <w:rPr>
                <w:rFonts w:ascii="Arial Narrow" w:hAnsi="Arial Narrow"/>
                <w:b/>
                <w:sz w:val="20"/>
              </w:rPr>
              <w:t xml:space="preserve"> per QALY vs. mFOLFOX6</w:t>
            </w:r>
          </w:p>
        </w:tc>
      </w:tr>
      <w:tr w:rsidR="00C92A72" w:rsidRPr="00FF52C8" w:rsidTr="00CC23F9">
        <w:tc>
          <w:tcPr>
            <w:tcW w:w="4961" w:type="dxa"/>
          </w:tcPr>
          <w:p w:rsidR="00C92A72" w:rsidRPr="00FF52C8" w:rsidRDefault="00C92A72" w:rsidP="00C92A72">
            <w:pPr>
              <w:widowControl/>
              <w:rPr>
                <w:rFonts w:ascii="Arial Narrow" w:hAnsi="Arial Narrow"/>
                <w:sz w:val="20"/>
              </w:rPr>
            </w:pPr>
            <w:r w:rsidRPr="00FF52C8">
              <w:rPr>
                <w:rFonts w:ascii="Arial Narrow" w:hAnsi="Arial Narrow"/>
                <w:sz w:val="20"/>
              </w:rPr>
              <w:t xml:space="preserve">Two year </w:t>
            </w:r>
            <w:r>
              <w:rPr>
                <w:rFonts w:ascii="Arial Narrow" w:hAnsi="Arial Narrow"/>
                <w:sz w:val="20"/>
              </w:rPr>
              <w:t xml:space="preserve">modelled </w:t>
            </w:r>
            <w:r w:rsidRPr="00FF52C8">
              <w:rPr>
                <w:rFonts w:ascii="Arial Narrow" w:hAnsi="Arial Narrow"/>
                <w:sz w:val="20"/>
              </w:rPr>
              <w:t>time horizon</w:t>
            </w:r>
          </w:p>
        </w:tc>
        <w:tc>
          <w:tcPr>
            <w:tcW w:w="1701" w:type="dxa"/>
          </w:tcPr>
          <w:p w:rsidR="00C92A72" w:rsidRPr="00FF52C8" w:rsidRDefault="00C92A72" w:rsidP="00C92A72">
            <w:pPr>
              <w:widowControl/>
              <w:rPr>
                <w:rFonts w:ascii="Arial Narrow" w:hAnsi="Arial Narrow"/>
                <w:sz w:val="20"/>
              </w:rPr>
            </w:pPr>
            <w:r w:rsidRPr="00FF52C8">
              <w:rPr>
                <w:rFonts w:ascii="Arial Narrow" w:hAnsi="Arial Narrow"/>
                <w:sz w:val="20"/>
              </w:rPr>
              <w:t>$</w:t>
            </w:r>
            <w:r w:rsidR="002A4E9A">
              <w:rPr>
                <w:rFonts w:ascii="Arial Narrow" w:hAnsi="Arial Narrow"/>
                <w:noProof/>
                <w:color w:val="000000"/>
                <w:sz w:val="20"/>
                <w:highlight w:val="black"/>
              </w:rPr>
              <w:t>''''''''''''''''''</w:t>
            </w:r>
            <w:r w:rsidRPr="00FF52C8">
              <w:rPr>
                <w:rFonts w:ascii="Arial Narrow" w:hAnsi="Arial Narrow"/>
                <w:sz w:val="20"/>
              </w:rPr>
              <w:t xml:space="preserve"> </w:t>
            </w:r>
          </w:p>
        </w:tc>
        <w:tc>
          <w:tcPr>
            <w:tcW w:w="1701" w:type="dxa"/>
          </w:tcPr>
          <w:p w:rsidR="00C92A72" w:rsidRPr="00FF52C8" w:rsidRDefault="00C92A72" w:rsidP="000A7EB2">
            <w:pPr>
              <w:widowControl/>
              <w:rPr>
                <w:rFonts w:ascii="Arial Narrow" w:hAnsi="Arial Narrow"/>
                <w:sz w:val="20"/>
              </w:rPr>
            </w:pPr>
            <w:r w:rsidRPr="00FF52C8">
              <w:rPr>
                <w:rFonts w:ascii="Arial Narrow" w:hAnsi="Arial Narrow"/>
                <w:sz w:val="20"/>
              </w:rPr>
              <w:t>$</w:t>
            </w:r>
            <w:r w:rsidR="002A4E9A">
              <w:rPr>
                <w:rFonts w:ascii="Arial Narrow" w:hAnsi="Arial Narrow"/>
                <w:noProof/>
                <w:color w:val="000000"/>
                <w:sz w:val="20"/>
                <w:highlight w:val="black"/>
              </w:rPr>
              <w:t>''''''''''''''''''</w:t>
            </w:r>
          </w:p>
        </w:tc>
      </w:tr>
      <w:tr w:rsidR="00C92A72" w:rsidRPr="00FF52C8" w:rsidTr="00CC23F9">
        <w:trPr>
          <w:trHeight w:val="238"/>
        </w:trPr>
        <w:tc>
          <w:tcPr>
            <w:tcW w:w="4961" w:type="dxa"/>
          </w:tcPr>
          <w:p w:rsidR="00C92A72" w:rsidRPr="00FF52C8" w:rsidRDefault="00C92A72" w:rsidP="000A7EB2">
            <w:pPr>
              <w:widowControl/>
              <w:rPr>
                <w:rFonts w:ascii="Arial Narrow" w:hAnsi="Arial Narrow"/>
                <w:sz w:val="20"/>
              </w:rPr>
            </w:pPr>
            <w:r w:rsidRPr="00FF52C8">
              <w:rPr>
                <w:rFonts w:ascii="Arial Narrow" w:hAnsi="Arial Narrow"/>
                <w:sz w:val="20"/>
              </w:rPr>
              <w:t>Increase in price of 5-FU/LV and mFOLFOX6</w:t>
            </w:r>
          </w:p>
        </w:tc>
        <w:tc>
          <w:tcPr>
            <w:tcW w:w="1701" w:type="dxa"/>
          </w:tcPr>
          <w:p w:rsidR="00C92A72" w:rsidRPr="00C92A72" w:rsidRDefault="00C92A72" w:rsidP="00C92A72">
            <w:pPr>
              <w:widowControl/>
              <w:rPr>
                <w:rFonts w:ascii="Arial Narrow" w:hAnsi="Arial Narrow"/>
                <w:sz w:val="20"/>
              </w:rPr>
            </w:pPr>
            <w:r w:rsidRPr="00FF52C8">
              <w:rPr>
                <w:rFonts w:ascii="Arial Narrow" w:hAnsi="Arial Narrow"/>
                <w:sz w:val="20"/>
              </w:rPr>
              <w:t>$</w:t>
            </w:r>
            <w:r w:rsidR="002A4E9A">
              <w:rPr>
                <w:rFonts w:ascii="Arial Narrow" w:hAnsi="Arial Narrow"/>
                <w:noProof/>
                <w:color w:val="000000"/>
                <w:sz w:val="20"/>
                <w:highlight w:val="black"/>
              </w:rPr>
              <w:t>'''''''''''''''''''''</w:t>
            </w:r>
            <w:r w:rsidRPr="00FF52C8">
              <w:rPr>
                <w:rFonts w:ascii="Arial Narrow" w:hAnsi="Arial Narrow"/>
                <w:sz w:val="20"/>
              </w:rPr>
              <w:t xml:space="preserve"> </w:t>
            </w:r>
          </w:p>
        </w:tc>
        <w:tc>
          <w:tcPr>
            <w:tcW w:w="1701" w:type="dxa"/>
          </w:tcPr>
          <w:p w:rsidR="00C92A72" w:rsidRPr="00FF52C8" w:rsidRDefault="00C92A72" w:rsidP="000A7EB2">
            <w:pPr>
              <w:widowControl/>
              <w:rPr>
                <w:rFonts w:ascii="Arial Narrow" w:hAnsi="Arial Narrow"/>
                <w:sz w:val="20"/>
              </w:rPr>
            </w:pPr>
            <w:r w:rsidRPr="00FF52C8">
              <w:rPr>
                <w:rFonts w:ascii="Arial Narrow" w:hAnsi="Arial Narrow"/>
                <w:sz w:val="20"/>
              </w:rPr>
              <w:t>$</w:t>
            </w:r>
            <w:r w:rsidR="002A4E9A">
              <w:rPr>
                <w:rFonts w:ascii="Arial Narrow" w:hAnsi="Arial Narrow"/>
                <w:noProof/>
                <w:color w:val="000000"/>
                <w:sz w:val="20"/>
                <w:highlight w:val="black"/>
              </w:rPr>
              <w:t>'''''''''''''''''</w:t>
            </w:r>
          </w:p>
        </w:tc>
      </w:tr>
      <w:tr w:rsidR="00C92A72" w:rsidRPr="002F5A5A" w:rsidTr="00CC23F9">
        <w:tc>
          <w:tcPr>
            <w:tcW w:w="4961" w:type="dxa"/>
          </w:tcPr>
          <w:p w:rsidR="00C92A72" w:rsidRPr="00FF52C8" w:rsidRDefault="00C92A72" w:rsidP="000A7EB2">
            <w:pPr>
              <w:widowControl/>
              <w:rPr>
                <w:rFonts w:ascii="Arial Narrow" w:hAnsi="Arial Narrow"/>
                <w:sz w:val="20"/>
              </w:rPr>
            </w:pPr>
            <w:r w:rsidRPr="00FF52C8">
              <w:rPr>
                <w:rFonts w:ascii="Arial Narrow" w:hAnsi="Arial Narrow"/>
                <w:sz w:val="20"/>
              </w:rPr>
              <w:t>Utility estimates to reflect the lower end of the range of published estimates (0.70 and 0.65)</w:t>
            </w:r>
          </w:p>
        </w:tc>
        <w:tc>
          <w:tcPr>
            <w:tcW w:w="1701" w:type="dxa"/>
          </w:tcPr>
          <w:p w:rsidR="00C92A72" w:rsidRPr="00FF52C8" w:rsidRDefault="00C92A72" w:rsidP="000A7EB2">
            <w:pPr>
              <w:widowControl/>
              <w:rPr>
                <w:rFonts w:ascii="Arial Narrow" w:hAnsi="Arial Narrow"/>
                <w:sz w:val="20"/>
              </w:rPr>
            </w:pPr>
            <w:r w:rsidRPr="00FF52C8">
              <w:rPr>
                <w:rFonts w:ascii="Arial Narrow" w:hAnsi="Arial Narrow"/>
                <w:sz w:val="20"/>
              </w:rPr>
              <w:t>$</w:t>
            </w:r>
            <w:r w:rsidR="002A4E9A">
              <w:rPr>
                <w:rFonts w:ascii="Arial Narrow" w:hAnsi="Arial Narrow"/>
                <w:noProof/>
                <w:color w:val="000000"/>
                <w:sz w:val="20"/>
                <w:highlight w:val="black"/>
              </w:rPr>
              <w:t>''''''''''''''''''''</w:t>
            </w:r>
            <w:r w:rsidRPr="00FF52C8">
              <w:rPr>
                <w:rFonts w:ascii="Arial Narrow" w:hAnsi="Arial Narrow"/>
                <w:sz w:val="20"/>
              </w:rPr>
              <w:t xml:space="preserve"> </w:t>
            </w:r>
          </w:p>
          <w:p w:rsidR="00C92A72" w:rsidRPr="00FF52C8" w:rsidRDefault="00C92A72" w:rsidP="00C92A72">
            <w:pPr>
              <w:widowControl/>
              <w:rPr>
                <w:rFonts w:ascii="Arial Narrow" w:hAnsi="Arial Narrow"/>
                <w:color w:val="E36C0A" w:themeColor="accent6" w:themeShade="BF"/>
                <w:sz w:val="20"/>
              </w:rPr>
            </w:pPr>
          </w:p>
        </w:tc>
        <w:tc>
          <w:tcPr>
            <w:tcW w:w="1701" w:type="dxa"/>
          </w:tcPr>
          <w:p w:rsidR="00C92A72" w:rsidRPr="00FF52C8" w:rsidRDefault="00C92A72" w:rsidP="000A7EB2">
            <w:pPr>
              <w:widowControl/>
              <w:rPr>
                <w:rFonts w:ascii="Arial Narrow" w:hAnsi="Arial Narrow"/>
                <w:sz w:val="20"/>
              </w:rPr>
            </w:pPr>
            <w:r w:rsidRPr="00FF52C8">
              <w:rPr>
                <w:rFonts w:ascii="Arial Narrow" w:hAnsi="Arial Narrow"/>
                <w:sz w:val="20"/>
              </w:rPr>
              <w:t>$</w:t>
            </w:r>
            <w:r w:rsidR="002A4E9A">
              <w:rPr>
                <w:rFonts w:ascii="Arial Narrow" w:hAnsi="Arial Narrow"/>
                <w:noProof/>
                <w:color w:val="000000"/>
                <w:sz w:val="20"/>
                <w:highlight w:val="black"/>
              </w:rPr>
              <w:t>'''''''''''''''''''</w:t>
            </w:r>
          </w:p>
        </w:tc>
      </w:tr>
    </w:tbl>
    <w:p w:rsidR="00FF52C8" w:rsidRDefault="00FF52C8" w:rsidP="00FF52C8">
      <w:pPr>
        <w:pStyle w:val="TableFooter"/>
        <w:widowControl/>
        <w:ind w:left="720"/>
      </w:pPr>
      <w:r w:rsidRPr="00D13A3E">
        <w:t>Source:</w:t>
      </w:r>
      <w:r>
        <w:t xml:space="preserve"> Pre-PBAC response, Table 1.</w:t>
      </w:r>
    </w:p>
    <w:p w:rsidR="00C25D9C" w:rsidRDefault="00C25D9C" w:rsidP="000A7EB2">
      <w:pPr>
        <w:widowControl/>
      </w:pPr>
    </w:p>
    <w:p w:rsidR="00C25D9C" w:rsidRPr="00730F13" w:rsidRDefault="00DC2D24" w:rsidP="000A7EB2">
      <w:pPr>
        <w:pStyle w:val="Heading2"/>
        <w:keepNext/>
        <w:rPr>
          <w:szCs w:val="22"/>
        </w:rPr>
      </w:pPr>
      <w:bookmarkStart w:id="15" w:name="_Toc461529333"/>
      <w:r w:rsidRPr="00730F13">
        <w:lastRenderedPageBreak/>
        <w:t>Drug cost/patient/6 weeks: $</w:t>
      </w:r>
      <w:bookmarkEnd w:id="15"/>
      <w:r w:rsidR="002A4E9A">
        <w:rPr>
          <w:noProof/>
          <w:color w:val="000000"/>
          <w:highlight w:val="black"/>
        </w:rPr>
        <w:t>'''''''''''</w:t>
      </w:r>
    </w:p>
    <w:p w:rsidR="00C25D9C" w:rsidRPr="00C25D9C" w:rsidRDefault="00C25D9C" w:rsidP="000A7EB2">
      <w:pPr>
        <w:keepNext/>
        <w:widowControl/>
        <w:rPr>
          <w:szCs w:val="22"/>
        </w:rPr>
      </w:pPr>
    </w:p>
    <w:p w:rsidR="0043643D" w:rsidRDefault="00DC2D24" w:rsidP="000A7EB2">
      <w:pPr>
        <w:pStyle w:val="ListParagraph"/>
        <w:widowControl/>
        <w:numPr>
          <w:ilvl w:val="1"/>
          <w:numId w:val="1"/>
        </w:numPr>
        <w:rPr>
          <w:szCs w:val="22"/>
        </w:rPr>
      </w:pPr>
      <w:r w:rsidRPr="00526248">
        <w:rPr>
          <w:szCs w:val="22"/>
        </w:rPr>
        <w:t>Th</w:t>
      </w:r>
      <w:r w:rsidR="00A10776" w:rsidRPr="00526248">
        <w:rPr>
          <w:szCs w:val="22"/>
        </w:rPr>
        <w:t>e cost per patient every</w:t>
      </w:r>
      <w:r w:rsidRPr="00526248">
        <w:rPr>
          <w:szCs w:val="22"/>
        </w:rPr>
        <w:t xml:space="preserve"> 6 weeks (</w:t>
      </w:r>
      <w:r w:rsidR="00A10776" w:rsidRPr="00526248">
        <w:rPr>
          <w:szCs w:val="22"/>
        </w:rPr>
        <w:t>3 cycles,</w:t>
      </w:r>
      <w:r w:rsidRPr="00526248">
        <w:rPr>
          <w:szCs w:val="22"/>
        </w:rPr>
        <w:t xml:space="preserve"> 3 administrations) for </w:t>
      </w:r>
      <w:r w:rsidR="00C82D5A" w:rsidRPr="00526248">
        <w:rPr>
          <w:szCs w:val="22"/>
        </w:rPr>
        <w:t>irinotecan (nanoliposomal)</w:t>
      </w:r>
      <w:r w:rsidRPr="00526248">
        <w:rPr>
          <w:szCs w:val="22"/>
        </w:rPr>
        <w:t xml:space="preserve"> in combination with 5-FU/folinic acid </w:t>
      </w:r>
      <w:r w:rsidR="001A7075">
        <w:rPr>
          <w:szCs w:val="22"/>
        </w:rPr>
        <w:t>is</w:t>
      </w:r>
      <w:r w:rsidR="001A7075" w:rsidRPr="00526248">
        <w:rPr>
          <w:szCs w:val="22"/>
        </w:rPr>
        <w:t xml:space="preserve"> </w:t>
      </w:r>
      <w:r w:rsidRPr="00526248">
        <w:rPr>
          <w:szCs w:val="22"/>
        </w:rPr>
        <w:t>approximately $</w:t>
      </w:r>
      <w:r w:rsidR="002A4E9A">
        <w:rPr>
          <w:noProof/>
          <w:color w:val="000000"/>
          <w:szCs w:val="22"/>
          <w:highlight w:val="black"/>
        </w:rPr>
        <w:t>'''''''''''''''</w:t>
      </w:r>
      <w:r w:rsidRPr="00526248">
        <w:rPr>
          <w:szCs w:val="22"/>
        </w:rPr>
        <w:t xml:space="preserve"> (Section 100, Efficient Funding of Chemotherapy dispensed price). </w:t>
      </w:r>
      <w:r w:rsidR="00A10776" w:rsidRPr="00526248">
        <w:rPr>
          <w:szCs w:val="22"/>
        </w:rPr>
        <w:t>This was calculated using the proposed effective dispensed price and assuming the average body surface area of 1.8</w:t>
      </w:r>
      <w:r w:rsidR="00C71CDA" w:rsidRPr="00526248">
        <w:rPr>
          <w:szCs w:val="22"/>
        </w:rPr>
        <w:t> </w:t>
      </w:r>
      <w:r w:rsidR="00A10776" w:rsidRPr="00526248">
        <w:rPr>
          <w:szCs w:val="22"/>
        </w:rPr>
        <w:t>m</w:t>
      </w:r>
      <w:r w:rsidR="00A10776" w:rsidRPr="00526248">
        <w:rPr>
          <w:szCs w:val="22"/>
          <w:vertAlign w:val="superscript"/>
        </w:rPr>
        <w:t>2</w:t>
      </w:r>
      <w:r w:rsidR="00A10776" w:rsidRPr="00526248">
        <w:rPr>
          <w:szCs w:val="22"/>
        </w:rPr>
        <w:t xml:space="preserve"> for a patient, requiring 144</w:t>
      </w:r>
      <w:r w:rsidR="00C71CDA" w:rsidRPr="00526248">
        <w:rPr>
          <w:szCs w:val="22"/>
        </w:rPr>
        <w:t xml:space="preserve"> </w:t>
      </w:r>
      <w:r w:rsidR="00A10776" w:rsidRPr="00526248">
        <w:rPr>
          <w:szCs w:val="22"/>
        </w:rPr>
        <w:t xml:space="preserve">mg of </w:t>
      </w:r>
      <w:r w:rsidR="00C82D5A" w:rsidRPr="00526248">
        <w:rPr>
          <w:szCs w:val="22"/>
        </w:rPr>
        <w:t>irinotecan (nanoliposomal)</w:t>
      </w:r>
      <w:r w:rsidR="00A10776" w:rsidRPr="00526248">
        <w:rPr>
          <w:szCs w:val="22"/>
        </w:rPr>
        <w:t xml:space="preserve"> (3</w:t>
      </w:r>
      <w:r w:rsidR="00C71CDA" w:rsidRPr="00526248">
        <w:rPr>
          <w:szCs w:val="22"/>
        </w:rPr>
        <w:t xml:space="preserve"> </w:t>
      </w:r>
      <w:r w:rsidR="00A10776" w:rsidRPr="00526248">
        <w:rPr>
          <w:szCs w:val="22"/>
        </w:rPr>
        <w:t>×</w:t>
      </w:r>
      <w:r w:rsidR="00C71CDA" w:rsidRPr="00526248">
        <w:rPr>
          <w:szCs w:val="22"/>
        </w:rPr>
        <w:t xml:space="preserve"> </w:t>
      </w:r>
      <w:r w:rsidR="00A10776" w:rsidRPr="00526248">
        <w:rPr>
          <w:szCs w:val="22"/>
        </w:rPr>
        <w:t>50</w:t>
      </w:r>
      <w:r w:rsidR="00C71CDA" w:rsidRPr="00526248">
        <w:rPr>
          <w:szCs w:val="22"/>
        </w:rPr>
        <w:t xml:space="preserve"> </w:t>
      </w:r>
      <w:r w:rsidR="00A10776" w:rsidRPr="00526248">
        <w:rPr>
          <w:szCs w:val="22"/>
        </w:rPr>
        <w:t>mg vials), 720</w:t>
      </w:r>
      <w:r w:rsidR="00C71CDA" w:rsidRPr="00526248">
        <w:rPr>
          <w:szCs w:val="22"/>
        </w:rPr>
        <w:t> </w:t>
      </w:r>
      <w:r w:rsidR="00A10776" w:rsidRPr="00526248">
        <w:rPr>
          <w:szCs w:val="22"/>
        </w:rPr>
        <w:t>mg of folinic acid (average cost per mg</w:t>
      </w:r>
      <w:r w:rsidR="008A7485" w:rsidRPr="00526248">
        <w:rPr>
          <w:szCs w:val="22"/>
        </w:rPr>
        <w:t xml:space="preserve"> of $0.08</w:t>
      </w:r>
      <w:r w:rsidR="00A10776" w:rsidRPr="00526248">
        <w:rPr>
          <w:szCs w:val="22"/>
        </w:rPr>
        <w:t xml:space="preserve"> using DPMQ</w:t>
      </w:r>
      <w:r w:rsidR="009F7A6D" w:rsidRPr="00526248">
        <w:rPr>
          <w:szCs w:val="22"/>
        </w:rPr>
        <w:t xml:space="preserve"> for 50</w:t>
      </w:r>
      <w:r w:rsidR="00C571AC">
        <w:rPr>
          <w:szCs w:val="22"/>
        </w:rPr>
        <w:t xml:space="preserve"> </w:t>
      </w:r>
      <w:r w:rsidR="009F7A6D" w:rsidRPr="00526248">
        <w:rPr>
          <w:szCs w:val="22"/>
        </w:rPr>
        <w:t>mg vial</w:t>
      </w:r>
      <w:r w:rsidR="00A10776" w:rsidRPr="00526248">
        <w:rPr>
          <w:szCs w:val="22"/>
        </w:rPr>
        <w:t>) and 4320</w:t>
      </w:r>
      <w:r w:rsidR="00C71CDA" w:rsidRPr="00526248">
        <w:rPr>
          <w:szCs w:val="22"/>
        </w:rPr>
        <w:t xml:space="preserve"> </w:t>
      </w:r>
      <w:r w:rsidR="00A10776" w:rsidRPr="00526248">
        <w:rPr>
          <w:szCs w:val="22"/>
        </w:rPr>
        <w:t>mg of 5-FU (2</w:t>
      </w:r>
      <w:r w:rsidR="00C71CDA" w:rsidRPr="00526248">
        <w:rPr>
          <w:szCs w:val="22"/>
        </w:rPr>
        <w:t xml:space="preserve"> </w:t>
      </w:r>
      <w:r w:rsidR="00A10776" w:rsidRPr="00526248">
        <w:rPr>
          <w:szCs w:val="22"/>
        </w:rPr>
        <w:t>×</w:t>
      </w:r>
      <w:r w:rsidR="00C71CDA" w:rsidRPr="00526248">
        <w:rPr>
          <w:szCs w:val="22"/>
        </w:rPr>
        <w:t xml:space="preserve"> </w:t>
      </w:r>
      <w:r w:rsidR="00A10776" w:rsidRPr="00526248">
        <w:rPr>
          <w:szCs w:val="22"/>
        </w:rPr>
        <w:t>1</w:t>
      </w:r>
      <w:r w:rsidR="0043643D">
        <w:rPr>
          <w:szCs w:val="22"/>
        </w:rPr>
        <w:t>,</w:t>
      </w:r>
      <w:r w:rsidR="00A10776" w:rsidRPr="00526248">
        <w:rPr>
          <w:szCs w:val="22"/>
        </w:rPr>
        <w:t>000</w:t>
      </w:r>
      <w:r w:rsidR="00C71CDA" w:rsidRPr="00526248">
        <w:rPr>
          <w:szCs w:val="22"/>
        </w:rPr>
        <w:t xml:space="preserve"> </w:t>
      </w:r>
      <w:r w:rsidR="00A10776" w:rsidRPr="00526248">
        <w:rPr>
          <w:szCs w:val="22"/>
        </w:rPr>
        <w:t>mg and 1</w:t>
      </w:r>
      <w:r w:rsidR="00C71CDA" w:rsidRPr="00526248">
        <w:rPr>
          <w:szCs w:val="22"/>
        </w:rPr>
        <w:t xml:space="preserve"> </w:t>
      </w:r>
      <w:r w:rsidR="00A10776" w:rsidRPr="00526248">
        <w:rPr>
          <w:szCs w:val="22"/>
        </w:rPr>
        <w:t>×</w:t>
      </w:r>
      <w:r w:rsidR="00C71CDA" w:rsidRPr="00526248">
        <w:rPr>
          <w:szCs w:val="22"/>
        </w:rPr>
        <w:t xml:space="preserve"> </w:t>
      </w:r>
      <w:r w:rsidR="00A10776" w:rsidRPr="00526248">
        <w:rPr>
          <w:szCs w:val="22"/>
        </w:rPr>
        <w:t>2</w:t>
      </w:r>
      <w:r w:rsidR="0043643D">
        <w:rPr>
          <w:szCs w:val="22"/>
        </w:rPr>
        <w:t>,</w:t>
      </w:r>
      <w:r w:rsidR="00A10776" w:rsidRPr="00526248">
        <w:rPr>
          <w:szCs w:val="22"/>
        </w:rPr>
        <w:t>500</w:t>
      </w:r>
      <w:r w:rsidR="00C571AC">
        <w:rPr>
          <w:szCs w:val="22"/>
        </w:rPr>
        <w:t> </w:t>
      </w:r>
      <w:r w:rsidR="00A10776" w:rsidRPr="00526248">
        <w:rPr>
          <w:szCs w:val="22"/>
        </w:rPr>
        <w:t xml:space="preserve">mg vials). </w:t>
      </w:r>
      <w:r w:rsidR="00844AAB" w:rsidRPr="00526248">
        <w:rPr>
          <w:szCs w:val="22"/>
        </w:rPr>
        <w:t xml:space="preserve">The submission </w:t>
      </w:r>
      <w:r w:rsidR="00A10776" w:rsidRPr="00526248">
        <w:rPr>
          <w:szCs w:val="22"/>
        </w:rPr>
        <w:t xml:space="preserve">assumed that </w:t>
      </w:r>
      <w:r w:rsidR="002A4E9A">
        <w:rPr>
          <w:noProof/>
          <w:color w:val="000000"/>
          <w:szCs w:val="22"/>
          <w:highlight w:val="black"/>
        </w:rPr>
        <w:t>''''''</w:t>
      </w:r>
      <w:r w:rsidR="00A10776" w:rsidRPr="00526248">
        <w:rPr>
          <w:szCs w:val="22"/>
        </w:rPr>
        <w:t xml:space="preserve">% of the drug would be dispensed in public hospitals and </w:t>
      </w:r>
      <w:r w:rsidR="002A4E9A">
        <w:rPr>
          <w:noProof/>
          <w:color w:val="000000"/>
          <w:szCs w:val="22"/>
          <w:highlight w:val="black"/>
        </w:rPr>
        <w:t>'''''''</w:t>
      </w:r>
      <w:r w:rsidR="00A10776" w:rsidRPr="00526248">
        <w:rPr>
          <w:szCs w:val="22"/>
        </w:rPr>
        <w:t xml:space="preserve">% in private hospitals. The price was not adjusted for relative dose intensity as applied in the economic model. </w:t>
      </w:r>
    </w:p>
    <w:p w:rsidR="0043643D" w:rsidRDefault="0043643D" w:rsidP="0043643D">
      <w:pPr>
        <w:pStyle w:val="ListParagraph"/>
        <w:widowControl/>
        <w:rPr>
          <w:szCs w:val="22"/>
        </w:rPr>
      </w:pPr>
    </w:p>
    <w:p w:rsidR="00A86E8B" w:rsidRPr="00526248" w:rsidRDefault="00A10776" w:rsidP="000A7EB2">
      <w:pPr>
        <w:pStyle w:val="ListParagraph"/>
        <w:widowControl/>
        <w:numPr>
          <w:ilvl w:val="1"/>
          <w:numId w:val="1"/>
        </w:numPr>
        <w:rPr>
          <w:szCs w:val="22"/>
        </w:rPr>
      </w:pPr>
      <w:r w:rsidRPr="00526248">
        <w:rPr>
          <w:szCs w:val="22"/>
        </w:rPr>
        <w:t>Th</w:t>
      </w:r>
      <w:r w:rsidR="000D30A5">
        <w:rPr>
          <w:szCs w:val="22"/>
        </w:rPr>
        <w:t>e</w:t>
      </w:r>
      <w:r w:rsidRPr="00526248">
        <w:rPr>
          <w:szCs w:val="22"/>
        </w:rPr>
        <w:t xml:space="preserve"> </w:t>
      </w:r>
      <w:r w:rsidR="0043643D">
        <w:rPr>
          <w:szCs w:val="22"/>
        </w:rPr>
        <w:t xml:space="preserve">cost </w:t>
      </w:r>
      <w:r w:rsidR="000D30A5">
        <w:rPr>
          <w:szCs w:val="22"/>
        </w:rPr>
        <w:t xml:space="preserve">of 6 weeks of the irinotecan (nanoliposomal) regimen </w:t>
      </w:r>
      <w:r w:rsidRPr="00526248">
        <w:rPr>
          <w:szCs w:val="22"/>
        </w:rPr>
        <w:t>was compared with a cost of $712 for treatme</w:t>
      </w:r>
      <w:r w:rsidR="00C71CDA" w:rsidRPr="00526248">
        <w:rPr>
          <w:szCs w:val="22"/>
        </w:rPr>
        <w:t>nt with 5</w:t>
      </w:r>
      <w:r w:rsidR="00C71CDA" w:rsidRPr="00526248">
        <w:rPr>
          <w:szCs w:val="22"/>
        </w:rPr>
        <w:noBreakHyphen/>
      </w:r>
      <w:r w:rsidRPr="00526248">
        <w:rPr>
          <w:szCs w:val="22"/>
        </w:rPr>
        <w:t>FU/folinic acid (1 cycle, 4</w:t>
      </w:r>
      <w:r w:rsidR="008B023F">
        <w:rPr>
          <w:szCs w:val="22"/>
        </w:rPr>
        <w:t> </w:t>
      </w:r>
      <w:r w:rsidRPr="00526248">
        <w:rPr>
          <w:szCs w:val="22"/>
        </w:rPr>
        <w:t>administrations) and $1</w:t>
      </w:r>
      <w:r w:rsidR="0043643D">
        <w:rPr>
          <w:szCs w:val="22"/>
        </w:rPr>
        <w:t>,</w:t>
      </w:r>
      <w:r w:rsidRPr="00526248">
        <w:rPr>
          <w:szCs w:val="22"/>
        </w:rPr>
        <w:t>233 for th</w:t>
      </w:r>
      <w:r w:rsidR="00C71CDA" w:rsidRPr="00526248">
        <w:rPr>
          <w:szCs w:val="22"/>
        </w:rPr>
        <w:t>e mFOLFOX6 regimen (3 cycles, 3 </w:t>
      </w:r>
      <w:r w:rsidRPr="00526248">
        <w:rPr>
          <w:szCs w:val="22"/>
        </w:rPr>
        <w:t>administrations</w:t>
      </w:r>
      <w:r w:rsidR="00C71CDA" w:rsidRPr="00526248">
        <w:rPr>
          <w:szCs w:val="22"/>
        </w:rPr>
        <w:t>).</w:t>
      </w:r>
    </w:p>
    <w:p w:rsidR="00242517" w:rsidRPr="001E2B1E" w:rsidRDefault="00242517" w:rsidP="000A7EB2">
      <w:pPr>
        <w:widowControl/>
        <w:rPr>
          <w:szCs w:val="22"/>
        </w:rPr>
      </w:pPr>
    </w:p>
    <w:p w:rsidR="00B60939" w:rsidRPr="00730F13" w:rsidRDefault="00B60939" w:rsidP="000A7EB2">
      <w:pPr>
        <w:pStyle w:val="Heading2"/>
      </w:pPr>
      <w:bookmarkStart w:id="16" w:name="_Toc461529334"/>
      <w:r w:rsidRPr="00730F13">
        <w:t>Estimated PBS usage &amp; financial implications</w:t>
      </w:r>
      <w:bookmarkEnd w:id="16"/>
    </w:p>
    <w:p w:rsidR="00B60939" w:rsidRPr="00882085" w:rsidRDefault="00B60939" w:rsidP="000A7EB2">
      <w:pPr>
        <w:keepNext/>
        <w:widowControl/>
        <w:ind w:left="720" w:hanging="720"/>
        <w:rPr>
          <w:b/>
          <w:i/>
          <w:szCs w:val="22"/>
        </w:rPr>
      </w:pPr>
    </w:p>
    <w:p w:rsidR="0082793D" w:rsidRDefault="00A13816" w:rsidP="000A7EB2">
      <w:pPr>
        <w:pStyle w:val="ListParagraph"/>
        <w:widowControl/>
        <w:numPr>
          <w:ilvl w:val="1"/>
          <w:numId w:val="1"/>
        </w:numPr>
      </w:pPr>
      <w:r w:rsidRPr="0082793D">
        <w:t xml:space="preserve">The submission was considered by DUSC. </w:t>
      </w:r>
      <w:r w:rsidR="0082793D" w:rsidRPr="0082793D">
        <w:t xml:space="preserve">An epidemiological approach based on disease incidence was adopted by the submission. </w:t>
      </w:r>
      <w:r w:rsidR="0082793D">
        <w:t>The submission</w:t>
      </w:r>
      <w:r w:rsidR="0082793D" w:rsidRPr="0082793D">
        <w:t xml:space="preserve"> stated that incidence rather than prevalence was used to reflect the low median survival for patients with metastatic pancreatic cancer. DUSC considered an incidence approach was appropriate.</w:t>
      </w:r>
      <w:r w:rsidR="0082793D">
        <w:t xml:space="preserve"> At year 5, the estimated number of patients was </w:t>
      </w:r>
      <w:r w:rsidR="00AF5A9F">
        <w:t>less than 10,000 per year</w:t>
      </w:r>
      <w:r w:rsidR="0082793D">
        <w:t xml:space="preserve"> and the net cost to the PBS would be </w:t>
      </w:r>
      <w:r w:rsidR="00AF5A9F">
        <w:t>$10 - $20 million</w:t>
      </w:r>
      <w:r w:rsidR="0082793D">
        <w:t xml:space="preserve"> (using the updated estimates in the PSCR</w:t>
      </w:r>
      <w:r w:rsidR="00033808">
        <w:t>,</w:t>
      </w:r>
      <w:r w:rsidR="00FF52C8">
        <w:t xml:space="preserve"> see Table 12</w:t>
      </w:r>
      <w:r w:rsidR="0082793D">
        <w:t>).</w:t>
      </w:r>
    </w:p>
    <w:p w:rsidR="009F79B3" w:rsidRPr="0082793D" w:rsidRDefault="009F79B3" w:rsidP="009F79B3">
      <w:pPr>
        <w:pStyle w:val="ListParagraph"/>
        <w:widowControl/>
      </w:pPr>
    </w:p>
    <w:p w:rsidR="00F33B4E" w:rsidRPr="00E6468F" w:rsidRDefault="00F33B4E" w:rsidP="00F33B4E">
      <w:pPr>
        <w:pStyle w:val="ListParagraph"/>
        <w:widowControl/>
        <w:numPr>
          <w:ilvl w:val="1"/>
          <w:numId w:val="1"/>
        </w:numPr>
      </w:pPr>
      <w:r w:rsidRPr="00E6468F">
        <w:t>The DUSC considered the estimates presented in the submission to be underestimated. The main issues were:</w:t>
      </w:r>
    </w:p>
    <w:p w:rsidR="00F33B4E" w:rsidRDefault="00F33B4E" w:rsidP="00F33B4E">
      <w:pPr>
        <w:pStyle w:val="ListParagraph"/>
        <w:widowControl/>
        <w:numPr>
          <w:ilvl w:val="2"/>
          <w:numId w:val="1"/>
        </w:numPr>
        <w:ind w:left="993" w:hanging="284"/>
      </w:pPr>
      <w:r w:rsidRPr="00E6468F">
        <w:t xml:space="preserve">Uptake will be affected by how clinicians interpret the trial data with regards to clinical effect and the side effect profile. </w:t>
      </w:r>
    </w:p>
    <w:p w:rsidR="00F33B4E" w:rsidRPr="00E6468F" w:rsidRDefault="00F33B4E" w:rsidP="00F33B4E">
      <w:pPr>
        <w:pStyle w:val="ListParagraph"/>
        <w:widowControl/>
        <w:numPr>
          <w:ilvl w:val="2"/>
          <w:numId w:val="1"/>
        </w:numPr>
        <w:ind w:left="993" w:hanging="284"/>
      </w:pPr>
      <w:r w:rsidRPr="00E6468F">
        <w:t>Due to the poor overall outcome of treatment for pancreatic cancer, and the lack of clear superiority of one regimen over another, it is likely that multiple lines of therapy may be trialled.</w:t>
      </w:r>
    </w:p>
    <w:p w:rsidR="00F33B4E" w:rsidRPr="00E6468F" w:rsidRDefault="00F33B4E" w:rsidP="00F33B4E">
      <w:pPr>
        <w:pStyle w:val="ListParagraph"/>
        <w:widowControl/>
        <w:numPr>
          <w:ilvl w:val="2"/>
          <w:numId w:val="1"/>
        </w:numPr>
        <w:ind w:left="993" w:hanging="284"/>
      </w:pPr>
      <w:r>
        <w:t>U</w:t>
      </w:r>
      <w:r w:rsidRPr="00E6468F">
        <w:t>ptake and market share might be affected if newer agents for pancreatic cancer become available in the near future due to the number of clinical trials underway in this area.</w:t>
      </w:r>
    </w:p>
    <w:p w:rsidR="00F33B4E" w:rsidRPr="00E6468F" w:rsidRDefault="00F33B4E" w:rsidP="00F33B4E">
      <w:pPr>
        <w:pStyle w:val="ListParagraph"/>
        <w:widowControl/>
        <w:numPr>
          <w:ilvl w:val="2"/>
          <w:numId w:val="1"/>
        </w:numPr>
        <w:ind w:left="993" w:hanging="284"/>
      </w:pPr>
      <w:r>
        <w:t>D</w:t>
      </w:r>
      <w:r w:rsidRPr="00E6468F">
        <w:t>rug costs, administration costs and monitoring costs have been imported from the economic model and incorporated all key issues of uncertainty such as modelled survival estimates, time on treatment and costing methods.</w:t>
      </w:r>
    </w:p>
    <w:p w:rsidR="00F33B4E" w:rsidRPr="00E6468F" w:rsidRDefault="00F33B4E" w:rsidP="00F33B4E">
      <w:pPr>
        <w:pStyle w:val="ListParagraph"/>
        <w:widowControl/>
        <w:numPr>
          <w:ilvl w:val="2"/>
          <w:numId w:val="1"/>
        </w:numPr>
        <w:ind w:left="993" w:hanging="284"/>
      </w:pPr>
      <w:r>
        <w:t>W</w:t>
      </w:r>
      <w:r w:rsidRPr="00E6468F">
        <w:t>hether it was reasonable to use the mFOLFOX6 regimen as a proxy for all treatment regimens likely to be substituted given the wide range of treatment options that could be cheaper or more expen</w:t>
      </w:r>
      <w:r>
        <w:t>sive than the mFOLFOX6 regimen.</w:t>
      </w:r>
    </w:p>
    <w:p w:rsidR="0082793D" w:rsidRDefault="0082793D" w:rsidP="000A7EB2">
      <w:pPr>
        <w:pStyle w:val="ListParagraph"/>
        <w:widowControl/>
        <w:rPr>
          <w:highlight w:val="yellow"/>
        </w:rPr>
      </w:pPr>
    </w:p>
    <w:p w:rsidR="00F33B4E" w:rsidRDefault="00F33B4E" w:rsidP="00F33B4E">
      <w:pPr>
        <w:pStyle w:val="ListParagraph"/>
        <w:widowControl/>
        <w:numPr>
          <w:ilvl w:val="1"/>
          <w:numId w:val="1"/>
        </w:numPr>
        <w:rPr>
          <w:szCs w:val="22"/>
        </w:rPr>
      </w:pPr>
      <w:r w:rsidRPr="00024038">
        <w:t xml:space="preserve">The DUSC had also considered that estimated financial implications are likely to be </w:t>
      </w:r>
      <w:r w:rsidRPr="00024038">
        <w:rPr>
          <w:szCs w:val="22"/>
        </w:rPr>
        <w:t>underestimated as the submission did not account for treatment of patients who may have recurrence after diagnosis with early stage pancreatic cancer without resection and those with complete resection. However, the PSCR response had provided revised estimates to address this matter and these revised estimates were again presented in the pre-PBAC response.</w:t>
      </w:r>
    </w:p>
    <w:p w:rsidR="00F33B4E" w:rsidRDefault="00F33B4E" w:rsidP="000A7EB2">
      <w:pPr>
        <w:pStyle w:val="ListParagraph"/>
        <w:widowControl/>
        <w:rPr>
          <w:highlight w:val="yellow"/>
        </w:rPr>
      </w:pPr>
    </w:p>
    <w:p w:rsidR="0082793D" w:rsidRPr="0082793D" w:rsidRDefault="0082793D" w:rsidP="009F79B3">
      <w:pPr>
        <w:keepNext/>
        <w:widowControl/>
        <w:ind w:left="709"/>
        <w:rPr>
          <w:rFonts w:ascii="Arial Narrow" w:hAnsi="Arial Narrow"/>
          <w:b/>
          <w:sz w:val="20"/>
        </w:rPr>
      </w:pPr>
      <w:r w:rsidRPr="0082793D">
        <w:rPr>
          <w:rFonts w:ascii="Arial Narrow" w:hAnsi="Arial Narrow"/>
          <w:b/>
          <w:sz w:val="20"/>
        </w:rPr>
        <w:t>Table 1</w:t>
      </w:r>
      <w:r w:rsidR="00FF52C8">
        <w:rPr>
          <w:rFonts w:ascii="Arial Narrow" w:hAnsi="Arial Narrow"/>
          <w:b/>
          <w:sz w:val="20"/>
        </w:rPr>
        <w:t>2</w:t>
      </w:r>
      <w:r w:rsidRPr="0082793D">
        <w:rPr>
          <w:rFonts w:ascii="Arial Narrow" w:hAnsi="Arial Narrow"/>
          <w:b/>
          <w:sz w:val="20"/>
        </w:rPr>
        <w:t>: Estimated utilisation and cost to the PBS in the first five years of listing based on proposed effective price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3"/>
        <w:gridCol w:w="990"/>
        <w:gridCol w:w="992"/>
        <w:gridCol w:w="992"/>
        <w:gridCol w:w="994"/>
        <w:gridCol w:w="1132"/>
      </w:tblGrid>
      <w:tr w:rsidR="000A7EB2" w:rsidRPr="0082793D" w:rsidTr="00E6468F">
        <w:trPr>
          <w:trHeight w:val="459"/>
          <w:tblHeader/>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b/>
                <w:sz w:val="20"/>
              </w:rPr>
            </w:pPr>
          </w:p>
        </w:tc>
        <w:tc>
          <w:tcPr>
            <w:tcW w:w="592" w:type="pct"/>
            <w:shd w:val="clear" w:color="auto" w:fill="auto"/>
            <w:vAlign w:val="center"/>
          </w:tcPr>
          <w:p w:rsidR="0082793D" w:rsidRPr="0082793D" w:rsidRDefault="0082793D" w:rsidP="009F79B3">
            <w:pPr>
              <w:keepNext/>
              <w:widowControl/>
              <w:jc w:val="center"/>
              <w:rPr>
                <w:rFonts w:ascii="Arial Narrow" w:hAnsi="Arial Narrow"/>
                <w:b/>
                <w:sz w:val="20"/>
              </w:rPr>
            </w:pPr>
            <w:r w:rsidRPr="0082793D">
              <w:rPr>
                <w:rFonts w:ascii="Arial Narrow" w:hAnsi="Arial Narrow"/>
                <w:b/>
                <w:sz w:val="20"/>
              </w:rPr>
              <w:t>Year 1</w:t>
            </w:r>
          </w:p>
          <w:p w:rsidR="0082793D" w:rsidRPr="0082793D" w:rsidRDefault="0082793D" w:rsidP="009F79B3">
            <w:pPr>
              <w:keepNext/>
              <w:widowControl/>
              <w:jc w:val="center"/>
              <w:rPr>
                <w:rFonts w:ascii="Arial Narrow" w:hAnsi="Arial Narrow"/>
                <w:b/>
                <w:sz w:val="20"/>
              </w:rPr>
            </w:pPr>
            <w:r w:rsidRPr="0082793D">
              <w:rPr>
                <w:rFonts w:ascii="Arial Narrow" w:hAnsi="Arial Narrow"/>
                <w:b/>
                <w:sz w:val="20"/>
              </w:rPr>
              <w:t>(2017)</w:t>
            </w:r>
          </w:p>
        </w:tc>
        <w:tc>
          <w:tcPr>
            <w:tcW w:w="593" w:type="pct"/>
            <w:shd w:val="clear" w:color="auto" w:fill="auto"/>
            <w:vAlign w:val="center"/>
          </w:tcPr>
          <w:p w:rsidR="0082793D" w:rsidRPr="0082793D" w:rsidRDefault="0082793D" w:rsidP="009F79B3">
            <w:pPr>
              <w:keepNext/>
              <w:widowControl/>
              <w:jc w:val="center"/>
              <w:rPr>
                <w:rFonts w:ascii="Arial Narrow" w:hAnsi="Arial Narrow"/>
                <w:b/>
                <w:sz w:val="20"/>
              </w:rPr>
            </w:pPr>
            <w:r w:rsidRPr="0082793D">
              <w:rPr>
                <w:rFonts w:ascii="Arial Narrow" w:hAnsi="Arial Narrow"/>
                <w:b/>
                <w:sz w:val="20"/>
              </w:rPr>
              <w:t>Year 2</w:t>
            </w:r>
          </w:p>
          <w:p w:rsidR="0082793D" w:rsidRPr="0082793D" w:rsidRDefault="0082793D" w:rsidP="009F79B3">
            <w:pPr>
              <w:keepNext/>
              <w:widowControl/>
              <w:jc w:val="center"/>
              <w:rPr>
                <w:rFonts w:ascii="Arial Narrow" w:hAnsi="Arial Narrow"/>
                <w:b/>
                <w:sz w:val="20"/>
              </w:rPr>
            </w:pPr>
            <w:r w:rsidRPr="0082793D">
              <w:rPr>
                <w:rFonts w:ascii="Arial Narrow" w:hAnsi="Arial Narrow"/>
                <w:b/>
                <w:sz w:val="20"/>
              </w:rPr>
              <w:t>(2018)</w:t>
            </w:r>
          </w:p>
        </w:tc>
        <w:tc>
          <w:tcPr>
            <w:tcW w:w="593" w:type="pct"/>
            <w:shd w:val="clear" w:color="auto" w:fill="auto"/>
            <w:vAlign w:val="center"/>
          </w:tcPr>
          <w:p w:rsidR="0082793D" w:rsidRPr="0082793D" w:rsidRDefault="0082793D" w:rsidP="009F79B3">
            <w:pPr>
              <w:keepNext/>
              <w:widowControl/>
              <w:jc w:val="center"/>
              <w:rPr>
                <w:rFonts w:ascii="Arial Narrow" w:hAnsi="Arial Narrow"/>
                <w:b/>
                <w:sz w:val="20"/>
              </w:rPr>
            </w:pPr>
            <w:r w:rsidRPr="0082793D">
              <w:rPr>
                <w:rFonts w:ascii="Arial Narrow" w:hAnsi="Arial Narrow"/>
                <w:b/>
                <w:sz w:val="20"/>
              </w:rPr>
              <w:t>Year 3</w:t>
            </w:r>
          </w:p>
          <w:p w:rsidR="0082793D" w:rsidRPr="0082793D" w:rsidRDefault="0082793D" w:rsidP="009F79B3">
            <w:pPr>
              <w:keepNext/>
              <w:widowControl/>
              <w:jc w:val="center"/>
              <w:rPr>
                <w:rFonts w:ascii="Arial Narrow" w:hAnsi="Arial Narrow"/>
                <w:b/>
                <w:sz w:val="20"/>
              </w:rPr>
            </w:pPr>
            <w:r w:rsidRPr="0082793D">
              <w:rPr>
                <w:rFonts w:ascii="Arial Narrow" w:hAnsi="Arial Narrow"/>
                <w:b/>
                <w:sz w:val="20"/>
              </w:rPr>
              <w:t>(2019)</w:t>
            </w:r>
          </w:p>
        </w:tc>
        <w:tc>
          <w:tcPr>
            <w:tcW w:w="594" w:type="pct"/>
            <w:shd w:val="clear" w:color="auto" w:fill="auto"/>
            <w:vAlign w:val="center"/>
          </w:tcPr>
          <w:p w:rsidR="0082793D" w:rsidRPr="0082793D" w:rsidRDefault="0082793D" w:rsidP="009F79B3">
            <w:pPr>
              <w:keepNext/>
              <w:widowControl/>
              <w:jc w:val="center"/>
              <w:rPr>
                <w:rFonts w:ascii="Arial Narrow" w:hAnsi="Arial Narrow"/>
                <w:b/>
                <w:sz w:val="20"/>
              </w:rPr>
            </w:pPr>
            <w:r w:rsidRPr="0082793D">
              <w:rPr>
                <w:rFonts w:ascii="Arial Narrow" w:hAnsi="Arial Narrow"/>
                <w:b/>
                <w:sz w:val="20"/>
              </w:rPr>
              <w:t>Year 4</w:t>
            </w:r>
          </w:p>
          <w:p w:rsidR="0082793D" w:rsidRPr="0082793D" w:rsidRDefault="0082793D" w:rsidP="009F79B3">
            <w:pPr>
              <w:keepNext/>
              <w:widowControl/>
              <w:jc w:val="center"/>
              <w:rPr>
                <w:rFonts w:ascii="Arial Narrow" w:hAnsi="Arial Narrow"/>
                <w:b/>
                <w:sz w:val="20"/>
              </w:rPr>
            </w:pPr>
            <w:r w:rsidRPr="0082793D">
              <w:rPr>
                <w:rFonts w:ascii="Arial Narrow" w:hAnsi="Arial Narrow"/>
                <w:b/>
                <w:sz w:val="20"/>
              </w:rPr>
              <w:t>(2020)</w:t>
            </w:r>
          </w:p>
        </w:tc>
        <w:tc>
          <w:tcPr>
            <w:tcW w:w="677" w:type="pct"/>
            <w:shd w:val="clear" w:color="auto" w:fill="auto"/>
            <w:vAlign w:val="center"/>
          </w:tcPr>
          <w:p w:rsidR="0082793D" w:rsidRPr="0082793D" w:rsidRDefault="0082793D" w:rsidP="009F79B3">
            <w:pPr>
              <w:keepNext/>
              <w:widowControl/>
              <w:jc w:val="center"/>
              <w:rPr>
                <w:rFonts w:ascii="Arial Narrow" w:hAnsi="Arial Narrow"/>
                <w:b/>
                <w:sz w:val="20"/>
              </w:rPr>
            </w:pPr>
            <w:r w:rsidRPr="0082793D">
              <w:rPr>
                <w:rFonts w:ascii="Arial Narrow" w:hAnsi="Arial Narrow"/>
                <w:b/>
                <w:sz w:val="20"/>
              </w:rPr>
              <w:t>Year 5</w:t>
            </w:r>
          </w:p>
          <w:p w:rsidR="0082793D" w:rsidRPr="0082793D" w:rsidRDefault="0082793D" w:rsidP="009F79B3">
            <w:pPr>
              <w:keepNext/>
              <w:widowControl/>
              <w:jc w:val="center"/>
              <w:rPr>
                <w:rFonts w:ascii="Arial Narrow" w:hAnsi="Arial Narrow"/>
                <w:b/>
                <w:sz w:val="20"/>
              </w:rPr>
            </w:pPr>
            <w:r w:rsidRPr="0082793D">
              <w:rPr>
                <w:rFonts w:ascii="Arial Narrow" w:hAnsi="Arial Narrow"/>
                <w:b/>
                <w:sz w:val="20"/>
              </w:rPr>
              <w:t>(2021)</w:t>
            </w:r>
          </w:p>
        </w:tc>
      </w:tr>
      <w:tr w:rsidR="000A7EB2" w:rsidRPr="0082793D" w:rsidTr="00E6468F">
        <w:trPr>
          <w:trHeight w:val="441"/>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sz w:val="20"/>
              </w:rPr>
            </w:pPr>
            <w:r w:rsidRPr="0082793D">
              <w:rPr>
                <w:rFonts w:ascii="Arial Narrow" w:hAnsi="Arial Narrow"/>
                <w:sz w:val="20"/>
              </w:rPr>
              <w:t>Australian population</w:t>
            </w:r>
          </w:p>
        </w:tc>
        <w:tc>
          <w:tcPr>
            <w:tcW w:w="592"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24,781,121</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25,201,317</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25,619,895</w:t>
            </w:r>
          </w:p>
        </w:tc>
        <w:tc>
          <w:tcPr>
            <w:tcW w:w="594"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26,037,356</w:t>
            </w:r>
          </w:p>
        </w:tc>
        <w:tc>
          <w:tcPr>
            <w:tcW w:w="677"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26,452,147</w:t>
            </w:r>
          </w:p>
        </w:tc>
      </w:tr>
      <w:tr w:rsidR="000A7EB2" w:rsidRPr="0082793D" w:rsidTr="00E6468F">
        <w:trPr>
          <w:trHeight w:val="459"/>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sz w:val="20"/>
              </w:rPr>
            </w:pPr>
            <w:r w:rsidRPr="0082793D">
              <w:rPr>
                <w:rFonts w:ascii="Arial Narrow" w:hAnsi="Arial Narrow"/>
                <w:sz w:val="20"/>
              </w:rPr>
              <w:t>Incidence of pancreatic cancer (13 cases: 100,000 population)</w:t>
            </w:r>
          </w:p>
        </w:tc>
        <w:tc>
          <w:tcPr>
            <w:tcW w:w="592"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3,238</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3,335</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3,434</w:t>
            </w:r>
          </w:p>
        </w:tc>
        <w:tc>
          <w:tcPr>
            <w:tcW w:w="594"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3,534</w:t>
            </w:r>
          </w:p>
        </w:tc>
        <w:tc>
          <w:tcPr>
            <w:tcW w:w="677"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3,636</w:t>
            </w:r>
          </w:p>
        </w:tc>
      </w:tr>
      <w:tr w:rsidR="000A7EB2" w:rsidRPr="0082793D" w:rsidTr="00E6468F">
        <w:trPr>
          <w:trHeight w:val="459"/>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sz w:val="20"/>
              </w:rPr>
            </w:pPr>
            <w:r w:rsidRPr="0082793D">
              <w:rPr>
                <w:rFonts w:ascii="Arial Narrow" w:hAnsi="Arial Narrow"/>
                <w:sz w:val="20"/>
              </w:rPr>
              <w:t xml:space="preserve">Metastatic adenocarcinoma (at diagnosis and after resection) </w:t>
            </w:r>
          </w:p>
        </w:tc>
        <w:tc>
          <w:tcPr>
            <w:tcW w:w="592"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1,847</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1,902</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1,959</w:t>
            </w:r>
          </w:p>
        </w:tc>
        <w:tc>
          <w:tcPr>
            <w:tcW w:w="594"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2,016</w:t>
            </w:r>
          </w:p>
        </w:tc>
        <w:tc>
          <w:tcPr>
            <w:tcW w:w="677"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2,074</w:t>
            </w:r>
          </w:p>
        </w:tc>
      </w:tr>
      <w:tr w:rsidR="000A7EB2" w:rsidRPr="0082793D" w:rsidTr="00E6468F">
        <w:trPr>
          <w:trHeight w:val="671"/>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sz w:val="20"/>
              </w:rPr>
            </w:pPr>
            <w:r w:rsidRPr="0082793D">
              <w:rPr>
                <w:rFonts w:ascii="Arial Narrow" w:hAnsi="Arial Narrow"/>
                <w:sz w:val="20"/>
              </w:rPr>
              <w:t xml:space="preserve">Patients previously on first-line gemcitabine-based therapy and start second-line chemotherapy </w:t>
            </w:r>
          </w:p>
        </w:tc>
        <w:tc>
          <w:tcPr>
            <w:tcW w:w="592"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r>
      <w:tr w:rsidR="000A7EB2" w:rsidRPr="0082793D" w:rsidTr="00E6468F">
        <w:trPr>
          <w:trHeight w:val="459"/>
        </w:trPr>
        <w:tc>
          <w:tcPr>
            <w:tcW w:w="1951" w:type="pct"/>
            <w:shd w:val="clear" w:color="auto" w:fill="auto"/>
            <w:vAlign w:val="center"/>
          </w:tcPr>
          <w:p w:rsidR="0082793D" w:rsidRPr="0082793D" w:rsidRDefault="0082793D" w:rsidP="009F79B3">
            <w:pPr>
              <w:pStyle w:val="ListParagraph"/>
              <w:keepNext/>
              <w:widowControl/>
              <w:numPr>
                <w:ilvl w:val="0"/>
                <w:numId w:val="13"/>
              </w:numPr>
              <w:tabs>
                <w:tab w:val="left" w:pos="223"/>
              </w:tabs>
              <w:ind w:left="140" w:hanging="140"/>
              <w:jc w:val="left"/>
              <w:rPr>
                <w:rFonts w:ascii="Arial Narrow" w:hAnsi="Arial Narrow"/>
                <w:sz w:val="20"/>
              </w:rPr>
            </w:pPr>
            <w:r w:rsidRPr="0082793D">
              <w:rPr>
                <w:rFonts w:ascii="Arial Narrow" w:hAnsi="Arial Narrow"/>
                <w:sz w:val="20"/>
              </w:rPr>
              <w:t>Uptake rate of irinotecan (nanoliposomal)</w:t>
            </w:r>
          </w:p>
        </w:tc>
        <w:tc>
          <w:tcPr>
            <w:tcW w:w="592" w:type="pct"/>
            <w:shd w:val="clear" w:color="auto" w:fill="auto"/>
            <w:vAlign w:val="center"/>
          </w:tcPr>
          <w:p w:rsidR="0082793D" w:rsidRPr="0082793D" w:rsidRDefault="002A4E9A" w:rsidP="009F79B3">
            <w:pPr>
              <w:keepNext/>
              <w:widowControl/>
              <w:jc w:val="right"/>
              <w:rPr>
                <w:rFonts w:ascii="Arial Narrow" w:hAnsi="Arial Narrow"/>
                <w:bCs/>
                <w:color w:val="000000"/>
                <w:sz w:val="20"/>
              </w:rPr>
            </w:pPr>
            <w:r>
              <w:rPr>
                <w:rFonts w:ascii="Arial Narrow" w:hAnsi="Arial Narrow"/>
                <w:bCs/>
                <w:noProof/>
                <w:color w:val="000000"/>
                <w:sz w:val="20"/>
                <w:highlight w:val="black"/>
              </w:rPr>
              <w:t>''''''</w:t>
            </w:r>
            <w:r w:rsidR="0082793D" w:rsidRPr="0082793D">
              <w:rPr>
                <w:rFonts w:ascii="Arial Narrow" w:hAnsi="Arial Narrow"/>
                <w:bCs/>
                <w:color w:val="000000"/>
                <w:sz w:val="20"/>
              </w:rPr>
              <w:t>%</w:t>
            </w:r>
          </w:p>
        </w:tc>
        <w:tc>
          <w:tcPr>
            <w:tcW w:w="593" w:type="pct"/>
            <w:shd w:val="clear" w:color="auto" w:fill="auto"/>
            <w:vAlign w:val="center"/>
          </w:tcPr>
          <w:p w:rsidR="0082793D" w:rsidRPr="0082793D" w:rsidRDefault="002A4E9A" w:rsidP="009F79B3">
            <w:pPr>
              <w:keepNext/>
              <w:widowControl/>
              <w:jc w:val="right"/>
              <w:rPr>
                <w:rFonts w:ascii="Arial Narrow" w:hAnsi="Arial Narrow"/>
                <w:bCs/>
                <w:color w:val="000000"/>
                <w:sz w:val="20"/>
              </w:rPr>
            </w:pPr>
            <w:r>
              <w:rPr>
                <w:rFonts w:ascii="Arial Narrow" w:hAnsi="Arial Narrow"/>
                <w:bCs/>
                <w:noProof/>
                <w:color w:val="000000"/>
                <w:sz w:val="20"/>
                <w:highlight w:val="black"/>
              </w:rPr>
              <w:t>'''''''</w:t>
            </w:r>
            <w:r w:rsidR="0082793D" w:rsidRPr="0082793D">
              <w:rPr>
                <w:rFonts w:ascii="Arial Narrow" w:hAnsi="Arial Narrow"/>
                <w:bCs/>
                <w:color w:val="000000"/>
                <w:sz w:val="20"/>
              </w:rPr>
              <w:t>%</w:t>
            </w:r>
          </w:p>
        </w:tc>
        <w:tc>
          <w:tcPr>
            <w:tcW w:w="593" w:type="pct"/>
            <w:shd w:val="clear" w:color="auto" w:fill="auto"/>
            <w:vAlign w:val="center"/>
          </w:tcPr>
          <w:p w:rsidR="0082793D" w:rsidRPr="0082793D" w:rsidRDefault="002A4E9A" w:rsidP="009F79B3">
            <w:pPr>
              <w:keepNext/>
              <w:widowControl/>
              <w:jc w:val="right"/>
              <w:rPr>
                <w:rFonts w:ascii="Arial Narrow" w:hAnsi="Arial Narrow"/>
                <w:bCs/>
                <w:color w:val="000000"/>
                <w:sz w:val="20"/>
              </w:rPr>
            </w:pPr>
            <w:r>
              <w:rPr>
                <w:rFonts w:ascii="Arial Narrow" w:hAnsi="Arial Narrow"/>
                <w:bCs/>
                <w:noProof/>
                <w:color w:val="000000"/>
                <w:sz w:val="20"/>
                <w:highlight w:val="black"/>
              </w:rPr>
              <w:t>''''''</w:t>
            </w:r>
            <w:r w:rsidR="0082793D" w:rsidRPr="0082793D">
              <w:rPr>
                <w:rFonts w:ascii="Arial Narrow" w:hAnsi="Arial Narrow"/>
                <w:bCs/>
                <w:color w:val="000000"/>
                <w:sz w:val="20"/>
              </w:rPr>
              <w:t>%</w:t>
            </w:r>
          </w:p>
        </w:tc>
        <w:tc>
          <w:tcPr>
            <w:tcW w:w="594" w:type="pct"/>
            <w:shd w:val="clear" w:color="auto" w:fill="auto"/>
            <w:vAlign w:val="center"/>
          </w:tcPr>
          <w:p w:rsidR="0082793D" w:rsidRPr="0082793D" w:rsidRDefault="002A4E9A" w:rsidP="009F79B3">
            <w:pPr>
              <w:keepNext/>
              <w:widowControl/>
              <w:jc w:val="right"/>
              <w:rPr>
                <w:rFonts w:ascii="Arial Narrow" w:hAnsi="Arial Narrow"/>
                <w:bCs/>
                <w:color w:val="000000"/>
                <w:sz w:val="20"/>
              </w:rPr>
            </w:pPr>
            <w:r>
              <w:rPr>
                <w:rFonts w:ascii="Arial Narrow" w:hAnsi="Arial Narrow"/>
                <w:bCs/>
                <w:noProof/>
                <w:color w:val="000000"/>
                <w:sz w:val="20"/>
                <w:highlight w:val="black"/>
              </w:rPr>
              <w:t>''''''</w:t>
            </w:r>
            <w:r w:rsidR="0082793D" w:rsidRPr="0082793D">
              <w:rPr>
                <w:rFonts w:ascii="Arial Narrow" w:hAnsi="Arial Narrow"/>
                <w:bCs/>
                <w:color w:val="000000"/>
                <w:sz w:val="20"/>
              </w:rPr>
              <w:t>%</w:t>
            </w:r>
          </w:p>
        </w:tc>
        <w:tc>
          <w:tcPr>
            <w:tcW w:w="677" w:type="pct"/>
            <w:shd w:val="clear" w:color="auto" w:fill="auto"/>
            <w:vAlign w:val="center"/>
          </w:tcPr>
          <w:p w:rsidR="0082793D" w:rsidRPr="0082793D" w:rsidRDefault="002A4E9A" w:rsidP="009F79B3">
            <w:pPr>
              <w:keepNext/>
              <w:widowControl/>
              <w:jc w:val="right"/>
              <w:rPr>
                <w:rFonts w:ascii="Arial Narrow" w:hAnsi="Arial Narrow"/>
                <w:bCs/>
                <w:color w:val="000000"/>
                <w:sz w:val="20"/>
              </w:rPr>
            </w:pPr>
            <w:r>
              <w:rPr>
                <w:rFonts w:ascii="Arial Narrow" w:hAnsi="Arial Narrow"/>
                <w:bCs/>
                <w:noProof/>
                <w:color w:val="000000"/>
                <w:sz w:val="20"/>
                <w:highlight w:val="black"/>
              </w:rPr>
              <w:t>''''''</w:t>
            </w:r>
            <w:r w:rsidR="0082793D" w:rsidRPr="0082793D">
              <w:rPr>
                <w:rFonts w:ascii="Arial Narrow" w:hAnsi="Arial Narrow"/>
                <w:bCs/>
                <w:color w:val="000000"/>
                <w:sz w:val="20"/>
              </w:rPr>
              <w:t>%</w:t>
            </w:r>
          </w:p>
        </w:tc>
      </w:tr>
      <w:tr w:rsidR="000A7EB2" w:rsidRPr="0082793D" w:rsidTr="00E6468F">
        <w:trPr>
          <w:trHeight w:val="459"/>
        </w:trPr>
        <w:tc>
          <w:tcPr>
            <w:tcW w:w="1951" w:type="pct"/>
            <w:shd w:val="clear" w:color="auto" w:fill="auto"/>
            <w:vAlign w:val="center"/>
          </w:tcPr>
          <w:p w:rsidR="0082793D" w:rsidRPr="0082793D" w:rsidRDefault="0082793D" w:rsidP="009F79B3">
            <w:pPr>
              <w:pStyle w:val="ListParagraph"/>
              <w:keepNext/>
              <w:widowControl/>
              <w:numPr>
                <w:ilvl w:val="0"/>
                <w:numId w:val="13"/>
              </w:numPr>
              <w:ind w:left="140" w:hanging="140"/>
              <w:jc w:val="left"/>
              <w:rPr>
                <w:rFonts w:ascii="Arial Narrow" w:hAnsi="Arial Narrow"/>
                <w:sz w:val="20"/>
              </w:rPr>
            </w:pPr>
            <w:r w:rsidRPr="0082793D">
              <w:rPr>
                <w:rFonts w:ascii="Arial Narrow" w:hAnsi="Arial Narrow"/>
                <w:sz w:val="20"/>
              </w:rPr>
              <w:t>Patients on second-line irinotecan (nanoliposomal)</w:t>
            </w:r>
          </w:p>
        </w:tc>
        <w:tc>
          <w:tcPr>
            <w:tcW w:w="592"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r>
      <w:tr w:rsidR="000A7EB2" w:rsidRPr="0082793D" w:rsidTr="00E6468F">
        <w:trPr>
          <w:trHeight w:val="459"/>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sz w:val="20"/>
              </w:rPr>
            </w:pPr>
            <w:r w:rsidRPr="0082793D">
              <w:rPr>
                <w:rFonts w:ascii="Arial Narrow" w:hAnsi="Arial Narrow"/>
                <w:sz w:val="20"/>
              </w:rPr>
              <w:t xml:space="preserve">Second-line patients who progress and start third-line chemotherapy </w:t>
            </w:r>
          </w:p>
        </w:tc>
        <w:tc>
          <w:tcPr>
            <w:tcW w:w="592"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r>
      <w:tr w:rsidR="000A7EB2" w:rsidRPr="0082793D" w:rsidTr="00E6468F">
        <w:trPr>
          <w:trHeight w:val="441"/>
        </w:trPr>
        <w:tc>
          <w:tcPr>
            <w:tcW w:w="1951" w:type="pct"/>
            <w:shd w:val="clear" w:color="auto" w:fill="auto"/>
            <w:vAlign w:val="center"/>
          </w:tcPr>
          <w:p w:rsidR="0082793D" w:rsidRPr="0082793D" w:rsidRDefault="0082793D" w:rsidP="009F79B3">
            <w:pPr>
              <w:pStyle w:val="ListParagraph"/>
              <w:keepNext/>
              <w:widowControl/>
              <w:numPr>
                <w:ilvl w:val="0"/>
                <w:numId w:val="13"/>
              </w:numPr>
              <w:tabs>
                <w:tab w:val="left" w:pos="142"/>
              </w:tabs>
              <w:ind w:left="190" w:hanging="142"/>
              <w:jc w:val="left"/>
              <w:rPr>
                <w:rFonts w:ascii="Arial Narrow" w:hAnsi="Arial Narrow"/>
                <w:sz w:val="20"/>
              </w:rPr>
            </w:pPr>
            <w:r w:rsidRPr="0082793D">
              <w:rPr>
                <w:rFonts w:ascii="Arial Narrow" w:hAnsi="Arial Narrow"/>
                <w:sz w:val="20"/>
              </w:rPr>
              <w:t>Uptake rate of irinotecan (nanoliposomal)</w:t>
            </w:r>
          </w:p>
        </w:tc>
        <w:tc>
          <w:tcPr>
            <w:tcW w:w="592" w:type="pct"/>
            <w:shd w:val="clear" w:color="auto" w:fill="auto"/>
            <w:vAlign w:val="center"/>
          </w:tcPr>
          <w:p w:rsidR="0082793D" w:rsidRPr="0082793D" w:rsidRDefault="002A4E9A" w:rsidP="009F79B3">
            <w:pPr>
              <w:keepNext/>
              <w:widowControl/>
              <w:jc w:val="right"/>
              <w:rPr>
                <w:rFonts w:ascii="Arial Narrow" w:hAnsi="Arial Narrow"/>
                <w:bCs/>
                <w:color w:val="000000"/>
                <w:sz w:val="20"/>
              </w:rPr>
            </w:pPr>
            <w:r>
              <w:rPr>
                <w:rFonts w:ascii="Arial Narrow" w:hAnsi="Arial Narrow"/>
                <w:bCs/>
                <w:noProof/>
                <w:color w:val="000000"/>
                <w:sz w:val="20"/>
                <w:highlight w:val="black"/>
              </w:rPr>
              <w:t>'''''</w:t>
            </w:r>
            <w:r w:rsidR="0082793D" w:rsidRPr="0082793D">
              <w:rPr>
                <w:rFonts w:ascii="Arial Narrow" w:hAnsi="Arial Narrow"/>
                <w:bCs/>
                <w:color w:val="000000"/>
                <w:sz w:val="20"/>
              </w:rPr>
              <w:t>%</w:t>
            </w:r>
          </w:p>
        </w:tc>
        <w:tc>
          <w:tcPr>
            <w:tcW w:w="593" w:type="pct"/>
            <w:shd w:val="clear" w:color="auto" w:fill="auto"/>
            <w:vAlign w:val="center"/>
          </w:tcPr>
          <w:p w:rsidR="0082793D" w:rsidRPr="0082793D" w:rsidRDefault="002A4E9A" w:rsidP="009F79B3">
            <w:pPr>
              <w:keepNext/>
              <w:widowControl/>
              <w:jc w:val="right"/>
              <w:rPr>
                <w:rFonts w:ascii="Arial Narrow" w:hAnsi="Arial Narrow"/>
                <w:bCs/>
                <w:color w:val="000000"/>
                <w:sz w:val="20"/>
              </w:rPr>
            </w:pPr>
            <w:r>
              <w:rPr>
                <w:rFonts w:ascii="Arial Narrow" w:hAnsi="Arial Narrow"/>
                <w:bCs/>
                <w:noProof/>
                <w:color w:val="000000"/>
                <w:sz w:val="20"/>
                <w:highlight w:val="black"/>
              </w:rPr>
              <w:t>''''''</w:t>
            </w:r>
            <w:r w:rsidR="0082793D" w:rsidRPr="0082793D">
              <w:rPr>
                <w:rFonts w:ascii="Arial Narrow" w:hAnsi="Arial Narrow"/>
                <w:bCs/>
                <w:color w:val="000000"/>
                <w:sz w:val="20"/>
              </w:rPr>
              <w:t>%</w:t>
            </w:r>
          </w:p>
        </w:tc>
        <w:tc>
          <w:tcPr>
            <w:tcW w:w="593" w:type="pct"/>
            <w:shd w:val="clear" w:color="auto" w:fill="auto"/>
            <w:vAlign w:val="center"/>
          </w:tcPr>
          <w:p w:rsidR="0082793D" w:rsidRPr="0082793D" w:rsidRDefault="002A4E9A" w:rsidP="009F79B3">
            <w:pPr>
              <w:keepNext/>
              <w:widowControl/>
              <w:jc w:val="right"/>
              <w:rPr>
                <w:rFonts w:ascii="Arial Narrow" w:hAnsi="Arial Narrow"/>
                <w:bCs/>
                <w:color w:val="000000"/>
                <w:sz w:val="20"/>
              </w:rPr>
            </w:pPr>
            <w:r>
              <w:rPr>
                <w:rFonts w:ascii="Arial Narrow" w:hAnsi="Arial Narrow"/>
                <w:bCs/>
                <w:noProof/>
                <w:color w:val="000000"/>
                <w:sz w:val="20"/>
                <w:highlight w:val="black"/>
              </w:rPr>
              <w:t>''''''</w:t>
            </w:r>
            <w:r w:rsidR="0082793D" w:rsidRPr="0082793D">
              <w:rPr>
                <w:rFonts w:ascii="Arial Narrow" w:hAnsi="Arial Narrow"/>
                <w:bCs/>
                <w:color w:val="000000"/>
                <w:sz w:val="20"/>
              </w:rPr>
              <w:t>%</w:t>
            </w:r>
          </w:p>
        </w:tc>
        <w:tc>
          <w:tcPr>
            <w:tcW w:w="594" w:type="pct"/>
            <w:shd w:val="clear" w:color="auto" w:fill="auto"/>
            <w:vAlign w:val="center"/>
          </w:tcPr>
          <w:p w:rsidR="0082793D" w:rsidRPr="0082793D" w:rsidRDefault="002A4E9A" w:rsidP="009F79B3">
            <w:pPr>
              <w:keepNext/>
              <w:widowControl/>
              <w:jc w:val="right"/>
              <w:rPr>
                <w:rFonts w:ascii="Arial Narrow" w:hAnsi="Arial Narrow"/>
                <w:bCs/>
                <w:color w:val="000000"/>
                <w:sz w:val="20"/>
              </w:rPr>
            </w:pPr>
            <w:r>
              <w:rPr>
                <w:rFonts w:ascii="Arial Narrow" w:hAnsi="Arial Narrow"/>
                <w:bCs/>
                <w:noProof/>
                <w:color w:val="000000"/>
                <w:sz w:val="20"/>
                <w:highlight w:val="black"/>
              </w:rPr>
              <w:t>'''''</w:t>
            </w:r>
            <w:r w:rsidR="0082793D" w:rsidRPr="0082793D">
              <w:rPr>
                <w:rFonts w:ascii="Arial Narrow" w:hAnsi="Arial Narrow"/>
                <w:bCs/>
                <w:color w:val="000000"/>
                <w:sz w:val="20"/>
              </w:rPr>
              <w:t>%</w:t>
            </w:r>
          </w:p>
        </w:tc>
        <w:tc>
          <w:tcPr>
            <w:tcW w:w="677" w:type="pct"/>
            <w:shd w:val="clear" w:color="auto" w:fill="auto"/>
            <w:vAlign w:val="center"/>
          </w:tcPr>
          <w:p w:rsidR="0082793D" w:rsidRPr="0082793D" w:rsidRDefault="002A4E9A" w:rsidP="009F79B3">
            <w:pPr>
              <w:keepNext/>
              <w:widowControl/>
              <w:jc w:val="right"/>
              <w:rPr>
                <w:rFonts w:ascii="Arial Narrow" w:hAnsi="Arial Narrow"/>
                <w:bCs/>
                <w:color w:val="000000"/>
                <w:sz w:val="20"/>
              </w:rPr>
            </w:pPr>
            <w:r>
              <w:rPr>
                <w:rFonts w:ascii="Arial Narrow" w:hAnsi="Arial Narrow"/>
                <w:bCs/>
                <w:noProof/>
                <w:color w:val="000000"/>
                <w:sz w:val="20"/>
                <w:highlight w:val="black"/>
              </w:rPr>
              <w:t>'''''</w:t>
            </w:r>
            <w:r w:rsidR="0082793D" w:rsidRPr="0082793D">
              <w:rPr>
                <w:rFonts w:ascii="Arial Narrow" w:hAnsi="Arial Narrow"/>
                <w:bCs/>
                <w:color w:val="000000"/>
                <w:sz w:val="20"/>
              </w:rPr>
              <w:t>%</w:t>
            </w:r>
          </w:p>
        </w:tc>
      </w:tr>
      <w:tr w:rsidR="000A7EB2" w:rsidRPr="0082793D" w:rsidTr="00E6468F">
        <w:trPr>
          <w:trHeight w:val="459"/>
        </w:trPr>
        <w:tc>
          <w:tcPr>
            <w:tcW w:w="1951" w:type="pct"/>
            <w:shd w:val="clear" w:color="auto" w:fill="auto"/>
            <w:vAlign w:val="center"/>
          </w:tcPr>
          <w:p w:rsidR="0082793D" w:rsidRPr="0082793D" w:rsidRDefault="0082793D" w:rsidP="009F79B3">
            <w:pPr>
              <w:pStyle w:val="ListParagraph"/>
              <w:keepNext/>
              <w:widowControl/>
              <w:numPr>
                <w:ilvl w:val="0"/>
                <w:numId w:val="13"/>
              </w:numPr>
              <w:ind w:left="140" w:hanging="140"/>
              <w:jc w:val="left"/>
              <w:rPr>
                <w:rFonts w:ascii="Arial Narrow" w:hAnsi="Arial Narrow"/>
                <w:sz w:val="20"/>
              </w:rPr>
            </w:pPr>
            <w:r w:rsidRPr="0082793D">
              <w:rPr>
                <w:rFonts w:ascii="Arial Narrow" w:hAnsi="Arial Narrow"/>
                <w:sz w:val="20"/>
              </w:rPr>
              <w:t>Patients on third-line irinotecan (nanoliposomal)</w:t>
            </w:r>
          </w:p>
        </w:tc>
        <w:tc>
          <w:tcPr>
            <w:tcW w:w="592"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r>
      <w:tr w:rsidR="000A7EB2" w:rsidRPr="0082793D" w:rsidTr="00E6468F">
        <w:trPr>
          <w:trHeight w:val="229"/>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sz w:val="20"/>
              </w:rPr>
            </w:pPr>
            <w:r w:rsidRPr="0082793D">
              <w:rPr>
                <w:rFonts w:ascii="Arial Narrow" w:hAnsi="Arial Narrow"/>
                <w:sz w:val="20"/>
              </w:rPr>
              <w:t>Total treated patients</w:t>
            </w:r>
          </w:p>
        </w:tc>
        <w:tc>
          <w:tcPr>
            <w:tcW w:w="592"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vAlign w:val="center"/>
          </w:tcPr>
          <w:p w:rsidR="0082793D" w:rsidRPr="002A4E9A" w:rsidRDefault="002A4E9A" w:rsidP="009F79B3">
            <w:pPr>
              <w:keepNext/>
              <w:widowControl/>
              <w:jc w:val="right"/>
              <w:rPr>
                <w:rFonts w:ascii="Arial Narrow" w:hAnsi="Arial Narrow"/>
                <w:bCs/>
                <w:color w:val="000000"/>
                <w:sz w:val="20"/>
                <w:highlight w:val="black"/>
              </w:rPr>
            </w:pPr>
            <w:r>
              <w:rPr>
                <w:rFonts w:ascii="Arial Narrow" w:hAnsi="Arial Narrow"/>
                <w:bCs/>
                <w:noProof/>
                <w:color w:val="000000"/>
                <w:sz w:val="20"/>
                <w:highlight w:val="black"/>
              </w:rPr>
              <w:t>''''''''''</w:t>
            </w:r>
          </w:p>
        </w:tc>
      </w:tr>
      <w:tr w:rsidR="000A7EB2" w:rsidRPr="0082793D" w:rsidTr="00E6468F">
        <w:trPr>
          <w:trHeight w:val="229"/>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sz w:val="20"/>
              </w:rPr>
            </w:pPr>
            <w:r w:rsidRPr="0082793D">
              <w:rPr>
                <w:rFonts w:ascii="Arial Narrow" w:hAnsi="Arial Narrow"/>
                <w:sz w:val="20"/>
              </w:rPr>
              <w:t xml:space="preserve">Revised </w:t>
            </w:r>
            <w:r>
              <w:rPr>
                <w:rFonts w:ascii="Arial Narrow" w:hAnsi="Arial Narrow"/>
                <w:sz w:val="20"/>
              </w:rPr>
              <w:t>total treated patients</w:t>
            </w:r>
            <w:r w:rsidRPr="0082793D">
              <w:rPr>
                <w:rFonts w:ascii="Arial Narrow" w:hAnsi="Arial Narrow"/>
                <w:sz w:val="20"/>
              </w:rPr>
              <w:t xml:space="preserve"> (PSCR p7)</w:t>
            </w:r>
          </w:p>
        </w:tc>
        <w:tc>
          <w:tcPr>
            <w:tcW w:w="592" w:type="pct"/>
            <w:shd w:val="clear" w:color="auto" w:fill="auto"/>
            <w:vAlign w:val="center"/>
          </w:tcPr>
          <w:p w:rsidR="0082793D" w:rsidRPr="002A4E9A" w:rsidRDefault="002A4E9A" w:rsidP="009F79B3">
            <w:pPr>
              <w:keepNext/>
              <w:widowControl/>
              <w:jc w:val="right"/>
              <w:rPr>
                <w:rFonts w:ascii="Arial Narrow" w:hAnsi="Arial Narrow" w:cstheme="minorHAnsi"/>
                <w:bCs/>
                <w:sz w:val="20"/>
                <w:highlight w:val="black"/>
              </w:rPr>
            </w:pPr>
            <w:r>
              <w:rPr>
                <w:rFonts w:ascii="Arial Narrow" w:hAnsi="Arial Narrow" w:cstheme="minorHAnsi"/>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cstheme="minorHAnsi"/>
                <w:bCs/>
                <w:sz w:val="20"/>
                <w:highlight w:val="black"/>
              </w:rPr>
            </w:pPr>
            <w:r>
              <w:rPr>
                <w:rFonts w:ascii="Arial Narrow" w:hAnsi="Arial Narrow" w:cstheme="minorHAnsi"/>
                <w:bCs/>
                <w:noProof/>
                <w:color w:val="000000"/>
                <w:sz w:val="20"/>
                <w:highlight w:val="black"/>
              </w:rPr>
              <w:t>'''''''''</w:t>
            </w:r>
          </w:p>
        </w:tc>
        <w:tc>
          <w:tcPr>
            <w:tcW w:w="593" w:type="pct"/>
            <w:shd w:val="clear" w:color="auto" w:fill="auto"/>
            <w:vAlign w:val="center"/>
          </w:tcPr>
          <w:p w:rsidR="0082793D" w:rsidRPr="002A4E9A" w:rsidRDefault="002A4E9A" w:rsidP="009F79B3">
            <w:pPr>
              <w:keepNext/>
              <w:widowControl/>
              <w:jc w:val="right"/>
              <w:rPr>
                <w:rFonts w:ascii="Arial Narrow" w:hAnsi="Arial Narrow" w:cstheme="minorHAnsi"/>
                <w:bCs/>
                <w:sz w:val="20"/>
                <w:highlight w:val="black"/>
              </w:rPr>
            </w:pPr>
            <w:r>
              <w:rPr>
                <w:rFonts w:ascii="Arial Narrow" w:hAnsi="Arial Narrow" w:cstheme="minorHAnsi"/>
                <w:bCs/>
                <w:noProof/>
                <w:color w:val="000000"/>
                <w:sz w:val="20"/>
                <w:highlight w:val="black"/>
              </w:rPr>
              <w:t>'''''''''</w:t>
            </w:r>
          </w:p>
        </w:tc>
        <w:tc>
          <w:tcPr>
            <w:tcW w:w="594" w:type="pct"/>
            <w:shd w:val="clear" w:color="auto" w:fill="auto"/>
            <w:vAlign w:val="center"/>
          </w:tcPr>
          <w:p w:rsidR="0082793D" w:rsidRPr="002A4E9A" w:rsidRDefault="002A4E9A" w:rsidP="009F79B3">
            <w:pPr>
              <w:keepNext/>
              <w:widowControl/>
              <w:jc w:val="right"/>
              <w:rPr>
                <w:rFonts w:ascii="Arial Narrow" w:hAnsi="Arial Narrow" w:cstheme="minorHAnsi"/>
                <w:bCs/>
                <w:sz w:val="20"/>
                <w:highlight w:val="black"/>
              </w:rPr>
            </w:pPr>
            <w:r>
              <w:rPr>
                <w:rFonts w:ascii="Arial Narrow" w:hAnsi="Arial Narrow" w:cstheme="minorHAnsi"/>
                <w:bCs/>
                <w:noProof/>
                <w:color w:val="000000"/>
                <w:sz w:val="20"/>
                <w:highlight w:val="black"/>
              </w:rPr>
              <w:t>'''''''''</w:t>
            </w:r>
          </w:p>
        </w:tc>
        <w:tc>
          <w:tcPr>
            <w:tcW w:w="677" w:type="pct"/>
            <w:shd w:val="clear" w:color="auto" w:fill="auto"/>
            <w:vAlign w:val="center"/>
          </w:tcPr>
          <w:p w:rsidR="0082793D" w:rsidRPr="002A4E9A" w:rsidRDefault="002A4E9A" w:rsidP="009F79B3">
            <w:pPr>
              <w:keepNext/>
              <w:widowControl/>
              <w:jc w:val="right"/>
              <w:rPr>
                <w:rFonts w:ascii="Arial Narrow" w:hAnsi="Arial Narrow" w:cstheme="minorHAnsi"/>
                <w:bCs/>
                <w:sz w:val="20"/>
                <w:highlight w:val="black"/>
              </w:rPr>
            </w:pPr>
            <w:r>
              <w:rPr>
                <w:rFonts w:ascii="Arial Narrow" w:hAnsi="Arial Narrow" w:cstheme="minorHAnsi"/>
                <w:bCs/>
                <w:noProof/>
                <w:color w:val="000000"/>
                <w:sz w:val="20"/>
                <w:highlight w:val="black"/>
              </w:rPr>
              <w:t>''''''''''</w:t>
            </w:r>
          </w:p>
        </w:tc>
      </w:tr>
      <w:tr w:rsidR="000A7EB2" w:rsidRPr="0082793D" w:rsidTr="00E6468F">
        <w:tblPrEx>
          <w:tblCellMar>
            <w:left w:w="57" w:type="dxa"/>
            <w:right w:w="57" w:type="dxa"/>
          </w:tblCellMar>
        </w:tblPrEx>
        <w:trPr>
          <w:trHeight w:val="441"/>
        </w:trPr>
        <w:tc>
          <w:tcPr>
            <w:tcW w:w="1951" w:type="pct"/>
            <w:tcBorders>
              <w:left w:val="single" w:sz="4" w:space="0" w:color="auto"/>
              <w:bottom w:val="single" w:sz="4" w:space="0" w:color="auto"/>
            </w:tcBorders>
            <w:shd w:val="clear" w:color="auto" w:fill="auto"/>
            <w:noWrap/>
            <w:vAlign w:val="center"/>
          </w:tcPr>
          <w:p w:rsidR="0082793D" w:rsidRPr="0082793D" w:rsidRDefault="0082793D" w:rsidP="009F79B3">
            <w:pPr>
              <w:keepNext/>
              <w:widowControl/>
              <w:jc w:val="left"/>
              <w:rPr>
                <w:rFonts w:ascii="Arial Narrow" w:hAnsi="Arial Narrow"/>
                <w:sz w:val="20"/>
                <w:lang w:eastAsia="en-AU"/>
              </w:rPr>
            </w:pPr>
            <w:r w:rsidRPr="0082793D">
              <w:rPr>
                <w:rFonts w:ascii="Arial Narrow" w:hAnsi="Arial Narrow"/>
                <w:sz w:val="20"/>
                <w:lang w:eastAsia="en-AU"/>
              </w:rPr>
              <w:t>Cost of irinotecan (nanoliposomal)</w:t>
            </w:r>
          </w:p>
        </w:tc>
        <w:tc>
          <w:tcPr>
            <w:tcW w:w="592"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593"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593"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594"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677" w:type="pct"/>
            <w:tcBorders>
              <w:bottom w:val="single" w:sz="4" w:space="0" w:color="auto"/>
              <w:right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r>
      <w:tr w:rsidR="000A7EB2" w:rsidRPr="0082793D" w:rsidTr="00E6468F">
        <w:tblPrEx>
          <w:tblCellMar>
            <w:left w:w="57" w:type="dxa"/>
            <w:right w:w="57" w:type="dxa"/>
          </w:tblCellMar>
        </w:tblPrEx>
        <w:trPr>
          <w:trHeight w:val="229"/>
        </w:trPr>
        <w:tc>
          <w:tcPr>
            <w:tcW w:w="1951" w:type="pct"/>
            <w:tcBorders>
              <w:left w:val="single" w:sz="4" w:space="0" w:color="auto"/>
              <w:bottom w:val="single" w:sz="4" w:space="0" w:color="auto"/>
            </w:tcBorders>
            <w:shd w:val="clear" w:color="auto" w:fill="auto"/>
            <w:noWrap/>
            <w:vAlign w:val="center"/>
          </w:tcPr>
          <w:p w:rsidR="0082793D" w:rsidRPr="0082793D" w:rsidRDefault="0082793D" w:rsidP="009F79B3">
            <w:pPr>
              <w:keepNext/>
              <w:widowControl/>
              <w:jc w:val="left"/>
              <w:rPr>
                <w:rFonts w:ascii="Arial Narrow" w:hAnsi="Arial Narrow"/>
                <w:sz w:val="20"/>
                <w:lang w:eastAsia="en-AU"/>
              </w:rPr>
            </w:pPr>
            <w:r w:rsidRPr="0082793D">
              <w:rPr>
                <w:rFonts w:ascii="Arial Narrow" w:hAnsi="Arial Narrow"/>
                <w:sz w:val="20"/>
                <w:lang w:eastAsia="en-AU"/>
              </w:rPr>
              <w:t xml:space="preserve">Cost of concomitant 5-FU </w:t>
            </w:r>
          </w:p>
        </w:tc>
        <w:tc>
          <w:tcPr>
            <w:tcW w:w="592"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593"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593"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594"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677" w:type="pct"/>
            <w:tcBorders>
              <w:bottom w:val="single" w:sz="4" w:space="0" w:color="auto"/>
              <w:right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r>
      <w:tr w:rsidR="000A7EB2" w:rsidRPr="0082793D" w:rsidTr="00E6468F">
        <w:tblPrEx>
          <w:tblCellMar>
            <w:left w:w="57" w:type="dxa"/>
            <w:right w:w="57" w:type="dxa"/>
          </w:tblCellMar>
        </w:tblPrEx>
        <w:trPr>
          <w:trHeight w:val="229"/>
        </w:trPr>
        <w:tc>
          <w:tcPr>
            <w:tcW w:w="1951" w:type="pct"/>
            <w:tcBorders>
              <w:left w:val="single" w:sz="4" w:space="0" w:color="auto"/>
              <w:bottom w:val="single" w:sz="4" w:space="0" w:color="auto"/>
            </w:tcBorders>
            <w:shd w:val="clear" w:color="auto" w:fill="auto"/>
            <w:noWrap/>
            <w:vAlign w:val="center"/>
          </w:tcPr>
          <w:p w:rsidR="0082793D" w:rsidRPr="0082793D" w:rsidRDefault="0082793D" w:rsidP="009F79B3">
            <w:pPr>
              <w:keepNext/>
              <w:widowControl/>
              <w:jc w:val="left"/>
              <w:rPr>
                <w:rFonts w:ascii="Arial Narrow" w:hAnsi="Arial Narrow"/>
                <w:sz w:val="20"/>
                <w:lang w:eastAsia="en-AU"/>
              </w:rPr>
            </w:pPr>
            <w:r w:rsidRPr="0082793D">
              <w:rPr>
                <w:rFonts w:ascii="Arial Narrow" w:hAnsi="Arial Narrow"/>
                <w:sz w:val="20"/>
                <w:lang w:eastAsia="en-AU"/>
              </w:rPr>
              <w:t>Cost of concomitant folinic acid</w:t>
            </w:r>
          </w:p>
        </w:tc>
        <w:tc>
          <w:tcPr>
            <w:tcW w:w="592"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593"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593"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594" w:type="pct"/>
            <w:tcBorders>
              <w:bottom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c>
          <w:tcPr>
            <w:tcW w:w="677" w:type="pct"/>
            <w:tcBorders>
              <w:bottom w:val="single" w:sz="4" w:space="0" w:color="auto"/>
              <w:right w:val="single" w:sz="4" w:space="0" w:color="auto"/>
            </w:tcBorders>
            <w:shd w:val="clear" w:color="auto" w:fill="auto"/>
            <w:vAlign w:val="center"/>
          </w:tcPr>
          <w:p w:rsidR="0082793D" w:rsidRPr="0082793D" w:rsidRDefault="0082793D" w:rsidP="009F79B3">
            <w:pPr>
              <w:keepNext/>
              <w:widowControl/>
              <w:jc w:val="right"/>
              <w:rPr>
                <w:rFonts w:ascii="Arial Narrow" w:hAnsi="Arial Narrow"/>
                <w:sz w:val="20"/>
              </w:rPr>
            </w:pPr>
            <w:r w:rsidRPr="0082793D">
              <w:rPr>
                <w:rFonts w:ascii="Arial Narrow" w:hAnsi="Arial Narrow"/>
                <w:sz w:val="20"/>
              </w:rPr>
              <w:t>$</w:t>
            </w:r>
            <w:r w:rsidR="002A4E9A">
              <w:rPr>
                <w:rFonts w:ascii="Arial Narrow" w:hAnsi="Arial Narrow"/>
                <w:noProof/>
                <w:color w:val="000000"/>
                <w:sz w:val="20"/>
                <w:highlight w:val="black"/>
              </w:rPr>
              <w:t>''''''''''''''''''''</w:t>
            </w:r>
          </w:p>
        </w:tc>
      </w:tr>
      <w:tr w:rsidR="000A7EB2" w:rsidRPr="0082793D" w:rsidTr="00E6468F">
        <w:trPr>
          <w:trHeight w:val="441"/>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sz w:val="20"/>
              </w:rPr>
            </w:pPr>
            <w:r w:rsidRPr="0082793D">
              <w:rPr>
                <w:rFonts w:ascii="Arial Narrow" w:hAnsi="Arial Narrow"/>
                <w:sz w:val="20"/>
              </w:rPr>
              <w:t>Total cost of treatment regimen (based on total drug cost in the economic model)</w:t>
            </w:r>
          </w:p>
        </w:tc>
        <w:tc>
          <w:tcPr>
            <w:tcW w:w="592"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594"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677"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r>
      <w:tr w:rsidR="000A7EB2" w:rsidRPr="0082793D" w:rsidTr="00E6468F">
        <w:trPr>
          <w:trHeight w:val="459"/>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sz w:val="20"/>
              </w:rPr>
            </w:pPr>
            <w:r w:rsidRPr="0082793D">
              <w:rPr>
                <w:rFonts w:ascii="Arial Narrow" w:hAnsi="Arial Narrow"/>
                <w:sz w:val="20"/>
              </w:rPr>
              <w:t>Patient co-payments (one co-payment of $</w:t>
            </w:r>
            <w:r w:rsidRPr="002C7134">
              <w:rPr>
                <w:rFonts w:ascii="Arial Narrow" w:hAnsi="Arial Narrow"/>
                <w:sz w:val="20"/>
              </w:rPr>
              <w:t>20.11</w:t>
            </w:r>
            <w:r w:rsidRPr="0082793D">
              <w:rPr>
                <w:rFonts w:ascii="Arial Narrow" w:hAnsi="Arial Narrow"/>
                <w:sz w:val="20"/>
              </w:rPr>
              <w:t xml:space="preserve"> per drug per patient)</w:t>
            </w:r>
          </w:p>
        </w:tc>
        <w:tc>
          <w:tcPr>
            <w:tcW w:w="592"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594"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677"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r>
      <w:tr w:rsidR="000A7EB2" w:rsidRPr="0082793D" w:rsidTr="00E6468F">
        <w:trPr>
          <w:trHeight w:val="918"/>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sz w:val="20"/>
              </w:rPr>
            </w:pPr>
            <w:r w:rsidRPr="0082793D">
              <w:rPr>
                <w:rFonts w:ascii="Arial Narrow" w:hAnsi="Arial Narrow"/>
                <w:sz w:val="20"/>
              </w:rPr>
              <w:t>Cost of substituted mFOLFOX6 regimen (based on total drug cost in the economic model minus one co-payment of $</w:t>
            </w:r>
            <w:r w:rsidRPr="002C7134">
              <w:rPr>
                <w:rFonts w:ascii="Arial Narrow" w:hAnsi="Arial Narrow"/>
                <w:sz w:val="20"/>
              </w:rPr>
              <w:t>20.11</w:t>
            </w:r>
            <w:r w:rsidRPr="0082793D">
              <w:rPr>
                <w:rFonts w:ascii="Arial Narrow" w:hAnsi="Arial Narrow"/>
                <w:sz w:val="20"/>
              </w:rPr>
              <w:t xml:space="preserve"> per drug per patient)</w:t>
            </w:r>
          </w:p>
        </w:tc>
        <w:tc>
          <w:tcPr>
            <w:tcW w:w="592"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594"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c>
          <w:tcPr>
            <w:tcW w:w="677"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w:t>
            </w:r>
            <w:r w:rsidR="002A4E9A">
              <w:rPr>
                <w:rFonts w:ascii="Arial Narrow" w:hAnsi="Arial Narrow"/>
                <w:bCs/>
                <w:noProof/>
                <w:color w:val="000000"/>
                <w:sz w:val="20"/>
                <w:highlight w:val="black"/>
              </w:rPr>
              <w:t>'''''''''''''''''''</w:t>
            </w:r>
          </w:p>
        </w:tc>
      </w:tr>
      <w:tr w:rsidR="000A7EB2" w:rsidRPr="0082793D" w:rsidTr="00E6468F">
        <w:trPr>
          <w:trHeight w:val="459"/>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b/>
                <w:sz w:val="20"/>
              </w:rPr>
            </w:pPr>
            <w:r w:rsidRPr="0082793D">
              <w:rPr>
                <w:rFonts w:ascii="Arial Narrow" w:hAnsi="Arial Narrow"/>
                <w:b/>
                <w:bCs/>
                <w:color w:val="000000"/>
                <w:sz w:val="20"/>
              </w:rPr>
              <w:t>Net cost to PBS/RPBS</w:t>
            </w:r>
          </w:p>
        </w:tc>
        <w:tc>
          <w:tcPr>
            <w:tcW w:w="592" w:type="pct"/>
            <w:shd w:val="clear" w:color="auto" w:fill="auto"/>
            <w:vAlign w:val="center"/>
          </w:tcPr>
          <w:p w:rsidR="0082793D" w:rsidRPr="0082793D" w:rsidRDefault="0082793D" w:rsidP="009F79B3">
            <w:pPr>
              <w:keepNext/>
              <w:widowControl/>
              <w:jc w:val="right"/>
              <w:rPr>
                <w:rFonts w:ascii="Arial Narrow" w:hAnsi="Arial Narrow"/>
                <w:b/>
                <w:bCs/>
                <w:color w:val="000000"/>
                <w:sz w:val="20"/>
              </w:rPr>
            </w:pPr>
            <w:r w:rsidRPr="0082793D">
              <w:rPr>
                <w:rFonts w:ascii="Arial Narrow" w:hAnsi="Arial Narrow"/>
                <w:b/>
                <w:bCs/>
                <w:color w:val="000000"/>
                <w:sz w:val="20"/>
              </w:rPr>
              <w:t>$</w:t>
            </w:r>
            <w:r w:rsidR="002A4E9A">
              <w:rPr>
                <w:rFonts w:ascii="Arial Narrow" w:hAnsi="Arial Narrow"/>
                <w:b/>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b/>
                <w:bCs/>
                <w:color w:val="000000"/>
                <w:sz w:val="20"/>
              </w:rPr>
            </w:pPr>
            <w:r w:rsidRPr="0082793D">
              <w:rPr>
                <w:rFonts w:ascii="Arial Narrow" w:hAnsi="Arial Narrow"/>
                <w:b/>
                <w:bCs/>
                <w:color w:val="000000"/>
                <w:sz w:val="20"/>
              </w:rPr>
              <w:t>$</w:t>
            </w:r>
            <w:r w:rsidR="002A4E9A">
              <w:rPr>
                <w:rFonts w:ascii="Arial Narrow" w:hAnsi="Arial Narrow"/>
                <w:b/>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b/>
                <w:bCs/>
                <w:color w:val="000000"/>
                <w:sz w:val="20"/>
              </w:rPr>
            </w:pPr>
            <w:r w:rsidRPr="0082793D">
              <w:rPr>
                <w:rFonts w:ascii="Arial Narrow" w:hAnsi="Arial Narrow"/>
                <w:b/>
                <w:bCs/>
                <w:color w:val="000000"/>
                <w:sz w:val="20"/>
              </w:rPr>
              <w:t>$</w:t>
            </w:r>
            <w:r w:rsidR="002A4E9A">
              <w:rPr>
                <w:rFonts w:ascii="Arial Narrow" w:hAnsi="Arial Narrow"/>
                <w:b/>
                <w:bCs/>
                <w:noProof/>
                <w:color w:val="000000"/>
                <w:sz w:val="20"/>
                <w:highlight w:val="black"/>
              </w:rPr>
              <w:t>'''''''''''''''''''</w:t>
            </w:r>
          </w:p>
        </w:tc>
        <w:tc>
          <w:tcPr>
            <w:tcW w:w="594" w:type="pct"/>
            <w:shd w:val="clear" w:color="auto" w:fill="auto"/>
            <w:vAlign w:val="center"/>
          </w:tcPr>
          <w:p w:rsidR="0082793D" w:rsidRPr="0082793D" w:rsidRDefault="0082793D" w:rsidP="009F79B3">
            <w:pPr>
              <w:keepNext/>
              <w:widowControl/>
              <w:jc w:val="right"/>
              <w:rPr>
                <w:rFonts w:ascii="Arial Narrow" w:hAnsi="Arial Narrow"/>
                <w:b/>
                <w:bCs/>
                <w:color w:val="000000"/>
                <w:sz w:val="20"/>
              </w:rPr>
            </w:pPr>
            <w:r w:rsidRPr="0082793D">
              <w:rPr>
                <w:rFonts w:ascii="Arial Narrow" w:hAnsi="Arial Narrow"/>
                <w:b/>
                <w:bCs/>
                <w:color w:val="000000"/>
                <w:sz w:val="20"/>
              </w:rPr>
              <w:t>$</w:t>
            </w:r>
            <w:r w:rsidR="002A4E9A">
              <w:rPr>
                <w:rFonts w:ascii="Arial Narrow" w:hAnsi="Arial Narrow"/>
                <w:b/>
                <w:bCs/>
                <w:noProof/>
                <w:color w:val="000000"/>
                <w:sz w:val="20"/>
                <w:highlight w:val="black"/>
              </w:rPr>
              <w:t>'''''''''''''''''''</w:t>
            </w:r>
          </w:p>
        </w:tc>
        <w:tc>
          <w:tcPr>
            <w:tcW w:w="677" w:type="pct"/>
            <w:shd w:val="clear" w:color="auto" w:fill="auto"/>
            <w:vAlign w:val="center"/>
          </w:tcPr>
          <w:p w:rsidR="0082793D" w:rsidRPr="0082793D" w:rsidRDefault="0082793D" w:rsidP="009F79B3">
            <w:pPr>
              <w:keepNext/>
              <w:widowControl/>
              <w:jc w:val="right"/>
              <w:rPr>
                <w:rFonts w:ascii="Arial Narrow" w:hAnsi="Arial Narrow"/>
                <w:b/>
                <w:bCs/>
                <w:color w:val="000000"/>
                <w:sz w:val="20"/>
              </w:rPr>
            </w:pPr>
            <w:r w:rsidRPr="0082793D">
              <w:rPr>
                <w:rFonts w:ascii="Arial Narrow" w:hAnsi="Arial Narrow"/>
                <w:b/>
                <w:bCs/>
                <w:color w:val="000000"/>
                <w:sz w:val="20"/>
              </w:rPr>
              <w:t>$</w:t>
            </w:r>
            <w:r w:rsidR="002A4E9A">
              <w:rPr>
                <w:rFonts w:ascii="Arial Narrow" w:hAnsi="Arial Narrow"/>
                <w:b/>
                <w:bCs/>
                <w:noProof/>
                <w:color w:val="000000"/>
                <w:sz w:val="20"/>
                <w:highlight w:val="black"/>
              </w:rPr>
              <w:t>'''''''''''''''''''''''</w:t>
            </w:r>
          </w:p>
        </w:tc>
      </w:tr>
      <w:tr w:rsidR="000A7EB2" w:rsidRPr="0082793D" w:rsidTr="00E6468F">
        <w:trPr>
          <w:trHeight w:val="459"/>
        </w:trPr>
        <w:tc>
          <w:tcPr>
            <w:tcW w:w="1951" w:type="pct"/>
            <w:shd w:val="clear" w:color="auto" w:fill="auto"/>
            <w:vAlign w:val="center"/>
          </w:tcPr>
          <w:p w:rsidR="0082793D" w:rsidRPr="0082793D" w:rsidRDefault="0082793D" w:rsidP="009F79B3">
            <w:pPr>
              <w:keepNext/>
              <w:widowControl/>
              <w:jc w:val="left"/>
              <w:rPr>
                <w:rFonts w:ascii="Arial Narrow" w:hAnsi="Arial Narrow" w:cstheme="minorHAnsi"/>
                <w:b/>
                <w:sz w:val="20"/>
              </w:rPr>
            </w:pPr>
            <w:r w:rsidRPr="0082793D">
              <w:rPr>
                <w:rFonts w:ascii="Arial Narrow" w:hAnsi="Arial Narrow" w:cstheme="minorHAnsi"/>
                <w:b/>
                <w:sz w:val="20"/>
              </w:rPr>
              <w:t xml:space="preserve">Revised </w:t>
            </w:r>
            <w:r>
              <w:rPr>
                <w:rFonts w:ascii="Arial Narrow" w:hAnsi="Arial Narrow" w:cstheme="minorHAnsi"/>
                <w:b/>
                <w:sz w:val="20"/>
              </w:rPr>
              <w:t>net cost to PBS/RPBS</w:t>
            </w:r>
            <w:r w:rsidRPr="0082793D">
              <w:rPr>
                <w:rFonts w:ascii="Arial Narrow" w:hAnsi="Arial Narrow" w:cstheme="minorHAnsi"/>
                <w:b/>
                <w:sz w:val="20"/>
              </w:rPr>
              <w:t xml:space="preserve"> (PSCR p7)</w:t>
            </w:r>
          </w:p>
        </w:tc>
        <w:tc>
          <w:tcPr>
            <w:tcW w:w="592" w:type="pct"/>
            <w:shd w:val="clear" w:color="auto" w:fill="auto"/>
            <w:vAlign w:val="center"/>
          </w:tcPr>
          <w:p w:rsidR="0082793D" w:rsidRPr="0082793D" w:rsidRDefault="0082793D" w:rsidP="009F79B3">
            <w:pPr>
              <w:keepNext/>
              <w:widowControl/>
              <w:jc w:val="right"/>
              <w:rPr>
                <w:rFonts w:ascii="Arial Narrow" w:hAnsi="Arial Narrow" w:cstheme="minorHAnsi"/>
                <w:b/>
                <w:bCs/>
                <w:sz w:val="20"/>
              </w:rPr>
            </w:pPr>
            <w:r w:rsidRPr="0082793D">
              <w:rPr>
                <w:rFonts w:ascii="Arial Narrow" w:hAnsi="Arial Narrow" w:cstheme="minorHAnsi"/>
                <w:b/>
                <w:bCs/>
                <w:sz w:val="20"/>
              </w:rPr>
              <w:t>$</w:t>
            </w:r>
            <w:r w:rsidR="002A4E9A">
              <w:rPr>
                <w:rFonts w:ascii="Arial Narrow" w:hAnsi="Arial Narrow" w:cstheme="minorHAnsi"/>
                <w:b/>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cstheme="minorHAnsi"/>
                <w:b/>
                <w:bCs/>
                <w:sz w:val="20"/>
              </w:rPr>
            </w:pPr>
            <w:r w:rsidRPr="0082793D">
              <w:rPr>
                <w:rFonts w:ascii="Arial Narrow" w:hAnsi="Arial Narrow" w:cstheme="minorHAnsi"/>
                <w:b/>
                <w:bCs/>
                <w:sz w:val="20"/>
              </w:rPr>
              <w:t>$</w:t>
            </w:r>
            <w:r w:rsidR="002A4E9A">
              <w:rPr>
                <w:rFonts w:ascii="Arial Narrow" w:hAnsi="Arial Narrow" w:cstheme="minorHAnsi"/>
                <w:b/>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cstheme="minorHAnsi"/>
                <w:b/>
                <w:bCs/>
                <w:sz w:val="20"/>
              </w:rPr>
            </w:pPr>
            <w:r w:rsidRPr="0082793D">
              <w:rPr>
                <w:rFonts w:ascii="Arial Narrow" w:hAnsi="Arial Narrow" w:cstheme="minorHAnsi"/>
                <w:b/>
                <w:bCs/>
                <w:sz w:val="20"/>
              </w:rPr>
              <w:t>$</w:t>
            </w:r>
            <w:r w:rsidR="002A4E9A">
              <w:rPr>
                <w:rFonts w:ascii="Arial Narrow" w:hAnsi="Arial Narrow" w:cstheme="minorHAnsi"/>
                <w:b/>
                <w:bCs/>
                <w:noProof/>
                <w:color w:val="000000"/>
                <w:sz w:val="20"/>
                <w:highlight w:val="black"/>
              </w:rPr>
              <w:t>'''''''''''''''''''''</w:t>
            </w:r>
          </w:p>
        </w:tc>
        <w:tc>
          <w:tcPr>
            <w:tcW w:w="594" w:type="pct"/>
            <w:shd w:val="clear" w:color="auto" w:fill="auto"/>
            <w:vAlign w:val="center"/>
          </w:tcPr>
          <w:p w:rsidR="0082793D" w:rsidRPr="0082793D" w:rsidRDefault="0082793D" w:rsidP="009F79B3">
            <w:pPr>
              <w:keepNext/>
              <w:widowControl/>
              <w:jc w:val="right"/>
              <w:rPr>
                <w:rFonts w:ascii="Arial Narrow" w:hAnsi="Arial Narrow" w:cstheme="minorHAnsi"/>
                <w:b/>
                <w:bCs/>
                <w:sz w:val="20"/>
              </w:rPr>
            </w:pPr>
            <w:r w:rsidRPr="0082793D">
              <w:rPr>
                <w:rFonts w:ascii="Arial Narrow" w:hAnsi="Arial Narrow" w:cstheme="minorHAnsi"/>
                <w:b/>
                <w:bCs/>
                <w:sz w:val="20"/>
              </w:rPr>
              <w:t>$</w:t>
            </w:r>
            <w:r w:rsidR="002A4E9A">
              <w:rPr>
                <w:rFonts w:ascii="Arial Narrow" w:hAnsi="Arial Narrow" w:cstheme="minorHAnsi"/>
                <w:b/>
                <w:bCs/>
                <w:noProof/>
                <w:color w:val="000000"/>
                <w:sz w:val="20"/>
                <w:highlight w:val="black"/>
              </w:rPr>
              <w:t>''''''''''''''''''''</w:t>
            </w:r>
          </w:p>
        </w:tc>
        <w:tc>
          <w:tcPr>
            <w:tcW w:w="677" w:type="pct"/>
            <w:shd w:val="clear" w:color="auto" w:fill="auto"/>
            <w:vAlign w:val="center"/>
          </w:tcPr>
          <w:p w:rsidR="0082793D" w:rsidRPr="0082793D" w:rsidRDefault="0082793D" w:rsidP="009F79B3">
            <w:pPr>
              <w:keepNext/>
              <w:widowControl/>
              <w:jc w:val="right"/>
              <w:rPr>
                <w:rFonts w:ascii="Arial Narrow" w:hAnsi="Arial Narrow" w:cstheme="minorHAnsi"/>
                <w:b/>
                <w:bCs/>
                <w:sz w:val="20"/>
              </w:rPr>
            </w:pPr>
            <w:r w:rsidRPr="0082793D">
              <w:rPr>
                <w:rFonts w:ascii="Arial Narrow" w:hAnsi="Arial Narrow" w:cstheme="minorHAnsi"/>
                <w:b/>
                <w:bCs/>
                <w:sz w:val="20"/>
              </w:rPr>
              <w:t>$</w:t>
            </w:r>
            <w:r w:rsidR="002A4E9A">
              <w:rPr>
                <w:rFonts w:ascii="Arial Narrow" w:hAnsi="Arial Narrow" w:cstheme="minorHAnsi"/>
                <w:b/>
                <w:bCs/>
                <w:noProof/>
                <w:color w:val="000000"/>
                <w:sz w:val="20"/>
                <w:highlight w:val="black"/>
              </w:rPr>
              <w:t>''''''''''''''''''''</w:t>
            </w:r>
          </w:p>
        </w:tc>
      </w:tr>
      <w:tr w:rsidR="000A7EB2" w:rsidRPr="0082793D" w:rsidTr="00E6468F">
        <w:trPr>
          <w:trHeight w:val="901"/>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bCs/>
                <w:color w:val="000000"/>
                <w:sz w:val="20"/>
              </w:rPr>
            </w:pPr>
            <w:r w:rsidRPr="0082793D">
              <w:rPr>
                <w:rFonts w:ascii="Arial Narrow" w:hAnsi="Arial Narrow"/>
                <w:bCs/>
                <w:color w:val="000000"/>
                <w:sz w:val="20"/>
              </w:rPr>
              <w:t>Costs of administration and monitoring (based on incremental difference compared with mFOLFOX6 in the economic model)</w:t>
            </w:r>
          </w:p>
        </w:tc>
        <w:tc>
          <w:tcPr>
            <w:tcW w:w="592"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$932,658</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$1,347,977</w:t>
            </w:r>
          </w:p>
        </w:tc>
        <w:tc>
          <w:tcPr>
            <w:tcW w:w="593"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$1,734,922</w:t>
            </w:r>
          </w:p>
        </w:tc>
        <w:tc>
          <w:tcPr>
            <w:tcW w:w="594"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$2,036,246</w:t>
            </w:r>
          </w:p>
        </w:tc>
        <w:tc>
          <w:tcPr>
            <w:tcW w:w="677" w:type="pct"/>
            <w:shd w:val="clear" w:color="auto" w:fill="auto"/>
            <w:vAlign w:val="center"/>
          </w:tcPr>
          <w:p w:rsidR="0082793D" w:rsidRPr="0082793D" w:rsidRDefault="0082793D" w:rsidP="009F79B3">
            <w:pPr>
              <w:keepNext/>
              <w:widowControl/>
              <w:jc w:val="right"/>
              <w:rPr>
                <w:rFonts w:ascii="Arial Narrow" w:hAnsi="Arial Narrow"/>
                <w:bCs/>
                <w:color w:val="000000"/>
                <w:sz w:val="20"/>
              </w:rPr>
            </w:pPr>
            <w:r w:rsidRPr="0082793D">
              <w:rPr>
                <w:rFonts w:ascii="Arial Narrow" w:hAnsi="Arial Narrow"/>
                <w:bCs/>
                <w:color w:val="000000"/>
                <w:sz w:val="20"/>
              </w:rPr>
              <w:t>$2,352,457</w:t>
            </w:r>
          </w:p>
        </w:tc>
      </w:tr>
      <w:tr w:rsidR="000A7EB2" w:rsidRPr="0082793D" w:rsidTr="00E6468F">
        <w:trPr>
          <w:trHeight w:val="477"/>
        </w:trPr>
        <w:tc>
          <w:tcPr>
            <w:tcW w:w="1951" w:type="pct"/>
            <w:shd w:val="clear" w:color="auto" w:fill="auto"/>
            <w:vAlign w:val="center"/>
          </w:tcPr>
          <w:p w:rsidR="0082793D" w:rsidRPr="0082793D" w:rsidRDefault="0082793D" w:rsidP="009F79B3">
            <w:pPr>
              <w:keepNext/>
              <w:widowControl/>
              <w:tabs>
                <w:tab w:val="left" w:pos="142"/>
              </w:tabs>
              <w:jc w:val="left"/>
              <w:rPr>
                <w:rFonts w:ascii="Arial Narrow" w:hAnsi="Arial Narrow"/>
                <w:b/>
                <w:bCs/>
                <w:color w:val="000000"/>
                <w:sz w:val="20"/>
              </w:rPr>
            </w:pPr>
            <w:r w:rsidRPr="0082793D">
              <w:rPr>
                <w:rFonts w:ascii="Arial Narrow" w:hAnsi="Arial Narrow"/>
                <w:b/>
                <w:bCs/>
                <w:color w:val="000000"/>
                <w:sz w:val="20"/>
              </w:rPr>
              <w:t>Total cost to government</w:t>
            </w:r>
          </w:p>
        </w:tc>
        <w:tc>
          <w:tcPr>
            <w:tcW w:w="592" w:type="pct"/>
            <w:shd w:val="clear" w:color="auto" w:fill="auto"/>
            <w:vAlign w:val="center"/>
          </w:tcPr>
          <w:p w:rsidR="0082793D" w:rsidRPr="0082793D" w:rsidRDefault="0082793D" w:rsidP="009F79B3">
            <w:pPr>
              <w:keepNext/>
              <w:widowControl/>
              <w:jc w:val="right"/>
              <w:rPr>
                <w:rFonts w:ascii="Arial Narrow" w:hAnsi="Arial Narrow"/>
                <w:b/>
                <w:bCs/>
                <w:color w:val="000000"/>
                <w:sz w:val="20"/>
              </w:rPr>
            </w:pPr>
            <w:r w:rsidRPr="0082793D">
              <w:rPr>
                <w:rFonts w:ascii="Arial Narrow" w:hAnsi="Arial Narrow"/>
                <w:b/>
                <w:bCs/>
                <w:color w:val="000000"/>
                <w:sz w:val="20"/>
              </w:rPr>
              <w:t>$</w:t>
            </w:r>
            <w:r w:rsidR="002A4E9A">
              <w:rPr>
                <w:rFonts w:ascii="Arial Narrow" w:hAnsi="Arial Narrow"/>
                <w:b/>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b/>
                <w:bCs/>
                <w:color w:val="000000"/>
                <w:sz w:val="20"/>
              </w:rPr>
            </w:pPr>
            <w:r w:rsidRPr="0082793D">
              <w:rPr>
                <w:rFonts w:ascii="Arial Narrow" w:hAnsi="Arial Narrow"/>
                <w:b/>
                <w:bCs/>
                <w:color w:val="000000"/>
                <w:sz w:val="20"/>
              </w:rPr>
              <w:t>$</w:t>
            </w:r>
            <w:r w:rsidR="002A4E9A">
              <w:rPr>
                <w:rFonts w:ascii="Arial Narrow" w:hAnsi="Arial Narrow"/>
                <w:b/>
                <w:bCs/>
                <w:noProof/>
                <w:color w:val="000000"/>
                <w:sz w:val="20"/>
                <w:highlight w:val="black"/>
              </w:rPr>
              <w:t>''''''''''''''''''''</w:t>
            </w:r>
          </w:p>
        </w:tc>
        <w:tc>
          <w:tcPr>
            <w:tcW w:w="593" w:type="pct"/>
            <w:shd w:val="clear" w:color="auto" w:fill="auto"/>
            <w:vAlign w:val="center"/>
          </w:tcPr>
          <w:p w:rsidR="0082793D" w:rsidRPr="0082793D" w:rsidRDefault="0082793D" w:rsidP="009F79B3">
            <w:pPr>
              <w:keepNext/>
              <w:widowControl/>
              <w:jc w:val="right"/>
              <w:rPr>
                <w:rFonts w:ascii="Arial Narrow" w:hAnsi="Arial Narrow"/>
                <w:b/>
                <w:bCs/>
                <w:color w:val="000000"/>
                <w:sz w:val="20"/>
              </w:rPr>
            </w:pPr>
            <w:r w:rsidRPr="0082793D">
              <w:rPr>
                <w:rFonts w:ascii="Arial Narrow" w:hAnsi="Arial Narrow"/>
                <w:b/>
                <w:bCs/>
                <w:color w:val="000000"/>
                <w:sz w:val="20"/>
              </w:rPr>
              <w:t>$</w:t>
            </w:r>
            <w:r w:rsidR="002A4E9A">
              <w:rPr>
                <w:rFonts w:ascii="Arial Narrow" w:hAnsi="Arial Narrow"/>
                <w:b/>
                <w:bCs/>
                <w:noProof/>
                <w:color w:val="000000"/>
                <w:sz w:val="20"/>
                <w:highlight w:val="black"/>
              </w:rPr>
              <w:t>'''''''''''''''''''</w:t>
            </w:r>
          </w:p>
        </w:tc>
        <w:tc>
          <w:tcPr>
            <w:tcW w:w="594" w:type="pct"/>
            <w:shd w:val="clear" w:color="auto" w:fill="auto"/>
            <w:vAlign w:val="center"/>
          </w:tcPr>
          <w:p w:rsidR="0082793D" w:rsidRPr="0082793D" w:rsidRDefault="0082793D" w:rsidP="009F79B3">
            <w:pPr>
              <w:keepNext/>
              <w:widowControl/>
              <w:jc w:val="right"/>
              <w:rPr>
                <w:rFonts w:ascii="Arial Narrow" w:hAnsi="Arial Narrow"/>
                <w:b/>
                <w:bCs/>
                <w:color w:val="000000"/>
                <w:sz w:val="20"/>
              </w:rPr>
            </w:pPr>
            <w:r w:rsidRPr="0082793D">
              <w:rPr>
                <w:rFonts w:ascii="Arial Narrow" w:hAnsi="Arial Narrow"/>
                <w:b/>
                <w:bCs/>
                <w:color w:val="000000"/>
                <w:sz w:val="20"/>
              </w:rPr>
              <w:t>$</w:t>
            </w:r>
            <w:r w:rsidR="002A4E9A">
              <w:rPr>
                <w:rFonts w:ascii="Arial Narrow" w:hAnsi="Arial Narrow"/>
                <w:b/>
                <w:bCs/>
                <w:noProof/>
                <w:color w:val="000000"/>
                <w:sz w:val="20"/>
                <w:highlight w:val="black"/>
              </w:rPr>
              <w:t>''''''''''''''''''''</w:t>
            </w:r>
          </w:p>
        </w:tc>
        <w:tc>
          <w:tcPr>
            <w:tcW w:w="677" w:type="pct"/>
            <w:shd w:val="clear" w:color="auto" w:fill="auto"/>
            <w:vAlign w:val="center"/>
          </w:tcPr>
          <w:p w:rsidR="0082793D" w:rsidRPr="0082793D" w:rsidRDefault="0082793D" w:rsidP="009F79B3">
            <w:pPr>
              <w:keepNext/>
              <w:widowControl/>
              <w:jc w:val="right"/>
              <w:rPr>
                <w:rFonts w:ascii="Arial Narrow" w:hAnsi="Arial Narrow"/>
                <w:b/>
                <w:bCs/>
                <w:color w:val="000000"/>
                <w:sz w:val="20"/>
              </w:rPr>
            </w:pPr>
            <w:r w:rsidRPr="0082793D">
              <w:rPr>
                <w:rFonts w:ascii="Arial Narrow" w:hAnsi="Arial Narrow"/>
                <w:b/>
                <w:bCs/>
                <w:color w:val="000000"/>
                <w:sz w:val="20"/>
              </w:rPr>
              <w:t>$</w:t>
            </w:r>
            <w:r w:rsidR="002A4E9A">
              <w:rPr>
                <w:rFonts w:ascii="Arial Narrow" w:hAnsi="Arial Narrow"/>
                <w:b/>
                <w:bCs/>
                <w:noProof/>
                <w:color w:val="000000"/>
                <w:sz w:val="20"/>
                <w:highlight w:val="black"/>
              </w:rPr>
              <w:t>''''''''''''''''''''''''</w:t>
            </w:r>
          </w:p>
        </w:tc>
      </w:tr>
      <w:tr w:rsidR="000A7EB2" w:rsidRPr="0082793D" w:rsidTr="00E6468F">
        <w:trPr>
          <w:trHeight w:val="477"/>
        </w:trPr>
        <w:tc>
          <w:tcPr>
            <w:tcW w:w="1951" w:type="pct"/>
            <w:shd w:val="clear" w:color="auto" w:fill="auto"/>
            <w:vAlign w:val="center"/>
          </w:tcPr>
          <w:p w:rsidR="0082793D" w:rsidRPr="0082793D" w:rsidRDefault="0082793D" w:rsidP="009F79B3">
            <w:pPr>
              <w:keepNext/>
              <w:widowControl/>
              <w:jc w:val="left"/>
              <w:rPr>
                <w:rFonts w:ascii="Arial Narrow" w:hAnsi="Arial Narrow" w:cstheme="minorHAnsi"/>
                <w:b/>
                <w:sz w:val="20"/>
              </w:rPr>
            </w:pPr>
            <w:r w:rsidRPr="0082793D">
              <w:rPr>
                <w:rFonts w:ascii="Arial Narrow" w:hAnsi="Arial Narrow" w:cstheme="minorHAnsi"/>
                <w:b/>
                <w:sz w:val="20"/>
              </w:rPr>
              <w:t xml:space="preserve">Revised </w:t>
            </w:r>
            <w:r>
              <w:rPr>
                <w:rFonts w:ascii="Arial Narrow" w:hAnsi="Arial Narrow" w:cstheme="minorHAnsi"/>
                <w:b/>
                <w:sz w:val="20"/>
              </w:rPr>
              <w:t>total cost to government</w:t>
            </w:r>
            <w:r w:rsidRPr="0082793D">
              <w:rPr>
                <w:rFonts w:ascii="Arial Narrow" w:hAnsi="Arial Narrow" w:cstheme="minorHAnsi"/>
                <w:b/>
                <w:sz w:val="20"/>
              </w:rPr>
              <w:t xml:space="preserve"> (PSCR p7)</w:t>
            </w:r>
          </w:p>
        </w:tc>
        <w:tc>
          <w:tcPr>
            <w:tcW w:w="592" w:type="pct"/>
            <w:shd w:val="clear" w:color="auto" w:fill="auto"/>
            <w:vAlign w:val="center"/>
          </w:tcPr>
          <w:p w:rsidR="0082793D" w:rsidRPr="0082793D" w:rsidRDefault="0082793D" w:rsidP="009F79B3">
            <w:pPr>
              <w:keepNext/>
              <w:widowControl/>
              <w:jc w:val="right"/>
              <w:rPr>
                <w:rFonts w:ascii="Arial Narrow" w:hAnsi="Arial Narrow" w:cstheme="minorHAnsi"/>
                <w:b/>
                <w:bCs/>
                <w:sz w:val="20"/>
              </w:rPr>
            </w:pPr>
            <w:r w:rsidRPr="0082793D">
              <w:rPr>
                <w:rFonts w:ascii="Arial Narrow" w:hAnsi="Arial Narrow" w:cstheme="minorHAnsi"/>
                <w:b/>
                <w:bCs/>
                <w:sz w:val="20"/>
              </w:rPr>
              <w:t>$</w:t>
            </w:r>
            <w:r w:rsidR="002A4E9A">
              <w:rPr>
                <w:rFonts w:ascii="Arial Narrow" w:hAnsi="Arial Narrow" w:cstheme="minorHAnsi"/>
                <w:b/>
                <w:bCs/>
                <w:noProof/>
                <w:color w:val="000000"/>
                <w:sz w:val="20"/>
                <w:highlight w:val="black"/>
              </w:rPr>
              <w:t>''''''''''''''''''''</w:t>
            </w:r>
            <w:r w:rsidRPr="0082793D">
              <w:rPr>
                <w:rFonts w:ascii="Arial Narrow" w:hAnsi="Arial Narrow" w:cstheme="minorHAnsi"/>
                <w:b/>
                <w:bCs/>
                <w:sz w:val="20"/>
              </w:rPr>
              <w:t xml:space="preserve"> </w:t>
            </w:r>
          </w:p>
        </w:tc>
        <w:tc>
          <w:tcPr>
            <w:tcW w:w="593" w:type="pct"/>
            <w:shd w:val="clear" w:color="auto" w:fill="auto"/>
            <w:vAlign w:val="center"/>
          </w:tcPr>
          <w:p w:rsidR="0082793D" w:rsidRPr="0082793D" w:rsidRDefault="0082793D" w:rsidP="009F79B3">
            <w:pPr>
              <w:keepNext/>
              <w:widowControl/>
              <w:jc w:val="right"/>
              <w:rPr>
                <w:rFonts w:ascii="Arial Narrow" w:hAnsi="Arial Narrow" w:cstheme="minorHAnsi"/>
                <w:b/>
                <w:bCs/>
                <w:sz w:val="20"/>
              </w:rPr>
            </w:pPr>
            <w:r w:rsidRPr="0082793D">
              <w:rPr>
                <w:rFonts w:ascii="Arial Narrow" w:hAnsi="Arial Narrow" w:cstheme="minorHAnsi"/>
                <w:b/>
                <w:bCs/>
                <w:sz w:val="20"/>
              </w:rPr>
              <w:t>$</w:t>
            </w:r>
            <w:r w:rsidR="002A4E9A">
              <w:rPr>
                <w:rFonts w:ascii="Arial Narrow" w:hAnsi="Arial Narrow" w:cstheme="minorHAnsi"/>
                <w:b/>
                <w:bCs/>
                <w:noProof/>
                <w:color w:val="000000"/>
                <w:sz w:val="20"/>
                <w:highlight w:val="black"/>
              </w:rPr>
              <w:t>'''''''''''''''''''''''</w:t>
            </w:r>
            <w:r w:rsidRPr="0082793D">
              <w:rPr>
                <w:rFonts w:ascii="Arial Narrow" w:hAnsi="Arial Narrow" w:cstheme="minorHAnsi"/>
                <w:b/>
                <w:bCs/>
                <w:sz w:val="20"/>
              </w:rPr>
              <w:t xml:space="preserve"> </w:t>
            </w:r>
          </w:p>
        </w:tc>
        <w:tc>
          <w:tcPr>
            <w:tcW w:w="593" w:type="pct"/>
            <w:shd w:val="clear" w:color="auto" w:fill="auto"/>
            <w:vAlign w:val="center"/>
          </w:tcPr>
          <w:p w:rsidR="0082793D" w:rsidRPr="0082793D" w:rsidRDefault="0082793D" w:rsidP="009F79B3">
            <w:pPr>
              <w:keepNext/>
              <w:widowControl/>
              <w:jc w:val="right"/>
              <w:rPr>
                <w:rFonts w:ascii="Arial Narrow" w:hAnsi="Arial Narrow" w:cstheme="minorHAnsi"/>
                <w:b/>
                <w:bCs/>
                <w:sz w:val="20"/>
              </w:rPr>
            </w:pPr>
            <w:r w:rsidRPr="0082793D">
              <w:rPr>
                <w:rFonts w:ascii="Arial Narrow" w:hAnsi="Arial Narrow" w:cstheme="minorHAnsi"/>
                <w:b/>
                <w:bCs/>
                <w:sz w:val="20"/>
              </w:rPr>
              <w:t>$</w:t>
            </w:r>
            <w:r w:rsidR="002A4E9A">
              <w:rPr>
                <w:rFonts w:ascii="Arial Narrow" w:hAnsi="Arial Narrow" w:cstheme="minorHAnsi"/>
                <w:b/>
                <w:bCs/>
                <w:noProof/>
                <w:color w:val="000000"/>
                <w:sz w:val="20"/>
                <w:highlight w:val="black"/>
              </w:rPr>
              <w:t>''''''''''''''''''''''</w:t>
            </w:r>
            <w:r w:rsidRPr="0082793D">
              <w:rPr>
                <w:rFonts w:ascii="Arial Narrow" w:hAnsi="Arial Narrow" w:cstheme="minorHAnsi"/>
                <w:b/>
                <w:bCs/>
                <w:sz w:val="20"/>
              </w:rPr>
              <w:t xml:space="preserve"> </w:t>
            </w:r>
          </w:p>
        </w:tc>
        <w:tc>
          <w:tcPr>
            <w:tcW w:w="594" w:type="pct"/>
            <w:shd w:val="clear" w:color="auto" w:fill="auto"/>
            <w:vAlign w:val="center"/>
          </w:tcPr>
          <w:p w:rsidR="0082793D" w:rsidRPr="0082793D" w:rsidRDefault="0082793D" w:rsidP="009F79B3">
            <w:pPr>
              <w:keepNext/>
              <w:widowControl/>
              <w:jc w:val="right"/>
              <w:rPr>
                <w:rFonts w:ascii="Arial Narrow" w:hAnsi="Arial Narrow" w:cstheme="minorHAnsi"/>
                <w:b/>
                <w:bCs/>
                <w:sz w:val="20"/>
              </w:rPr>
            </w:pPr>
            <w:r w:rsidRPr="0082793D">
              <w:rPr>
                <w:rFonts w:ascii="Arial Narrow" w:hAnsi="Arial Narrow" w:cstheme="minorHAnsi"/>
                <w:b/>
                <w:bCs/>
                <w:sz w:val="20"/>
              </w:rPr>
              <w:t>$</w:t>
            </w:r>
            <w:r w:rsidR="002A4E9A">
              <w:rPr>
                <w:rFonts w:ascii="Arial Narrow" w:hAnsi="Arial Narrow" w:cstheme="minorHAnsi"/>
                <w:b/>
                <w:bCs/>
                <w:noProof/>
                <w:color w:val="000000"/>
                <w:sz w:val="20"/>
                <w:highlight w:val="black"/>
              </w:rPr>
              <w:t>''''''''''''''''''''</w:t>
            </w:r>
            <w:r w:rsidRPr="0082793D">
              <w:rPr>
                <w:rFonts w:ascii="Arial Narrow" w:hAnsi="Arial Narrow" w:cstheme="minorHAnsi"/>
                <w:b/>
                <w:bCs/>
                <w:sz w:val="20"/>
              </w:rPr>
              <w:t xml:space="preserve"> </w:t>
            </w:r>
          </w:p>
        </w:tc>
        <w:tc>
          <w:tcPr>
            <w:tcW w:w="677" w:type="pct"/>
            <w:shd w:val="clear" w:color="auto" w:fill="auto"/>
            <w:vAlign w:val="center"/>
          </w:tcPr>
          <w:p w:rsidR="0082793D" w:rsidRPr="0082793D" w:rsidRDefault="0082793D" w:rsidP="009F79B3">
            <w:pPr>
              <w:keepNext/>
              <w:widowControl/>
              <w:jc w:val="right"/>
              <w:rPr>
                <w:rFonts w:ascii="Arial Narrow" w:hAnsi="Arial Narrow" w:cstheme="minorHAnsi"/>
                <w:b/>
                <w:bCs/>
                <w:sz w:val="20"/>
              </w:rPr>
            </w:pPr>
            <w:r w:rsidRPr="0082793D">
              <w:rPr>
                <w:rFonts w:ascii="Arial Narrow" w:hAnsi="Arial Narrow" w:cstheme="minorHAnsi"/>
                <w:b/>
                <w:bCs/>
                <w:sz w:val="20"/>
              </w:rPr>
              <w:t>$</w:t>
            </w:r>
            <w:r w:rsidR="002A4E9A">
              <w:rPr>
                <w:rFonts w:ascii="Arial Narrow" w:hAnsi="Arial Narrow" w:cstheme="minorHAnsi"/>
                <w:b/>
                <w:bCs/>
                <w:noProof/>
                <w:color w:val="000000"/>
                <w:sz w:val="20"/>
                <w:highlight w:val="black"/>
              </w:rPr>
              <w:t>'''''''''''''''''''</w:t>
            </w:r>
            <w:r w:rsidRPr="0082793D">
              <w:rPr>
                <w:rFonts w:ascii="Arial Narrow" w:hAnsi="Arial Narrow" w:cstheme="minorHAnsi"/>
                <w:b/>
                <w:bCs/>
                <w:sz w:val="20"/>
              </w:rPr>
              <w:t xml:space="preserve"> </w:t>
            </w:r>
          </w:p>
        </w:tc>
      </w:tr>
    </w:tbl>
    <w:p w:rsidR="0082793D" w:rsidRPr="00714007" w:rsidRDefault="0082793D" w:rsidP="000A7EB2">
      <w:pPr>
        <w:pStyle w:val="TableFooter"/>
        <w:widowControl/>
        <w:tabs>
          <w:tab w:val="left" w:pos="142"/>
        </w:tabs>
        <w:ind w:firstLine="709"/>
        <w:rPr>
          <w:szCs w:val="22"/>
        </w:rPr>
      </w:pPr>
      <w:r w:rsidRPr="00714007">
        <w:rPr>
          <w:sz w:val="16"/>
          <w:szCs w:val="18"/>
        </w:rPr>
        <w:t xml:space="preserve">Source: Table </w:t>
      </w:r>
      <w:r>
        <w:rPr>
          <w:sz w:val="16"/>
          <w:szCs w:val="18"/>
        </w:rPr>
        <w:t>11, page 15 of Commentary with updated estimates from the PSCR, page 7</w:t>
      </w:r>
    </w:p>
    <w:p w:rsidR="00E6468F" w:rsidRDefault="00E6468F" w:rsidP="000A7EB2">
      <w:pPr>
        <w:pStyle w:val="ListParagraph"/>
        <w:widowControl/>
      </w:pPr>
    </w:p>
    <w:p w:rsidR="00F33B4E" w:rsidRPr="00024038" w:rsidRDefault="00F33B4E" w:rsidP="00F33B4E">
      <w:pPr>
        <w:pStyle w:val="ListParagraph"/>
        <w:widowControl/>
        <w:numPr>
          <w:ilvl w:val="1"/>
          <w:numId w:val="1"/>
        </w:numPr>
        <w:rPr>
          <w:szCs w:val="22"/>
        </w:rPr>
      </w:pPr>
      <w:bookmarkStart w:id="17" w:name="_Toc461529336"/>
      <w:r w:rsidRPr="00024038">
        <w:rPr>
          <w:szCs w:val="22"/>
        </w:rPr>
        <w:t>The pre-PBAC response stated that the revised estimates in the PSCR are the upper limit of the potential budget impact for irinotecan (nanoliposomal).</w:t>
      </w:r>
    </w:p>
    <w:p w:rsidR="00F33B4E" w:rsidRDefault="00F33B4E" w:rsidP="00A2033A"/>
    <w:p w:rsidR="00576972" w:rsidRPr="00730F13" w:rsidRDefault="00576972" w:rsidP="000A7EB2">
      <w:pPr>
        <w:pStyle w:val="Heading2"/>
        <w:keepNext/>
        <w:rPr>
          <w:szCs w:val="22"/>
        </w:rPr>
      </w:pPr>
      <w:r w:rsidRPr="00730F13">
        <w:lastRenderedPageBreak/>
        <w:t>Financial Management – Risk Sharing Arrangements</w:t>
      </w:r>
      <w:bookmarkEnd w:id="17"/>
    </w:p>
    <w:p w:rsidR="00C25D9C" w:rsidRPr="00576972" w:rsidRDefault="00C25D9C" w:rsidP="000A7EB2">
      <w:pPr>
        <w:keepNext/>
        <w:widowControl/>
        <w:rPr>
          <w:szCs w:val="22"/>
        </w:rPr>
      </w:pPr>
    </w:p>
    <w:p w:rsidR="00C25D9C" w:rsidRPr="008477EA" w:rsidRDefault="008477EA" w:rsidP="000A7EB2">
      <w:pPr>
        <w:pStyle w:val="ListParagraph"/>
        <w:widowControl/>
        <w:numPr>
          <w:ilvl w:val="1"/>
          <w:numId w:val="1"/>
        </w:numPr>
        <w:rPr>
          <w:szCs w:val="22"/>
        </w:rPr>
      </w:pPr>
      <w:r>
        <w:t xml:space="preserve">The sponsor proposed a special pricing arrangement based on a </w:t>
      </w:r>
      <w:r w:rsidR="002A4E9A">
        <w:rPr>
          <w:noProof/>
          <w:color w:val="000000"/>
          <w:highlight w:val="black"/>
        </w:rPr>
        <w:t>'''''''''''</w:t>
      </w:r>
      <w:r>
        <w:t xml:space="preserve">% rebate of the proposed published ex-manufacturer price for each vial of </w:t>
      </w:r>
      <w:r w:rsidR="0017280C">
        <w:t>irinotecan (nanoliposomal)</w:t>
      </w:r>
      <w:r w:rsidR="00565E3A">
        <w:t>.</w:t>
      </w:r>
      <w:r>
        <w:t xml:space="preserve"> </w:t>
      </w:r>
      <w:r w:rsidR="00565E3A">
        <w:t>T</w:t>
      </w:r>
      <w:r w:rsidR="008D342B">
        <w:t xml:space="preserve">he </w:t>
      </w:r>
      <w:r w:rsidR="00565E3A">
        <w:t xml:space="preserve">proposed effective </w:t>
      </w:r>
      <w:r w:rsidR="008D342B">
        <w:t xml:space="preserve">DPMA (maximum amount of 200 mg) </w:t>
      </w:r>
      <w:r w:rsidR="00565E3A">
        <w:t xml:space="preserve">is </w:t>
      </w:r>
      <w:r w:rsidR="0067063C">
        <w:t>summarised in the table below.</w:t>
      </w:r>
    </w:p>
    <w:p w:rsidR="008477EA" w:rsidRPr="008477EA" w:rsidRDefault="008477EA" w:rsidP="000A7EB2">
      <w:pPr>
        <w:pStyle w:val="ListParagraph"/>
        <w:widowControl/>
        <w:rPr>
          <w:szCs w:val="22"/>
        </w:rPr>
      </w:pPr>
    </w:p>
    <w:p w:rsidR="008477EA" w:rsidRPr="006E6B08" w:rsidRDefault="0088337A" w:rsidP="000A7EB2">
      <w:pPr>
        <w:widowControl/>
        <w:ind w:firstLine="720"/>
        <w:rPr>
          <w:rStyle w:val="CommentReference"/>
        </w:rPr>
      </w:pPr>
      <w:r>
        <w:rPr>
          <w:rStyle w:val="CommentReference"/>
        </w:rPr>
        <w:t>Table 1</w:t>
      </w:r>
      <w:r w:rsidR="00313EF0">
        <w:rPr>
          <w:rStyle w:val="CommentReference"/>
        </w:rPr>
        <w:t>2</w:t>
      </w:r>
      <w:r w:rsidR="008477EA">
        <w:rPr>
          <w:rStyle w:val="CommentReference"/>
        </w:rPr>
        <w:t>: Proposed special pricing arrangement</w:t>
      </w:r>
    </w:p>
    <w:tbl>
      <w:tblPr>
        <w:tblStyle w:val="TableGrid"/>
        <w:tblW w:w="0" w:type="auto"/>
        <w:tblInd w:w="817" w:type="dxa"/>
        <w:tblLook w:val="04A0" w:firstRow="1" w:lastRow="0" w:firstColumn="1" w:lastColumn="0" w:noHBand="0" w:noVBand="1"/>
        <w:tblCaption w:val="Table 12: Proposed special pricing arrangement"/>
        <w:tblDescription w:val="Table 12: Proposed special pricing arrangement"/>
      </w:tblPr>
      <w:tblGrid>
        <w:gridCol w:w="1843"/>
        <w:gridCol w:w="3260"/>
        <w:gridCol w:w="3260"/>
      </w:tblGrid>
      <w:tr w:rsidR="008477EA" w:rsidRPr="006E6B08" w:rsidTr="000D5960">
        <w:trPr>
          <w:tblHeader/>
        </w:trPr>
        <w:tc>
          <w:tcPr>
            <w:tcW w:w="1843" w:type="dxa"/>
          </w:tcPr>
          <w:p w:rsidR="008477EA" w:rsidRPr="006E6B08" w:rsidRDefault="008477EA" w:rsidP="000A7EB2">
            <w:pPr>
              <w:widowControl/>
              <w:rPr>
                <w:rFonts w:ascii="Arial Narrow" w:hAnsi="Arial Narrow"/>
                <w:b/>
                <w:sz w:val="20"/>
              </w:rPr>
            </w:pPr>
          </w:p>
        </w:tc>
        <w:tc>
          <w:tcPr>
            <w:tcW w:w="3260" w:type="dxa"/>
          </w:tcPr>
          <w:p w:rsidR="008477EA" w:rsidRPr="006E6B08" w:rsidRDefault="008477EA" w:rsidP="000A7EB2">
            <w:pPr>
              <w:widowControl/>
              <w:jc w:val="center"/>
              <w:rPr>
                <w:rFonts w:ascii="Arial Narrow" w:hAnsi="Arial Narrow"/>
                <w:b/>
                <w:sz w:val="20"/>
              </w:rPr>
            </w:pPr>
            <w:r w:rsidRPr="006E6B08">
              <w:rPr>
                <w:rFonts w:ascii="Arial Narrow" w:hAnsi="Arial Narrow"/>
                <w:b/>
                <w:sz w:val="20"/>
              </w:rPr>
              <w:t>Published</w:t>
            </w:r>
          </w:p>
        </w:tc>
        <w:tc>
          <w:tcPr>
            <w:tcW w:w="3260" w:type="dxa"/>
          </w:tcPr>
          <w:p w:rsidR="008477EA" w:rsidRPr="006E6B08" w:rsidRDefault="008477EA" w:rsidP="000A7EB2">
            <w:pPr>
              <w:widowControl/>
              <w:jc w:val="center"/>
              <w:rPr>
                <w:rFonts w:ascii="Arial Narrow" w:hAnsi="Arial Narrow"/>
                <w:b/>
                <w:sz w:val="20"/>
              </w:rPr>
            </w:pPr>
            <w:r w:rsidRPr="006E6B08">
              <w:rPr>
                <w:rFonts w:ascii="Arial Narrow" w:hAnsi="Arial Narrow"/>
                <w:b/>
                <w:sz w:val="20"/>
              </w:rPr>
              <w:t>Effective</w:t>
            </w:r>
          </w:p>
        </w:tc>
      </w:tr>
      <w:tr w:rsidR="008477EA" w:rsidRPr="006E6B08" w:rsidTr="00CC23F9">
        <w:tc>
          <w:tcPr>
            <w:tcW w:w="1843" w:type="dxa"/>
          </w:tcPr>
          <w:p w:rsidR="008477EA" w:rsidRPr="006E6B08" w:rsidRDefault="008477EA" w:rsidP="000A7EB2">
            <w:pPr>
              <w:widowControl/>
              <w:rPr>
                <w:rFonts w:ascii="Arial Narrow" w:hAnsi="Arial Narrow"/>
                <w:sz w:val="20"/>
              </w:rPr>
            </w:pPr>
            <w:r w:rsidRPr="006E6B08">
              <w:rPr>
                <w:rFonts w:ascii="Arial Narrow" w:hAnsi="Arial Narrow"/>
                <w:sz w:val="20"/>
              </w:rPr>
              <w:t>Proposed AEMP</w:t>
            </w:r>
          </w:p>
        </w:tc>
        <w:tc>
          <w:tcPr>
            <w:tcW w:w="3260" w:type="dxa"/>
          </w:tcPr>
          <w:p w:rsidR="008477EA" w:rsidRPr="006E6B08" w:rsidRDefault="008477EA"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c>
          <w:tcPr>
            <w:tcW w:w="3260" w:type="dxa"/>
          </w:tcPr>
          <w:p w:rsidR="008477EA" w:rsidRPr="006E6B08" w:rsidRDefault="008477EA"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r>
      <w:tr w:rsidR="008477EA" w:rsidRPr="006E6B08" w:rsidTr="00CC23F9">
        <w:tc>
          <w:tcPr>
            <w:tcW w:w="1843" w:type="dxa"/>
            <w:vAlign w:val="center"/>
          </w:tcPr>
          <w:p w:rsidR="008477EA" w:rsidRPr="006E6B08" w:rsidRDefault="008477EA" w:rsidP="000A7EB2">
            <w:pPr>
              <w:widowControl/>
              <w:rPr>
                <w:rFonts w:ascii="Arial Narrow" w:hAnsi="Arial Narrow"/>
                <w:sz w:val="20"/>
              </w:rPr>
            </w:pPr>
            <w:r w:rsidRPr="006E6B08">
              <w:rPr>
                <w:rFonts w:ascii="Arial Narrow" w:hAnsi="Arial Narrow"/>
                <w:sz w:val="20"/>
              </w:rPr>
              <w:t>DPMA</w:t>
            </w:r>
            <w:r w:rsidR="008D342B">
              <w:rPr>
                <w:rFonts w:ascii="Arial Narrow" w:hAnsi="Arial Narrow"/>
                <w:sz w:val="20"/>
              </w:rPr>
              <w:t xml:space="preserve"> (Public)</w:t>
            </w:r>
          </w:p>
        </w:tc>
        <w:tc>
          <w:tcPr>
            <w:tcW w:w="3260" w:type="dxa"/>
            <w:vAlign w:val="center"/>
          </w:tcPr>
          <w:p w:rsidR="008477EA" w:rsidRPr="002A4E9A" w:rsidRDefault="002A4E9A" w:rsidP="000A7EB2">
            <w:pPr>
              <w:widowControl/>
              <w:jc w:val="center"/>
              <w:rPr>
                <w:rFonts w:ascii="Arial Narrow" w:hAnsi="Arial Narrow"/>
                <w:sz w:val="20"/>
                <w:highlight w:val="black"/>
              </w:rPr>
            </w:pPr>
            <w:r>
              <w:rPr>
                <w:rFonts w:ascii="Arial Narrow" w:hAnsi="Arial Narrow"/>
                <w:noProof/>
                <w:color w:val="000000"/>
                <w:sz w:val="20"/>
                <w:highlight w:val="black"/>
              </w:rPr>
              <w:t>'''''''''''''''''''''''''</w:t>
            </w:r>
          </w:p>
        </w:tc>
        <w:tc>
          <w:tcPr>
            <w:tcW w:w="3260" w:type="dxa"/>
            <w:vAlign w:val="center"/>
          </w:tcPr>
          <w:p w:rsidR="008477EA" w:rsidRPr="006E6B08" w:rsidRDefault="008D342B"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r>
      <w:tr w:rsidR="008D342B" w:rsidRPr="006E6B08" w:rsidTr="00CC23F9">
        <w:tc>
          <w:tcPr>
            <w:tcW w:w="1843" w:type="dxa"/>
            <w:vAlign w:val="center"/>
          </w:tcPr>
          <w:p w:rsidR="008D342B" w:rsidRPr="006E6B08" w:rsidRDefault="008D342B" w:rsidP="000A7EB2">
            <w:pPr>
              <w:widowControl/>
              <w:rPr>
                <w:rFonts w:ascii="Arial Narrow" w:hAnsi="Arial Narrow"/>
                <w:sz w:val="20"/>
              </w:rPr>
            </w:pPr>
            <w:r w:rsidRPr="006E6B08">
              <w:rPr>
                <w:rFonts w:ascii="Arial Narrow" w:hAnsi="Arial Narrow"/>
                <w:sz w:val="20"/>
              </w:rPr>
              <w:t>DPMA</w:t>
            </w:r>
            <w:r>
              <w:rPr>
                <w:rFonts w:ascii="Arial Narrow" w:hAnsi="Arial Narrow"/>
                <w:sz w:val="20"/>
              </w:rPr>
              <w:t xml:space="preserve"> (Private)</w:t>
            </w:r>
          </w:p>
        </w:tc>
        <w:tc>
          <w:tcPr>
            <w:tcW w:w="3260" w:type="dxa"/>
            <w:vAlign w:val="center"/>
          </w:tcPr>
          <w:p w:rsidR="008D342B" w:rsidRDefault="008D342B"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c>
          <w:tcPr>
            <w:tcW w:w="3260" w:type="dxa"/>
            <w:vAlign w:val="center"/>
          </w:tcPr>
          <w:p w:rsidR="008D342B" w:rsidRDefault="008D342B" w:rsidP="000A7EB2">
            <w:pPr>
              <w:widowControl/>
              <w:jc w:val="center"/>
              <w:rPr>
                <w:rFonts w:ascii="Arial Narrow" w:hAnsi="Arial Narrow"/>
                <w:sz w:val="20"/>
              </w:rPr>
            </w:pPr>
            <w:r>
              <w:rPr>
                <w:rFonts w:ascii="Arial Narrow" w:hAnsi="Arial Narrow"/>
                <w:sz w:val="20"/>
              </w:rPr>
              <w:t>$</w:t>
            </w:r>
            <w:r w:rsidR="002A4E9A">
              <w:rPr>
                <w:rFonts w:ascii="Arial Narrow" w:hAnsi="Arial Narrow"/>
                <w:noProof/>
                <w:color w:val="000000"/>
                <w:sz w:val="20"/>
                <w:highlight w:val="black"/>
              </w:rPr>
              <w:t>'''''''''''''''''''</w:t>
            </w:r>
          </w:p>
        </w:tc>
      </w:tr>
    </w:tbl>
    <w:p w:rsidR="008477EA" w:rsidRDefault="008477EA" w:rsidP="000A7EB2">
      <w:pPr>
        <w:pStyle w:val="TableFooter"/>
        <w:widowControl/>
        <w:ind w:firstLine="720"/>
      </w:pPr>
      <w:r>
        <w:t>Source: p15 of the submission</w:t>
      </w:r>
    </w:p>
    <w:p w:rsidR="008477EA" w:rsidRDefault="008477EA" w:rsidP="000A7EB2">
      <w:pPr>
        <w:pStyle w:val="TableFooter"/>
        <w:widowControl/>
        <w:ind w:firstLine="720"/>
      </w:pPr>
      <w:r>
        <w:t xml:space="preserve">Abbreviations: AEMP, agreed ex-manufacturer price, DPMA, dispensed price maximum amount </w:t>
      </w:r>
    </w:p>
    <w:p w:rsidR="008477EA" w:rsidRPr="009F4262" w:rsidRDefault="008477EA" w:rsidP="000A7EB2">
      <w:pPr>
        <w:pStyle w:val="TableFooter"/>
        <w:widowControl/>
        <w:ind w:left="720"/>
      </w:pPr>
      <w:r>
        <w:t>Note: The proposed</w:t>
      </w:r>
      <w:r w:rsidRPr="00A527BC">
        <w:t xml:space="preserve"> prices </w:t>
      </w:r>
      <w:r>
        <w:t xml:space="preserve">were estimates based on ex-manufacturer price (and 1.4% mark-up for private hospital) and efficient funding of chemotherapy fees as of 1 July 2015. There was a slight increase in efficient funding of chemotherapy fees from 1 July 2016 that would have minimal impact on the economic analysis and financial estimates. </w:t>
      </w:r>
    </w:p>
    <w:p w:rsidR="00BD188D" w:rsidRDefault="00BD188D" w:rsidP="000A7EB2">
      <w:pPr>
        <w:widowControl/>
        <w:contextualSpacing/>
        <w:rPr>
          <w:bCs/>
          <w:i/>
          <w:szCs w:val="22"/>
        </w:rPr>
      </w:pPr>
    </w:p>
    <w:p w:rsidR="002F7497" w:rsidRDefault="002F7497" w:rsidP="000A7EB2">
      <w:pPr>
        <w:widowControl/>
        <w:ind w:firstLine="709"/>
        <w:contextualSpacing/>
        <w:rPr>
          <w:bCs/>
          <w:i/>
          <w:szCs w:val="22"/>
        </w:rPr>
      </w:pPr>
      <w:r w:rsidRPr="00E6468F">
        <w:rPr>
          <w:i/>
          <w:szCs w:val="22"/>
        </w:rPr>
        <w:t>For more detail on PBAC’s view, see section 7 “PBAC outcome”</w:t>
      </w:r>
      <w:r w:rsidR="004C613D">
        <w:rPr>
          <w:i/>
          <w:szCs w:val="22"/>
        </w:rPr>
        <w:t>.</w:t>
      </w:r>
    </w:p>
    <w:p w:rsidR="0042578A" w:rsidRDefault="0042578A" w:rsidP="000A7EB2">
      <w:pPr>
        <w:widowControl/>
        <w:contextualSpacing/>
        <w:rPr>
          <w:bCs/>
          <w:szCs w:val="22"/>
        </w:rPr>
      </w:pPr>
    </w:p>
    <w:p w:rsidR="00B62F42" w:rsidRDefault="00B62F42" w:rsidP="000A7EB2">
      <w:pPr>
        <w:widowControl/>
        <w:contextualSpacing/>
        <w:rPr>
          <w:bCs/>
          <w:szCs w:val="22"/>
        </w:rPr>
      </w:pPr>
    </w:p>
    <w:p w:rsidR="00B62F42" w:rsidRPr="0082793D" w:rsidRDefault="00B62F42" w:rsidP="000A7EB2">
      <w:pPr>
        <w:widowControl/>
        <w:numPr>
          <w:ilvl w:val="0"/>
          <w:numId w:val="1"/>
        </w:numPr>
        <w:outlineLvl w:val="0"/>
        <w:rPr>
          <w:b/>
          <w:bCs/>
        </w:rPr>
      </w:pPr>
      <w:r w:rsidRPr="0082793D">
        <w:rPr>
          <w:b/>
          <w:bCs/>
        </w:rPr>
        <w:t>PBAC Outcome</w:t>
      </w:r>
    </w:p>
    <w:p w:rsidR="00B62F42" w:rsidRPr="00C65399" w:rsidRDefault="00B62F42" w:rsidP="000A7EB2">
      <w:pPr>
        <w:widowControl/>
        <w:rPr>
          <w:b/>
          <w:bCs/>
          <w:lang w:val="en-GB"/>
        </w:rPr>
      </w:pPr>
    </w:p>
    <w:p w:rsidR="00C65399" w:rsidRPr="00C65399" w:rsidRDefault="007A3686" w:rsidP="00C65399">
      <w:pPr>
        <w:widowControl/>
        <w:numPr>
          <w:ilvl w:val="1"/>
          <w:numId w:val="1"/>
        </w:numPr>
        <w:rPr>
          <w:bCs/>
          <w:lang w:val="en-GB"/>
        </w:rPr>
      </w:pPr>
      <w:r w:rsidRPr="00C65399">
        <w:rPr>
          <w:bCs/>
          <w:szCs w:val="22"/>
        </w:rPr>
        <w:t xml:space="preserve">The PBAC </w:t>
      </w:r>
      <w:r w:rsidR="00D0156E">
        <w:rPr>
          <w:bCs/>
          <w:szCs w:val="22"/>
        </w:rPr>
        <w:t>did</w:t>
      </w:r>
      <w:r w:rsidR="00D0156E" w:rsidRPr="00C65399">
        <w:rPr>
          <w:bCs/>
          <w:szCs w:val="22"/>
        </w:rPr>
        <w:t xml:space="preserve"> </w:t>
      </w:r>
      <w:r w:rsidR="00BD33B4" w:rsidRPr="00C65399">
        <w:rPr>
          <w:bCs/>
          <w:szCs w:val="22"/>
        </w:rPr>
        <w:t>not recommend</w:t>
      </w:r>
      <w:r w:rsidRPr="00C65399">
        <w:rPr>
          <w:bCs/>
          <w:szCs w:val="22"/>
        </w:rPr>
        <w:t xml:space="preserve"> the listing of </w:t>
      </w:r>
      <w:r w:rsidRPr="00C65399">
        <w:t xml:space="preserve">irinotecan </w:t>
      </w:r>
      <w:r w:rsidR="007C0CCC" w:rsidRPr="00C65399">
        <w:t>(in the form of I.V. injection containing nanoliposomal irinotecan 43 mg in 10 mL, referred to as irinotecan (nanoliposomal))</w:t>
      </w:r>
      <w:r w:rsidR="00DB0C6A" w:rsidRPr="00C65399">
        <w:t xml:space="preserve"> in combination with 5-FU/folinic acid</w:t>
      </w:r>
      <w:r w:rsidRPr="00C65399">
        <w:t xml:space="preserve"> for the treatment of metastatic pancreatic adenocarcinoma in adult patients with disease progression who have previously received gemcitabine-based therapy</w:t>
      </w:r>
      <w:r w:rsidR="00C65399">
        <w:t xml:space="preserve">. This decision was made on </w:t>
      </w:r>
      <w:r w:rsidR="00E61C56">
        <w:t xml:space="preserve">the </w:t>
      </w:r>
      <w:r w:rsidR="00C65399">
        <w:t xml:space="preserve">basis of an </w:t>
      </w:r>
      <w:r w:rsidRPr="00C65399">
        <w:rPr>
          <w:bCs/>
          <w:szCs w:val="22"/>
        </w:rPr>
        <w:t>unacceptably high</w:t>
      </w:r>
      <w:r w:rsidR="00C65399">
        <w:rPr>
          <w:bCs/>
          <w:szCs w:val="22"/>
        </w:rPr>
        <w:t xml:space="preserve"> incremental </w:t>
      </w:r>
      <w:r w:rsidR="0071140E" w:rsidRPr="00C65399">
        <w:rPr>
          <w:bCs/>
          <w:szCs w:val="22"/>
        </w:rPr>
        <w:t>cost</w:t>
      </w:r>
      <w:r w:rsidR="00C65399">
        <w:rPr>
          <w:bCs/>
          <w:szCs w:val="22"/>
        </w:rPr>
        <w:t xml:space="preserve"> for </w:t>
      </w:r>
      <w:r w:rsidR="00C65399" w:rsidRPr="00C65399">
        <w:rPr>
          <w:bCs/>
          <w:szCs w:val="22"/>
        </w:rPr>
        <w:t>a</w:t>
      </w:r>
      <w:r w:rsidR="007D3496">
        <w:rPr>
          <w:bCs/>
          <w:szCs w:val="22"/>
        </w:rPr>
        <w:t xml:space="preserve"> modest and </w:t>
      </w:r>
      <w:r w:rsidR="00C65399">
        <w:rPr>
          <w:bCs/>
          <w:szCs w:val="22"/>
        </w:rPr>
        <w:t xml:space="preserve">uncertain </w:t>
      </w:r>
      <w:r w:rsidR="00C65399" w:rsidRPr="00C65399">
        <w:rPr>
          <w:bCs/>
          <w:szCs w:val="22"/>
        </w:rPr>
        <w:t>incremental clinical benefit</w:t>
      </w:r>
      <w:r w:rsidR="003C42D6" w:rsidRPr="00C65399">
        <w:t>.</w:t>
      </w:r>
    </w:p>
    <w:p w:rsidR="00106658" w:rsidRPr="0082793D" w:rsidRDefault="00C65399" w:rsidP="00C65399">
      <w:pPr>
        <w:widowControl/>
        <w:ind w:left="720"/>
        <w:rPr>
          <w:bCs/>
          <w:highlight w:val="yellow"/>
          <w:lang w:val="en-GB"/>
        </w:rPr>
      </w:pPr>
      <w:r w:rsidRPr="00FC3F98" w:rsidDel="003C42D6">
        <w:rPr>
          <w:bCs/>
          <w:highlight w:val="yellow"/>
          <w:lang w:val="en-GB"/>
        </w:rPr>
        <w:t xml:space="preserve"> </w:t>
      </w:r>
    </w:p>
    <w:p w:rsidR="00106658" w:rsidRPr="001B6F84" w:rsidRDefault="00106658" w:rsidP="001B6F84">
      <w:pPr>
        <w:widowControl/>
        <w:numPr>
          <w:ilvl w:val="1"/>
          <w:numId w:val="1"/>
        </w:numPr>
        <w:rPr>
          <w:bCs/>
          <w:lang w:val="en-GB"/>
        </w:rPr>
      </w:pPr>
      <w:r w:rsidRPr="009D1240">
        <w:rPr>
          <w:szCs w:val="22"/>
        </w:rPr>
        <w:t xml:space="preserve">The PBAC noted and welcomed the </w:t>
      </w:r>
      <w:r>
        <w:rPr>
          <w:szCs w:val="22"/>
        </w:rPr>
        <w:t>consumer comments received relating to this submission</w:t>
      </w:r>
      <w:r w:rsidR="001B6F84">
        <w:rPr>
          <w:szCs w:val="22"/>
        </w:rPr>
        <w:t xml:space="preserve">, including from the </w:t>
      </w:r>
      <w:r w:rsidR="001B6F84" w:rsidRPr="009D1240">
        <w:rPr>
          <w:szCs w:val="22"/>
        </w:rPr>
        <w:t xml:space="preserve">Medical Oncology Group of Australia, Pancare Foundation and Rare Cancers Australia via the Consumer Comments facility on the PBS website. The PBAC acknowledged the </w:t>
      </w:r>
      <w:r w:rsidR="001B6F84">
        <w:rPr>
          <w:szCs w:val="22"/>
        </w:rPr>
        <w:t xml:space="preserve">high clinical </w:t>
      </w:r>
      <w:r w:rsidR="001B6F84" w:rsidRPr="001B6F84">
        <w:rPr>
          <w:szCs w:val="22"/>
        </w:rPr>
        <w:t>need for effective</w:t>
      </w:r>
      <w:r w:rsidR="001B6F84">
        <w:rPr>
          <w:szCs w:val="22"/>
        </w:rPr>
        <w:t xml:space="preserve"> and</w:t>
      </w:r>
      <w:r w:rsidR="001B6F84" w:rsidRPr="001B6F84">
        <w:rPr>
          <w:szCs w:val="22"/>
        </w:rPr>
        <w:t xml:space="preserve"> </w:t>
      </w:r>
      <w:r w:rsidR="00565E3A">
        <w:rPr>
          <w:szCs w:val="22"/>
        </w:rPr>
        <w:t xml:space="preserve">well-tolerated </w:t>
      </w:r>
      <w:r w:rsidR="001B6F84" w:rsidRPr="001B6F84">
        <w:rPr>
          <w:szCs w:val="22"/>
        </w:rPr>
        <w:t>therapies for metastatic pancreatic adenocarcinoma</w:t>
      </w:r>
      <w:r>
        <w:t>, particularly in the context of the poor prognosis for this condition</w:t>
      </w:r>
      <w:r w:rsidRPr="001B6F84">
        <w:rPr>
          <w:szCs w:val="22"/>
        </w:rPr>
        <w:t>.</w:t>
      </w:r>
    </w:p>
    <w:p w:rsidR="007A3686" w:rsidRPr="0082793D" w:rsidRDefault="007A3686" w:rsidP="000A7EB2">
      <w:pPr>
        <w:widowControl/>
        <w:ind w:left="720"/>
        <w:rPr>
          <w:bCs/>
          <w:highlight w:val="yellow"/>
          <w:lang w:val="en-GB"/>
        </w:rPr>
      </w:pPr>
    </w:p>
    <w:p w:rsidR="00FC03DC" w:rsidRPr="002D1C4D" w:rsidRDefault="008A3F68" w:rsidP="00933298">
      <w:pPr>
        <w:widowControl/>
        <w:numPr>
          <w:ilvl w:val="1"/>
          <w:numId w:val="1"/>
        </w:numPr>
        <w:rPr>
          <w:bCs/>
          <w:lang w:val="en-GB"/>
        </w:rPr>
      </w:pPr>
      <w:r w:rsidRPr="002D1C4D">
        <w:t xml:space="preserve">The PBAC </w:t>
      </w:r>
      <w:r w:rsidR="008765B8" w:rsidRPr="002D1C4D">
        <w:t>noted</w:t>
      </w:r>
      <w:r w:rsidR="0058712B">
        <w:t xml:space="preserve"> and accepted</w:t>
      </w:r>
      <w:r w:rsidR="00DB0C6A" w:rsidRPr="002D1C4D">
        <w:t xml:space="preserve"> </w:t>
      </w:r>
      <w:r w:rsidRPr="002D1C4D">
        <w:t xml:space="preserve">the </w:t>
      </w:r>
      <w:r w:rsidR="008765B8" w:rsidRPr="002D1C4D">
        <w:t>submission</w:t>
      </w:r>
      <w:r w:rsidR="00DB0C6A" w:rsidRPr="002D1C4D">
        <w:t xml:space="preserve">’s proposed clinical place for </w:t>
      </w:r>
      <w:r w:rsidR="008765B8" w:rsidRPr="002D1C4D">
        <w:t>irinotecan (nanoliposomal)</w:t>
      </w:r>
      <w:r w:rsidR="00DB0C6A" w:rsidRPr="002D1C4D">
        <w:t xml:space="preserve"> </w:t>
      </w:r>
      <w:r w:rsidR="008765B8" w:rsidRPr="002D1C4D">
        <w:t xml:space="preserve">as an alternative </w:t>
      </w:r>
      <w:r w:rsidRPr="002D1C4D">
        <w:t>treatment</w:t>
      </w:r>
      <w:r w:rsidR="008765B8" w:rsidRPr="002D1C4D">
        <w:t xml:space="preserve"> in patients with metastatic pancreatic adenocarcinoma who have disease progression after previous treatment with </w:t>
      </w:r>
      <w:r w:rsidRPr="002D1C4D">
        <w:t>gemcitabine-based therapy</w:t>
      </w:r>
      <w:r w:rsidRPr="00D0156E">
        <w:rPr>
          <w:szCs w:val="22"/>
        </w:rPr>
        <w:t>.</w:t>
      </w:r>
      <w:r w:rsidR="002D1C4D" w:rsidRPr="00D0156E">
        <w:rPr>
          <w:szCs w:val="22"/>
        </w:rPr>
        <w:t xml:space="preserve"> The </w:t>
      </w:r>
      <w:r w:rsidR="002D1C4D" w:rsidRPr="00FC640B">
        <w:rPr>
          <w:szCs w:val="22"/>
        </w:rPr>
        <w:t xml:space="preserve">PBAC noted that </w:t>
      </w:r>
      <w:r w:rsidR="004C4335" w:rsidRPr="00FC640B">
        <w:rPr>
          <w:szCs w:val="22"/>
        </w:rPr>
        <w:t>irinotecan</w:t>
      </w:r>
      <w:r w:rsidR="005E2C7B" w:rsidRPr="00FC640B">
        <w:rPr>
          <w:szCs w:val="22"/>
        </w:rPr>
        <w:t xml:space="preserve"> (in the form of </w:t>
      </w:r>
      <w:r w:rsidR="005E2C7B" w:rsidRPr="00FC640B">
        <w:rPr>
          <w:szCs w:val="22"/>
          <w:shd w:val="clear" w:color="auto" w:fill="FFFFFF"/>
        </w:rPr>
        <w:t>I.V. injection containing irinotecan hydrochloride trihydrate 500 mg in 25 mL)</w:t>
      </w:r>
      <w:r w:rsidR="004C4335" w:rsidRPr="00FC640B">
        <w:rPr>
          <w:szCs w:val="22"/>
        </w:rPr>
        <w:t xml:space="preserve"> has an unrestricted </w:t>
      </w:r>
      <w:r w:rsidR="00D0156E" w:rsidRPr="00FC640B">
        <w:rPr>
          <w:szCs w:val="22"/>
        </w:rPr>
        <w:t>Section 100 (E</w:t>
      </w:r>
      <w:r w:rsidR="0058712B" w:rsidRPr="00FC640B">
        <w:rPr>
          <w:szCs w:val="22"/>
        </w:rPr>
        <w:t>fficient F</w:t>
      </w:r>
      <w:r w:rsidR="004C4335" w:rsidRPr="00FC640B">
        <w:rPr>
          <w:szCs w:val="22"/>
        </w:rPr>
        <w:t xml:space="preserve">unding of </w:t>
      </w:r>
      <w:r w:rsidR="0058712B" w:rsidRPr="00FC640B">
        <w:rPr>
          <w:szCs w:val="22"/>
        </w:rPr>
        <w:t>C</w:t>
      </w:r>
      <w:r w:rsidR="004C4335" w:rsidRPr="00FC640B">
        <w:rPr>
          <w:szCs w:val="22"/>
        </w:rPr>
        <w:t xml:space="preserve">hemotherapy) listing. </w:t>
      </w:r>
      <w:r w:rsidR="00D0156E" w:rsidRPr="00FC640B">
        <w:rPr>
          <w:szCs w:val="22"/>
        </w:rPr>
        <w:t>T</w:t>
      </w:r>
      <w:r w:rsidR="002D1C4D" w:rsidRPr="00FC640B">
        <w:rPr>
          <w:szCs w:val="22"/>
        </w:rPr>
        <w:t xml:space="preserve">he submission </w:t>
      </w:r>
      <w:r w:rsidR="002D1C4D" w:rsidRPr="00D0156E">
        <w:rPr>
          <w:szCs w:val="22"/>
        </w:rPr>
        <w:t>did not request, or provide evidence to support, PBS-subsidised use o</w:t>
      </w:r>
      <w:r w:rsidR="002D1C4D" w:rsidRPr="002D1C4D">
        <w:rPr>
          <w:szCs w:val="22"/>
        </w:rPr>
        <w:t xml:space="preserve">f irinotecan (nanoliposomal) </w:t>
      </w:r>
      <w:r w:rsidR="00D0156E">
        <w:rPr>
          <w:szCs w:val="22"/>
        </w:rPr>
        <w:t xml:space="preserve">either as a replacement for irinotecan in </w:t>
      </w:r>
      <w:r w:rsidR="002E7C0B">
        <w:rPr>
          <w:szCs w:val="22"/>
        </w:rPr>
        <w:t xml:space="preserve">irinotecan-containing </w:t>
      </w:r>
      <w:r w:rsidR="00D0156E">
        <w:rPr>
          <w:szCs w:val="22"/>
        </w:rPr>
        <w:t>therapies</w:t>
      </w:r>
      <w:r w:rsidR="002E7C0B">
        <w:rPr>
          <w:szCs w:val="22"/>
        </w:rPr>
        <w:t>,</w:t>
      </w:r>
      <w:r w:rsidR="00D0156E">
        <w:rPr>
          <w:szCs w:val="22"/>
        </w:rPr>
        <w:t xml:space="preserve"> such as FOLFIRINOX, nor for use following treatment with irinotecan-containing therapies</w:t>
      </w:r>
      <w:r w:rsidR="001A697F">
        <w:rPr>
          <w:szCs w:val="22"/>
        </w:rPr>
        <w:t>.</w:t>
      </w:r>
    </w:p>
    <w:p w:rsidR="00FC03DC" w:rsidRDefault="00FC03DC" w:rsidP="00FC03DC">
      <w:pPr>
        <w:pStyle w:val="ListParagraph"/>
        <w:rPr>
          <w:szCs w:val="22"/>
        </w:rPr>
      </w:pPr>
    </w:p>
    <w:p w:rsidR="008A3F68" w:rsidRDefault="00DB0C6A" w:rsidP="000A7EB2">
      <w:pPr>
        <w:widowControl/>
        <w:numPr>
          <w:ilvl w:val="1"/>
          <w:numId w:val="1"/>
        </w:numPr>
      </w:pPr>
      <w:r w:rsidRPr="00947009">
        <w:rPr>
          <w:szCs w:val="22"/>
        </w:rPr>
        <w:t xml:space="preserve">In </w:t>
      </w:r>
      <w:r w:rsidR="002D1C4D" w:rsidRPr="00947009">
        <w:rPr>
          <w:szCs w:val="22"/>
        </w:rPr>
        <w:t xml:space="preserve">the requested </w:t>
      </w:r>
      <w:r w:rsidR="008A3F68" w:rsidRPr="00947009">
        <w:rPr>
          <w:szCs w:val="22"/>
        </w:rPr>
        <w:t>setting, the PBAC considered that</w:t>
      </w:r>
      <w:r w:rsidR="008A3F68" w:rsidRPr="00DC4DD2">
        <w:t xml:space="preserve"> the most relevant comparators are </w:t>
      </w:r>
      <w:r w:rsidR="00BA78F4">
        <w:t>oxaliplatin-</w:t>
      </w:r>
      <w:r w:rsidR="002D1C4D" w:rsidRPr="00DC4DD2">
        <w:t>containing regimens (</w:t>
      </w:r>
      <w:r w:rsidR="001B6F84">
        <w:t>such as</w:t>
      </w:r>
      <w:r w:rsidR="00FC4D0D" w:rsidRPr="00DC4DD2">
        <w:t xml:space="preserve"> </w:t>
      </w:r>
      <w:r w:rsidR="008A3F68" w:rsidRPr="00DC4DD2">
        <w:t>mFOLFOX6</w:t>
      </w:r>
      <w:r w:rsidR="002D1C4D" w:rsidRPr="00DC4DD2">
        <w:t>) and</w:t>
      </w:r>
      <w:r w:rsidR="008A3F68" w:rsidRPr="00DC4DD2">
        <w:t xml:space="preserve"> capecitabine</w:t>
      </w:r>
      <w:r w:rsidR="002D1C4D" w:rsidRPr="00DC4DD2">
        <w:t>,</w:t>
      </w:r>
      <w:r w:rsidR="008A3F68" w:rsidRPr="00DC4DD2">
        <w:t xml:space="preserve"> with FOLFIRINOX only </w:t>
      </w:r>
      <w:r w:rsidR="001B6F84">
        <w:t xml:space="preserve">used </w:t>
      </w:r>
      <w:r w:rsidR="00207A49" w:rsidRPr="00DC4DD2">
        <w:t xml:space="preserve">in </w:t>
      </w:r>
      <w:r w:rsidR="008A3F68" w:rsidRPr="00DC4DD2">
        <w:t>a small number of patients.</w:t>
      </w:r>
      <w:r w:rsidR="00106658" w:rsidRPr="00DC4DD2">
        <w:t xml:space="preserve"> </w:t>
      </w:r>
      <w:r w:rsidR="00DC042C" w:rsidRPr="00DC4DD2">
        <w:t xml:space="preserve">The PSCR and pre-PBAC </w:t>
      </w:r>
      <w:r w:rsidR="00DC042C" w:rsidRPr="00DC4DD2">
        <w:lastRenderedPageBreak/>
        <w:t xml:space="preserve">response </w:t>
      </w:r>
      <w:r w:rsidR="00B45653">
        <w:t>stated</w:t>
      </w:r>
      <w:r w:rsidR="00B45653" w:rsidRPr="00DC4DD2">
        <w:t xml:space="preserve"> </w:t>
      </w:r>
      <w:r w:rsidR="00DC042C" w:rsidRPr="00DC4DD2">
        <w:t>that expert opinion affirmed that 5-FU/folinic acid is representative of the range of therapies (including fluoropyrim</w:t>
      </w:r>
      <w:r w:rsidR="00CC23F9">
        <w:t>i</w:t>
      </w:r>
      <w:r w:rsidR="00DC042C" w:rsidRPr="00DC4DD2">
        <w:t>dine-based comparators such as capecitabine) that are used in the proposed target patient population.</w:t>
      </w:r>
      <w:r w:rsidR="001410AA">
        <w:t xml:space="preserve"> </w:t>
      </w:r>
      <w:r w:rsidR="00106658" w:rsidRPr="00DC4DD2">
        <w:t xml:space="preserve">The </w:t>
      </w:r>
      <w:r w:rsidR="00DC042C" w:rsidRPr="00DC4DD2">
        <w:t xml:space="preserve">PBAC considered </w:t>
      </w:r>
      <w:r w:rsidR="002D1C4D" w:rsidRPr="00DC4DD2">
        <w:t>that in principle</w:t>
      </w:r>
      <w:r w:rsidR="00DC042C" w:rsidRPr="00DC4DD2">
        <w:t xml:space="preserve"> (even though it is not widely used in Australian practice)</w:t>
      </w:r>
      <w:r w:rsidR="002D1C4D" w:rsidRPr="00DC4DD2">
        <w:t>,</w:t>
      </w:r>
      <w:r w:rsidR="00933298" w:rsidRPr="00DC4DD2">
        <w:t xml:space="preserve"> 5</w:t>
      </w:r>
      <w:r w:rsidR="00795C0D" w:rsidRPr="00DC4DD2">
        <w:noBreakHyphen/>
      </w:r>
      <w:r w:rsidR="00933298" w:rsidRPr="00DC4DD2">
        <w:t xml:space="preserve">FU/folinic acid could be considered </w:t>
      </w:r>
      <w:r w:rsidRPr="00DC4DD2">
        <w:t xml:space="preserve">representative of the </w:t>
      </w:r>
      <w:r w:rsidR="00933298" w:rsidRPr="00DC4DD2">
        <w:t>efficacy and toxicity of mFOLFOX6</w:t>
      </w:r>
      <w:r w:rsidR="00DC042C" w:rsidRPr="00B45653">
        <w:t xml:space="preserve">. </w:t>
      </w:r>
    </w:p>
    <w:p w:rsidR="00C063F1" w:rsidRPr="0082793D" w:rsidRDefault="00C063F1" w:rsidP="00C063F1">
      <w:pPr>
        <w:widowControl/>
      </w:pPr>
    </w:p>
    <w:p w:rsidR="00D22998" w:rsidRPr="00B169D8" w:rsidRDefault="00185619" w:rsidP="000A7EB2">
      <w:pPr>
        <w:widowControl/>
        <w:numPr>
          <w:ilvl w:val="1"/>
          <w:numId w:val="1"/>
        </w:numPr>
        <w:rPr>
          <w:bCs/>
          <w:lang w:val="en-GB"/>
        </w:rPr>
      </w:pPr>
      <w:r w:rsidRPr="00B169D8">
        <w:rPr>
          <w:bCs/>
          <w:lang w:val="en-GB"/>
        </w:rPr>
        <w:t>T</w:t>
      </w:r>
      <w:r w:rsidR="005E27B2" w:rsidRPr="00B169D8">
        <w:rPr>
          <w:bCs/>
          <w:lang w:val="en-GB"/>
        </w:rPr>
        <w:t xml:space="preserve">he PBAC noted the submission was </w:t>
      </w:r>
      <w:r w:rsidR="00BD3CAA" w:rsidRPr="00B169D8">
        <w:rPr>
          <w:bCs/>
          <w:lang w:val="en-GB"/>
        </w:rPr>
        <w:t xml:space="preserve">primarily </w:t>
      </w:r>
      <w:r w:rsidR="005E27B2" w:rsidRPr="00B169D8">
        <w:rPr>
          <w:bCs/>
          <w:lang w:val="en-GB"/>
        </w:rPr>
        <w:t>based on one head-to-head</w:t>
      </w:r>
      <w:r w:rsidR="00DC4DD2" w:rsidRPr="00B169D8">
        <w:rPr>
          <w:bCs/>
          <w:lang w:val="en-GB"/>
        </w:rPr>
        <w:t>, open label</w:t>
      </w:r>
      <w:r w:rsidR="005E27B2" w:rsidRPr="00B169D8">
        <w:rPr>
          <w:bCs/>
          <w:lang w:val="en-GB"/>
        </w:rPr>
        <w:t xml:space="preserve"> trial comparing </w:t>
      </w:r>
      <w:r w:rsidR="005E27B2" w:rsidRPr="00B169D8">
        <w:t>irinotecan (nanoliposomal) with 5</w:t>
      </w:r>
      <w:r w:rsidR="00E96489" w:rsidRPr="00B169D8">
        <w:noBreakHyphen/>
      </w:r>
      <w:r w:rsidR="005E27B2" w:rsidRPr="00B169D8">
        <w:t>FU/folinic acid: NAPOLI</w:t>
      </w:r>
      <w:r w:rsidR="005E27B2" w:rsidRPr="00B169D8">
        <w:noBreakHyphen/>
        <w:t>1 (n=236)</w:t>
      </w:r>
      <w:r w:rsidR="008510DD" w:rsidRPr="00B169D8">
        <w:rPr>
          <w:bCs/>
          <w:lang w:val="en-GB"/>
        </w:rPr>
        <w:t>.</w:t>
      </w:r>
      <w:r w:rsidR="00947009" w:rsidRPr="00B169D8">
        <w:rPr>
          <w:bCs/>
          <w:lang w:val="en-GB"/>
        </w:rPr>
        <w:t>T</w:t>
      </w:r>
      <w:r w:rsidR="00947009" w:rsidRPr="00B169D8">
        <w:t xml:space="preserve">he PBAC noted this trial was considered during the evaluation to have a high risk of bias (see paragraph 6.7). </w:t>
      </w:r>
      <w:r w:rsidR="008510DD" w:rsidRPr="00B169D8">
        <w:rPr>
          <w:szCs w:val="22"/>
        </w:rPr>
        <w:t>The PBAC considered that irinotecan (nanoliposomal) was modestly superior in terms of efficacy compared with 5</w:t>
      </w:r>
      <w:r w:rsidR="008510DD" w:rsidRPr="00B169D8">
        <w:rPr>
          <w:szCs w:val="22"/>
        </w:rPr>
        <w:noBreakHyphen/>
        <w:t>FU/folinic acid, with a</w:t>
      </w:r>
      <w:r w:rsidR="00CC23F9" w:rsidRPr="00B169D8">
        <w:rPr>
          <w:szCs w:val="22"/>
        </w:rPr>
        <w:t>n</w:t>
      </w:r>
      <w:r w:rsidR="008510DD" w:rsidRPr="00B169D8">
        <w:rPr>
          <w:szCs w:val="22"/>
        </w:rPr>
        <w:t xml:space="preserve"> increase in </w:t>
      </w:r>
      <w:r w:rsidR="006B43C8" w:rsidRPr="00B169D8">
        <w:rPr>
          <w:szCs w:val="22"/>
        </w:rPr>
        <w:t xml:space="preserve">median </w:t>
      </w:r>
      <w:r w:rsidR="008510DD" w:rsidRPr="00B169D8">
        <w:rPr>
          <w:szCs w:val="22"/>
        </w:rPr>
        <w:t>ove</w:t>
      </w:r>
      <w:r w:rsidR="00F027ED" w:rsidRPr="00B169D8">
        <w:rPr>
          <w:szCs w:val="22"/>
        </w:rPr>
        <w:t>rall survival of approximately nine</w:t>
      </w:r>
      <w:r w:rsidR="008510DD" w:rsidRPr="00B169D8">
        <w:rPr>
          <w:szCs w:val="22"/>
        </w:rPr>
        <w:t xml:space="preserve"> weeks</w:t>
      </w:r>
      <w:r w:rsidR="00DC4DD2" w:rsidRPr="00B169D8">
        <w:rPr>
          <w:szCs w:val="22"/>
        </w:rPr>
        <w:t xml:space="preserve">. </w:t>
      </w:r>
      <w:r w:rsidR="00565E3A" w:rsidRPr="00B169D8">
        <w:t xml:space="preserve">The PBAC noted that after a median follow-up period of </w:t>
      </w:r>
      <w:r w:rsidR="002A4E9A">
        <w:rPr>
          <w:noProof/>
          <w:color w:val="000000"/>
          <w:highlight w:val="black"/>
        </w:rPr>
        <w:t>'''''''</w:t>
      </w:r>
      <w:r w:rsidR="00565E3A" w:rsidRPr="00B169D8">
        <w:t xml:space="preserve"> weeks, </w:t>
      </w:r>
      <w:r w:rsidR="002A4E9A">
        <w:rPr>
          <w:noProof/>
          <w:color w:val="000000"/>
          <w:highlight w:val="black"/>
        </w:rPr>
        <w:t>''''''</w:t>
      </w:r>
      <w:r w:rsidR="00565E3A" w:rsidRPr="00B169D8">
        <w:t xml:space="preserve">% of patients in the irinotecan (nanoliposomal) treatment group had died, compared with </w:t>
      </w:r>
      <w:r w:rsidR="002A4E9A">
        <w:rPr>
          <w:noProof/>
          <w:color w:val="000000"/>
          <w:highlight w:val="black"/>
        </w:rPr>
        <w:t>'''''''</w:t>
      </w:r>
      <w:r w:rsidR="00565E3A" w:rsidRPr="00B169D8">
        <w:t>% of patients in the 5-FU/folinic acid group.</w:t>
      </w:r>
    </w:p>
    <w:p w:rsidR="005E27B2" w:rsidRPr="005E27B2" w:rsidRDefault="005E27B2" w:rsidP="005E27B2">
      <w:pPr>
        <w:widowControl/>
        <w:ind w:left="720"/>
        <w:rPr>
          <w:bCs/>
          <w:lang w:val="en-GB"/>
        </w:rPr>
      </w:pPr>
    </w:p>
    <w:p w:rsidR="00F367B6" w:rsidRPr="00CB0B46" w:rsidRDefault="005E27B2" w:rsidP="00CB0B46">
      <w:pPr>
        <w:widowControl/>
        <w:numPr>
          <w:ilvl w:val="1"/>
          <w:numId w:val="1"/>
        </w:numPr>
        <w:rPr>
          <w:bCs/>
          <w:lang w:val="en-GB"/>
        </w:rPr>
      </w:pPr>
      <w:r w:rsidRPr="00CB0B46">
        <w:rPr>
          <w:bCs/>
          <w:lang w:val="en-GB"/>
        </w:rPr>
        <w:t xml:space="preserve">The submission also presented a naïve indirect comparison of irinotecan </w:t>
      </w:r>
      <w:r w:rsidRPr="00CB0B46">
        <w:t>(nanoliposomal)</w:t>
      </w:r>
      <w:r w:rsidR="00FE02FF" w:rsidRPr="00CB0B46">
        <w:t xml:space="preserve"> versus 5-FU/folinic acid</w:t>
      </w:r>
      <w:r w:rsidRPr="00CB0B46">
        <w:t xml:space="preserve"> (NAPOLI-1) with </w:t>
      </w:r>
      <w:r w:rsidR="00FE02FF" w:rsidRPr="00CB0B46">
        <w:t xml:space="preserve">a meta-analysis of </w:t>
      </w:r>
      <w:r w:rsidRPr="00CB0B46">
        <w:t>oxaliplatin-containing regimens</w:t>
      </w:r>
      <w:r w:rsidR="00EC32DF" w:rsidRPr="00CB0B46">
        <w:t xml:space="preserve"> (OFF and mFOLFOX6)</w:t>
      </w:r>
      <w:r w:rsidR="00FE02FF" w:rsidRPr="00CB0B46">
        <w:t xml:space="preserve"> versus 5-FU/folinic acid</w:t>
      </w:r>
      <w:r w:rsidRPr="00CB0B46">
        <w:t xml:space="preserve"> </w:t>
      </w:r>
      <w:r w:rsidR="00231D21">
        <w:t>(</w:t>
      </w:r>
      <w:r w:rsidRPr="00CB0B46">
        <w:t>CONKO-003 (n=126) and PANCREOX (n=108)</w:t>
      </w:r>
      <w:r w:rsidR="00231D21">
        <w:t>)</w:t>
      </w:r>
      <w:r w:rsidRPr="00CB0B46">
        <w:t>. The PBAC noted</w:t>
      </w:r>
      <w:r w:rsidR="00EC32DF" w:rsidRPr="00CB0B46">
        <w:t xml:space="preserve"> the issues raised by </w:t>
      </w:r>
      <w:r w:rsidR="00EE0768" w:rsidRPr="00CB0B46">
        <w:t>the ESC</w:t>
      </w:r>
      <w:r w:rsidR="00BA78F4">
        <w:t xml:space="preserve"> </w:t>
      </w:r>
      <w:r w:rsidR="009259DD">
        <w:t xml:space="preserve">that </w:t>
      </w:r>
      <w:r w:rsidR="00BA78F4" w:rsidRPr="00CB0B46">
        <w:t>limited the reliability of the indirect comparison</w:t>
      </w:r>
      <w:r w:rsidR="00BA78F4">
        <w:t>; these included</w:t>
      </w:r>
      <w:r w:rsidR="00EE0768" w:rsidRPr="00CB0B46">
        <w:t xml:space="preserve"> the </w:t>
      </w:r>
      <w:r w:rsidR="00FE02FF" w:rsidRPr="00CB0B46">
        <w:t xml:space="preserve">high risk of bias of all three trials, applicability </w:t>
      </w:r>
      <w:r w:rsidR="008A2CEA">
        <w:t xml:space="preserve">to Australian clinical practice, </w:t>
      </w:r>
      <w:r w:rsidR="00FE02FF" w:rsidRPr="00CB0B46">
        <w:t xml:space="preserve"> heterogeneity </w:t>
      </w:r>
      <w:r w:rsidR="008A2CEA">
        <w:t>across</w:t>
      </w:r>
      <w:r w:rsidR="008A2CEA" w:rsidRPr="00CB0B46">
        <w:t xml:space="preserve"> </w:t>
      </w:r>
      <w:r w:rsidR="00FE02FF" w:rsidRPr="00CB0B46">
        <w:t xml:space="preserve">CONKO-003 and PANCREOX, and </w:t>
      </w:r>
      <w:r w:rsidR="00EE0768" w:rsidRPr="00CB0B46">
        <w:t xml:space="preserve">exchangeability </w:t>
      </w:r>
      <w:r w:rsidR="008A2CEA">
        <w:t>of</w:t>
      </w:r>
      <w:r w:rsidR="008A2CEA" w:rsidRPr="00CB0B46">
        <w:t xml:space="preserve"> </w:t>
      </w:r>
      <w:r w:rsidR="008A2CEA">
        <w:t xml:space="preserve">the </w:t>
      </w:r>
      <w:r w:rsidR="00EE0768" w:rsidRPr="00CB0B46">
        <w:t xml:space="preserve">NAPOLI-1 and meta-analysed </w:t>
      </w:r>
      <w:r w:rsidR="008A2CEA">
        <w:t>trials</w:t>
      </w:r>
      <w:r w:rsidR="00BA78F4">
        <w:t xml:space="preserve"> </w:t>
      </w:r>
      <w:r w:rsidR="00FE02FF" w:rsidRPr="00CB0B46">
        <w:t>(see paragraphs 6.7 to 6.10)</w:t>
      </w:r>
      <w:r w:rsidR="00EE0768" w:rsidRPr="00CB0B46">
        <w:t>.</w:t>
      </w:r>
      <w:r w:rsidR="001B1CB2" w:rsidRPr="00CB0B46">
        <w:t xml:space="preserve"> </w:t>
      </w:r>
      <w:r w:rsidR="00CB0B46" w:rsidRPr="00CB0B46">
        <w:rPr>
          <w:szCs w:val="22"/>
        </w:rPr>
        <w:t xml:space="preserve">The PBAC noted the argument </w:t>
      </w:r>
      <w:r w:rsidR="00274037">
        <w:rPr>
          <w:szCs w:val="22"/>
        </w:rPr>
        <w:t>in the pre</w:t>
      </w:r>
      <w:r w:rsidR="00274037">
        <w:rPr>
          <w:szCs w:val="22"/>
        </w:rPr>
        <w:noBreakHyphen/>
      </w:r>
      <w:r w:rsidR="00CB0B46" w:rsidRPr="00CB0B46">
        <w:rPr>
          <w:szCs w:val="22"/>
        </w:rPr>
        <w:t>PBAC response</w:t>
      </w:r>
      <w:r w:rsidR="00565E3A">
        <w:rPr>
          <w:szCs w:val="22"/>
        </w:rPr>
        <w:t xml:space="preserve"> (p1-2)</w:t>
      </w:r>
      <w:r w:rsidR="00CB0B46" w:rsidRPr="00CB0B46">
        <w:rPr>
          <w:szCs w:val="22"/>
        </w:rPr>
        <w:t xml:space="preserve"> that the usefulness of the naïve indirect meta-analysis evidence should be considered in the context of an uncommon disease with high clinical need and poor prognosis. </w:t>
      </w:r>
      <w:r w:rsidR="00A10968">
        <w:rPr>
          <w:szCs w:val="22"/>
        </w:rPr>
        <w:t>T</w:t>
      </w:r>
      <w:r w:rsidR="00F367B6" w:rsidRPr="00CB0B46">
        <w:rPr>
          <w:szCs w:val="22"/>
        </w:rPr>
        <w:t xml:space="preserve">he PBAC </w:t>
      </w:r>
      <w:r w:rsidR="00A10968">
        <w:rPr>
          <w:szCs w:val="22"/>
        </w:rPr>
        <w:t xml:space="preserve">agreed with the ESC that </w:t>
      </w:r>
      <w:r w:rsidR="00F367B6" w:rsidRPr="00CB0B46">
        <w:rPr>
          <w:szCs w:val="22"/>
        </w:rPr>
        <w:t xml:space="preserve">the </w:t>
      </w:r>
      <w:r w:rsidR="00CB0B46">
        <w:rPr>
          <w:szCs w:val="22"/>
        </w:rPr>
        <w:t xml:space="preserve">results of the naïve indirect comparison </w:t>
      </w:r>
      <w:r w:rsidR="00A10968">
        <w:rPr>
          <w:szCs w:val="22"/>
        </w:rPr>
        <w:t xml:space="preserve">were not reliable, but overall </w:t>
      </w:r>
      <w:r w:rsidR="00310E76">
        <w:rPr>
          <w:szCs w:val="22"/>
        </w:rPr>
        <w:t>considered that the claim of superior comparative effectiveness</w:t>
      </w:r>
      <w:r w:rsidR="00A10968">
        <w:rPr>
          <w:szCs w:val="22"/>
        </w:rPr>
        <w:t>,</w:t>
      </w:r>
      <w:r w:rsidR="00310E76">
        <w:rPr>
          <w:szCs w:val="22"/>
        </w:rPr>
        <w:t xml:space="preserve"> compared with oxaliplatin</w:t>
      </w:r>
      <w:r w:rsidR="00BA78F4">
        <w:rPr>
          <w:szCs w:val="22"/>
        </w:rPr>
        <w:t>-</w:t>
      </w:r>
      <w:r w:rsidR="00310E76">
        <w:rPr>
          <w:szCs w:val="22"/>
        </w:rPr>
        <w:t>containing regimens</w:t>
      </w:r>
      <w:r w:rsidR="00A10968">
        <w:rPr>
          <w:szCs w:val="22"/>
        </w:rPr>
        <w:t>,</w:t>
      </w:r>
      <w:r w:rsidR="00310E76">
        <w:rPr>
          <w:szCs w:val="22"/>
        </w:rPr>
        <w:t xml:space="preserve"> was adequately supported. </w:t>
      </w:r>
      <w:r w:rsidR="00A10968">
        <w:rPr>
          <w:szCs w:val="22"/>
        </w:rPr>
        <w:t>T</w:t>
      </w:r>
      <w:r w:rsidR="00AC37DA" w:rsidRPr="00CB0B46">
        <w:t xml:space="preserve">he PBAC considered that the limitations of the comparisons meant that confidence about statements of relative efficacy between irinotecan </w:t>
      </w:r>
      <w:r w:rsidR="00AC37DA">
        <w:t>(nanoliposomal) and oxaliplatin-</w:t>
      </w:r>
      <w:r w:rsidR="00AC37DA" w:rsidRPr="00CB0B46">
        <w:t>containing regimens was necessarily low</w:t>
      </w:r>
      <w:r w:rsidR="00AC37DA">
        <w:t>.</w:t>
      </w:r>
      <w:r w:rsidR="00AC37DA">
        <w:rPr>
          <w:szCs w:val="22"/>
        </w:rPr>
        <w:t xml:space="preserve"> </w:t>
      </w:r>
      <w:r w:rsidR="00AC37DA">
        <w:t>The PBAC considered the incremental benefit of irinotecan (nanoliposomal) over 5</w:t>
      </w:r>
      <w:r w:rsidR="00AC37DA">
        <w:noBreakHyphen/>
        <w:t>FU/folinic acid observed in NAPOLI-1</w:t>
      </w:r>
      <w:r w:rsidR="00E61C56">
        <w:t xml:space="preserve"> (</w:t>
      </w:r>
      <w:r w:rsidR="002A4E9A">
        <w:rPr>
          <w:noProof/>
          <w:color w:val="000000"/>
          <w:highlight w:val="black"/>
        </w:rPr>
        <w:t xml:space="preserve">'''''''''' </w:t>
      </w:r>
      <w:r w:rsidR="00CD3372">
        <w:t xml:space="preserve">week </w:t>
      </w:r>
      <w:r w:rsidR="00E61C56">
        <w:t>gain in overall survival)</w:t>
      </w:r>
      <w:r w:rsidR="00AC37DA">
        <w:t xml:space="preserve"> to be the upper limit of a plausible incremental benefit of irinotecan (nanoliposomal) </w:t>
      </w:r>
      <w:r w:rsidR="00AC37DA" w:rsidRPr="00CB0B46">
        <w:t>over oxaliplatin-containing regimens.</w:t>
      </w:r>
    </w:p>
    <w:p w:rsidR="00906074" w:rsidRPr="00906074" w:rsidRDefault="00906074" w:rsidP="00906074">
      <w:pPr>
        <w:widowControl/>
        <w:rPr>
          <w:bCs/>
          <w:highlight w:val="yellow"/>
          <w:lang w:val="en-GB"/>
        </w:rPr>
      </w:pPr>
    </w:p>
    <w:p w:rsidR="00C72507" w:rsidRPr="00906074" w:rsidRDefault="001D3BA0" w:rsidP="001D3BA0">
      <w:pPr>
        <w:widowControl/>
        <w:numPr>
          <w:ilvl w:val="1"/>
          <w:numId w:val="1"/>
        </w:numPr>
        <w:rPr>
          <w:bCs/>
          <w:lang w:val="en-GB"/>
        </w:rPr>
      </w:pPr>
      <w:r>
        <w:rPr>
          <w:szCs w:val="22"/>
        </w:rPr>
        <w:t xml:space="preserve">The PBAC agreed with the submission that irinotecan (nanoliposomal) is inferior in terms of safety compared with 5-FU/folinic acid. The PBAC considered that irinotecan (nanoliposomal) is likely to be of </w:t>
      </w:r>
      <w:r w:rsidR="00C72507" w:rsidRPr="00906074">
        <w:rPr>
          <w:szCs w:val="22"/>
        </w:rPr>
        <w:t xml:space="preserve">similar safety to </w:t>
      </w:r>
      <w:r w:rsidR="00BB0475">
        <w:rPr>
          <w:szCs w:val="22"/>
        </w:rPr>
        <w:t xml:space="preserve">oxaliplatin-containing regimens (with both regimens having significant toxicities) </w:t>
      </w:r>
      <w:r w:rsidR="00C72507" w:rsidRPr="00906074">
        <w:rPr>
          <w:szCs w:val="22"/>
        </w:rPr>
        <w:t xml:space="preserve">but </w:t>
      </w:r>
      <w:r w:rsidR="00BB0475">
        <w:rPr>
          <w:szCs w:val="22"/>
        </w:rPr>
        <w:t>may be</w:t>
      </w:r>
      <w:r w:rsidR="00C72507" w:rsidRPr="00906074">
        <w:rPr>
          <w:szCs w:val="22"/>
        </w:rPr>
        <w:t xml:space="preserve"> inferior </w:t>
      </w:r>
      <w:r w:rsidR="00BB0475">
        <w:rPr>
          <w:szCs w:val="22"/>
        </w:rPr>
        <w:t xml:space="preserve">in </w:t>
      </w:r>
      <w:r w:rsidR="00C72507" w:rsidRPr="00906074">
        <w:rPr>
          <w:szCs w:val="22"/>
        </w:rPr>
        <w:t>safety to some other alternative</w:t>
      </w:r>
      <w:r>
        <w:rPr>
          <w:szCs w:val="22"/>
        </w:rPr>
        <w:t xml:space="preserve"> second-line</w:t>
      </w:r>
      <w:r w:rsidR="00C72507" w:rsidRPr="00906074">
        <w:rPr>
          <w:szCs w:val="22"/>
        </w:rPr>
        <w:t xml:space="preserve"> treatment options.</w:t>
      </w:r>
    </w:p>
    <w:p w:rsidR="008A3F68" w:rsidRPr="0082793D" w:rsidRDefault="008A3F68" w:rsidP="000A7EB2">
      <w:pPr>
        <w:pStyle w:val="ListParagraph"/>
        <w:widowControl/>
      </w:pPr>
    </w:p>
    <w:p w:rsidR="006D18CE" w:rsidRDefault="00295B7F" w:rsidP="00B83171">
      <w:pPr>
        <w:numPr>
          <w:ilvl w:val="1"/>
          <w:numId w:val="1"/>
        </w:numPr>
      </w:pPr>
      <w:r w:rsidRPr="0082793D">
        <w:t xml:space="preserve">The PBAC </w:t>
      </w:r>
      <w:r w:rsidR="001002E1">
        <w:t xml:space="preserve">noted that the submission presented </w:t>
      </w:r>
      <w:r w:rsidR="00231193">
        <w:t>a</w:t>
      </w:r>
      <w:r w:rsidR="00DE1347">
        <w:t xml:space="preserve"> modelled cost-utility analys</w:t>
      </w:r>
      <w:r w:rsidR="00231193">
        <w:t>i</w:t>
      </w:r>
      <w:r w:rsidR="001002E1">
        <w:t>s comparing irinotecan (nanoliposomal) to 5-FU/folinic acid and mFOLFOX6.</w:t>
      </w:r>
      <w:r w:rsidR="008363E7">
        <w:t xml:space="preserve"> </w:t>
      </w:r>
      <w:r w:rsidR="001002E1">
        <w:t xml:space="preserve">The PBAC agreed with the </w:t>
      </w:r>
      <w:r w:rsidR="00684DCC" w:rsidRPr="0082793D">
        <w:t>ESC</w:t>
      </w:r>
      <w:r w:rsidRPr="0082793D">
        <w:t xml:space="preserve"> that a trial-based analysis was </w:t>
      </w:r>
      <w:r w:rsidR="001002E1">
        <w:t>more</w:t>
      </w:r>
      <w:r w:rsidR="001002E1" w:rsidRPr="0082793D">
        <w:t xml:space="preserve"> </w:t>
      </w:r>
      <w:r w:rsidRPr="0082793D">
        <w:t xml:space="preserve">appropriate </w:t>
      </w:r>
      <w:r w:rsidR="00AC68DB">
        <w:t>for decision making in this instance</w:t>
      </w:r>
      <w:r w:rsidR="00B83171">
        <w:t>,</w:t>
      </w:r>
      <w:r w:rsidR="00AC68DB">
        <w:t xml:space="preserve"> </w:t>
      </w:r>
      <w:r w:rsidR="001002E1">
        <w:t>given the maturity of the clin</w:t>
      </w:r>
      <w:r w:rsidR="00B83171">
        <w:t xml:space="preserve">ical data where </w:t>
      </w:r>
      <w:r w:rsidR="001002E1">
        <w:t xml:space="preserve">the majority of events </w:t>
      </w:r>
      <w:r w:rsidR="00B83171">
        <w:t xml:space="preserve">were </w:t>
      </w:r>
      <w:r w:rsidR="001002E1">
        <w:t xml:space="preserve">captured </w:t>
      </w:r>
      <w:r w:rsidR="00B83171">
        <w:t xml:space="preserve">before the </w:t>
      </w:r>
      <w:r w:rsidR="001002E1">
        <w:t>end of the trial.</w:t>
      </w:r>
      <w:r w:rsidR="006D18CE">
        <w:t xml:space="preserve"> In addition, the PBAC considered the following issues with the model may have </w:t>
      </w:r>
      <w:r w:rsidR="007055AF">
        <w:t xml:space="preserve">resulted in </w:t>
      </w:r>
      <w:r w:rsidR="006D18CE">
        <w:t>the ICER per QALY for irinotecan (nanoliposomal)</w:t>
      </w:r>
      <w:r w:rsidR="007055AF">
        <w:t xml:space="preserve"> being underestimated</w:t>
      </w:r>
      <w:r w:rsidR="006D18CE">
        <w:t>:</w:t>
      </w:r>
    </w:p>
    <w:p w:rsidR="00B83171" w:rsidRPr="006D18CE" w:rsidRDefault="006D18CE" w:rsidP="006D18CE">
      <w:pPr>
        <w:numPr>
          <w:ilvl w:val="2"/>
          <w:numId w:val="1"/>
        </w:numPr>
        <w:ind w:left="993" w:hanging="284"/>
      </w:pPr>
      <w:r w:rsidRPr="006D18CE">
        <w:lastRenderedPageBreak/>
        <w:t>C</w:t>
      </w:r>
      <w:r w:rsidR="00B83171" w:rsidRPr="006D18CE">
        <w:t>ompared with the trial data, the model overestimated the time spent in the pre</w:t>
      </w:r>
      <w:r w:rsidR="00B83171" w:rsidRPr="006D18CE">
        <w:noBreakHyphen/>
        <w:t>progression off-treatment state, with patients maintaining treatment benefit without the accrual of drug costs, monitoring costs and administration costs.</w:t>
      </w:r>
    </w:p>
    <w:p w:rsidR="006D18CE" w:rsidRDefault="006D18CE" w:rsidP="006D18CE">
      <w:pPr>
        <w:numPr>
          <w:ilvl w:val="2"/>
          <w:numId w:val="1"/>
        </w:numPr>
        <w:ind w:left="993" w:hanging="284"/>
      </w:pPr>
      <w:r>
        <w:t>The costing assumptions inflated the prices of the 5-FU/folinic acid and mFOLFOX6 regimens relative to irinotecan (nanoliposomal).</w:t>
      </w:r>
    </w:p>
    <w:p w:rsidR="00C92A72" w:rsidRDefault="006D18CE" w:rsidP="00C92A72">
      <w:pPr>
        <w:numPr>
          <w:ilvl w:val="2"/>
          <w:numId w:val="1"/>
        </w:numPr>
        <w:ind w:left="993" w:hanging="284"/>
      </w:pPr>
      <w:r>
        <w:t>The utility estimates for pre-progression (0.8) and post-progression (0.75) were similar to those of the general population of the same age, and therefore were inappropriately high for patients with metastatic pancreatic cancer.</w:t>
      </w:r>
      <w:r w:rsidR="00C92A72">
        <w:t xml:space="preserve"> In addition, the submission base case did not include utility decrements for treatment-related adverse events.</w:t>
      </w:r>
    </w:p>
    <w:p w:rsidR="00C92A72" w:rsidRPr="00B83171" w:rsidRDefault="00C92A72" w:rsidP="00C92A72">
      <w:pPr>
        <w:numPr>
          <w:ilvl w:val="2"/>
          <w:numId w:val="1"/>
        </w:numPr>
        <w:ind w:left="993" w:hanging="284"/>
      </w:pPr>
      <w:r>
        <w:t>The differential application of post-progression irinotecan (nanoliposomal) treatment costs was inadequately justified.</w:t>
      </w:r>
    </w:p>
    <w:p w:rsidR="00525968" w:rsidRPr="00525968" w:rsidRDefault="00525968" w:rsidP="00525968">
      <w:pPr>
        <w:widowControl/>
        <w:ind w:left="720"/>
        <w:rPr>
          <w:bCs/>
          <w:highlight w:val="yellow"/>
          <w:lang w:val="en-GB"/>
        </w:rPr>
      </w:pPr>
    </w:p>
    <w:p w:rsidR="00525968" w:rsidRPr="00FD35E6" w:rsidRDefault="00BF2A72" w:rsidP="000A7EB2">
      <w:pPr>
        <w:widowControl/>
        <w:numPr>
          <w:ilvl w:val="1"/>
          <w:numId w:val="1"/>
        </w:numPr>
        <w:rPr>
          <w:bCs/>
          <w:lang w:val="en-GB"/>
        </w:rPr>
      </w:pPr>
      <w:r w:rsidRPr="00BF2A72">
        <w:t>Notwithstanding the above issues</w:t>
      </w:r>
      <w:r>
        <w:t xml:space="preserve">, </w:t>
      </w:r>
      <w:r w:rsidRPr="00BF2A72">
        <w:t>t</w:t>
      </w:r>
      <w:r w:rsidR="00525968" w:rsidRPr="00BF2A72">
        <w:t xml:space="preserve">he PBAC </w:t>
      </w:r>
      <w:r w:rsidRPr="00BF2A72">
        <w:t xml:space="preserve">noted that the base case </w:t>
      </w:r>
      <w:r w:rsidR="006D18CE">
        <w:t>ICER</w:t>
      </w:r>
      <w:r w:rsidR="005400DE">
        <w:t xml:space="preserve"> </w:t>
      </w:r>
      <w:r w:rsidR="008363E7">
        <w:t xml:space="preserve">in the submission and </w:t>
      </w:r>
      <w:r w:rsidR="006D18CE">
        <w:t>the alternative ICERs in the pre-PBAC response</w:t>
      </w:r>
      <w:r w:rsidR="008363E7">
        <w:t xml:space="preserve"> were</w:t>
      </w:r>
      <w:r w:rsidR="006D18CE">
        <w:t xml:space="preserve"> </w:t>
      </w:r>
      <w:r w:rsidRPr="00BF2A72">
        <w:t>over $100,000 per QALY</w:t>
      </w:r>
      <w:r w:rsidR="009259DD">
        <w:t xml:space="preserve"> gained</w:t>
      </w:r>
      <w:r w:rsidRPr="00BF2A72">
        <w:t xml:space="preserve">. Accordingly, the PBAC considered that irinotecan (nanoliposomal) was not sufficiently cost-effective to justify a recommendation for listing on the PBS, </w:t>
      </w:r>
      <w:r w:rsidR="00B517D0" w:rsidRPr="00BF2A72">
        <w:t>at the requested price</w:t>
      </w:r>
      <w:r w:rsidRPr="00BF2A72">
        <w:t>.</w:t>
      </w:r>
    </w:p>
    <w:p w:rsidR="00FD35E6" w:rsidRPr="00FD35E6" w:rsidRDefault="00FD35E6" w:rsidP="00FD35E6">
      <w:pPr>
        <w:widowControl/>
        <w:ind w:left="720"/>
        <w:rPr>
          <w:bCs/>
          <w:lang w:val="en-GB"/>
        </w:rPr>
      </w:pPr>
    </w:p>
    <w:p w:rsidR="00A10968" w:rsidRPr="006F75FE" w:rsidRDefault="00C87D40" w:rsidP="000A7EB2">
      <w:pPr>
        <w:widowControl/>
        <w:numPr>
          <w:ilvl w:val="1"/>
          <w:numId w:val="1"/>
        </w:numPr>
        <w:rPr>
          <w:bCs/>
          <w:lang w:val="en-GB"/>
        </w:rPr>
      </w:pPr>
      <w:r w:rsidRPr="006F75FE">
        <w:t>The PBAC</w:t>
      </w:r>
      <w:r w:rsidR="00E01944" w:rsidRPr="006F75FE">
        <w:t xml:space="preserve"> recommended that a </w:t>
      </w:r>
      <w:r w:rsidR="00C017BE" w:rsidRPr="006F75FE">
        <w:t xml:space="preserve">resubmission should </w:t>
      </w:r>
      <w:r w:rsidR="00B83171" w:rsidRPr="006F75FE">
        <w:t xml:space="preserve">present </w:t>
      </w:r>
      <w:r w:rsidR="00CE1FFF">
        <w:t xml:space="preserve">the </w:t>
      </w:r>
      <w:r w:rsidR="00AE419F" w:rsidRPr="006F75FE">
        <w:t>cost-</w:t>
      </w:r>
      <w:r w:rsidR="00B83171" w:rsidRPr="006F75FE">
        <w:t>effectiveness of irinotecan (nanoliposomal)</w:t>
      </w:r>
      <w:r w:rsidR="00CE1FFF">
        <w:t xml:space="preserve"> compared with mFOLFOX6, using the trial results compared with 5-FU/folinic acid from NAPOLI-1 as a proxy for the incremental benefit over </w:t>
      </w:r>
      <w:r w:rsidR="00CE1FFF" w:rsidRPr="006F75FE">
        <w:t>oxaliplatin-containing regimens</w:t>
      </w:r>
      <w:r w:rsidR="00CE1FFF">
        <w:t>,</w:t>
      </w:r>
      <w:r w:rsidR="00B83171" w:rsidRPr="006F75FE">
        <w:t xml:space="preserve"> </w:t>
      </w:r>
      <w:r w:rsidR="00975104" w:rsidRPr="006F75FE">
        <w:t xml:space="preserve">and </w:t>
      </w:r>
      <w:r w:rsidR="00C017BE" w:rsidRPr="006F75FE">
        <w:t xml:space="preserve">address </w:t>
      </w:r>
      <w:r w:rsidR="00975104" w:rsidRPr="006F75FE">
        <w:t xml:space="preserve">other issues </w:t>
      </w:r>
      <w:r w:rsidR="00CE1FFF">
        <w:t xml:space="preserve">identified </w:t>
      </w:r>
      <w:r w:rsidR="00597731">
        <w:t xml:space="preserve">with the model (see </w:t>
      </w:r>
      <w:r w:rsidR="00975104" w:rsidRPr="006F75FE">
        <w:t>paragraph 7.8</w:t>
      </w:r>
      <w:r w:rsidR="00597731">
        <w:t>)</w:t>
      </w:r>
      <w:r w:rsidR="00975104" w:rsidRPr="006F75FE">
        <w:t>.</w:t>
      </w:r>
      <w:r w:rsidR="007A3686" w:rsidRPr="006F75FE">
        <w:t xml:space="preserve"> </w:t>
      </w:r>
      <w:r w:rsidR="00E01944" w:rsidRPr="006F75FE">
        <w:t xml:space="preserve">The PBAC </w:t>
      </w:r>
      <w:r w:rsidR="00D6032B">
        <w:t>considered</w:t>
      </w:r>
      <w:r w:rsidR="007A3686" w:rsidRPr="006F75FE">
        <w:t xml:space="preserve"> that a </w:t>
      </w:r>
      <w:r w:rsidR="006D18CE" w:rsidRPr="006F75FE">
        <w:t xml:space="preserve">significant </w:t>
      </w:r>
      <w:r w:rsidR="007A3686" w:rsidRPr="006F75FE">
        <w:t xml:space="preserve">reduction in </w:t>
      </w:r>
      <w:r w:rsidR="00E01944" w:rsidRPr="006F75FE">
        <w:t xml:space="preserve">the requested </w:t>
      </w:r>
      <w:r w:rsidR="007A3686" w:rsidRPr="006F75FE">
        <w:t xml:space="preserve">price would be required to </w:t>
      </w:r>
      <w:r w:rsidR="00E01944" w:rsidRPr="006F75FE">
        <w:t xml:space="preserve">provide greater </w:t>
      </w:r>
      <w:r w:rsidR="007A3686" w:rsidRPr="006F75FE">
        <w:t xml:space="preserve">confidence in the cost-effectiveness of </w:t>
      </w:r>
      <w:r w:rsidR="001045DD" w:rsidRPr="006F75FE">
        <w:t>irinotecan (nanoliposomal)</w:t>
      </w:r>
      <w:r w:rsidR="006D18CE" w:rsidRPr="006F75FE">
        <w:t>, particularly in</w:t>
      </w:r>
      <w:r w:rsidR="00E01944" w:rsidRPr="006F75FE">
        <w:t xml:space="preserve"> </w:t>
      </w:r>
      <w:r w:rsidR="00811CBE" w:rsidRPr="006F75FE">
        <w:t xml:space="preserve">the context of the </w:t>
      </w:r>
      <w:r w:rsidR="006D18CE" w:rsidRPr="006F75FE">
        <w:t xml:space="preserve">modest and uncertain </w:t>
      </w:r>
      <w:r w:rsidR="00811CBE" w:rsidRPr="006F75FE">
        <w:t xml:space="preserve">incremental benefit </w:t>
      </w:r>
      <w:r w:rsidR="006D18CE" w:rsidRPr="006F75FE">
        <w:t xml:space="preserve">compared with oxaliplatin-containing regimens. In this regard, the </w:t>
      </w:r>
      <w:r w:rsidR="00811CBE" w:rsidRPr="006F75FE">
        <w:t xml:space="preserve">PBAC </w:t>
      </w:r>
      <w:r w:rsidR="006D18CE" w:rsidRPr="006F75FE">
        <w:t xml:space="preserve">considered that </w:t>
      </w:r>
      <w:r w:rsidR="006B43C8">
        <w:t>the</w:t>
      </w:r>
      <w:r w:rsidR="006B43C8" w:rsidRPr="006F75FE">
        <w:t xml:space="preserve"> </w:t>
      </w:r>
      <w:r w:rsidR="00E01944" w:rsidRPr="006F75FE">
        <w:t xml:space="preserve">revised base case ICER </w:t>
      </w:r>
      <w:r w:rsidR="009703A8">
        <w:t xml:space="preserve">should </w:t>
      </w:r>
      <w:r w:rsidR="006B43C8">
        <w:t xml:space="preserve">not exceed </w:t>
      </w:r>
      <w:r w:rsidR="00811CBE" w:rsidRPr="006F75FE">
        <w:t>$</w:t>
      </w:r>
      <w:r w:rsidR="00C063F1">
        <w:t xml:space="preserve">50,000 </w:t>
      </w:r>
      <w:r w:rsidR="00E01944" w:rsidRPr="006F75FE">
        <w:t>per QALY</w:t>
      </w:r>
      <w:r w:rsidR="00C063F1">
        <w:t xml:space="preserve"> gained</w:t>
      </w:r>
      <w:r w:rsidR="00F6260D" w:rsidRPr="0055779F">
        <w:rPr>
          <w:bCs/>
          <w:lang w:val="en-GB"/>
        </w:rPr>
        <w:t>.</w:t>
      </w:r>
      <w:r w:rsidR="00C017BE" w:rsidRPr="0055779F">
        <w:rPr>
          <w:bCs/>
          <w:lang w:val="en-GB"/>
        </w:rPr>
        <w:t xml:space="preserve"> </w:t>
      </w:r>
    </w:p>
    <w:p w:rsidR="00295B7F" w:rsidRPr="0055779F" w:rsidRDefault="00295B7F" w:rsidP="00A10968">
      <w:pPr>
        <w:widowControl/>
        <w:ind w:left="720"/>
        <w:rPr>
          <w:bCs/>
          <w:lang w:val="en-GB"/>
        </w:rPr>
      </w:pPr>
    </w:p>
    <w:p w:rsidR="00295B7F" w:rsidRPr="0082793D" w:rsidRDefault="00295B7F" w:rsidP="000A7EB2">
      <w:pPr>
        <w:widowControl/>
        <w:numPr>
          <w:ilvl w:val="1"/>
          <w:numId w:val="1"/>
        </w:numPr>
        <w:rPr>
          <w:bCs/>
          <w:lang w:val="en-GB"/>
        </w:rPr>
      </w:pPr>
      <w:r w:rsidRPr="0082793D">
        <w:t xml:space="preserve">The PBAC noted that this submission </w:t>
      </w:r>
      <w:r w:rsidR="00E01944">
        <w:t>is</w:t>
      </w:r>
      <w:r w:rsidR="00E01944" w:rsidRPr="0082793D">
        <w:t xml:space="preserve"> </w:t>
      </w:r>
      <w:r w:rsidRPr="0082793D">
        <w:t>eligible for an Independent Review.</w:t>
      </w:r>
    </w:p>
    <w:p w:rsidR="007A3686" w:rsidRDefault="007A3686" w:rsidP="000A7EB2">
      <w:pPr>
        <w:widowControl/>
        <w:ind w:left="720"/>
        <w:rPr>
          <w:bCs/>
          <w:highlight w:val="yellow"/>
          <w:lang w:val="en-GB"/>
        </w:rPr>
      </w:pPr>
    </w:p>
    <w:p w:rsidR="00B62F42" w:rsidRPr="007A3686" w:rsidRDefault="00B62F42" w:rsidP="00E22E88">
      <w:pPr>
        <w:keepNext/>
        <w:widowControl/>
        <w:rPr>
          <w:b/>
          <w:bCs/>
          <w:lang w:val="en-GB"/>
        </w:rPr>
      </w:pPr>
      <w:r w:rsidRPr="007A3686">
        <w:rPr>
          <w:b/>
          <w:bCs/>
          <w:lang w:val="en-GB"/>
        </w:rPr>
        <w:t>Outcome:</w:t>
      </w:r>
    </w:p>
    <w:p w:rsidR="00B62F42" w:rsidRDefault="00B62F42" w:rsidP="000A7EB2">
      <w:pPr>
        <w:widowControl/>
        <w:rPr>
          <w:bCs/>
          <w:lang w:val="en-GB"/>
        </w:rPr>
      </w:pPr>
      <w:r w:rsidRPr="007A3686">
        <w:rPr>
          <w:bCs/>
          <w:lang w:val="en-GB"/>
        </w:rPr>
        <w:t>Rejected</w:t>
      </w:r>
    </w:p>
    <w:p w:rsidR="006D1A10" w:rsidRDefault="006D1A10" w:rsidP="000A7EB2">
      <w:pPr>
        <w:widowControl/>
        <w:rPr>
          <w:bCs/>
          <w:lang w:val="en-GB"/>
        </w:rPr>
      </w:pPr>
    </w:p>
    <w:p w:rsidR="006D1A10" w:rsidRDefault="006D1A10" w:rsidP="000A7EB2">
      <w:pPr>
        <w:widowControl/>
        <w:rPr>
          <w:bCs/>
          <w:lang w:val="en-GB"/>
        </w:rPr>
      </w:pPr>
    </w:p>
    <w:p w:rsidR="006D1A10" w:rsidRPr="00F47716" w:rsidRDefault="006D1A10" w:rsidP="006D1A10">
      <w:pPr>
        <w:pStyle w:val="PBACheading10"/>
        <w:numPr>
          <w:ilvl w:val="0"/>
          <w:numId w:val="1"/>
        </w:numPr>
        <w:outlineLvl w:val="0"/>
        <w:rPr>
          <w:b/>
        </w:rPr>
      </w:pPr>
      <w:r w:rsidRPr="00F47716">
        <w:rPr>
          <w:b/>
        </w:rPr>
        <w:t>Context for Decision</w:t>
      </w:r>
    </w:p>
    <w:p w:rsidR="006D1A10" w:rsidRDefault="006D1A10" w:rsidP="006D1A10">
      <w:pPr>
        <w:ind w:left="426"/>
      </w:pPr>
    </w:p>
    <w:p w:rsidR="006D1A10" w:rsidRDefault="006D1A10" w:rsidP="006D1A10">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D1A10" w:rsidRDefault="006D1A10" w:rsidP="006D1A10">
      <w:pPr>
        <w:ind w:left="426"/>
      </w:pPr>
    </w:p>
    <w:p w:rsidR="006D1A10" w:rsidRPr="00F47716" w:rsidRDefault="006D1A10" w:rsidP="006D1A10">
      <w:pPr>
        <w:pStyle w:val="PBACheading10"/>
        <w:numPr>
          <w:ilvl w:val="0"/>
          <w:numId w:val="1"/>
        </w:numPr>
        <w:outlineLvl w:val="0"/>
        <w:rPr>
          <w:b/>
        </w:rPr>
      </w:pPr>
      <w:r w:rsidRPr="00F47716">
        <w:rPr>
          <w:b/>
        </w:rPr>
        <w:t>Sponsor’s Comment</w:t>
      </w:r>
    </w:p>
    <w:p w:rsidR="006D1A10" w:rsidRPr="00556AAC" w:rsidRDefault="006D1A10" w:rsidP="006D1A10">
      <w:pPr>
        <w:ind w:left="426"/>
        <w:rPr>
          <w:bCs/>
          <w:lang w:val="en-GB"/>
        </w:rPr>
      </w:pPr>
    </w:p>
    <w:p w:rsidR="00556AAC" w:rsidRPr="001C75A4" w:rsidRDefault="00556AAC" w:rsidP="00556AAC">
      <w:pPr>
        <w:spacing w:after="120"/>
        <w:ind w:left="709"/>
        <w:rPr>
          <w:bCs/>
          <w:szCs w:val="24"/>
        </w:rPr>
      </w:pPr>
      <w:r w:rsidRPr="00556AAC">
        <w:rPr>
          <w:bCs/>
          <w:iCs/>
        </w:rPr>
        <w:t>Shire will work with the PBAC and Department of Health so that Australian patients may access nanoliposomal irinotecan via the PBS</w:t>
      </w:r>
      <w:r>
        <w:rPr>
          <w:bCs/>
          <w:iCs/>
        </w:rPr>
        <w:t>.</w:t>
      </w:r>
    </w:p>
    <w:p w:rsidR="006D1A10" w:rsidRPr="006D1A10" w:rsidRDefault="006D1A10" w:rsidP="006D1A10">
      <w:pPr>
        <w:spacing w:after="120"/>
        <w:ind w:left="709"/>
        <w:rPr>
          <w:bCs/>
        </w:rPr>
      </w:pPr>
    </w:p>
    <w:sectPr w:rsidR="006D1A10" w:rsidRPr="006D1A10" w:rsidSect="00EB01F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66CCC8" w15:done="0"/>
  <w15:commentEx w15:paraId="16EE152B" w15:done="0"/>
  <w15:commentEx w15:paraId="0096D58A" w15:done="0"/>
  <w15:commentEx w15:paraId="7123099C" w15:done="0"/>
  <w15:commentEx w15:paraId="3DAF60B2" w15:paraIdParent="7123099C" w15:done="0"/>
  <w15:commentEx w15:paraId="15ABBDF9" w15:done="0"/>
  <w15:commentEx w15:paraId="7C003C23" w15:paraIdParent="15ABBDF9" w15:done="0"/>
  <w15:commentEx w15:paraId="3D09B5C1" w15:done="0"/>
  <w15:commentEx w15:paraId="4CFE111B" w15:paraIdParent="3D09B5C1" w15:done="0"/>
  <w15:commentEx w15:paraId="7BCC8EDE" w15:done="0"/>
  <w15:commentEx w15:paraId="2BAFA59E" w15:paraIdParent="7BCC8EDE" w15:done="0"/>
  <w15:commentEx w15:paraId="155A3F71" w15:done="0"/>
  <w15:commentEx w15:paraId="116E2D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960" w:rsidRDefault="000D5960" w:rsidP="00124A51">
      <w:r>
        <w:separator/>
      </w:r>
    </w:p>
  </w:endnote>
  <w:endnote w:type="continuationSeparator" w:id="0">
    <w:p w:rsidR="000D5960" w:rsidRDefault="000D596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Optima"/>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60" w:rsidRDefault="000D5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210582"/>
      <w:docPartObj>
        <w:docPartGallery w:val="Page Numbers (Bottom of Page)"/>
        <w:docPartUnique/>
      </w:docPartObj>
    </w:sdtPr>
    <w:sdtEndPr>
      <w:rPr>
        <w:noProof/>
      </w:rPr>
    </w:sdtEndPr>
    <w:sdtContent>
      <w:p w:rsidR="000D5960" w:rsidRDefault="000D5960" w:rsidP="009F79B3">
        <w:pPr>
          <w:pStyle w:val="Footer"/>
          <w:jc w:val="center"/>
        </w:pPr>
      </w:p>
      <w:p w:rsidR="000D5960" w:rsidRPr="009F79B3" w:rsidRDefault="000D5960" w:rsidP="009F79B3">
        <w:pPr>
          <w:pStyle w:val="Footer"/>
          <w:jc w:val="center"/>
        </w:pPr>
        <w:r>
          <w:fldChar w:fldCharType="begin"/>
        </w:r>
        <w:r>
          <w:instrText xml:space="preserve"> PAGE   \* MERGEFORMAT </w:instrText>
        </w:r>
        <w:r>
          <w:fldChar w:fldCharType="separate"/>
        </w:r>
        <w:r w:rsidR="00077780">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60" w:rsidRDefault="000D5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960" w:rsidRDefault="000D5960" w:rsidP="00124A51">
      <w:r>
        <w:separator/>
      </w:r>
    </w:p>
  </w:footnote>
  <w:footnote w:type="continuationSeparator" w:id="0">
    <w:p w:rsidR="000D5960" w:rsidRDefault="000D5960" w:rsidP="00124A51">
      <w:r>
        <w:continuationSeparator/>
      </w:r>
    </w:p>
  </w:footnote>
  <w:footnote w:id="1">
    <w:p w:rsidR="000D5960" w:rsidRPr="00FE63E6" w:rsidRDefault="000D5960">
      <w:pPr>
        <w:pStyle w:val="FootnoteText"/>
        <w:rPr>
          <w:rFonts w:ascii="Arial Narrow" w:hAnsi="Arial Narrow"/>
        </w:rPr>
      </w:pPr>
      <w:r w:rsidRPr="00FE63E6">
        <w:rPr>
          <w:rStyle w:val="FootnoteReference"/>
          <w:rFonts w:ascii="Arial Narrow" w:hAnsi="Arial Narrow"/>
        </w:rPr>
        <w:footnoteRef/>
      </w:r>
      <w:r w:rsidRPr="00FE63E6">
        <w:rPr>
          <w:rFonts w:ascii="Arial Narrow" w:hAnsi="Arial Narrow"/>
        </w:rPr>
        <w:t xml:space="preserve"> Cherny NI, Sullivan R, Dafni U, et al: A standardised, generic, validated approach to stratify the magnitude of clinical benefit that can be anticipated from anti-cancer therapies: the European Society for Medical Oncology Magnitude of Clinical Benefit Scale (ESMO-MCBS). Ann Oncol 26:1547-73,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60" w:rsidRDefault="000D59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60" w:rsidRPr="00DF217D" w:rsidRDefault="000D5960" w:rsidP="006D6B18">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0D5960" w:rsidRDefault="000D5960" w:rsidP="006D6B1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60" w:rsidRDefault="000D5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A75C37"/>
    <w:multiLevelType w:val="hybridMultilevel"/>
    <w:tmpl w:val="77043FC4"/>
    <w:lvl w:ilvl="0" w:tplc="5D4EED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966439"/>
    <w:multiLevelType w:val="hybridMultilevel"/>
    <w:tmpl w:val="3BE4E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48000B"/>
    <w:multiLevelType w:val="hybridMultilevel"/>
    <w:tmpl w:val="226A7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A60853"/>
    <w:multiLevelType w:val="hybridMultilevel"/>
    <w:tmpl w:val="F214B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E3190C"/>
    <w:multiLevelType w:val="hybridMultilevel"/>
    <w:tmpl w:val="4CF0F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1F5076"/>
    <w:multiLevelType w:val="hybridMultilevel"/>
    <w:tmpl w:val="58ECD44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EEE6BA4"/>
    <w:multiLevelType w:val="hybridMultilevel"/>
    <w:tmpl w:val="62640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784D033C"/>
    <w:multiLevelType w:val="multilevel"/>
    <w:tmpl w:val="1C8C69F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E317988"/>
    <w:multiLevelType w:val="hybridMultilevel"/>
    <w:tmpl w:val="4A52BBC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11"/>
  </w:num>
  <w:num w:numId="2">
    <w:abstractNumId w:val="4"/>
  </w:num>
  <w:num w:numId="3">
    <w:abstractNumId w:val="6"/>
  </w:num>
  <w:num w:numId="4">
    <w:abstractNumId w:val="12"/>
  </w:num>
  <w:num w:numId="5">
    <w:abstractNumId w:val="5"/>
  </w:num>
  <w:num w:numId="6">
    <w:abstractNumId w:val="8"/>
  </w:num>
  <w:num w:numId="7">
    <w:abstractNumId w:val="7"/>
  </w:num>
  <w:num w:numId="8">
    <w:abstractNumId w:val="1"/>
  </w:num>
  <w:num w:numId="9">
    <w:abstractNumId w:val="0"/>
  </w:num>
  <w:num w:numId="10">
    <w:abstractNumId w:val="3"/>
  </w:num>
  <w:num w:numId="11">
    <w:abstractNumId w:val="9"/>
  </w:num>
  <w:num w:numId="12">
    <w:abstractNumId w:val="10"/>
  </w:num>
  <w:num w:numId="13">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n Goon">
    <w15:presenceInfo w15:providerId="AD" w15:userId="S-1-5-21-1451058757-1749049392-1947940980-366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636"/>
    <w:rsid w:val="00000790"/>
    <w:rsid w:val="0000110B"/>
    <w:rsid w:val="0000329F"/>
    <w:rsid w:val="00003499"/>
    <w:rsid w:val="00004D17"/>
    <w:rsid w:val="00004D90"/>
    <w:rsid w:val="00004F7A"/>
    <w:rsid w:val="00006F1F"/>
    <w:rsid w:val="0000758D"/>
    <w:rsid w:val="00007673"/>
    <w:rsid w:val="00010037"/>
    <w:rsid w:val="00010535"/>
    <w:rsid w:val="00010CE2"/>
    <w:rsid w:val="00013247"/>
    <w:rsid w:val="00014651"/>
    <w:rsid w:val="00015281"/>
    <w:rsid w:val="00015886"/>
    <w:rsid w:val="000162EF"/>
    <w:rsid w:val="0001655F"/>
    <w:rsid w:val="00016BD8"/>
    <w:rsid w:val="000179F6"/>
    <w:rsid w:val="00020DB3"/>
    <w:rsid w:val="00021A9D"/>
    <w:rsid w:val="0002225F"/>
    <w:rsid w:val="000224ED"/>
    <w:rsid w:val="00023763"/>
    <w:rsid w:val="0002377C"/>
    <w:rsid w:val="00024038"/>
    <w:rsid w:val="00025325"/>
    <w:rsid w:val="000256F2"/>
    <w:rsid w:val="000257C3"/>
    <w:rsid w:val="00025B5B"/>
    <w:rsid w:val="000277C4"/>
    <w:rsid w:val="00027B7C"/>
    <w:rsid w:val="0003284F"/>
    <w:rsid w:val="0003368B"/>
    <w:rsid w:val="00033808"/>
    <w:rsid w:val="00037B35"/>
    <w:rsid w:val="000407F1"/>
    <w:rsid w:val="00040895"/>
    <w:rsid w:val="00041D18"/>
    <w:rsid w:val="00043C37"/>
    <w:rsid w:val="0004592A"/>
    <w:rsid w:val="00045ACD"/>
    <w:rsid w:val="00047A1C"/>
    <w:rsid w:val="000504FD"/>
    <w:rsid w:val="00050AC8"/>
    <w:rsid w:val="00052453"/>
    <w:rsid w:val="000527BB"/>
    <w:rsid w:val="00052A93"/>
    <w:rsid w:val="000546D7"/>
    <w:rsid w:val="00055E5C"/>
    <w:rsid w:val="00057A6D"/>
    <w:rsid w:val="000604B1"/>
    <w:rsid w:val="00061071"/>
    <w:rsid w:val="00061A0E"/>
    <w:rsid w:val="000621C6"/>
    <w:rsid w:val="000627DD"/>
    <w:rsid w:val="00062DB3"/>
    <w:rsid w:val="00063D77"/>
    <w:rsid w:val="00063E70"/>
    <w:rsid w:val="00064A06"/>
    <w:rsid w:val="0006507D"/>
    <w:rsid w:val="00065ECF"/>
    <w:rsid w:val="00066AA7"/>
    <w:rsid w:val="00067AB2"/>
    <w:rsid w:val="0007029A"/>
    <w:rsid w:val="00071248"/>
    <w:rsid w:val="000720B9"/>
    <w:rsid w:val="000730BA"/>
    <w:rsid w:val="00073715"/>
    <w:rsid w:val="00074F0F"/>
    <w:rsid w:val="00074FFB"/>
    <w:rsid w:val="000750B7"/>
    <w:rsid w:val="00075D93"/>
    <w:rsid w:val="000760CA"/>
    <w:rsid w:val="00076995"/>
    <w:rsid w:val="00077780"/>
    <w:rsid w:val="000807D4"/>
    <w:rsid w:val="00080B97"/>
    <w:rsid w:val="000812CA"/>
    <w:rsid w:val="000826E4"/>
    <w:rsid w:val="00084781"/>
    <w:rsid w:val="00086339"/>
    <w:rsid w:val="000866E5"/>
    <w:rsid w:val="0009078A"/>
    <w:rsid w:val="00090C7E"/>
    <w:rsid w:val="0009131B"/>
    <w:rsid w:val="000916F9"/>
    <w:rsid w:val="00092A8B"/>
    <w:rsid w:val="00092ADA"/>
    <w:rsid w:val="00092C61"/>
    <w:rsid w:val="00094015"/>
    <w:rsid w:val="00096AB3"/>
    <w:rsid w:val="00097D21"/>
    <w:rsid w:val="000A2DE7"/>
    <w:rsid w:val="000A305E"/>
    <w:rsid w:val="000A596F"/>
    <w:rsid w:val="000A6B02"/>
    <w:rsid w:val="000A7453"/>
    <w:rsid w:val="000A7CE8"/>
    <w:rsid w:val="000A7D66"/>
    <w:rsid w:val="000A7EB2"/>
    <w:rsid w:val="000B2459"/>
    <w:rsid w:val="000B277E"/>
    <w:rsid w:val="000B3886"/>
    <w:rsid w:val="000B4B13"/>
    <w:rsid w:val="000B5AE8"/>
    <w:rsid w:val="000B6EF4"/>
    <w:rsid w:val="000C2590"/>
    <w:rsid w:val="000C2776"/>
    <w:rsid w:val="000C2F2D"/>
    <w:rsid w:val="000C3540"/>
    <w:rsid w:val="000C498F"/>
    <w:rsid w:val="000C4B7A"/>
    <w:rsid w:val="000C5495"/>
    <w:rsid w:val="000C5FE7"/>
    <w:rsid w:val="000C6233"/>
    <w:rsid w:val="000C68D6"/>
    <w:rsid w:val="000D1BFC"/>
    <w:rsid w:val="000D2186"/>
    <w:rsid w:val="000D29E6"/>
    <w:rsid w:val="000D2A3C"/>
    <w:rsid w:val="000D30A5"/>
    <w:rsid w:val="000D3ED3"/>
    <w:rsid w:val="000D4298"/>
    <w:rsid w:val="000D4E6E"/>
    <w:rsid w:val="000D5013"/>
    <w:rsid w:val="000D5960"/>
    <w:rsid w:val="000D62FF"/>
    <w:rsid w:val="000D65BB"/>
    <w:rsid w:val="000D77E1"/>
    <w:rsid w:val="000D7CD5"/>
    <w:rsid w:val="000D7E24"/>
    <w:rsid w:val="000E2940"/>
    <w:rsid w:val="000E2EF3"/>
    <w:rsid w:val="000E3517"/>
    <w:rsid w:val="000E4E5C"/>
    <w:rsid w:val="000E6153"/>
    <w:rsid w:val="000F0F20"/>
    <w:rsid w:val="000F1837"/>
    <w:rsid w:val="000F3042"/>
    <w:rsid w:val="000F4BB8"/>
    <w:rsid w:val="000F56AF"/>
    <w:rsid w:val="000F5951"/>
    <w:rsid w:val="000F6E55"/>
    <w:rsid w:val="000F7042"/>
    <w:rsid w:val="000F7127"/>
    <w:rsid w:val="000F7D43"/>
    <w:rsid w:val="001002E1"/>
    <w:rsid w:val="00100C30"/>
    <w:rsid w:val="00100F8A"/>
    <w:rsid w:val="001012CD"/>
    <w:rsid w:val="00101F12"/>
    <w:rsid w:val="0010207D"/>
    <w:rsid w:val="001024ED"/>
    <w:rsid w:val="00102F9D"/>
    <w:rsid w:val="00103AA8"/>
    <w:rsid w:val="001045DD"/>
    <w:rsid w:val="00105842"/>
    <w:rsid w:val="00106658"/>
    <w:rsid w:val="00106C83"/>
    <w:rsid w:val="00106E6A"/>
    <w:rsid w:val="001102A2"/>
    <w:rsid w:val="001102AB"/>
    <w:rsid w:val="0011032E"/>
    <w:rsid w:val="00110C74"/>
    <w:rsid w:val="001114C4"/>
    <w:rsid w:val="0011348B"/>
    <w:rsid w:val="0011434B"/>
    <w:rsid w:val="001143C3"/>
    <w:rsid w:val="00114CB7"/>
    <w:rsid w:val="00114DA0"/>
    <w:rsid w:val="00116020"/>
    <w:rsid w:val="001161BC"/>
    <w:rsid w:val="001177BB"/>
    <w:rsid w:val="00117D64"/>
    <w:rsid w:val="00121799"/>
    <w:rsid w:val="001222FC"/>
    <w:rsid w:val="00123260"/>
    <w:rsid w:val="00124A51"/>
    <w:rsid w:val="00126621"/>
    <w:rsid w:val="00127346"/>
    <w:rsid w:val="001301E9"/>
    <w:rsid w:val="0013030D"/>
    <w:rsid w:val="00130809"/>
    <w:rsid w:val="00131078"/>
    <w:rsid w:val="00131DAF"/>
    <w:rsid w:val="0013572F"/>
    <w:rsid w:val="00135D0D"/>
    <w:rsid w:val="00137645"/>
    <w:rsid w:val="001377F6"/>
    <w:rsid w:val="001400F8"/>
    <w:rsid w:val="0014015A"/>
    <w:rsid w:val="00140480"/>
    <w:rsid w:val="0014092D"/>
    <w:rsid w:val="00140E99"/>
    <w:rsid w:val="001410AA"/>
    <w:rsid w:val="00142F86"/>
    <w:rsid w:val="00143010"/>
    <w:rsid w:val="001431A7"/>
    <w:rsid w:val="001449C5"/>
    <w:rsid w:val="00145540"/>
    <w:rsid w:val="001456B0"/>
    <w:rsid w:val="001459A2"/>
    <w:rsid w:val="00147C68"/>
    <w:rsid w:val="0015192F"/>
    <w:rsid w:val="0015227E"/>
    <w:rsid w:val="001528C3"/>
    <w:rsid w:val="00156D07"/>
    <w:rsid w:val="00157130"/>
    <w:rsid w:val="001571CC"/>
    <w:rsid w:val="00157B7A"/>
    <w:rsid w:val="00162913"/>
    <w:rsid w:val="00163EFF"/>
    <w:rsid w:val="00164150"/>
    <w:rsid w:val="001661FB"/>
    <w:rsid w:val="00166957"/>
    <w:rsid w:val="00167DD7"/>
    <w:rsid w:val="00167F25"/>
    <w:rsid w:val="00171320"/>
    <w:rsid w:val="00171FF2"/>
    <w:rsid w:val="0017280C"/>
    <w:rsid w:val="00173410"/>
    <w:rsid w:val="00173C07"/>
    <w:rsid w:val="00175679"/>
    <w:rsid w:val="001760B3"/>
    <w:rsid w:val="0017632A"/>
    <w:rsid w:val="001763B1"/>
    <w:rsid w:val="001819B2"/>
    <w:rsid w:val="001827DB"/>
    <w:rsid w:val="00182AEA"/>
    <w:rsid w:val="00184622"/>
    <w:rsid w:val="00184C52"/>
    <w:rsid w:val="00185619"/>
    <w:rsid w:val="00185D22"/>
    <w:rsid w:val="0018701C"/>
    <w:rsid w:val="00187147"/>
    <w:rsid w:val="0018752F"/>
    <w:rsid w:val="00190632"/>
    <w:rsid w:val="001916CF"/>
    <w:rsid w:val="00191DAF"/>
    <w:rsid w:val="00191F08"/>
    <w:rsid w:val="001921BE"/>
    <w:rsid w:val="001925CF"/>
    <w:rsid w:val="00193DB4"/>
    <w:rsid w:val="00195222"/>
    <w:rsid w:val="0019531D"/>
    <w:rsid w:val="00196A06"/>
    <w:rsid w:val="00196E01"/>
    <w:rsid w:val="001975D8"/>
    <w:rsid w:val="001A0C79"/>
    <w:rsid w:val="001A1419"/>
    <w:rsid w:val="001A1893"/>
    <w:rsid w:val="001A1C78"/>
    <w:rsid w:val="001A25D7"/>
    <w:rsid w:val="001A27CA"/>
    <w:rsid w:val="001A3258"/>
    <w:rsid w:val="001A35A3"/>
    <w:rsid w:val="001A35AC"/>
    <w:rsid w:val="001A3B95"/>
    <w:rsid w:val="001A5232"/>
    <w:rsid w:val="001A530B"/>
    <w:rsid w:val="001A697F"/>
    <w:rsid w:val="001A6FD6"/>
    <w:rsid w:val="001A7075"/>
    <w:rsid w:val="001A7CA6"/>
    <w:rsid w:val="001B0075"/>
    <w:rsid w:val="001B1CB2"/>
    <w:rsid w:val="001B3443"/>
    <w:rsid w:val="001B366D"/>
    <w:rsid w:val="001B4014"/>
    <w:rsid w:val="001B52DB"/>
    <w:rsid w:val="001B532A"/>
    <w:rsid w:val="001B5715"/>
    <w:rsid w:val="001B6F84"/>
    <w:rsid w:val="001C0332"/>
    <w:rsid w:val="001C28DB"/>
    <w:rsid w:val="001C57F8"/>
    <w:rsid w:val="001C6230"/>
    <w:rsid w:val="001C6E66"/>
    <w:rsid w:val="001D01E9"/>
    <w:rsid w:val="001D230B"/>
    <w:rsid w:val="001D24CB"/>
    <w:rsid w:val="001D367E"/>
    <w:rsid w:val="001D3BA0"/>
    <w:rsid w:val="001D466B"/>
    <w:rsid w:val="001D4A30"/>
    <w:rsid w:val="001D57FA"/>
    <w:rsid w:val="001D6EE1"/>
    <w:rsid w:val="001D758C"/>
    <w:rsid w:val="001D76F9"/>
    <w:rsid w:val="001D7A2B"/>
    <w:rsid w:val="001E1DCA"/>
    <w:rsid w:val="001E238E"/>
    <w:rsid w:val="001E2B1E"/>
    <w:rsid w:val="001E3601"/>
    <w:rsid w:val="001E52EB"/>
    <w:rsid w:val="001E6B7D"/>
    <w:rsid w:val="001E740C"/>
    <w:rsid w:val="001F025D"/>
    <w:rsid w:val="001F0296"/>
    <w:rsid w:val="001F1235"/>
    <w:rsid w:val="001F1AC0"/>
    <w:rsid w:val="001F1CB3"/>
    <w:rsid w:val="001F2F0D"/>
    <w:rsid w:val="001F37AF"/>
    <w:rsid w:val="001F4724"/>
    <w:rsid w:val="001F4EAE"/>
    <w:rsid w:val="001F540F"/>
    <w:rsid w:val="001F56D7"/>
    <w:rsid w:val="001F5709"/>
    <w:rsid w:val="001F62C3"/>
    <w:rsid w:val="001F642B"/>
    <w:rsid w:val="001F70C2"/>
    <w:rsid w:val="001F7361"/>
    <w:rsid w:val="001F7A28"/>
    <w:rsid w:val="00201B34"/>
    <w:rsid w:val="0020352A"/>
    <w:rsid w:val="0020385F"/>
    <w:rsid w:val="00204478"/>
    <w:rsid w:val="00204CDA"/>
    <w:rsid w:val="00205904"/>
    <w:rsid w:val="00207021"/>
    <w:rsid w:val="002076C2"/>
    <w:rsid w:val="00207A49"/>
    <w:rsid w:val="00207D00"/>
    <w:rsid w:val="00207E4C"/>
    <w:rsid w:val="002105C1"/>
    <w:rsid w:val="00210DDD"/>
    <w:rsid w:val="002131C9"/>
    <w:rsid w:val="00213260"/>
    <w:rsid w:val="00214DB3"/>
    <w:rsid w:val="0021590D"/>
    <w:rsid w:val="00216212"/>
    <w:rsid w:val="00222090"/>
    <w:rsid w:val="00222A3A"/>
    <w:rsid w:val="00223B49"/>
    <w:rsid w:val="00224B55"/>
    <w:rsid w:val="00224DD4"/>
    <w:rsid w:val="00225989"/>
    <w:rsid w:val="00225B77"/>
    <w:rsid w:val="00227D24"/>
    <w:rsid w:val="00230893"/>
    <w:rsid w:val="002309CC"/>
    <w:rsid w:val="00230B1E"/>
    <w:rsid w:val="00231193"/>
    <w:rsid w:val="00231371"/>
    <w:rsid w:val="00231D21"/>
    <w:rsid w:val="0023209A"/>
    <w:rsid w:val="00232460"/>
    <w:rsid w:val="0023262B"/>
    <w:rsid w:val="002332CB"/>
    <w:rsid w:val="00233FBC"/>
    <w:rsid w:val="002341A4"/>
    <w:rsid w:val="002345E9"/>
    <w:rsid w:val="00235B79"/>
    <w:rsid w:val="00235CED"/>
    <w:rsid w:val="0023621E"/>
    <w:rsid w:val="00240660"/>
    <w:rsid w:val="00241097"/>
    <w:rsid w:val="00241988"/>
    <w:rsid w:val="00242517"/>
    <w:rsid w:val="0024339D"/>
    <w:rsid w:val="0024450F"/>
    <w:rsid w:val="00244FAE"/>
    <w:rsid w:val="002477FD"/>
    <w:rsid w:val="0025097F"/>
    <w:rsid w:val="00251327"/>
    <w:rsid w:val="00252F48"/>
    <w:rsid w:val="002543CD"/>
    <w:rsid w:val="00254DCF"/>
    <w:rsid w:val="0025534B"/>
    <w:rsid w:val="00255719"/>
    <w:rsid w:val="00255BB7"/>
    <w:rsid w:val="00255BEE"/>
    <w:rsid w:val="002562CD"/>
    <w:rsid w:val="00256357"/>
    <w:rsid w:val="00257C93"/>
    <w:rsid w:val="00261BCB"/>
    <w:rsid w:val="00262A87"/>
    <w:rsid w:val="00264AEC"/>
    <w:rsid w:val="0026515E"/>
    <w:rsid w:val="00266C9F"/>
    <w:rsid w:val="002715A3"/>
    <w:rsid w:val="0027224F"/>
    <w:rsid w:val="00273C4D"/>
    <w:rsid w:val="00274037"/>
    <w:rsid w:val="0027533B"/>
    <w:rsid w:val="00275A57"/>
    <w:rsid w:val="00275C5A"/>
    <w:rsid w:val="00275C8F"/>
    <w:rsid w:val="00281014"/>
    <w:rsid w:val="002844FF"/>
    <w:rsid w:val="00284A9C"/>
    <w:rsid w:val="002852A0"/>
    <w:rsid w:val="00285BAC"/>
    <w:rsid w:val="002903EB"/>
    <w:rsid w:val="00290572"/>
    <w:rsid w:val="0029080F"/>
    <w:rsid w:val="002917CB"/>
    <w:rsid w:val="00291AAF"/>
    <w:rsid w:val="00292958"/>
    <w:rsid w:val="00292986"/>
    <w:rsid w:val="0029521C"/>
    <w:rsid w:val="00295B7F"/>
    <w:rsid w:val="002A14AB"/>
    <w:rsid w:val="002A1D88"/>
    <w:rsid w:val="002A2AE8"/>
    <w:rsid w:val="002A354B"/>
    <w:rsid w:val="002A3592"/>
    <w:rsid w:val="002A4E9A"/>
    <w:rsid w:val="002A6AE4"/>
    <w:rsid w:val="002A6CF2"/>
    <w:rsid w:val="002A74FF"/>
    <w:rsid w:val="002B104F"/>
    <w:rsid w:val="002B1C1F"/>
    <w:rsid w:val="002B2027"/>
    <w:rsid w:val="002B3140"/>
    <w:rsid w:val="002B3C30"/>
    <w:rsid w:val="002B3C3E"/>
    <w:rsid w:val="002B432F"/>
    <w:rsid w:val="002B597B"/>
    <w:rsid w:val="002B65EB"/>
    <w:rsid w:val="002B6874"/>
    <w:rsid w:val="002B6CCE"/>
    <w:rsid w:val="002B7A6E"/>
    <w:rsid w:val="002B7A95"/>
    <w:rsid w:val="002C0D5C"/>
    <w:rsid w:val="002C1AA1"/>
    <w:rsid w:val="002C1CCA"/>
    <w:rsid w:val="002C1F70"/>
    <w:rsid w:val="002C2775"/>
    <w:rsid w:val="002C27C1"/>
    <w:rsid w:val="002C2F87"/>
    <w:rsid w:val="002C3AA8"/>
    <w:rsid w:val="002C4EA7"/>
    <w:rsid w:val="002C5211"/>
    <w:rsid w:val="002C7134"/>
    <w:rsid w:val="002C7BA2"/>
    <w:rsid w:val="002C7F76"/>
    <w:rsid w:val="002D1C4D"/>
    <w:rsid w:val="002D2965"/>
    <w:rsid w:val="002D40A5"/>
    <w:rsid w:val="002D40AC"/>
    <w:rsid w:val="002D53ED"/>
    <w:rsid w:val="002D6268"/>
    <w:rsid w:val="002D6FB4"/>
    <w:rsid w:val="002D70B8"/>
    <w:rsid w:val="002D7472"/>
    <w:rsid w:val="002D7C65"/>
    <w:rsid w:val="002E0D1C"/>
    <w:rsid w:val="002E0F7C"/>
    <w:rsid w:val="002E1499"/>
    <w:rsid w:val="002E1DDB"/>
    <w:rsid w:val="002E238F"/>
    <w:rsid w:val="002E3517"/>
    <w:rsid w:val="002E58B8"/>
    <w:rsid w:val="002E660B"/>
    <w:rsid w:val="002E6B7B"/>
    <w:rsid w:val="002E7439"/>
    <w:rsid w:val="002E7C0B"/>
    <w:rsid w:val="002F0F44"/>
    <w:rsid w:val="002F21AE"/>
    <w:rsid w:val="002F5763"/>
    <w:rsid w:val="002F59AD"/>
    <w:rsid w:val="002F5A5A"/>
    <w:rsid w:val="002F7497"/>
    <w:rsid w:val="002F77E3"/>
    <w:rsid w:val="00301017"/>
    <w:rsid w:val="003015FB"/>
    <w:rsid w:val="00301FA6"/>
    <w:rsid w:val="00305403"/>
    <w:rsid w:val="00307360"/>
    <w:rsid w:val="0030786C"/>
    <w:rsid w:val="0031031A"/>
    <w:rsid w:val="00310981"/>
    <w:rsid w:val="00310E76"/>
    <w:rsid w:val="00311525"/>
    <w:rsid w:val="003119DB"/>
    <w:rsid w:val="003122E3"/>
    <w:rsid w:val="00313103"/>
    <w:rsid w:val="0031381E"/>
    <w:rsid w:val="00313EF0"/>
    <w:rsid w:val="00314FF4"/>
    <w:rsid w:val="00315498"/>
    <w:rsid w:val="003154B3"/>
    <w:rsid w:val="00316267"/>
    <w:rsid w:val="0031644F"/>
    <w:rsid w:val="0031682B"/>
    <w:rsid w:val="00317AC1"/>
    <w:rsid w:val="00321019"/>
    <w:rsid w:val="003236AC"/>
    <w:rsid w:val="00324769"/>
    <w:rsid w:val="00325424"/>
    <w:rsid w:val="0032566A"/>
    <w:rsid w:val="003276A0"/>
    <w:rsid w:val="00330F72"/>
    <w:rsid w:val="00330FE3"/>
    <w:rsid w:val="00332604"/>
    <w:rsid w:val="00334034"/>
    <w:rsid w:val="0033454A"/>
    <w:rsid w:val="00334B7C"/>
    <w:rsid w:val="003354EF"/>
    <w:rsid w:val="003366C9"/>
    <w:rsid w:val="00336924"/>
    <w:rsid w:val="00336EB3"/>
    <w:rsid w:val="003371B0"/>
    <w:rsid w:val="00337FAC"/>
    <w:rsid w:val="00342AED"/>
    <w:rsid w:val="00343284"/>
    <w:rsid w:val="0034444F"/>
    <w:rsid w:val="00344501"/>
    <w:rsid w:val="0034526C"/>
    <w:rsid w:val="003454E5"/>
    <w:rsid w:val="00345BDE"/>
    <w:rsid w:val="003460E4"/>
    <w:rsid w:val="00346960"/>
    <w:rsid w:val="00346B3A"/>
    <w:rsid w:val="00347B93"/>
    <w:rsid w:val="0035044F"/>
    <w:rsid w:val="0035088C"/>
    <w:rsid w:val="00350E88"/>
    <w:rsid w:val="00353080"/>
    <w:rsid w:val="00353E00"/>
    <w:rsid w:val="00354D0F"/>
    <w:rsid w:val="0035550E"/>
    <w:rsid w:val="00355BEE"/>
    <w:rsid w:val="0035615B"/>
    <w:rsid w:val="0035620E"/>
    <w:rsid w:val="00357548"/>
    <w:rsid w:val="00357911"/>
    <w:rsid w:val="00357AE1"/>
    <w:rsid w:val="00357DD8"/>
    <w:rsid w:val="003602B3"/>
    <w:rsid w:val="00361FB8"/>
    <w:rsid w:val="0036293F"/>
    <w:rsid w:val="00363909"/>
    <w:rsid w:val="003657C3"/>
    <w:rsid w:val="00365C9A"/>
    <w:rsid w:val="00370491"/>
    <w:rsid w:val="00370D95"/>
    <w:rsid w:val="00371B8E"/>
    <w:rsid w:val="00372544"/>
    <w:rsid w:val="0037395E"/>
    <w:rsid w:val="0037504D"/>
    <w:rsid w:val="00375936"/>
    <w:rsid w:val="003759EA"/>
    <w:rsid w:val="00377D6C"/>
    <w:rsid w:val="003804C9"/>
    <w:rsid w:val="0038131E"/>
    <w:rsid w:val="003817BF"/>
    <w:rsid w:val="0038217E"/>
    <w:rsid w:val="00382C97"/>
    <w:rsid w:val="0038365C"/>
    <w:rsid w:val="00387A53"/>
    <w:rsid w:val="00387D0E"/>
    <w:rsid w:val="003921CD"/>
    <w:rsid w:val="00392DEB"/>
    <w:rsid w:val="00393E6D"/>
    <w:rsid w:val="003945C4"/>
    <w:rsid w:val="00394959"/>
    <w:rsid w:val="00394CFE"/>
    <w:rsid w:val="00395446"/>
    <w:rsid w:val="00395E25"/>
    <w:rsid w:val="003969CE"/>
    <w:rsid w:val="00396FD0"/>
    <w:rsid w:val="00397A5B"/>
    <w:rsid w:val="003A18D9"/>
    <w:rsid w:val="003A1A7A"/>
    <w:rsid w:val="003A4A13"/>
    <w:rsid w:val="003A5EDF"/>
    <w:rsid w:val="003A69F4"/>
    <w:rsid w:val="003A6F77"/>
    <w:rsid w:val="003B24B9"/>
    <w:rsid w:val="003B2DAF"/>
    <w:rsid w:val="003B3B85"/>
    <w:rsid w:val="003B3EDF"/>
    <w:rsid w:val="003B4909"/>
    <w:rsid w:val="003B4A89"/>
    <w:rsid w:val="003B55B2"/>
    <w:rsid w:val="003B5917"/>
    <w:rsid w:val="003B5E4D"/>
    <w:rsid w:val="003B62A3"/>
    <w:rsid w:val="003B64EB"/>
    <w:rsid w:val="003B65B5"/>
    <w:rsid w:val="003B6889"/>
    <w:rsid w:val="003B76F8"/>
    <w:rsid w:val="003B79C3"/>
    <w:rsid w:val="003C0B98"/>
    <w:rsid w:val="003C1A94"/>
    <w:rsid w:val="003C2749"/>
    <w:rsid w:val="003C2B3A"/>
    <w:rsid w:val="003C42D6"/>
    <w:rsid w:val="003C4304"/>
    <w:rsid w:val="003C48B3"/>
    <w:rsid w:val="003C639A"/>
    <w:rsid w:val="003C75EA"/>
    <w:rsid w:val="003C7C0A"/>
    <w:rsid w:val="003C7C7F"/>
    <w:rsid w:val="003D112B"/>
    <w:rsid w:val="003D1828"/>
    <w:rsid w:val="003D1F50"/>
    <w:rsid w:val="003D2422"/>
    <w:rsid w:val="003D26B2"/>
    <w:rsid w:val="003D3512"/>
    <w:rsid w:val="003D5560"/>
    <w:rsid w:val="003D577B"/>
    <w:rsid w:val="003D5A71"/>
    <w:rsid w:val="003D5F84"/>
    <w:rsid w:val="003E247F"/>
    <w:rsid w:val="003E25CA"/>
    <w:rsid w:val="003E3491"/>
    <w:rsid w:val="003E3525"/>
    <w:rsid w:val="003E365A"/>
    <w:rsid w:val="003E386D"/>
    <w:rsid w:val="003E452D"/>
    <w:rsid w:val="003E6349"/>
    <w:rsid w:val="003F0014"/>
    <w:rsid w:val="003F0028"/>
    <w:rsid w:val="003F34DB"/>
    <w:rsid w:val="003F3741"/>
    <w:rsid w:val="003F3C13"/>
    <w:rsid w:val="003F4156"/>
    <w:rsid w:val="003F4DA3"/>
    <w:rsid w:val="003F5E16"/>
    <w:rsid w:val="003F5EA6"/>
    <w:rsid w:val="003F701C"/>
    <w:rsid w:val="00400E4C"/>
    <w:rsid w:val="004013FD"/>
    <w:rsid w:val="004020CF"/>
    <w:rsid w:val="00403847"/>
    <w:rsid w:val="00406494"/>
    <w:rsid w:val="00407D65"/>
    <w:rsid w:val="00410361"/>
    <w:rsid w:val="00410708"/>
    <w:rsid w:val="00410EC7"/>
    <w:rsid w:val="0041394D"/>
    <w:rsid w:val="00413EE9"/>
    <w:rsid w:val="00414476"/>
    <w:rsid w:val="00416882"/>
    <w:rsid w:val="00420B9F"/>
    <w:rsid w:val="0042292F"/>
    <w:rsid w:val="00422E2C"/>
    <w:rsid w:val="004244BB"/>
    <w:rsid w:val="0042517A"/>
    <w:rsid w:val="0042578A"/>
    <w:rsid w:val="00426EEF"/>
    <w:rsid w:val="00427197"/>
    <w:rsid w:val="004304FE"/>
    <w:rsid w:val="00430ACE"/>
    <w:rsid w:val="004319F8"/>
    <w:rsid w:val="004320C6"/>
    <w:rsid w:val="004329B4"/>
    <w:rsid w:val="00433044"/>
    <w:rsid w:val="00433489"/>
    <w:rsid w:val="00433962"/>
    <w:rsid w:val="00433B90"/>
    <w:rsid w:val="00434032"/>
    <w:rsid w:val="00434562"/>
    <w:rsid w:val="00434A07"/>
    <w:rsid w:val="00435BB9"/>
    <w:rsid w:val="00435E7A"/>
    <w:rsid w:val="00436009"/>
    <w:rsid w:val="0043643D"/>
    <w:rsid w:val="004376FF"/>
    <w:rsid w:val="004403D0"/>
    <w:rsid w:val="00440617"/>
    <w:rsid w:val="00440EEE"/>
    <w:rsid w:val="00441ED6"/>
    <w:rsid w:val="00441F2A"/>
    <w:rsid w:val="00442405"/>
    <w:rsid w:val="004443A7"/>
    <w:rsid w:val="0044506F"/>
    <w:rsid w:val="0044525D"/>
    <w:rsid w:val="00445C7F"/>
    <w:rsid w:val="004464EB"/>
    <w:rsid w:val="00446812"/>
    <w:rsid w:val="00446DD4"/>
    <w:rsid w:val="0044708C"/>
    <w:rsid w:val="004479DC"/>
    <w:rsid w:val="00450B69"/>
    <w:rsid w:val="00451860"/>
    <w:rsid w:val="004523D4"/>
    <w:rsid w:val="00453177"/>
    <w:rsid w:val="00455D45"/>
    <w:rsid w:val="00456DCD"/>
    <w:rsid w:val="0045757A"/>
    <w:rsid w:val="004608A4"/>
    <w:rsid w:val="00460936"/>
    <w:rsid w:val="00460DBA"/>
    <w:rsid w:val="00460E93"/>
    <w:rsid w:val="00461218"/>
    <w:rsid w:val="00462C73"/>
    <w:rsid w:val="00463221"/>
    <w:rsid w:val="004643DC"/>
    <w:rsid w:val="00464595"/>
    <w:rsid w:val="00464862"/>
    <w:rsid w:val="00465249"/>
    <w:rsid w:val="004653F3"/>
    <w:rsid w:val="0046670E"/>
    <w:rsid w:val="00466E66"/>
    <w:rsid w:val="004721C3"/>
    <w:rsid w:val="0047298A"/>
    <w:rsid w:val="00474C9D"/>
    <w:rsid w:val="004753FC"/>
    <w:rsid w:val="00476340"/>
    <w:rsid w:val="004777B5"/>
    <w:rsid w:val="00477D9B"/>
    <w:rsid w:val="0048002B"/>
    <w:rsid w:val="004804A9"/>
    <w:rsid w:val="0048336D"/>
    <w:rsid w:val="00483A9E"/>
    <w:rsid w:val="004845A8"/>
    <w:rsid w:val="004845C1"/>
    <w:rsid w:val="004849B7"/>
    <w:rsid w:val="004851CF"/>
    <w:rsid w:val="00485295"/>
    <w:rsid w:val="0048646F"/>
    <w:rsid w:val="004867E2"/>
    <w:rsid w:val="004877D3"/>
    <w:rsid w:val="00491B3A"/>
    <w:rsid w:val="00492CFD"/>
    <w:rsid w:val="00495923"/>
    <w:rsid w:val="00495A51"/>
    <w:rsid w:val="004962D2"/>
    <w:rsid w:val="00496E0E"/>
    <w:rsid w:val="004974AD"/>
    <w:rsid w:val="004A0149"/>
    <w:rsid w:val="004A04D8"/>
    <w:rsid w:val="004A0565"/>
    <w:rsid w:val="004A0929"/>
    <w:rsid w:val="004A0DA1"/>
    <w:rsid w:val="004A12EE"/>
    <w:rsid w:val="004A2A6D"/>
    <w:rsid w:val="004A417E"/>
    <w:rsid w:val="004A633C"/>
    <w:rsid w:val="004A6597"/>
    <w:rsid w:val="004A76A3"/>
    <w:rsid w:val="004B1031"/>
    <w:rsid w:val="004B1B30"/>
    <w:rsid w:val="004B1CB4"/>
    <w:rsid w:val="004B1D68"/>
    <w:rsid w:val="004B2E37"/>
    <w:rsid w:val="004B2F18"/>
    <w:rsid w:val="004B36D2"/>
    <w:rsid w:val="004B3DDB"/>
    <w:rsid w:val="004B44FD"/>
    <w:rsid w:val="004B49CB"/>
    <w:rsid w:val="004B526B"/>
    <w:rsid w:val="004B534D"/>
    <w:rsid w:val="004B54CF"/>
    <w:rsid w:val="004B5CFC"/>
    <w:rsid w:val="004B5F25"/>
    <w:rsid w:val="004B61A2"/>
    <w:rsid w:val="004B6B0D"/>
    <w:rsid w:val="004B6D64"/>
    <w:rsid w:val="004B7A6D"/>
    <w:rsid w:val="004C03CA"/>
    <w:rsid w:val="004C0636"/>
    <w:rsid w:val="004C06D8"/>
    <w:rsid w:val="004C0F9B"/>
    <w:rsid w:val="004C4273"/>
    <w:rsid w:val="004C4335"/>
    <w:rsid w:val="004C49DE"/>
    <w:rsid w:val="004C4AED"/>
    <w:rsid w:val="004C4C4B"/>
    <w:rsid w:val="004C613D"/>
    <w:rsid w:val="004C64CF"/>
    <w:rsid w:val="004C6AA3"/>
    <w:rsid w:val="004C7E4E"/>
    <w:rsid w:val="004C7F21"/>
    <w:rsid w:val="004D02EA"/>
    <w:rsid w:val="004D0636"/>
    <w:rsid w:val="004D06E7"/>
    <w:rsid w:val="004D3F67"/>
    <w:rsid w:val="004D4240"/>
    <w:rsid w:val="004D4666"/>
    <w:rsid w:val="004D49C2"/>
    <w:rsid w:val="004D4D59"/>
    <w:rsid w:val="004D5C67"/>
    <w:rsid w:val="004D7E46"/>
    <w:rsid w:val="004E05E9"/>
    <w:rsid w:val="004E0706"/>
    <w:rsid w:val="004E0757"/>
    <w:rsid w:val="004E0EB8"/>
    <w:rsid w:val="004E20AB"/>
    <w:rsid w:val="004E2480"/>
    <w:rsid w:val="004E24B7"/>
    <w:rsid w:val="004E2ADC"/>
    <w:rsid w:val="004E383E"/>
    <w:rsid w:val="004E3A04"/>
    <w:rsid w:val="004E3ED8"/>
    <w:rsid w:val="004E4128"/>
    <w:rsid w:val="004E43B2"/>
    <w:rsid w:val="004E49C9"/>
    <w:rsid w:val="004E6D95"/>
    <w:rsid w:val="004E771B"/>
    <w:rsid w:val="004F1D02"/>
    <w:rsid w:val="004F2347"/>
    <w:rsid w:val="004F2679"/>
    <w:rsid w:val="004F4B31"/>
    <w:rsid w:val="004F4CA6"/>
    <w:rsid w:val="004F5419"/>
    <w:rsid w:val="004F6E0E"/>
    <w:rsid w:val="004F7865"/>
    <w:rsid w:val="005003D5"/>
    <w:rsid w:val="00500E64"/>
    <w:rsid w:val="00500FE2"/>
    <w:rsid w:val="00502F71"/>
    <w:rsid w:val="00504239"/>
    <w:rsid w:val="005053E4"/>
    <w:rsid w:val="00505906"/>
    <w:rsid w:val="005067A3"/>
    <w:rsid w:val="00506928"/>
    <w:rsid w:val="00507F9F"/>
    <w:rsid w:val="0051003C"/>
    <w:rsid w:val="0051084B"/>
    <w:rsid w:val="00510DC1"/>
    <w:rsid w:val="00513102"/>
    <w:rsid w:val="005152B5"/>
    <w:rsid w:val="0051679F"/>
    <w:rsid w:val="00517BF3"/>
    <w:rsid w:val="00517EE9"/>
    <w:rsid w:val="00521319"/>
    <w:rsid w:val="0052165D"/>
    <w:rsid w:val="005226FB"/>
    <w:rsid w:val="00523097"/>
    <w:rsid w:val="00523C28"/>
    <w:rsid w:val="005240D4"/>
    <w:rsid w:val="00525657"/>
    <w:rsid w:val="00525704"/>
    <w:rsid w:val="00525968"/>
    <w:rsid w:val="00525A72"/>
    <w:rsid w:val="00526248"/>
    <w:rsid w:val="00526E1D"/>
    <w:rsid w:val="0052718F"/>
    <w:rsid w:val="00527B8C"/>
    <w:rsid w:val="00530153"/>
    <w:rsid w:val="00530354"/>
    <w:rsid w:val="0053043B"/>
    <w:rsid w:val="00531840"/>
    <w:rsid w:val="00532465"/>
    <w:rsid w:val="00532A09"/>
    <w:rsid w:val="00532B3E"/>
    <w:rsid w:val="005338B9"/>
    <w:rsid w:val="00533E3E"/>
    <w:rsid w:val="0053584C"/>
    <w:rsid w:val="00536235"/>
    <w:rsid w:val="005400DE"/>
    <w:rsid w:val="005409BC"/>
    <w:rsid w:val="00540E18"/>
    <w:rsid w:val="0054214D"/>
    <w:rsid w:val="005435B4"/>
    <w:rsid w:val="00544457"/>
    <w:rsid w:val="00545732"/>
    <w:rsid w:val="00545E96"/>
    <w:rsid w:val="005500E4"/>
    <w:rsid w:val="00550427"/>
    <w:rsid w:val="00551E71"/>
    <w:rsid w:val="00552BD3"/>
    <w:rsid w:val="00553599"/>
    <w:rsid w:val="005535AB"/>
    <w:rsid w:val="00554322"/>
    <w:rsid w:val="00555109"/>
    <w:rsid w:val="00556165"/>
    <w:rsid w:val="00556AAC"/>
    <w:rsid w:val="0055724B"/>
    <w:rsid w:val="0055779F"/>
    <w:rsid w:val="00560FFD"/>
    <w:rsid w:val="00561471"/>
    <w:rsid w:val="00561775"/>
    <w:rsid w:val="00562A6F"/>
    <w:rsid w:val="00563C25"/>
    <w:rsid w:val="005644D4"/>
    <w:rsid w:val="00565E3A"/>
    <w:rsid w:val="0056696F"/>
    <w:rsid w:val="0056739D"/>
    <w:rsid w:val="00572F1C"/>
    <w:rsid w:val="005750D3"/>
    <w:rsid w:val="00575719"/>
    <w:rsid w:val="00575D8D"/>
    <w:rsid w:val="00575ECC"/>
    <w:rsid w:val="00576972"/>
    <w:rsid w:val="00577BBC"/>
    <w:rsid w:val="00580AE6"/>
    <w:rsid w:val="00581B9B"/>
    <w:rsid w:val="00581D41"/>
    <w:rsid w:val="0058258D"/>
    <w:rsid w:val="005825DF"/>
    <w:rsid w:val="00582EF3"/>
    <w:rsid w:val="00583699"/>
    <w:rsid w:val="00583DA1"/>
    <w:rsid w:val="005840D9"/>
    <w:rsid w:val="00584135"/>
    <w:rsid w:val="005847A8"/>
    <w:rsid w:val="00584F73"/>
    <w:rsid w:val="0058712B"/>
    <w:rsid w:val="00587F42"/>
    <w:rsid w:val="00590004"/>
    <w:rsid w:val="00590B1D"/>
    <w:rsid w:val="00592E14"/>
    <w:rsid w:val="0059568E"/>
    <w:rsid w:val="00597731"/>
    <w:rsid w:val="00597E01"/>
    <w:rsid w:val="005A0C6E"/>
    <w:rsid w:val="005A23D4"/>
    <w:rsid w:val="005A2ED4"/>
    <w:rsid w:val="005A6A08"/>
    <w:rsid w:val="005A7754"/>
    <w:rsid w:val="005A7BDD"/>
    <w:rsid w:val="005A7F85"/>
    <w:rsid w:val="005B193F"/>
    <w:rsid w:val="005B1DE3"/>
    <w:rsid w:val="005B2233"/>
    <w:rsid w:val="005B5312"/>
    <w:rsid w:val="005B565F"/>
    <w:rsid w:val="005B5857"/>
    <w:rsid w:val="005B5F14"/>
    <w:rsid w:val="005B6A23"/>
    <w:rsid w:val="005B7EF6"/>
    <w:rsid w:val="005C08CC"/>
    <w:rsid w:val="005C120E"/>
    <w:rsid w:val="005C159C"/>
    <w:rsid w:val="005C1B83"/>
    <w:rsid w:val="005C346B"/>
    <w:rsid w:val="005C3786"/>
    <w:rsid w:val="005C4DF8"/>
    <w:rsid w:val="005C64C6"/>
    <w:rsid w:val="005C6CA1"/>
    <w:rsid w:val="005C71F4"/>
    <w:rsid w:val="005C75BF"/>
    <w:rsid w:val="005C78A9"/>
    <w:rsid w:val="005D02E5"/>
    <w:rsid w:val="005D044D"/>
    <w:rsid w:val="005D16C6"/>
    <w:rsid w:val="005D18AD"/>
    <w:rsid w:val="005D232E"/>
    <w:rsid w:val="005D2AC1"/>
    <w:rsid w:val="005D2AF2"/>
    <w:rsid w:val="005D3593"/>
    <w:rsid w:val="005D4CE5"/>
    <w:rsid w:val="005D58A7"/>
    <w:rsid w:val="005D5EA6"/>
    <w:rsid w:val="005D6E6D"/>
    <w:rsid w:val="005E01E7"/>
    <w:rsid w:val="005E2763"/>
    <w:rsid w:val="005E27B2"/>
    <w:rsid w:val="005E2C7B"/>
    <w:rsid w:val="005E4AAC"/>
    <w:rsid w:val="005E56B8"/>
    <w:rsid w:val="005E59D2"/>
    <w:rsid w:val="005E5A98"/>
    <w:rsid w:val="005E5CBB"/>
    <w:rsid w:val="005E6C4B"/>
    <w:rsid w:val="005E73C0"/>
    <w:rsid w:val="005F1B18"/>
    <w:rsid w:val="005F2706"/>
    <w:rsid w:val="005F42B5"/>
    <w:rsid w:val="005F4C6B"/>
    <w:rsid w:val="005F6515"/>
    <w:rsid w:val="005F67D0"/>
    <w:rsid w:val="005F6A8F"/>
    <w:rsid w:val="005F7372"/>
    <w:rsid w:val="005F784A"/>
    <w:rsid w:val="005F7EF1"/>
    <w:rsid w:val="005F7FDE"/>
    <w:rsid w:val="00600C98"/>
    <w:rsid w:val="00601514"/>
    <w:rsid w:val="006025B7"/>
    <w:rsid w:val="00602E41"/>
    <w:rsid w:val="0060306A"/>
    <w:rsid w:val="006030CD"/>
    <w:rsid w:val="00603560"/>
    <w:rsid w:val="00604ED4"/>
    <w:rsid w:val="00607669"/>
    <w:rsid w:val="0061058C"/>
    <w:rsid w:val="00611123"/>
    <w:rsid w:val="00612F97"/>
    <w:rsid w:val="00613C15"/>
    <w:rsid w:val="0061454B"/>
    <w:rsid w:val="006146A5"/>
    <w:rsid w:val="00616802"/>
    <w:rsid w:val="006171D2"/>
    <w:rsid w:val="00617436"/>
    <w:rsid w:val="00617E12"/>
    <w:rsid w:val="00621477"/>
    <w:rsid w:val="00623277"/>
    <w:rsid w:val="00624A72"/>
    <w:rsid w:val="00625C0F"/>
    <w:rsid w:val="006272BC"/>
    <w:rsid w:val="006277D9"/>
    <w:rsid w:val="00627927"/>
    <w:rsid w:val="006314DC"/>
    <w:rsid w:val="00631D6B"/>
    <w:rsid w:val="006321D1"/>
    <w:rsid w:val="00632A46"/>
    <w:rsid w:val="00634232"/>
    <w:rsid w:val="0063479F"/>
    <w:rsid w:val="0063490E"/>
    <w:rsid w:val="006364A1"/>
    <w:rsid w:val="00637343"/>
    <w:rsid w:val="00637BFD"/>
    <w:rsid w:val="00640ADD"/>
    <w:rsid w:val="00641520"/>
    <w:rsid w:val="006417D4"/>
    <w:rsid w:val="006421FD"/>
    <w:rsid w:val="00642F82"/>
    <w:rsid w:val="00643178"/>
    <w:rsid w:val="00643511"/>
    <w:rsid w:val="00644AC3"/>
    <w:rsid w:val="006471CC"/>
    <w:rsid w:val="00650347"/>
    <w:rsid w:val="0065079F"/>
    <w:rsid w:val="00650DFB"/>
    <w:rsid w:val="00651256"/>
    <w:rsid w:val="00652C14"/>
    <w:rsid w:val="00656BFF"/>
    <w:rsid w:val="00657BF2"/>
    <w:rsid w:val="00657E13"/>
    <w:rsid w:val="00660673"/>
    <w:rsid w:val="00661D6B"/>
    <w:rsid w:val="006623FF"/>
    <w:rsid w:val="00662C73"/>
    <w:rsid w:val="00662CC1"/>
    <w:rsid w:val="00663065"/>
    <w:rsid w:val="006640CC"/>
    <w:rsid w:val="006643F6"/>
    <w:rsid w:val="00664C93"/>
    <w:rsid w:val="0066557F"/>
    <w:rsid w:val="00666670"/>
    <w:rsid w:val="0066725C"/>
    <w:rsid w:val="006700D7"/>
    <w:rsid w:val="006701B2"/>
    <w:rsid w:val="0067024E"/>
    <w:rsid w:val="0067063C"/>
    <w:rsid w:val="00671151"/>
    <w:rsid w:val="00671EE1"/>
    <w:rsid w:val="00673079"/>
    <w:rsid w:val="00674E42"/>
    <w:rsid w:val="00675582"/>
    <w:rsid w:val="00676738"/>
    <w:rsid w:val="00677E39"/>
    <w:rsid w:val="00681165"/>
    <w:rsid w:val="00681E7D"/>
    <w:rsid w:val="00682112"/>
    <w:rsid w:val="00682B39"/>
    <w:rsid w:val="006844E8"/>
    <w:rsid w:val="00684DCC"/>
    <w:rsid w:val="006852C1"/>
    <w:rsid w:val="00686D16"/>
    <w:rsid w:val="00687260"/>
    <w:rsid w:val="006872BA"/>
    <w:rsid w:val="006917D7"/>
    <w:rsid w:val="00691AC1"/>
    <w:rsid w:val="00692DB4"/>
    <w:rsid w:val="00694F44"/>
    <w:rsid w:val="00695F42"/>
    <w:rsid w:val="00695FDD"/>
    <w:rsid w:val="00697106"/>
    <w:rsid w:val="006A0540"/>
    <w:rsid w:val="006A05CB"/>
    <w:rsid w:val="006A3012"/>
    <w:rsid w:val="006A35CF"/>
    <w:rsid w:val="006A3AD3"/>
    <w:rsid w:val="006A3D19"/>
    <w:rsid w:val="006A485D"/>
    <w:rsid w:val="006A4DDC"/>
    <w:rsid w:val="006A7041"/>
    <w:rsid w:val="006A70D7"/>
    <w:rsid w:val="006A70DE"/>
    <w:rsid w:val="006B01A7"/>
    <w:rsid w:val="006B02D6"/>
    <w:rsid w:val="006B1F27"/>
    <w:rsid w:val="006B43C8"/>
    <w:rsid w:val="006B485B"/>
    <w:rsid w:val="006B4BCC"/>
    <w:rsid w:val="006B4C98"/>
    <w:rsid w:val="006B6ADC"/>
    <w:rsid w:val="006B738B"/>
    <w:rsid w:val="006C025D"/>
    <w:rsid w:val="006C0361"/>
    <w:rsid w:val="006C13D1"/>
    <w:rsid w:val="006C15F4"/>
    <w:rsid w:val="006C2A8E"/>
    <w:rsid w:val="006C61AB"/>
    <w:rsid w:val="006C68B3"/>
    <w:rsid w:val="006C7E70"/>
    <w:rsid w:val="006D06C5"/>
    <w:rsid w:val="006D0F8B"/>
    <w:rsid w:val="006D18CE"/>
    <w:rsid w:val="006D1A10"/>
    <w:rsid w:val="006D307B"/>
    <w:rsid w:val="006D3C7D"/>
    <w:rsid w:val="006D4AEB"/>
    <w:rsid w:val="006D4B02"/>
    <w:rsid w:val="006D5D5F"/>
    <w:rsid w:val="006D67E7"/>
    <w:rsid w:val="006D6B18"/>
    <w:rsid w:val="006D7048"/>
    <w:rsid w:val="006D70BE"/>
    <w:rsid w:val="006D792B"/>
    <w:rsid w:val="006E09E4"/>
    <w:rsid w:val="006E0C25"/>
    <w:rsid w:val="006E19E8"/>
    <w:rsid w:val="006E1E63"/>
    <w:rsid w:val="006E24B6"/>
    <w:rsid w:val="006E2C5A"/>
    <w:rsid w:val="006E3C4B"/>
    <w:rsid w:val="006E3F50"/>
    <w:rsid w:val="006E4B47"/>
    <w:rsid w:val="006E5620"/>
    <w:rsid w:val="006E6133"/>
    <w:rsid w:val="006E642D"/>
    <w:rsid w:val="006E6B08"/>
    <w:rsid w:val="006E7DF9"/>
    <w:rsid w:val="006F051D"/>
    <w:rsid w:val="006F073D"/>
    <w:rsid w:val="006F0FE3"/>
    <w:rsid w:val="006F203F"/>
    <w:rsid w:val="006F4149"/>
    <w:rsid w:val="006F5B48"/>
    <w:rsid w:val="006F63A5"/>
    <w:rsid w:val="006F7352"/>
    <w:rsid w:val="006F75FE"/>
    <w:rsid w:val="0070110F"/>
    <w:rsid w:val="00702379"/>
    <w:rsid w:val="0070276E"/>
    <w:rsid w:val="00702F8F"/>
    <w:rsid w:val="00704424"/>
    <w:rsid w:val="00704617"/>
    <w:rsid w:val="007055AF"/>
    <w:rsid w:val="00710602"/>
    <w:rsid w:val="0071140E"/>
    <w:rsid w:val="00711A36"/>
    <w:rsid w:val="00711F1B"/>
    <w:rsid w:val="00712363"/>
    <w:rsid w:val="00714D16"/>
    <w:rsid w:val="00715222"/>
    <w:rsid w:val="00716457"/>
    <w:rsid w:val="007168D7"/>
    <w:rsid w:val="007172AD"/>
    <w:rsid w:val="007212E3"/>
    <w:rsid w:val="00721C69"/>
    <w:rsid w:val="00723569"/>
    <w:rsid w:val="0072416F"/>
    <w:rsid w:val="00724C82"/>
    <w:rsid w:val="00726517"/>
    <w:rsid w:val="00726C69"/>
    <w:rsid w:val="00726FF8"/>
    <w:rsid w:val="007272FD"/>
    <w:rsid w:val="00727A50"/>
    <w:rsid w:val="007303C8"/>
    <w:rsid w:val="00730540"/>
    <w:rsid w:val="00730F13"/>
    <w:rsid w:val="00731573"/>
    <w:rsid w:val="00731B37"/>
    <w:rsid w:val="00735328"/>
    <w:rsid w:val="0073685B"/>
    <w:rsid w:val="00742B25"/>
    <w:rsid w:val="0074318A"/>
    <w:rsid w:val="007437F6"/>
    <w:rsid w:val="00746160"/>
    <w:rsid w:val="00750090"/>
    <w:rsid w:val="00750BA5"/>
    <w:rsid w:val="00751484"/>
    <w:rsid w:val="007522B9"/>
    <w:rsid w:val="00753263"/>
    <w:rsid w:val="007533FF"/>
    <w:rsid w:val="00754589"/>
    <w:rsid w:val="00754E9C"/>
    <w:rsid w:val="00756406"/>
    <w:rsid w:val="00756E4D"/>
    <w:rsid w:val="0075707F"/>
    <w:rsid w:val="007577E8"/>
    <w:rsid w:val="00757A28"/>
    <w:rsid w:val="00762460"/>
    <w:rsid w:val="007624D8"/>
    <w:rsid w:val="00764DB8"/>
    <w:rsid w:val="00767403"/>
    <w:rsid w:val="00770009"/>
    <w:rsid w:val="00772590"/>
    <w:rsid w:val="00772BF8"/>
    <w:rsid w:val="00774CAB"/>
    <w:rsid w:val="00774E85"/>
    <w:rsid w:val="007758F7"/>
    <w:rsid w:val="00775ADD"/>
    <w:rsid w:val="00776DEF"/>
    <w:rsid w:val="00777651"/>
    <w:rsid w:val="007802A9"/>
    <w:rsid w:val="00780CCD"/>
    <w:rsid w:val="0078454D"/>
    <w:rsid w:val="00784A5B"/>
    <w:rsid w:val="00785223"/>
    <w:rsid w:val="007856D3"/>
    <w:rsid w:val="00787CF0"/>
    <w:rsid w:val="0079004D"/>
    <w:rsid w:val="007928BE"/>
    <w:rsid w:val="007929CC"/>
    <w:rsid w:val="00794742"/>
    <w:rsid w:val="00795C0D"/>
    <w:rsid w:val="00797F15"/>
    <w:rsid w:val="00797FFC"/>
    <w:rsid w:val="007A00A8"/>
    <w:rsid w:val="007A0A12"/>
    <w:rsid w:val="007A0B29"/>
    <w:rsid w:val="007A1C87"/>
    <w:rsid w:val="007A29BC"/>
    <w:rsid w:val="007A3686"/>
    <w:rsid w:val="007A410C"/>
    <w:rsid w:val="007A4D44"/>
    <w:rsid w:val="007A741E"/>
    <w:rsid w:val="007B076C"/>
    <w:rsid w:val="007B11A5"/>
    <w:rsid w:val="007B251D"/>
    <w:rsid w:val="007B2ECC"/>
    <w:rsid w:val="007B3A29"/>
    <w:rsid w:val="007B44CA"/>
    <w:rsid w:val="007B46F6"/>
    <w:rsid w:val="007B492B"/>
    <w:rsid w:val="007B5DAB"/>
    <w:rsid w:val="007B77D1"/>
    <w:rsid w:val="007C05C1"/>
    <w:rsid w:val="007C0CCC"/>
    <w:rsid w:val="007C0F41"/>
    <w:rsid w:val="007C21D4"/>
    <w:rsid w:val="007C226F"/>
    <w:rsid w:val="007C361D"/>
    <w:rsid w:val="007C3C25"/>
    <w:rsid w:val="007C4372"/>
    <w:rsid w:val="007C581C"/>
    <w:rsid w:val="007C6987"/>
    <w:rsid w:val="007C7015"/>
    <w:rsid w:val="007C769B"/>
    <w:rsid w:val="007D0437"/>
    <w:rsid w:val="007D0B38"/>
    <w:rsid w:val="007D3496"/>
    <w:rsid w:val="007D3B5D"/>
    <w:rsid w:val="007D513E"/>
    <w:rsid w:val="007D5EB5"/>
    <w:rsid w:val="007D7688"/>
    <w:rsid w:val="007D7F0F"/>
    <w:rsid w:val="007E1FC4"/>
    <w:rsid w:val="007E26D3"/>
    <w:rsid w:val="007E3220"/>
    <w:rsid w:val="007E3374"/>
    <w:rsid w:val="007E3461"/>
    <w:rsid w:val="007E43FB"/>
    <w:rsid w:val="007E5804"/>
    <w:rsid w:val="007E5B6E"/>
    <w:rsid w:val="007E5DB6"/>
    <w:rsid w:val="007F0A88"/>
    <w:rsid w:val="007F1017"/>
    <w:rsid w:val="007F1338"/>
    <w:rsid w:val="007F208B"/>
    <w:rsid w:val="007F2AE4"/>
    <w:rsid w:val="007F35DA"/>
    <w:rsid w:val="007F4A3F"/>
    <w:rsid w:val="007F4E01"/>
    <w:rsid w:val="007F511F"/>
    <w:rsid w:val="007F611B"/>
    <w:rsid w:val="00800128"/>
    <w:rsid w:val="00800DC8"/>
    <w:rsid w:val="00800E69"/>
    <w:rsid w:val="008033B6"/>
    <w:rsid w:val="008038AB"/>
    <w:rsid w:val="008046AD"/>
    <w:rsid w:val="00804A74"/>
    <w:rsid w:val="00805142"/>
    <w:rsid w:val="00806173"/>
    <w:rsid w:val="008078F4"/>
    <w:rsid w:val="00807A8B"/>
    <w:rsid w:val="0081090F"/>
    <w:rsid w:val="00810FFA"/>
    <w:rsid w:val="00811CBE"/>
    <w:rsid w:val="00812149"/>
    <w:rsid w:val="00812DF7"/>
    <w:rsid w:val="008147C5"/>
    <w:rsid w:val="00815124"/>
    <w:rsid w:val="00815A9A"/>
    <w:rsid w:val="008166EF"/>
    <w:rsid w:val="008177C1"/>
    <w:rsid w:val="00820727"/>
    <w:rsid w:val="00823EBA"/>
    <w:rsid w:val="00824C62"/>
    <w:rsid w:val="008264EB"/>
    <w:rsid w:val="0082793D"/>
    <w:rsid w:val="00830703"/>
    <w:rsid w:val="00832671"/>
    <w:rsid w:val="00833B05"/>
    <w:rsid w:val="00834AA7"/>
    <w:rsid w:val="00835A19"/>
    <w:rsid w:val="008363E7"/>
    <w:rsid w:val="00840CA2"/>
    <w:rsid w:val="0084392D"/>
    <w:rsid w:val="00844724"/>
    <w:rsid w:val="00844AAB"/>
    <w:rsid w:val="00846268"/>
    <w:rsid w:val="008468A0"/>
    <w:rsid w:val="008477EA"/>
    <w:rsid w:val="00850415"/>
    <w:rsid w:val="00850D82"/>
    <w:rsid w:val="008510DD"/>
    <w:rsid w:val="00853CE9"/>
    <w:rsid w:val="00855041"/>
    <w:rsid w:val="00856E9A"/>
    <w:rsid w:val="008614BD"/>
    <w:rsid w:val="00861E26"/>
    <w:rsid w:val="00862422"/>
    <w:rsid w:val="00862502"/>
    <w:rsid w:val="00862626"/>
    <w:rsid w:val="00862B28"/>
    <w:rsid w:val="00865BB2"/>
    <w:rsid w:val="0086632D"/>
    <w:rsid w:val="00866394"/>
    <w:rsid w:val="00866735"/>
    <w:rsid w:val="0087033C"/>
    <w:rsid w:val="008706CC"/>
    <w:rsid w:val="00871A08"/>
    <w:rsid w:val="00872215"/>
    <w:rsid w:val="008739F2"/>
    <w:rsid w:val="00873E82"/>
    <w:rsid w:val="008751BF"/>
    <w:rsid w:val="008765B8"/>
    <w:rsid w:val="00881487"/>
    <w:rsid w:val="00881EC5"/>
    <w:rsid w:val="0088265A"/>
    <w:rsid w:val="00882874"/>
    <w:rsid w:val="00882F26"/>
    <w:rsid w:val="0088337A"/>
    <w:rsid w:val="00883787"/>
    <w:rsid w:val="00883D53"/>
    <w:rsid w:val="008847C8"/>
    <w:rsid w:val="00885D50"/>
    <w:rsid w:val="00885F12"/>
    <w:rsid w:val="0088615A"/>
    <w:rsid w:val="00886AA6"/>
    <w:rsid w:val="008879FA"/>
    <w:rsid w:val="00891B61"/>
    <w:rsid w:val="0089230C"/>
    <w:rsid w:val="00892411"/>
    <w:rsid w:val="008924C5"/>
    <w:rsid w:val="0089438C"/>
    <w:rsid w:val="00894489"/>
    <w:rsid w:val="008963A5"/>
    <w:rsid w:val="00896D97"/>
    <w:rsid w:val="008A0783"/>
    <w:rsid w:val="008A2855"/>
    <w:rsid w:val="008A2A23"/>
    <w:rsid w:val="008A2CEA"/>
    <w:rsid w:val="008A2E11"/>
    <w:rsid w:val="008A3187"/>
    <w:rsid w:val="008A3425"/>
    <w:rsid w:val="008A3C3E"/>
    <w:rsid w:val="008A3F68"/>
    <w:rsid w:val="008A4224"/>
    <w:rsid w:val="008A430B"/>
    <w:rsid w:val="008A6620"/>
    <w:rsid w:val="008A7485"/>
    <w:rsid w:val="008A79DE"/>
    <w:rsid w:val="008B023F"/>
    <w:rsid w:val="008B1358"/>
    <w:rsid w:val="008B336A"/>
    <w:rsid w:val="008B4B5F"/>
    <w:rsid w:val="008B57D3"/>
    <w:rsid w:val="008B62ED"/>
    <w:rsid w:val="008B6450"/>
    <w:rsid w:val="008B78B7"/>
    <w:rsid w:val="008B7A58"/>
    <w:rsid w:val="008B7BBB"/>
    <w:rsid w:val="008B7D7E"/>
    <w:rsid w:val="008C0AD4"/>
    <w:rsid w:val="008C15D1"/>
    <w:rsid w:val="008C17D7"/>
    <w:rsid w:val="008C1884"/>
    <w:rsid w:val="008C1A36"/>
    <w:rsid w:val="008C30D4"/>
    <w:rsid w:val="008C5668"/>
    <w:rsid w:val="008C6B01"/>
    <w:rsid w:val="008C750B"/>
    <w:rsid w:val="008C7ECB"/>
    <w:rsid w:val="008D02C3"/>
    <w:rsid w:val="008D342B"/>
    <w:rsid w:val="008D46CD"/>
    <w:rsid w:val="008D5CF5"/>
    <w:rsid w:val="008D6921"/>
    <w:rsid w:val="008D746B"/>
    <w:rsid w:val="008D7E9F"/>
    <w:rsid w:val="008E01DC"/>
    <w:rsid w:val="008E049A"/>
    <w:rsid w:val="008E1B58"/>
    <w:rsid w:val="008E1B9E"/>
    <w:rsid w:val="008E1EF4"/>
    <w:rsid w:val="008E3A78"/>
    <w:rsid w:val="008E3F5C"/>
    <w:rsid w:val="008E50AD"/>
    <w:rsid w:val="008E5E24"/>
    <w:rsid w:val="008E6AE5"/>
    <w:rsid w:val="008E7D36"/>
    <w:rsid w:val="008F120A"/>
    <w:rsid w:val="008F2589"/>
    <w:rsid w:val="008F28E0"/>
    <w:rsid w:val="008F3152"/>
    <w:rsid w:val="008F48EB"/>
    <w:rsid w:val="008F4F0B"/>
    <w:rsid w:val="008F6115"/>
    <w:rsid w:val="00900B65"/>
    <w:rsid w:val="009014C0"/>
    <w:rsid w:val="00901C5E"/>
    <w:rsid w:val="00903DB8"/>
    <w:rsid w:val="009045A8"/>
    <w:rsid w:val="009054F0"/>
    <w:rsid w:val="00905B63"/>
    <w:rsid w:val="00906074"/>
    <w:rsid w:val="009062A5"/>
    <w:rsid w:val="00906332"/>
    <w:rsid w:val="009070B0"/>
    <w:rsid w:val="00907103"/>
    <w:rsid w:val="0091067F"/>
    <w:rsid w:val="00911272"/>
    <w:rsid w:val="00912558"/>
    <w:rsid w:val="009128D1"/>
    <w:rsid w:val="00913062"/>
    <w:rsid w:val="00915082"/>
    <w:rsid w:val="00916A60"/>
    <w:rsid w:val="009171F1"/>
    <w:rsid w:val="00920670"/>
    <w:rsid w:val="00921200"/>
    <w:rsid w:val="00921841"/>
    <w:rsid w:val="009259DD"/>
    <w:rsid w:val="009263BA"/>
    <w:rsid w:val="009269B9"/>
    <w:rsid w:val="009269F7"/>
    <w:rsid w:val="0092785C"/>
    <w:rsid w:val="0093188D"/>
    <w:rsid w:val="00932121"/>
    <w:rsid w:val="00932B34"/>
    <w:rsid w:val="00933298"/>
    <w:rsid w:val="00934096"/>
    <w:rsid w:val="0093490D"/>
    <w:rsid w:val="00935811"/>
    <w:rsid w:val="009369FC"/>
    <w:rsid w:val="00937193"/>
    <w:rsid w:val="00940AE3"/>
    <w:rsid w:val="00941757"/>
    <w:rsid w:val="00942F7B"/>
    <w:rsid w:val="009447CF"/>
    <w:rsid w:val="00944C71"/>
    <w:rsid w:val="00944C7C"/>
    <w:rsid w:val="00946DD5"/>
    <w:rsid w:val="00947009"/>
    <w:rsid w:val="009477A5"/>
    <w:rsid w:val="00951A70"/>
    <w:rsid w:val="009531E6"/>
    <w:rsid w:val="00953671"/>
    <w:rsid w:val="009536D8"/>
    <w:rsid w:val="0095448F"/>
    <w:rsid w:val="00954C22"/>
    <w:rsid w:val="009551B5"/>
    <w:rsid w:val="00956431"/>
    <w:rsid w:val="009565BC"/>
    <w:rsid w:val="00956AB8"/>
    <w:rsid w:val="00956B9D"/>
    <w:rsid w:val="00957F7B"/>
    <w:rsid w:val="0096022C"/>
    <w:rsid w:val="009603B9"/>
    <w:rsid w:val="00960736"/>
    <w:rsid w:val="009607F9"/>
    <w:rsid w:val="00962CB9"/>
    <w:rsid w:val="0096340F"/>
    <w:rsid w:val="009634E8"/>
    <w:rsid w:val="00964312"/>
    <w:rsid w:val="00964E58"/>
    <w:rsid w:val="00965A9C"/>
    <w:rsid w:val="00965D93"/>
    <w:rsid w:val="00966A47"/>
    <w:rsid w:val="00970173"/>
    <w:rsid w:val="009703A8"/>
    <w:rsid w:val="00970BD2"/>
    <w:rsid w:val="00970E95"/>
    <w:rsid w:val="00970F9B"/>
    <w:rsid w:val="009723FF"/>
    <w:rsid w:val="00973A7B"/>
    <w:rsid w:val="00974014"/>
    <w:rsid w:val="0097478C"/>
    <w:rsid w:val="00975104"/>
    <w:rsid w:val="00975F0F"/>
    <w:rsid w:val="009804E6"/>
    <w:rsid w:val="00980964"/>
    <w:rsid w:val="00980995"/>
    <w:rsid w:val="00980A16"/>
    <w:rsid w:val="009819B3"/>
    <w:rsid w:val="00983E57"/>
    <w:rsid w:val="009841B1"/>
    <w:rsid w:val="009842CB"/>
    <w:rsid w:val="00985AFB"/>
    <w:rsid w:val="009873A2"/>
    <w:rsid w:val="009878C2"/>
    <w:rsid w:val="00990188"/>
    <w:rsid w:val="00991219"/>
    <w:rsid w:val="009921F1"/>
    <w:rsid w:val="00992473"/>
    <w:rsid w:val="009962D7"/>
    <w:rsid w:val="00996B1A"/>
    <w:rsid w:val="00997510"/>
    <w:rsid w:val="009A012D"/>
    <w:rsid w:val="009A1A35"/>
    <w:rsid w:val="009A285A"/>
    <w:rsid w:val="009A3340"/>
    <w:rsid w:val="009A3A95"/>
    <w:rsid w:val="009A54E0"/>
    <w:rsid w:val="009A5B27"/>
    <w:rsid w:val="009B208B"/>
    <w:rsid w:val="009B31B5"/>
    <w:rsid w:val="009B3E26"/>
    <w:rsid w:val="009B4305"/>
    <w:rsid w:val="009B534A"/>
    <w:rsid w:val="009B70BC"/>
    <w:rsid w:val="009C0CCD"/>
    <w:rsid w:val="009C0E6D"/>
    <w:rsid w:val="009C341E"/>
    <w:rsid w:val="009C5E45"/>
    <w:rsid w:val="009C74B3"/>
    <w:rsid w:val="009C7CE6"/>
    <w:rsid w:val="009D1240"/>
    <w:rsid w:val="009D1429"/>
    <w:rsid w:val="009D27EC"/>
    <w:rsid w:val="009D2F38"/>
    <w:rsid w:val="009D32DB"/>
    <w:rsid w:val="009D424A"/>
    <w:rsid w:val="009D55D1"/>
    <w:rsid w:val="009D5B91"/>
    <w:rsid w:val="009E0380"/>
    <w:rsid w:val="009E258D"/>
    <w:rsid w:val="009E2F77"/>
    <w:rsid w:val="009E3AFE"/>
    <w:rsid w:val="009E4C07"/>
    <w:rsid w:val="009E59D1"/>
    <w:rsid w:val="009E5CEA"/>
    <w:rsid w:val="009E659A"/>
    <w:rsid w:val="009E6DBD"/>
    <w:rsid w:val="009E7BF0"/>
    <w:rsid w:val="009F252E"/>
    <w:rsid w:val="009F2E05"/>
    <w:rsid w:val="009F3F61"/>
    <w:rsid w:val="009F4262"/>
    <w:rsid w:val="009F6BC6"/>
    <w:rsid w:val="009F79B3"/>
    <w:rsid w:val="009F7A6D"/>
    <w:rsid w:val="00A015B3"/>
    <w:rsid w:val="00A027C0"/>
    <w:rsid w:val="00A03A41"/>
    <w:rsid w:val="00A03D43"/>
    <w:rsid w:val="00A03EC7"/>
    <w:rsid w:val="00A04380"/>
    <w:rsid w:val="00A05281"/>
    <w:rsid w:val="00A05318"/>
    <w:rsid w:val="00A0569B"/>
    <w:rsid w:val="00A067AC"/>
    <w:rsid w:val="00A06BE4"/>
    <w:rsid w:val="00A07497"/>
    <w:rsid w:val="00A10776"/>
    <w:rsid w:val="00A10968"/>
    <w:rsid w:val="00A13816"/>
    <w:rsid w:val="00A13948"/>
    <w:rsid w:val="00A13C87"/>
    <w:rsid w:val="00A15DBC"/>
    <w:rsid w:val="00A169D5"/>
    <w:rsid w:val="00A2033A"/>
    <w:rsid w:val="00A210C5"/>
    <w:rsid w:val="00A21535"/>
    <w:rsid w:val="00A2286C"/>
    <w:rsid w:val="00A23378"/>
    <w:rsid w:val="00A233D5"/>
    <w:rsid w:val="00A23741"/>
    <w:rsid w:val="00A23814"/>
    <w:rsid w:val="00A239BC"/>
    <w:rsid w:val="00A24EAB"/>
    <w:rsid w:val="00A25490"/>
    <w:rsid w:val="00A25A3B"/>
    <w:rsid w:val="00A263C6"/>
    <w:rsid w:val="00A2665C"/>
    <w:rsid w:val="00A27AEC"/>
    <w:rsid w:val="00A30363"/>
    <w:rsid w:val="00A3258A"/>
    <w:rsid w:val="00A3594D"/>
    <w:rsid w:val="00A35D16"/>
    <w:rsid w:val="00A4031C"/>
    <w:rsid w:val="00A40636"/>
    <w:rsid w:val="00A411F5"/>
    <w:rsid w:val="00A412D1"/>
    <w:rsid w:val="00A42082"/>
    <w:rsid w:val="00A42D47"/>
    <w:rsid w:val="00A43974"/>
    <w:rsid w:val="00A43C59"/>
    <w:rsid w:val="00A4497A"/>
    <w:rsid w:val="00A46E27"/>
    <w:rsid w:val="00A47B3D"/>
    <w:rsid w:val="00A500E4"/>
    <w:rsid w:val="00A50237"/>
    <w:rsid w:val="00A50ECD"/>
    <w:rsid w:val="00A5103A"/>
    <w:rsid w:val="00A51534"/>
    <w:rsid w:val="00A52729"/>
    <w:rsid w:val="00A527BC"/>
    <w:rsid w:val="00A53329"/>
    <w:rsid w:val="00A53675"/>
    <w:rsid w:val="00A538CA"/>
    <w:rsid w:val="00A53F13"/>
    <w:rsid w:val="00A54303"/>
    <w:rsid w:val="00A5611C"/>
    <w:rsid w:val="00A56828"/>
    <w:rsid w:val="00A56B6A"/>
    <w:rsid w:val="00A578DC"/>
    <w:rsid w:val="00A61B89"/>
    <w:rsid w:val="00A64088"/>
    <w:rsid w:val="00A65917"/>
    <w:rsid w:val="00A65E3B"/>
    <w:rsid w:val="00A664FA"/>
    <w:rsid w:val="00A6725B"/>
    <w:rsid w:val="00A67477"/>
    <w:rsid w:val="00A714DB"/>
    <w:rsid w:val="00A72497"/>
    <w:rsid w:val="00A72887"/>
    <w:rsid w:val="00A7294B"/>
    <w:rsid w:val="00A72D36"/>
    <w:rsid w:val="00A74186"/>
    <w:rsid w:val="00A77BF3"/>
    <w:rsid w:val="00A8055D"/>
    <w:rsid w:val="00A80962"/>
    <w:rsid w:val="00A80CB2"/>
    <w:rsid w:val="00A81266"/>
    <w:rsid w:val="00A814A5"/>
    <w:rsid w:val="00A81522"/>
    <w:rsid w:val="00A8265A"/>
    <w:rsid w:val="00A8508C"/>
    <w:rsid w:val="00A8596C"/>
    <w:rsid w:val="00A85CB5"/>
    <w:rsid w:val="00A861FD"/>
    <w:rsid w:val="00A86272"/>
    <w:rsid w:val="00A86E8B"/>
    <w:rsid w:val="00A874AE"/>
    <w:rsid w:val="00A900F7"/>
    <w:rsid w:val="00A90CC7"/>
    <w:rsid w:val="00A93072"/>
    <w:rsid w:val="00A93A08"/>
    <w:rsid w:val="00A94D90"/>
    <w:rsid w:val="00A959B8"/>
    <w:rsid w:val="00A959D8"/>
    <w:rsid w:val="00A97AA0"/>
    <w:rsid w:val="00AA04D6"/>
    <w:rsid w:val="00AA3959"/>
    <w:rsid w:val="00AA3BDB"/>
    <w:rsid w:val="00AA3D67"/>
    <w:rsid w:val="00AA3E2A"/>
    <w:rsid w:val="00AA4268"/>
    <w:rsid w:val="00AA6956"/>
    <w:rsid w:val="00AB042A"/>
    <w:rsid w:val="00AB0E60"/>
    <w:rsid w:val="00AB18E8"/>
    <w:rsid w:val="00AB2D34"/>
    <w:rsid w:val="00AB3430"/>
    <w:rsid w:val="00AB433D"/>
    <w:rsid w:val="00AB45E8"/>
    <w:rsid w:val="00AB4A7D"/>
    <w:rsid w:val="00AB6B83"/>
    <w:rsid w:val="00AB6ED1"/>
    <w:rsid w:val="00AB7CFA"/>
    <w:rsid w:val="00AC072E"/>
    <w:rsid w:val="00AC1A90"/>
    <w:rsid w:val="00AC352F"/>
    <w:rsid w:val="00AC37DA"/>
    <w:rsid w:val="00AC521D"/>
    <w:rsid w:val="00AC5295"/>
    <w:rsid w:val="00AC643E"/>
    <w:rsid w:val="00AC68DB"/>
    <w:rsid w:val="00AD0377"/>
    <w:rsid w:val="00AD0599"/>
    <w:rsid w:val="00AD11A5"/>
    <w:rsid w:val="00AD1601"/>
    <w:rsid w:val="00AD3F62"/>
    <w:rsid w:val="00AD46C8"/>
    <w:rsid w:val="00AD5B99"/>
    <w:rsid w:val="00AD7353"/>
    <w:rsid w:val="00AD7AA6"/>
    <w:rsid w:val="00AE08C7"/>
    <w:rsid w:val="00AE1140"/>
    <w:rsid w:val="00AE14DE"/>
    <w:rsid w:val="00AE1B61"/>
    <w:rsid w:val="00AE32C6"/>
    <w:rsid w:val="00AE37BA"/>
    <w:rsid w:val="00AE3C0A"/>
    <w:rsid w:val="00AE419F"/>
    <w:rsid w:val="00AE493D"/>
    <w:rsid w:val="00AE497A"/>
    <w:rsid w:val="00AF000F"/>
    <w:rsid w:val="00AF0158"/>
    <w:rsid w:val="00AF0316"/>
    <w:rsid w:val="00AF044F"/>
    <w:rsid w:val="00AF4691"/>
    <w:rsid w:val="00AF5A9F"/>
    <w:rsid w:val="00AF6C6B"/>
    <w:rsid w:val="00B00536"/>
    <w:rsid w:val="00B00EF0"/>
    <w:rsid w:val="00B01773"/>
    <w:rsid w:val="00B01B63"/>
    <w:rsid w:val="00B01F4E"/>
    <w:rsid w:val="00B02060"/>
    <w:rsid w:val="00B040F8"/>
    <w:rsid w:val="00B05A34"/>
    <w:rsid w:val="00B062B1"/>
    <w:rsid w:val="00B068C6"/>
    <w:rsid w:val="00B06996"/>
    <w:rsid w:val="00B06D06"/>
    <w:rsid w:val="00B130D7"/>
    <w:rsid w:val="00B15C80"/>
    <w:rsid w:val="00B16689"/>
    <w:rsid w:val="00B169D8"/>
    <w:rsid w:val="00B16D83"/>
    <w:rsid w:val="00B1751C"/>
    <w:rsid w:val="00B20058"/>
    <w:rsid w:val="00B219C1"/>
    <w:rsid w:val="00B2225B"/>
    <w:rsid w:val="00B22A1D"/>
    <w:rsid w:val="00B25283"/>
    <w:rsid w:val="00B2575B"/>
    <w:rsid w:val="00B27392"/>
    <w:rsid w:val="00B31122"/>
    <w:rsid w:val="00B33A32"/>
    <w:rsid w:val="00B33E59"/>
    <w:rsid w:val="00B343E4"/>
    <w:rsid w:val="00B35605"/>
    <w:rsid w:val="00B35E66"/>
    <w:rsid w:val="00B41120"/>
    <w:rsid w:val="00B41BAB"/>
    <w:rsid w:val="00B42399"/>
    <w:rsid w:val="00B42851"/>
    <w:rsid w:val="00B428FA"/>
    <w:rsid w:val="00B43E30"/>
    <w:rsid w:val="00B45653"/>
    <w:rsid w:val="00B4566C"/>
    <w:rsid w:val="00B50B40"/>
    <w:rsid w:val="00B50DB8"/>
    <w:rsid w:val="00B517D0"/>
    <w:rsid w:val="00B51AD1"/>
    <w:rsid w:val="00B51F40"/>
    <w:rsid w:val="00B51F8F"/>
    <w:rsid w:val="00B5294D"/>
    <w:rsid w:val="00B5378B"/>
    <w:rsid w:val="00B53905"/>
    <w:rsid w:val="00B53C4B"/>
    <w:rsid w:val="00B5431C"/>
    <w:rsid w:val="00B544EA"/>
    <w:rsid w:val="00B54B5B"/>
    <w:rsid w:val="00B5562E"/>
    <w:rsid w:val="00B566C2"/>
    <w:rsid w:val="00B56B10"/>
    <w:rsid w:val="00B57000"/>
    <w:rsid w:val="00B60939"/>
    <w:rsid w:val="00B60AFD"/>
    <w:rsid w:val="00B60DA3"/>
    <w:rsid w:val="00B62715"/>
    <w:rsid w:val="00B62F42"/>
    <w:rsid w:val="00B63895"/>
    <w:rsid w:val="00B63D8C"/>
    <w:rsid w:val="00B653B3"/>
    <w:rsid w:val="00B6613A"/>
    <w:rsid w:val="00B712C2"/>
    <w:rsid w:val="00B713C3"/>
    <w:rsid w:val="00B75797"/>
    <w:rsid w:val="00B76B95"/>
    <w:rsid w:val="00B818A4"/>
    <w:rsid w:val="00B81FFF"/>
    <w:rsid w:val="00B827CC"/>
    <w:rsid w:val="00B83171"/>
    <w:rsid w:val="00B83731"/>
    <w:rsid w:val="00B85E20"/>
    <w:rsid w:val="00B8622F"/>
    <w:rsid w:val="00B8649C"/>
    <w:rsid w:val="00B9062D"/>
    <w:rsid w:val="00B91053"/>
    <w:rsid w:val="00B92D0B"/>
    <w:rsid w:val="00B944AF"/>
    <w:rsid w:val="00B94945"/>
    <w:rsid w:val="00B97AA5"/>
    <w:rsid w:val="00BA1582"/>
    <w:rsid w:val="00BA3796"/>
    <w:rsid w:val="00BA4C93"/>
    <w:rsid w:val="00BA5A0A"/>
    <w:rsid w:val="00BA74E5"/>
    <w:rsid w:val="00BA78F4"/>
    <w:rsid w:val="00BB0474"/>
    <w:rsid w:val="00BB0475"/>
    <w:rsid w:val="00BB0F73"/>
    <w:rsid w:val="00BB2A11"/>
    <w:rsid w:val="00BB46F4"/>
    <w:rsid w:val="00BB7405"/>
    <w:rsid w:val="00BC15FB"/>
    <w:rsid w:val="00BC3D7D"/>
    <w:rsid w:val="00BC479B"/>
    <w:rsid w:val="00BC4AF6"/>
    <w:rsid w:val="00BC6AE5"/>
    <w:rsid w:val="00BD01D4"/>
    <w:rsid w:val="00BD01EF"/>
    <w:rsid w:val="00BD0C3F"/>
    <w:rsid w:val="00BD188D"/>
    <w:rsid w:val="00BD33B4"/>
    <w:rsid w:val="00BD3A5D"/>
    <w:rsid w:val="00BD3CAA"/>
    <w:rsid w:val="00BD4210"/>
    <w:rsid w:val="00BD5063"/>
    <w:rsid w:val="00BD580C"/>
    <w:rsid w:val="00BD64A7"/>
    <w:rsid w:val="00BD6CF3"/>
    <w:rsid w:val="00BD7CD0"/>
    <w:rsid w:val="00BD7F8D"/>
    <w:rsid w:val="00BE0F4F"/>
    <w:rsid w:val="00BE2180"/>
    <w:rsid w:val="00BE2833"/>
    <w:rsid w:val="00BE2CC7"/>
    <w:rsid w:val="00BE39A3"/>
    <w:rsid w:val="00BE41DF"/>
    <w:rsid w:val="00BE4275"/>
    <w:rsid w:val="00BE4368"/>
    <w:rsid w:val="00BE4E6F"/>
    <w:rsid w:val="00BE5570"/>
    <w:rsid w:val="00BF0B5F"/>
    <w:rsid w:val="00BF1EDB"/>
    <w:rsid w:val="00BF2433"/>
    <w:rsid w:val="00BF287B"/>
    <w:rsid w:val="00BF2A72"/>
    <w:rsid w:val="00BF30E7"/>
    <w:rsid w:val="00BF36AC"/>
    <w:rsid w:val="00BF38F7"/>
    <w:rsid w:val="00BF5BDE"/>
    <w:rsid w:val="00BF61C9"/>
    <w:rsid w:val="00BF6811"/>
    <w:rsid w:val="00BF6FD2"/>
    <w:rsid w:val="00BF7B31"/>
    <w:rsid w:val="00C0053C"/>
    <w:rsid w:val="00C017BE"/>
    <w:rsid w:val="00C03195"/>
    <w:rsid w:val="00C038E3"/>
    <w:rsid w:val="00C03A8E"/>
    <w:rsid w:val="00C03E9D"/>
    <w:rsid w:val="00C043A7"/>
    <w:rsid w:val="00C04B8E"/>
    <w:rsid w:val="00C06097"/>
    <w:rsid w:val="00C063F1"/>
    <w:rsid w:val="00C067C0"/>
    <w:rsid w:val="00C067F4"/>
    <w:rsid w:val="00C06DF4"/>
    <w:rsid w:val="00C0754D"/>
    <w:rsid w:val="00C07648"/>
    <w:rsid w:val="00C1246C"/>
    <w:rsid w:val="00C131E4"/>
    <w:rsid w:val="00C1399F"/>
    <w:rsid w:val="00C15F73"/>
    <w:rsid w:val="00C161CE"/>
    <w:rsid w:val="00C169F5"/>
    <w:rsid w:val="00C174E6"/>
    <w:rsid w:val="00C2097E"/>
    <w:rsid w:val="00C23D12"/>
    <w:rsid w:val="00C24011"/>
    <w:rsid w:val="00C242E4"/>
    <w:rsid w:val="00C2462F"/>
    <w:rsid w:val="00C25418"/>
    <w:rsid w:val="00C25856"/>
    <w:rsid w:val="00C25D9C"/>
    <w:rsid w:val="00C268FD"/>
    <w:rsid w:val="00C276CB"/>
    <w:rsid w:val="00C27710"/>
    <w:rsid w:val="00C27E63"/>
    <w:rsid w:val="00C302DE"/>
    <w:rsid w:val="00C304E6"/>
    <w:rsid w:val="00C30654"/>
    <w:rsid w:val="00C307E2"/>
    <w:rsid w:val="00C30AAB"/>
    <w:rsid w:val="00C31387"/>
    <w:rsid w:val="00C31649"/>
    <w:rsid w:val="00C316A1"/>
    <w:rsid w:val="00C320C6"/>
    <w:rsid w:val="00C33EC1"/>
    <w:rsid w:val="00C366D6"/>
    <w:rsid w:val="00C3685F"/>
    <w:rsid w:val="00C37EAC"/>
    <w:rsid w:val="00C40110"/>
    <w:rsid w:val="00C40385"/>
    <w:rsid w:val="00C40BC1"/>
    <w:rsid w:val="00C40E33"/>
    <w:rsid w:val="00C428DA"/>
    <w:rsid w:val="00C42E94"/>
    <w:rsid w:val="00C45145"/>
    <w:rsid w:val="00C47379"/>
    <w:rsid w:val="00C4776A"/>
    <w:rsid w:val="00C47C29"/>
    <w:rsid w:val="00C525BC"/>
    <w:rsid w:val="00C55005"/>
    <w:rsid w:val="00C55117"/>
    <w:rsid w:val="00C562BD"/>
    <w:rsid w:val="00C56FAF"/>
    <w:rsid w:val="00C571AC"/>
    <w:rsid w:val="00C61096"/>
    <w:rsid w:val="00C62D17"/>
    <w:rsid w:val="00C6304C"/>
    <w:rsid w:val="00C633E3"/>
    <w:rsid w:val="00C63640"/>
    <w:rsid w:val="00C638E6"/>
    <w:rsid w:val="00C63904"/>
    <w:rsid w:val="00C65399"/>
    <w:rsid w:val="00C65576"/>
    <w:rsid w:val="00C65CB2"/>
    <w:rsid w:val="00C66165"/>
    <w:rsid w:val="00C66FCC"/>
    <w:rsid w:val="00C71CDA"/>
    <w:rsid w:val="00C72507"/>
    <w:rsid w:val="00C725C8"/>
    <w:rsid w:val="00C72BC2"/>
    <w:rsid w:val="00C750C8"/>
    <w:rsid w:val="00C758D3"/>
    <w:rsid w:val="00C762FE"/>
    <w:rsid w:val="00C77185"/>
    <w:rsid w:val="00C77A6D"/>
    <w:rsid w:val="00C80217"/>
    <w:rsid w:val="00C80754"/>
    <w:rsid w:val="00C80A2F"/>
    <w:rsid w:val="00C8213F"/>
    <w:rsid w:val="00C82D5A"/>
    <w:rsid w:val="00C82FEA"/>
    <w:rsid w:val="00C84B0F"/>
    <w:rsid w:val="00C85EB7"/>
    <w:rsid w:val="00C86316"/>
    <w:rsid w:val="00C8797A"/>
    <w:rsid w:val="00C87D40"/>
    <w:rsid w:val="00C904B8"/>
    <w:rsid w:val="00C910DB"/>
    <w:rsid w:val="00C92A72"/>
    <w:rsid w:val="00C92EF1"/>
    <w:rsid w:val="00C93639"/>
    <w:rsid w:val="00C938CF"/>
    <w:rsid w:val="00C94C83"/>
    <w:rsid w:val="00C9553A"/>
    <w:rsid w:val="00C9606D"/>
    <w:rsid w:val="00CA0C4F"/>
    <w:rsid w:val="00CA10CC"/>
    <w:rsid w:val="00CA2464"/>
    <w:rsid w:val="00CA3025"/>
    <w:rsid w:val="00CA31F9"/>
    <w:rsid w:val="00CA455D"/>
    <w:rsid w:val="00CA5245"/>
    <w:rsid w:val="00CA6083"/>
    <w:rsid w:val="00CA6BFE"/>
    <w:rsid w:val="00CA6DEB"/>
    <w:rsid w:val="00CA77BA"/>
    <w:rsid w:val="00CA7B09"/>
    <w:rsid w:val="00CB01E2"/>
    <w:rsid w:val="00CB01E3"/>
    <w:rsid w:val="00CB0518"/>
    <w:rsid w:val="00CB0B46"/>
    <w:rsid w:val="00CB1AB1"/>
    <w:rsid w:val="00CB1D55"/>
    <w:rsid w:val="00CB1F28"/>
    <w:rsid w:val="00CB2663"/>
    <w:rsid w:val="00CB4DFA"/>
    <w:rsid w:val="00CB5B1A"/>
    <w:rsid w:val="00CB6042"/>
    <w:rsid w:val="00CB6151"/>
    <w:rsid w:val="00CB6BF0"/>
    <w:rsid w:val="00CC0D9E"/>
    <w:rsid w:val="00CC23F9"/>
    <w:rsid w:val="00CC461B"/>
    <w:rsid w:val="00CC52E7"/>
    <w:rsid w:val="00CC6E77"/>
    <w:rsid w:val="00CD02D0"/>
    <w:rsid w:val="00CD13D5"/>
    <w:rsid w:val="00CD168B"/>
    <w:rsid w:val="00CD2C1C"/>
    <w:rsid w:val="00CD2D69"/>
    <w:rsid w:val="00CD2DC4"/>
    <w:rsid w:val="00CD3372"/>
    <w:rsid w:val="00CD3F0B"/>
    <w:rsid w:val="00CD428D"/>
    <w:rsid w:val="00CD5A07"/>
    <w:rsid w:val="00CD62B9"/>
    <w:rsid w:val="00CD68B7"/>
    <w:rsid w:val="00CD6ADC"/>
    <w:rsid w:val="00CE1DBE"/>
    <w:rsid w:val="00CE1FFF"/>
    <w:rsid w:val="00CE2653"/>
    <w:rsid w:val="00CE4919"/>
    <w:rsid w:val="00CE5148"/>
    <w:rsid w:val="00CE6274"/>
    <w:rsid w:val="00CE7387"/>
    <w:rsid w:val="00CE7D0F"/>
    <w:rsid w:val="00CF0862"/>
    <w:rsid w:val="00CF1482"/>
    <w:rsid w:val="00CF21B6"/>
    <w:rsid w:val="00CF2711"/>
    <w:rsid w:val="00CF3285"/>
    <w:rsid w:val="00CF3B79"/>
    <w:rsid w:val="00CF3FF9"/>
    <w:rsid w:val="00CF456B"/>
    <w:rsid w:val="00CF5A22"/>
    <w:rsid w:val="00CF79AE"/>
    <w:rsid w:val="00D0156E"/>
    <w:rsid w:val="00D01CA0"/>
    <w:rsid w:val="00D01DB1"/>
    <w:rsid w:val="00D0262E"/>
    <w:rsid w:val="00D0432A"/>
    <w:rsid w:val="00D058B9"/>
    <w:rsid w:val="00D075B7"/>
    <w:rsid w:val="00D07759"/>
    <w:rsid w:val="00D079CD"/>
    <w:rsid w:val="00D10974"/>
    <w:rsid w:val="00D10ED2"/>
    <w:rsid w:val="00D11005"/>
    <w:rsid w:val="00D110BD"/>
    <w:rsid w:val="00D115E6"/>
    <w:rsid w:val="00D12F44"/>
    <w:rsid w:val="00D13154"/>
    <w:rsid w:val="00D13586"/>
    <w:rsid w:val="00D13735"/>
    <w:rsid w:val="00D13DAC"/>
    <w:rsid w:val="00D15B24"/>
    <w:rsid w:val="00D16FC3"/>
    <w:rsid w:val="00D178B1"/>
    <w:rsid w:val="00D17D6C"/>
    <w:rsid w:val="00D2075E"/>
    <w:rsid w:val="00D20AD9"/>
    <w:rsid w:val="00D2127D"/>
    <w:rsid w:val="00D21634"/>
    <w:rsid w:val="00D21B09"/>
    <w:rsid w:val="00D22998"/>
    <w:rsid w:val="00D23D92"/>
    <w:rsid w:val="00D24DAF"/>
    <w:rsid w:val="00D264CD"/>
    <w:rsid w:val="00D26EF8"/>
    <w:rsid w:val="00D30460"/>
    <w:rsid w:val="00D31E3C"/>
    <w:rsid w:val="00D324F1"/>
    <w:rsid w:val="00D33983"/>
    <w:rsid w:val="00D33D44"/>
    <w:rsid w:val="00D34D16"/>
    <w:rsid w:val="00D357BC"/>
    <w:rsid w:val="00D357FF"/>
    <w:rsid w:val="00D361AF"/>
    <w:rsid w:val="00D37599"/>
    <w:rsid w:val="00D37B47"/>
    <w:rsid w:val="00D40295"/>
    <w:rsid w:val="00D42BC3"/>
    <w:rsid w:val="00D43735"/>
    <w:rsid w:val="00D43EAC"/>
    <w:rsid w:val="00D44C8C"/>
    <w:rsid w:val="00D44D69"/>
    <w:rsid w:val="00D47656"/>
    <w:rsid w:val="00D47B98"/>
    <w:rsid w:val="00D530D2"/>
    <w:rsid w:val="00D53261"/>
    <w:rsid w:val="00D5620E"/>
    <w:rsid w:val="00D6032B"/>
    <w:rsid w:val="00D60AB2"/>
    <w:rsid w:val="00D60EF1"/>
    <w:rsid w:val="00D61A15"/>
    <w:rsid w:val="00D620C5"/>
    <w:rsid w:val="00D62CAF"/>
    <w:rsid w:val="00D6351A"/>
    <w:rsid w:val="00D638AF"/>
    <w:rsid w:val="00D642B3"/>
    <w:rsid w:val="00D64E41"/>
    <w:rsid w:val="00D65587"/>
    <w:rsid w:val="00D65DCD"/>
    <w:rsid w:val="00D70971"/>
    <w:rsid w:val="00D72946"/>
    <w:rsid w:val="00D73872"/>
    <w:rsid w:val="00D7399E"/>
    <w:rsid w:val="00D759BA"/>
    <w:rsid w:val="00D75CF8"/>
    <w:rsid w:val="00D76A44"/>
    <w:rsid w:val="00D76C8F"/>
    <w:rsid w:val="00D81056"/>
    <w:rsid w:val="00D81837"/>
    <w:rsid w:val="00D82F18"/>
    <w:rsid w:val="00D84700"/>
    <w:rsid w:val="00D84776"/>
    <w:rsid w:val="00D86148"/>
    <w:rsid w:val="00D9140B"/>
    <w:rsid w:val="00D91835"/>
    <w:rsid w:val="00D921C2"/>
    <w:rsid w:val="00D93171"/>
    <w:rsid w:val="00D93753"/>
    <w:rsid w:val="00D9377B"/>
    <w:rsid w:val="00D939CE"/>
    <w:rsid w:val="00D95C0B"/>
    <w:rsid w:val="00D95E7A"/>
    <w:rsid w:val="00D95EDB"/>
    <w:rsid w:val="00D9643B"/>
    <w:rsid w:val="00D96E14"/>
    <w:rsid w:val="00DA082E"/>
    <w:rsid w:val="00DA2146"/>
    <w:rsid w:val="00DA3F8E"/>
    <w:rsid w:val="00DA4894"/>
    <w:rsid w:val="00DA4950"/>
    <w:rsid w:val="00DA5CA6"/>
    <w:rsid w:val="00DA61EB"/>
    <w:rsid w:val="00DA72A6"/>
    <w:rsid w:val="00DA7781"/>
    <w:rsid w:val="00DA77A5"/>
    <w:rsid w:val="00DA7FC6"/>
    <w:rsid w:val="00DB01AD"/>
    <w:rsid w:val="00DB0C6A"/>
    <w:rsid w:val="00DB10D8"/>
    <w:rsid w:val="00DB488C"/>
    <w:rsid w:val="00DB48F5"/>
    <w:rsid w:val="00DB570A"/>
    <w:rsid w:val="00DB5DA6"/>
    <w:rsid w:val="00DB62F8"/>
    <w:rsid w:val="00DB6E29"/>
    <w:rsid w:val="00DB711B"/>
    <w:rsid w:val="00DB7965"/>
    <w:rsid w:val="00DB797B"/>
    <w:rsid w:val="00DC042C"/>
    <w:rsid w:val="00DC07CD"/>
    <w:rsid w:val="00DC17A3"/>
    <w:rsid w:val="00DC2D24"/>
    <w:rsid w:val="00DC40AA"/>
    <w:rsid w:val="00DC4DD2"/>
    <w:rsid w:val="00DC5501"/>
    <w:rsid w:val="00DC56F2"/>
    <w:rsid w:val="00DC5BC8"/>
    <w:rsid w:val="00DC6314"/>
    <w:rsid w:val="00DC7307"/>
    <w:rsid w:val="00DC78EA"/>
    <w:rsid w:val="00DD3F28"/>
    <w:rsid w:val="00DD4537"/>
    <w:rsid w:val="00DD4E15"/>
    <w:rsid w:val="00DD7775"/>
    <w:rsid w:val="00DE0B9A"/>
    <w:rsid w:val="00DE1347"/>
    <w:rsid w:val="00DE280D"/>
    <w:rsid w:val="00DE2A45"/>
    <w:rsid w:val="00DE4FCB"/>
    <w:rsid w:val="00DE6BCF"/>
    <w:rsid w:val="00DE70B0"/>
    <w:rsid w:val="00DF40DE"/>
    <w:rsid w:val="00DF4FBB"/>
    <w:rsid w:val="00DF58C5"/>
    <w:rsid w:val="00DF5D2B"/>
    <w:rsid w:val="00E010B3"/>
    <w:rsid w:val="00E01944"/>
    <w:rsid w:val="00E0399D"/>
    <w:rsid w:val="00E03EF9"/>
    <w:rsid w:val="00E053E3"/>
    <w:rsid w:val="00E06280"/>
    <w:rsid w:val="00E06639"/>
    <w:rsid w:val="00E07D1D"/>
    <w:rsid w:val="00E10149"/>
    <w:rsid w:val="00E113AD"/>
    <w:rsid w:val="00E14537"/>
    <w:rsid w:val="00E15F46"/>
    <w:rsid w:val="00E16372"/>
    <w:rsid w:val="00E16B8F"/>
    <w:rsid w:val="00E17562"/>
    <w:rsid w:val="00E17C6E"/>
    <w:rsid w:val="00E2008E"/>
    <w:rsid w:val="00E2033B"/>
    <w:rsid w:val="00E20ED6"/>
    <w:rsid w:val="00E20F5A"/>
    <w:rsid w:val="00E21358"/>
    <w:rsid w:val="00E2249B"/>
    <w:rsid w:val="00E229B7"/>
    <w:rsid w:val="00E22A0D"/>
    <w:rsid w:val="00E22E88"/>
    <w:rsid w:val="00E24D53"/>
    <w:rsid w:val="00E25341"/>
    <w:rsid w:val="00E25A8D"/>
    <w:rsid w:val="00E25EE0"/>
    <w:rsid w:val="00E26AC5"/>
    <w:rsid w:val="00E26C1F"/>
    <w:rsid w:val="00E2771E"/>
    <w:rsid w:val="00E27AFF"/>
    <w:rsid w:val="00E30ED3"/>
    <w:rsid w:val="00E3434E"/>
    <w:rsid w:val="00E34713"/>
    <w:rsid w:val="00E35DCD"/>
    <w:rsid w:val="00E35F24"/>
    <w:rsid w:val="00E360F7"/>
    <w:rsid w:val="00E37569"/>
    <w:rsid w:val="00E40199"/>
    <w:rsid w:val="00E41E30"/>
    <w:rsid w:val="00E42E5F"/>
    <w:rsid w:val="00E43D70"/>
    <w:rsid w:val="00E44188"/>
    <w:rsid w:val="00E44442"/>
    <w:rsid w:val="00E4468F"/>
    <w:rsid w:val="00E47B2C"/>
    <w:rsid w:val="00E503A5"/>
    <w:rsid w:val="00E50664"/>
    <w:rsid w:val="00E50FE0"/>
    <w:rsid w:val="00E514CA"/>
    <w:rsid w:val="00E51560"/>
    <w:rsid w:val="00E54B1C"/>
    <w:rsid w:val="00E55424"/>
    <w:rsid w:val="00E55BB5"/>
    <w:rsid w:val="00E56A56"/>
    <w:rsid w:val="00E57C55"/>
    <w:rsid w:val="00E57D47"/>
    <w:rsid w:val="00E60755"/>
    <w:rsid w:val="00E617B8"/>
    <w:rsid w:val="00E61C56"/>
    <w:rsid w:val="00E62FA5"/>
    <w:rsid w:val="00E63302"/>
    <w:rsid w:val="00E63555"/>
    <w:rsid w:val="00E6468F"/>
    <w:rsid w:val="00E65E79"/>
    <w:rsid w:val="00E67416"/>
    <w:rsid w:val="00E718B6"/>
    <w:rsid w:val="00E7290B"/>
    <w:rsid w:val="00E73170"/>
    <w:rsid w:val="00E7325E"/>
    <w:rsid w:val="00E73581"/>
    <w:rsid w:val="00E7364A"/>
    <w:rsid w:val="00E73ACB"/>
    <w:rsid w:val="00E73DED"/>
    <w:rsid w:val="00E73EC6"/>
    <w:rsid w:val="00E73FE4"/>
    <w:rsid w:val="00E756DC"/>
    <w:rsid w:val="00E75E33"/>
    <w:rsid w:val="00E766AC"/>
    <w:rsid w:val="00E77149"/>
    <w:rsid w:val="00E775C7"/>
    <w:rsid w:val="00E777AF"/>
    <w:rsid w:val="00E806EB"/>
    <w:rsid w:val="00E8196C"/>
    <w:rsid w:val="00E82FC2"/>
    <w:rsid w:val="00E83046"/>
    <w:rsid w:val="00E83BDF"/>
    <w:rsid w:val="00E83D13"/>
    <w:rsid w:val="00E84222"/>
    <w:rsid w:val="00E844AA"/>
    <w:rsid w:val="00E85E5B"/>
    <w:rsid w:val="00E863D6"/>
    <w:rsid w:val="00E875BA"/>
    <w:rsid w:val="00E914E6"/>
    <w:rsid w:val="00E91517"/>
    <w:rsid w:val="00E9152B"/>
    <w:rsid w:val="00E91F02"/>
    <w:rsid w:val="00E93076"/>
    <w:rsid w:val="00E94AB2"/>
    <w:rsid w:val="00E96489"/>
    <w:rsid w:val="00EA00F8"/>
    <w:rsid w:val="00EA109C"/>
    <w:rsid w:val="00EA192E"/>
    <w:rsid w:val="00EA195E"/>
    <w:rsid w:val="00EA3297"/>
    <w:rsid w:val="00EA367A"/>
    <w:rsid w:val="00EA36F1"/>
    <w:rsid w:val="00EA3864"/>
    <w:rsid w:val="00EA4A48"/>
    <w:rsid w:val="00EA54A1"/>
    <w:rsid w:val="00EA7541"/>
    <w:rsid w:val="00EB01F8"/>
    <w:rsid w:val="00EB15B6"/>
    <w:rsid w:val="00EB3146"/>
    <w:rsid w:val="00EB4916"/>
    <w:rsid w:val="00EB4D31"/>
    <w:rsid w:val="00EC00C9"/>
    <w:rsid w:val="00EC02FB"/>
    <w:rsid w:val="00EC05A3"/>
    <w:rsid w:val="00EC1ACB"/>
    <w:rsid w:val="00EC32DF"/>
    <w:rsid w:val="00EC40B1"/>
    <w:rsid w:val="00EC474B"/>
    <w:rsid w:val="00EC51A4"/>
    <w:rsid w:val="00ED1184"/>
    <w:rsid w:val="00ED1DB2"/>
    <w:rsid w:val="00ED1E9D"/>
    <w:rsid w:val="00ED4F1B"/>
    <w:rsid w:val="00ED5442"/>
    <w:rsid w:val="00ED58B7"/>
    <w:rsid w:val="00ED63F7"/>
    <w:rsid w:val="00ED6C06"/>
    <w:rsid w:val="00EE0768"/>
    <w:rsid w:val="00EE07D3"/>
    <w:rsid w:val="00EE1F58"/>
    <w:rsid w:val="00EE3CE2"/>
    <w:rsid w:val="00EE4A09"/>
    <w:rsid w:val="00EE59AC"/>
    <w:rsid w:val="00EE5A5E"/>
    <w:rsid w:val="00EF09B4"/>
    <w:rsid w:val="00EF09BE"/>
    <w:rsid w:val="00EF0A1E"/>
    <w:rsid w:val="00EF31F0"/>
    <w:rsid w:val="00EF3323"/>
    <w:rsid w:val="00EF35F4"/>
    <w:rsid w:val="00EF47E5"/>
    <w:rsid w:val="00EF5324"/>
    <w:rsid w:val="00EF5C21"/>
    <w:rsid w:val="00EF706E"/>
    <w:rsid w:val="00F00006"/>
    <w:rsid w:val="00F00078"/>
    <w:rsid w:val="00F00175"/>
    <w:rsid w:val="00F01644"/>
    <w:rsid w:val="00F01EF2"/>
    <w:rsid w:val="00F01F1F"/>
    <w:rsid w:val="00F02345"/>
    <w:rsid w:val="00F0257A"/>
    <w:rsid w:val="00F027ED"/>
    <w:rsid w:val="00F03186"/>
    <w:rsid w:val="00F03E56"/>
    <w:rsid w:val="00F067A2"/>
    <w:rsid w:val="00F0688C"/>
    <w:rsid w:val="00F13A4E"/>
    <w:rsid w:val="00F15DCC"/>
    <w:rsid w:val="00F16015"/>
    <w:rsid w:val="00F17B62"/>
    <w:rsid w:val="00F20045"/>
    <w:rsid w:val="00F2072D"/>
    <w:rsid w:val="00F20D12"/>
    <w:rsid w:val="00F21C8D"/>
    <w:rsid w:val="00F22662"/>
    <w:rsid w:val="00F24837"/>
    <w:rsid w:val="00F24938"/>
    <w:rsid w:val="00F24B68"/>
    <w:rsid w:val="00F24F84"/>
    <w:rsid w:val="00F25052"/>
    <w:rsid w:val="00F2575F"/>
    <w:rsid w:val="00F25A7C"/>
    <w:rsid w:val="00F25EA3"/>
    <w:rsid w:val="00F2797D"/>
    <w:rsid w:val="00F3001C"/>
    <w:rsid w:val="00F30245"/>
    <w:rsid w:val="00F305BA"/>
    <w:rsid w:val="00F306B3"/>
    <w:rsid w:val="00F30965"/>
    <w:rsid w:val="00F317F7"/>
    <w:rsid w:val="00F3324C"/>
    <w:rsid w:val="00F3331D"/>
    <w:rsid w:val="00F33B4E"/>
    <w:rsid w:val="00F33D9D"/>
    <w:rsid w:val="00F33DE9"/>
    <w:rsid w:val="00F343B5"/>
    <w:rsid w:val="00F34F84"/>
    <w:rsid w:val="00F35697"/>
    <w:rsid w:val="00F35B48"/>
    <w:rsid w:val="00F3619A"/>
    <w:rsid w:val="00F367B6"/>
    <w:rsid w:val="00F369E1"/>
    <w:rsid w:val="00F42393"/>
    <w:rsid w:val="00F42E08"/>
    <w:rsid w:val="00F4307F"/>
    <w:rsid w:val="00F43C99"/>
    <w:rsid w:val="00F43D41"/>
    <w:rsid w:val="00F447B1"/>
    <w:rsid w:val="00F44D06"/>
    <w:rsid w:val="00F44F48"/>
    <w:rsid w:val="00F4642F"/>
    <w:rsid w:val="00F46CB6"/>
    <w:rsid w:val="00F4751D"/>
    <w:rsid w:val="00F47716"/>
    <w:rsid w:val="00F50455"/>
    <w:rsid w:val="00F536C3"/>
    <w:rsid w:val="00F53DAB"/>
    <w:rsid w:val="00F54FCF"/>
    <w:rsid w:val="00F55E73"/>
    <w:rsid w:val="00F60092"/>
    <w:rsid w:val="00F60308"/>
    <w:rsid w:val="00F616A2"/>
    <w:rsid w:val="00F618AE"/>
    <w:rsid w:val="00F6260D"/>
    <w:rsid w:val="00F626FE"/>
    <w:rsid w:val="00F641DE"/>
    <w:rsid w:val="00F65601"/>
    <w:rsid w:val="00F6610D"/>
    <w:rsid w:val="00F664D4"/>
    <w:rsid w:val="00F66EDD"/>
    <w:rsid w:val="00F700BC"/>
    <w:rsid w:val="00F721F2"/>
    <w:rsid w:val="00F7223E"/>
    <w:rsid w:val="00F7500F"/>
    <w:rsid w:val="00F7502D"/>
    <w:rsid w:val="00F7577E"/>
    <w:rsid w:val="00F77567"/>
    <w:rsid w:val="00F779D8"/>
    <w:rsid w:val="00F77AC9"/>
    <w:rsid w:val="00F804DB"/>
    <w:rsid w:val="00F80E5D"/>
    <w:rsid w:val="00F81C4F"/>
    <w:rsid w:val="00F8245D"/>
    <w:rsid w:val="00F82B54"/>
    <w:rsid w:val="00F83121"/>
    <w:rsid w:val="00F83171"/>
    <w:rsid w:val="00F834AC"/>
    <w:rsid w:val="00F851CE"/>
    <w:rsid w:val="00F8565E"/>
    <w:rsid w:val="00F86185"/>
    <w:rsid w:val="00F86A8E"/>
    <w:rsid w:val="00F8715C"/>
    <w:rsid w:val="00F87183"/>
    <w:rsid w:val="00F876A2"/>
    <w:rsid w:val="00F87B29"/>
    <w:rsid w:val="00F87EAD"/>
    <w:rsid w:val="00F906C8"/>
    <w:rsid w:val="00F92F81"/>
    <w:rsid w:val="00F93DD0"/>
    <w:rsid w:val="00F93F06"/>
    <w:rsid w:val="00F93F1A"/>
    <w:rsid w:val="00F964FA"/>
    <w:rsid w:val="00F97A78"/>
    <w:rsid w:val="00FA24E7"/>
    <w:rsid w:val="00FA33A2"/>
    <w:rsid w:val="00FA380E"/>
    <w:rsid w:val="00FA5E97"/>
    <w:rsid w:val="00FA65FD"/>
    <w:rsid w:val="00FB0C9C"/>
    <w:rsid w:val="00FB2FCB"/>
    <w:rsid w:val="00FB358C"/>
    <w:rsid w:val="00FB49B5"/>
    <w:rsid w:val="00FB505B"/>
    <w:rsid w:val="00FB5F51"/>
    <w:rsid w:val="00FB63AC"/>
    <w:rsid w:val="00FB64BD"/>
    <w:rsid w:val="00FB7453"/>
    <w:rsid w:val="00FB7A34"/>
    <w:rsid w:val="00FB7D2B"/>
    <w:rsid w:val="00FC03DC"/>
    <w:rsid w:val="00FC1074"/>
    <w:rsid w:val="00FC1884"/>
    <w:rsid w:val="00FC2111"/>
    <w:rsid w:val="00FC28F7"/>
    <w:rsid w:val="00FC29F8"/>
    <w:rsid w:val="00FC2D04"/>
    <w:rsid w:val="00FC3F98"/>
    <w:rsid w:val="00FC47F7"/>
    <w:rsid w:val="00FC4D0D"/>
    <w:rsid w:val="00FC5701"/>
    <w:rsid w:val="00FC5BC7"/>
    <w:rsid w:val="00FC640B"/>
    <w:rsid w:val="00FC77E9"/>
    <w:rsid w:val="00FC7A76"/>
    <w:rsid w:val="00FD03FA"/>
    <w:rsid w:val="00FD0DA2"/>
    <w:rsid w:val="00FD1A3A"/>
    <w:rsid w:val="00FD2033"/>
    <w:rsid w:val="00FD2100"/>
    <w:rsid w:val="00FD35E6"/>
    <w:rsid w:val="00FD3C5B"/>
    <w:rsid w:val="00FD43DE"/>
    <w:rsid w:val="00FD446D"/>
    <w:rsid w:val="00FD4586"/>
    <w:rsid w:val="00FD4AE8"/>
    <w:rsid w:val="00FD5275"/>
    <w:rsid w:val="00FD5B8D"/>
    <w:rsid w:val="00FD6E14"/>
    <w:rsid w:val="00FE02FF"/>
    <w:rsid w:val="00FE11EC"/>
    <w:rsid w:val="00FE22C9"/>
    <w:rsid w:val="00FE4730"/>
    <w:rsid w:val="00FE4E29"/>
    <w:rsid w:val="00FE5745"/>
    <w:rsid w:val="00FE5C75"/>
    <w:rsid w:val="00FE5EE2"/>
    <w:rsid w:val="00FE63E6"/>
    <w:rsid w:val="00FE6E19"/>
    <w:rsid w:val="00FE71B8"/>
    <w:rsid w:val="00FE7DAD"/>
    <w:rsid w:val="00FE7FAE"/>
    <w:rsid w:val="00FF1A55"/>
    <w:rsid w:val="00FF313A"/>
    <w:rsid w:val="00FF3D04"/>
    <w:rsid w:val="00FF3DCF"/>
    <w:rsid w:val="00FF3DF8"/>
    <w:rsid w:val="00FF52C8"/>
    <w:rsid w:val="00FF570E"/>
    <w:rsid w:val="00FF58AF"/>
    <w:rsid w:val="00FF5AA3"/>
    <w:rsid w:val="00FF5E50"/>
    <w:rsid w:val="00FF68D7"/>
    <w:rsid w:val="00FF7339"/>
    <w:rsid w:val="00FF7F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C762FE"/>
    <w:pPr>
      <w:widowControl/>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C762FE"/>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3434E"/>
    <w:pPr>
      <w:numPr>
        <w:numId w:val="1"/>
      </w:numPr>
      <w:outlineLvl w:val="0"/>
    </w:pPr>
    <w:rPr>
      <w:rFonts w:ascii="Arial" w:hAnsi="Arial" w:cs="Arial"/>
      <w:b/>
      <w:snapToGrid w:val="0"/>
      <w:sz w:val="22"/>
      <w:szCs w:val="22"/>
      <w:lang w:eastAsia="en-US"/>
    </w:rPr>
  </w:style>
  <w:style w:type="character" w:styleId="FollowedHyperlink">
    <w:name w:val="FollowedHyperlink"/>
    <w:basedOn w:val="DefaultParagraphFont"/>
    <w:semiHidden/>
    <w:unhideWhenUsed/>
    <w:rsid w:val="004721C3"/>
    <w:rPr>
      <w:color w:val="800080" w:themeColor="followedHyperlink"/>
      <w:u w:val="single"/>
    </w:rPr>
  </w:style>
  <w:style w:type="paragraph" w:customStyle="1" w:styleId="COMBody">
    <w:name w:val="COMBody"/>
    <w:basedOn w:val="Normal"/>
    <w:link w:val="COMBodyChar"/>
    <w:qFormat/>
    <w:rsid w:val="005B1DE3"/>
  </w:style>
  <w:style w:type="character" w:customStyle="1" w:styleId="COMBodyChar">
    <w:name w:val="COMBody Char"/>
    <w:basedOn w:val="DefaultParagraphFont"/>
    <w:link w:val="COMBody"/>
    <w:rsid w:val="005B1DE3"/>
    <w:rPr>
      <w:rFonts w:ascii="Arial" w:hAnsi="Arial" w:cs="Arial"/>
      <w:snapToGrid w:val="0"/>
      <w:sz w:val="22"/>
      <w:lang w:eastAsia="en-US"/>
    </w:rPr>
  </w:style>
  <w:style w:type="paragraph" w:customStyle="1" w:styleId="COMTbl-foot">
    <w:name w:val="COMTbl-foot"/>
    <w:basedOn w:val="Normal"/>
    <w:link w:val="COMTbl-footChar"/>
    <w:qFormat/>
    <w:rsid w:val="005B1DE3"/>
    <w:rPr>
      <w:sz w:val="18"/>
    </w:rPr>
  </w:style>
  <w:style w:type="character" w:customStyle="1" w:styleId="COMTbl-footChar">
    <w:name w:val="COMTbl-foot Char"/>
    <w:basedOn w:val="DefaultParagraphFont"/>
    <w:link w:val="COMTbl-foot"/>
    <w:rsid w:val="005B1DE3"/>
    <w:rPr>
      <w:rFonts w:ascii="Arial" w:hAnsi="Arial" w:cs="Arial"/>
      <w:snapToGrid w:val="0"/>
      <w:sz w:val="18"/>
      <w:lang w:eastAsia="en-US"/>
    </w:rPr>
  </w:style>
  <w:style w:type="paragraph" w:customStyle="1" w:styleId="COMtbl-HEADLeftAligned">
    <w:name w:val="COMtbl-HEAD Left Aligned"/>
    <w:basedOn w:val="Normal"/>
    <w:qFormat/>
    <w:rsid w:val="00400E4C"/>
    <w:pPr>
      <w:tabs>
        <w:tab w:val="left" w:pos="720"/>
      </w:tabs>
      <w:jc w:val="left"/>
    </w:pPr>
    <w:rPr>
      <w:rFonts w:ascii="Arial Narrow" w:hAnsi="Arial Narrow"/>
      <w:b/>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C47F7"/>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F00006"/>
    <w:pPr>
      <w:ind w:left="720" w:hanging="72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34"/>
    <w:rsid w:val="00F00006"/>
    <w:rPr>
      <w:rFonts w:ascii="Arial" w:hAnsi="Arial" w:cs="Arial"/>
      <w:snapToGrid w:val="0"/>
      <w:sz w:val="22"/>
      <w:lang w:eastAsia="en-US"/>
    </w:rPr>
  </w:style>
  <w:style w:type="character" w:customStyle="1" w:styleId="apple-converted-space">
    <w:name w:val="apple-converted-space"/>
    <w:basedOn w:val="DefaultParagraphFont"/>
    <w:rsid w:val="002E58B8"/>
  </w:style>
  <w:style w:type="paragraph" w:customStyle="1" w:styleId="Body">
    <w:name w:val="Body"/>
    <w:rsid w:val="00844724"/>
    <w:pPr>
      <w:widowControl w:val="0"/>
      <w:pBdr>
        <w:top w:val="nil"/>
        <w:left w:val="nil"/>
        <w:bottom w:val="nil"/>
        <w:right w:val="nil"/>
        <w:between w:val="nil"/>
        <w:bar w:val="nil"/>
      </w:pBdr>
      <w:jc w:val="both"/>
    </w:pPr>
    <w:rPr>
      <w:rFonts w:ascii="Arial" w:eastAsia="Arial" w:hAnsi="Arial" w:cs="Arial"/>
      <w:color w:val="000000"/>
      <w:sz w:val="22"/>
      <w:szCs w:val="22"/>
      <w:u w:color="000000"/>
      <w:bdr w:val="nil"/>
    </w:rPr>
  </w:style>
  <w:style w:type="paragraph" w:styleId="FootnoteText">
    <w:name w:val="footnote text"/>
    <w:basedOn w:val="Normal"/>
    <w:link w:val="FootnoteTextChar"/>
    <w:semiHidden/>
    <w:unhideWhenUsed/>
    <w:rsid w:val="00FE63E6"/>
    <w:rPr>
      <w:sz w:val="20"/>
    </w:rPr>
  </w:style>
  <w:style w:type="character" w:customStyle="1" w:styleId="FootnoteTextChar">
    <w:name w:val="Footnote Text Char"/>
    <w:basedOn w:val="DefaultParagraphFont"/>
    <w:link w:val="FootnoteText"/>
    <w:semiHidden/>
    <w:rsid w:val="00FE63E6"/>
    <w:rPr>
      <w:rFonts w:ascii="Arial" w:hAnsi="Arial" w:cs="Arial"/>
      <w:snapToGrid w:val="0"/>
      <w:lang w:eastAsia="en-US"/>
    </w:rPr>
  </w:style>
  <w:style w:type="character" w:styleId="FootnoteReference">
    <w:name w:val="footnote reference"/>
    <w:basedOn w:val="DefaultParagraphFont"/>
    <w:semiHidden/>
    <w:unhideWhenUsed/>
    <w:rsid w:val="00FE63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C762FE"/>
    <w:pPr>
      <w:widowControl/>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C762FE"/>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3434E"/>
    <w:pPr>
      <w:numPr>
        <w:numId w:val="1"/>
      </w:numPr>
      <w:outlineLvl w:val="0"/>
    </w:pPr>
    <w:rPr>
      <w:rFonts w:ascii="Arial" w:hAnsi="Arial" w:cs="Arial"/>
      <w:b/>
      <w:snapToGrid w:val="0"/>
      <w:sz w:val="22"/>
      <w:szCs w:val="22"/>
      <w:lang w:eastAsia="en-US"/>
    </w:rPr>
  </w:style>
  <w:style w:type="character" w:styleId="FollowedHyperlink">
    <w:name w:val="FollowedHyperlink"/>
    <w:basedOn w:val="DefaultParagraphFont"/>
    <w:semiHidden/>
    <w:unhideWhenUsed/>
    <w:rsid w:val="004721C3"/>
    <w:rPr>
      <w:color w:val="800080" w:themeColor="followedHyperlink"/>
      <w:u w:val="single"/>
    </w:rPr>
  </w:style>
  <w:style w:type="paragraph" w:customStyle="1" w:styleId="COMBody">
    <w:name w:val="COMBody"/>
    <w:basedOn w:val="Normal"/>
    <w:link w:val="COMBodyChar"/>
    <w:qFormat/>
    <w:rsid w:val="005B1DE3"/>
  </w:style>
  <w:style w:type="character" w:customStyle="1" w:styleId="COMBodyChar">
    <w:name w:val="COMBody Char"/>
    <w:basedOn w:val="DefaultParagraphFont"/>
    <w:link w:val="COMBody"/>
    <w:rsid w:val="005B1DE3"/>
    <w:rPr>
      <w:rFonts w:ascii="Arial" w:hAnsi="Arial" w:cs="Arial"/>
      <w:snapToGrid w:val="0"/>
      <w:sz w:val="22"/>
      <w:lang w:eastAsia="en-US"/>
    </w:rPr>
  </w:style>
  <w:style w:type="paragraph" w:customStyle="1" w:styleId="COMTbl-foot">
    <w:name w:val="COMTbl-foot"/>
    <w:basedOn w:val="Normal"/>
    <w:link w:val="COMTbl-footChar"/>
    <w:qFormat/>
    <w:rsid w:val="005B1DE3"/>
    <w:rPr>
      <w:sz w:val="18"/>
    </w:rPr>
  </w:style>
  <w:style w:type="character" w:customStyle="1" w:styleId="COMTbl-footChar">
    <w:name w:val="COMTbl-foot Char"/>
    <w:basedOn w:val="DefaultParagraphFont"/>
    <w:link w:val="COMTbl-foot"/>
    <w:rsid w:val="005B1DE3"/>
    <w:rPr>
      <w:rFonts w:ascii="Arial" w:hAnsi="Arial" w:cs="Arial"/>
      <w:snapToGrid w:val="0"/>
      <w:sz w:val="18"/>
      <w:lang w:eastAsia="en-US"/>
    </w:rPr>
  </w:style>
  <w:style w:type="paragraph" w:customStyle="1" w:styleId="COMtbl-HEADLeftAligned">
    <w:name w:val="COMtbl-HEAD Left Aligned"/>
    <w:basedOn w:val="Normal"/>
    <w:qFormat/>
    <w:rsid w:val="00400E4C"/>
    <w:pPr>
      <w:tabs>
        <w:tab w:val="left" w:pos="720"/>
      </w:tabs>
      <w:jc w:val="left"/>
    </w:pPr>
    <w:rPr>
      <w:rFonts w:ascii="Arial Narrow" w:hAnsi="Arial Narrow"/>
      <w:b/>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C47F7"/>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F00006"/>
    <w:pPr>
      <w:ind w:left="720" w:hanging="72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34"/>
    <w:rsid w:val="00F00006"/>
    <w:rPr>
      <w:rFonts w:ascii="Arial" w:hAnsi="Arial" w:cs="Arial"/>
      <w:snapToGrid w:val="0"/>
      <w:sz w:val="22"/>
      <w:lang w:eastAsia="en-US"/>
    </w:rPr>
  </w:style>
  <w:style w:type="character" w:customStyle="1" w:styleId="apple-converted-space">
    <w:name w:val="apple-converted-space"/>
    <w:basedOn w:val="DefaultParagraphFont"/>
    <w:rsid w:val="002E58B8"/>
  </w:style>
  <w:style w:type="paragraph" w:customStyle="1" w:styleId="Body">
    <w:name w:val="Body"/>
    <w:rsid w:val="00844724"/>
    <w:pPr>
      <w:widowControl w:val="0"/>
      <w:pBdr>
        <w:top w:val="nil"/>
        <w:left w:val="nil"/>
        <w:bottom w:val="nil"/>
        <w:right w:val="nil"/>
        <w:between w:val="nil"/>
        <w:bar w:val="nil"/>
      </w:pBdr>
      <w:jc w:val="both"/>
    </w:pPr>
    <w:rPr>
      <w:rFonts w:ascii="Arial" w:eastAsia="Arial" w:hAnsi="Arial" w:cs="Arial"/>
      <w:color w:val="000000"/>
      <w:sz w:val="22"/>
      <w:szCs w:val="22"/>
      <w:u w:color="000000"/>
      <w:bdr w:val="nil"/>
    </w:rPr>
  </w:style>
  <w:style w:type="paragraph" w:styleId="FootnoteText">
    <w:name w:val="footnote text"/>
    <w:basedOn w:val="Normal"/>
    <w:link w:val="FootnoteTextChar"/>
    <w:semiHidden/>
    <w:unhideWhenUsed/>
    <w:rsid w:val="00FE63E6"/>
    <w:rPr>
      <w:sz w:val="20"/>
    </w:rPr>
  </w:style>
  <w:style w:type="character" w:customStyle="1" w:styleId="FootnoteTextChar">
    <w:name w:val="Footnote Text Char"/>
    <w:basedOn w:val="DefaultParagraphFont"/>
    <w:link w:val="FootnoteText"/>
    <w:semiHidden/>
    <w:rsid w:val="00FE63E6"/>
    <w:rPr>
      <w:rFonts w:ascii="Arial" w:hAnsi="Arial" w:cs="Arial"/>
      <w:snapToGrid w:val="0"/>
      <w:lang w:eastAsia="en-US"/>
    </w:rPr>
  </w:style>
  <w:style w:type="character" w:styleId="FootnoteReference">
    <w:name w:val="footnote reference"/>
    <w:basedOn w:val="DefaultParagraphFont"/>
    <w:semiHidden/>
    <w:unhideWhenUsed/>
    <w:rsid w:val="00FE6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9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9"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E884-E7A3-40D0-804F-8901D90A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8235</Words>
  <Characters>52758</Characters>
  <Application>Microsoft Office Word</Application>
  <DocSecurity>0</DocSecurity>
  <Lines>439</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2017-02-13T05:06:00Z</dcterms:created>
  <dcterms:modified xsi:type="dcterms:W3CDTF">2017-02-13T05:06:00Z</dcterms:modified>
</cp:coreProperties>
</file>