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B23721" w:rsidRDefault="00593F13" w:rsidP="00B23721">
      <w:pPr>
        <w:pStyle w:val="Heading1"/>
      </w:pPr>
      <w:bookmarkStart w:id="0" w:name="_Toc461611874"/>
      <w:bookmarkStart w:id="1" w:name="_GoBack"/>
      <w:bookmarkEnd w:id="1"/>
      <w:r w:rsidRPr="00B23721">
        <w:t>7.06</w:t>
      </w:r>
      <w:r w:rsidR="00B60939" w:rsidRPr="00B23721">
        <w:tab/>
      </w:r>
      <w:r w:rsidR="002736A4" w:rsidRPr="00B23721">
        <w:t>NIVOLUMAB</w:t>
      </w:r>
      <w:r w:rsidR="00A4462E">
        <w:t>,</w:t>
      </w:r>
      <w:r w:rsidR="00D03426" w:rsidRPr="00B23721">
        <w:br/>
      </w:r>
      <w:r w:rsidRPr="00B23721">
        <w:t>Injection concentrate for I.V. infusion 40 mg in 4 mL</w:t>
      </w:r>
      <w:r w:rsidR="00D03426" w:rsidRPr="00B23721">
        <w:t>,</w:t>
      </w:r>
      <w:r w:rsidR="00BB496C">
        <w:br/>
      </w:r>
      <w:r w:rsidRPr="00B23721">
        <w:t>Injection concentrate for I.V. infusion 100 mg in 10 mL</w:t>
      </w:r>
      <w:r w:rsidR="009A3483" w:rsidRPr="00B23721">
        <w:t>,</w:t>
      </w:r>
      <w:r w:rsidR="00D03426" w:rsidRPr="00B23721">
        <w:br/>
      </w:r>
      <w:r w:rsidR="00A4462E">
        <w:t>OPDIVO®,</w:t>
      </w:r>
      <w:r w:rsidR="00D03426" w:rsidRPr="00B23721">
        <w:br/>
      </w:r>
      <w:r w:rsidR="009A3483" w:rsidRPr="00B23721">
        <w:t>Bristol-Myers Squibb Australia Pty Ltd.</w:t>
      </w:r>
      <w:bookmarkEnd w:id="0"/>
    </w:p>
    <w:p w:rsidR="00B60939" w:rsidRPr="00B23721" w:rsidRDefault="00B60939" w:rsidP="00577717"/>
    <w:p w:rsidR="00F338FF" w:rsidRPr="00B23721" w:rsidRDefault="00F338FF" w:rsidP="00577717"/>
    <w:p w:rsidR="00D8502E" w:rsidRPr="009905CA" w:rsidRDefault="00D8502E" w:rsidP="009905CA">
      <w:pPr>
        <w:pStyle w:val="Heading2"/>
      </w:pPr>
      <w:bookmarkStart w:id="2" w:name="_Toc459032541"/>
      <w:bookmarkStart w:id="3" w:name="_Toc461611876"/>
      <w:r w:rsidRPr="009905CA">
        <w:t>Purpose of Application</w:t>
      </w:r>
      <w:bookmarkEnd w:id="2"/>
      <w:bookmarkEnd w:id="3"/>
    </w:p>
    <w:p w:rsidR="00C05B41" w:rsidRPr="00B23721" w:rsidRDefault="00C05B41" w:rsidP="00D03426">
      <w:pPr>
        <w:pStyle w:val="PBACheading1"/>
        <w:keepNext/>
        <w:numPr>
          <w:ilvl w:val="0"/>
          <w:numId w:val="0"/>
        </w:numPr>
        <w:rPr>
          <w:b w:val="0"/>
        </w:rPr>
      </w:pPr>
    </w:p>
    <w:p w:rsidR="00BA25DE" w:rsidRPr="00B23721" w:rsidRDefault="00BA25DE" w:rsidP="00BA25DE">
      <w:pPr>
        <w:pStyle w:val="ListParagraph"/>
        <w:widowControl/>
        <w:numPr>
          <w:ilvl w:val="1"/>
          <w:numId w:val="4"/>
        </w:numPr>
        <w:rPr>
          <w:szCs w:val="22"/>
        </w:rPr>
      </w:pPr>
      <w:r w:rsidRPr="00B23721">
        <w:t>The re-submission requested a Section 100 (Efficient Funding of Chemotherapy) Authority Required listing for the treatment of locally advanced or metastatic squamous non-small cell lung cancer (NSCLC). The first submission was consid</w:t>
      </w:r>
      <w:r w:rsidR="002E1939" w:rsidRPr="00B23721">
        <w:t>ered by the PBAC in March 2016.</w:t>
      </w:r>
    </w:p>
    <w:p w:rsidR="00BA25DE" w:rsidRPr="00B23721" w:rsidRDefault="00BA25DE" w:rsidP="00BA25DE"/>
    <w:p w:rsidR="00BA25DE" w:rsidRPr="00B23721" w:rsidRDefault="00BA25DE" w:rsidP="00BA25DE"/>
    <w:p w:rsidR="00BA25DE" w:rsidRPr="00B23721" w:rsidRDefault="00BA25DE" w:rsidP="009905CA">
      <w:pPr>
        <w:pStyle w:val="Heading2"/>
      </w:pPr>
      <w:bookmarkStart w:id="4" w:name="_Toc461611877"/>
      <w:r w:rsidRPr="00B23721">
        <w:t>Requested listing</w:t>
      </w:r>
      <w:bookmarkEnd w:id="4"/>
    </w:p>
    <w:p w:rsidR="00BA25DE" w:rsidRPr="00B23721" w:rsidRDefault="00BA25DE" w:rsidP="00BA25DE"/>
    <w:p w:rsidR="00BA25DE" w:rsidRPr="00B23721" w:rsidRDefault="00BA25DE" w:rsidP="00BA25DE">
      <w:pPr>
        <w:pStyle w:val="ListParagraph"/>
        <w:widowControl/>
        <w:numPr>
          <w:ilvl w:val="1"/>
          <w:numId w:val="4"/>
        </w:numPr>
        <w:rPr>
          <w:szCs w:val="22"/>
        </w:rPr>
      </w:pPr>
      <w:r w:rsidRPr="00B23721">
        <w:t>The requested PBS listing is</w:t>
      </w:r>
      <w:r w:rsidR="00DD22A2">
        <w:t xml:space="preserve"> shown below</w:t>
      </w:r>
      <w:r w:rsidR="00DD22A2" w:rsidRPr="00405347">
        <w:t>. Suggestions and additions proposed by the Secretariat to the requested listing are added in italics and suggested deletions are crossed out with strikethrough.</w:t>
      </w:r>
    </w:p>
    <w:p w:rsidR="00BA25DE" w:rsidRPr="00B23721" w:rsidRDefault="00BA25DE" w:rsidP="00BA25DE">
      <w:pPr>
        <w:pStyle w:val="PBACheading1"/>
        <w:numPr>
          <w:ilvl w:val="0"/>
          <w:numId w:val="0"/>
        </w:numPr>
        <w:ind w:left="720" w:hanging="720"/>
        <w:rPr>
          <w:b w:val="0"/>
        </w:rPr>
      </w:pPr>
    </w:p>
    <w:tbl>
      <w:tblPr>
        <w:tblW w:w="4594" w:type="pct"/>
        <w:tblInd w:w="726" w:type="dxa"/>
        <w:tblLayout w:type="fixed"/>
        <w:tblCellMar>
          <w:left w:w="28" w:type="dxa"/>
          <w:right w:w="28" w:type="dxa"/>
        </w:tblCellMar>
        <w:tblLook w:val="0000" w:firstRow="0" w:lastRow="0" w:firstColumn="0" w:lastColumn="0" w:noHBand="0" w:noVBand="0"/>
      </w:tblPr>
      <w:tblGrid>
        <w:gridCol w:w="2987"/>
        <w:gridCol w:w="709"/>
        <w:gridCol w:w="476"/>
        <w:gridCol w:w="1958"/>
        <w:gridCol w:w="898"/>
        <w:gridCol w:w="1317"/>
      </w:tblGrid>
      <w:tr w:rsidR="00BA25DE" w:rsidRPr="00B23721" w:rsidTr="002E1939">
        <w:trPr>
          <w:cantSplit/>
          <w:trHeight w:val="471"/>
        </w:trPr>
        <w:tc>
          <w:tcPr>
            <w:tcW w:w="1790" w:type="pct"/>
            <w:tcBorders>
              <w:bottom w:val="single" w:sz="4" w:space="0" w:color="auto"/>
            </w:tcBorders>
          </w:tcPr>
          <w:p w:rsidR="00BA25DE" w:rsidRPr="00B23721" w:rsidRDefault="00BA25DE" w:rsidP="00FF0995">
            <w:pPr>
              <w:keepNext/>
              <w:rPr>
                <w:rFonts w:ascii="Arial Narrow" w:hAnsi="Arial Narrow"/>
                <w:sz w:val="20"/>
              </w:rPr>
            </w:pPr>
            <w:r w:rsidRPr="00B23721">
              <w:rPr>
                <w:rFonts w:ascii="Arial Narrow" w:hAnsi="Arial Narrow"/>
                <w:sz w:val="20"/>
              </w:rPr>
              <w:t>Name, Restriction,</w:t>
            </w:r>
          </w:p>
          <w:p w:rsidR="00BA25DE" w:rsidRPr="00B23721" w:rsidRDefault="00BA25DE" w:rsidP="00FF0995">
            <w:pPr>
              <w:keepNext/>
              <w:rPr>
                <w:rFonts w:ascii="Arial Narrow" w:hAnsi="Arial Narrow"/>
                <w:sz w:val="20"/>
              </w:rPr>
            </w:pPr>
            <w:r w:rsidRPr="00B23721">
              <w:rPr>
                <w:rFonts w:ascii="Arial Narrow" w:hAnsi="Arial Narrow"/>
                <w:sz w:val="20"/>
              </w:rPr>
              <w:t>Manner of administration and form</w:t>
            </w:r>
          </w:p>
        </w:tc>
        <w:tc>
          <w:tcPr>
            <w:tcW w:w="425" w:type="pct"/>
            <w:tcBorders>
              <w:bottom w:val="single" w:sz="4" w:space="0" w:color="auto"/>
            </w:tcBorders>
          </w:tcPr>
          <w:p w:rsidR="00BA25DE" w:rsidRPr="00B23721" w:rsidRDefault="00BA25DE" w:rsidP="00FF0995">
            <w:pPr>
              <w:keepNext/>
              <w:jc w:val="center"/>
              <w:rPr>
                <w:rFonts w:ascii="Arial Narrow" w:hAnsi="Arial Narrow"/>
                <w:sz w:val="20"/>
              </w:rPr>
            </w:pPr>
            <w:r w:rsidRPr="00B23721">
              <w:rPr>
                <w:rFonts w:ascii="Arial Narrow" w:hAnsi="Arial Narrow"/>
                <w:sz w:val="20"/>
              </w:rPr>
              <w:t>Max.</w:t>
            </w:r>
          </w:p>
          <w:p w:rsidR="00BA25DE" w:rsidRPr="00B23721" w:rsidRDefault="00BA25DE" w:rsidP="00FF0995">
            <w:pPr>
              <w:keepNext/>
              <w:jc w:val="center"/>
              <w:rPr>
                <w:rFonts w:ascii="Arial Narrow" w:hAnsi="Arial Narrow"/>
                <w:sz w:val="20"/>
              </w:rPr>
            </w:pPr>
            <w:r w:rsidRPr="00B23721">
              <w:rPr>
                <w:rFonts w:ascii="Arial Narrow" w:hAnsi="Arial Narrow"/>
                <w:sz w:val="20"/>
              </w:rPr>
              <w:t>Amt</w:t>
            </w:r>
          </w:p>
        </w:tc>
        <w:tc>
          <w:tcPr>
            <w:tcW w:w="285" w:type="pct"/>
            <w:tcBorders>
              <w:bottom w:val="single" w:sz="4" w:space="0" w:color="auto"/>
            </w:tcBorders>
          </w:tcPr>
          <w:p w:rsidR="00BA25DE" w:rsidRPr="00B23721" w:rsidRDefault="00BA25DE" w:rsidP="00FF0995">
            <w:pPr>
              <w:keepNext/>
              <w:jc w:val="center"/>
              <w:rPr>
                <w:rFonts w:ascii="Arial Narrow" w:hAnsi="Arial Narrow"/>
                <w:sz w:val="20"/>
              </w:rPr>
            </w:pPr>
            <w:r w:rsidRPr="00B23721">
              <w:rPr>
                <w:rFonts w:ascii="Arial Narrow" w:hAnsi="Arial Narrow"/>
                <w:sz w:val="20"/>
              </w:rPr>
              <w:t>№.of</w:t>
            </w:r>
          </w:p>
          <w:p w:rsidR="00BA25DE" w:rsidRPr="00B23721" w:rsidRDefault="00BA25DE" w:rsidP="00FF0995">
            <w:pPr>
              <w:keepNext/>
              <w:jc w:val="center"/>
              <w:rPr>
                <w:rFonts w:ascii="Arial Narrow" w:hAnsi="Arial Narrow"/>
                <w:sz w:val="20"/>
              </w:rPr>
            </w:pPr>
            <w:r w:rsidRPr="00B23721">
              <w:rPr>
                <w:rFonts w:ascii="Arial Narrow" w:hAnsi="Arial Narrow"/>
                <w:sz w:val="20"/>
              </w:rPr>
              <w:t>Rpts</w:t>
            </w:r>
          </w:p>
        </w:tc>
        <w:tc>
          <w:tcPr>
            <w:tcW w:w="1173" w:type="pct"/>
            <w:tcBorders>
              <w:bottom w:val="single" w:sz="4" w:space="0" w:color="auto"/>
            </w:tcBorders>
          </w:tcPr>
          <w:p w:rsidR="00BA25DE" w:rsidRPr="00B23721" w:rsidRDefault="00BA25DE" w:rsidP="00FF0995">
            <w:pPr>
              <w:keepNext/>
              <w:jc w:val="center"/>
              <w:rPr>
                <w:rFonts w:ascii="Arial Narrow" w:hAnsi="Arial Narrow"/>
                <w:sz w:val="20"/>
                <w:vertAlign w:val="superscript"/>
              </w:rPr>
            </w:pPr>
            <w:r w:rsidRPr="00B23721">
              <w:rPr>
                <w:rFonts w:ascii="Arial Narrow" w:hAnsi="Arial Narrow"/>
                <w:sz w:val="20"/>
              </w:rPr>
              <w:t>Dispensed Price for Max. Amount</w:t>
            </w:r>
          </w:p>
        </w:tc>
        <w:tc>
          <w:tcPr>
            <w:tcW w:w="1327" w:type="pct"/>
            <w:gridSpan w:val="2"/>
            <w:tcBorders>
              <w:bottom w:val="single" w:sz="4" w:space="0" w:color="auto"/>
            </w:tcBorders>
          </w:tcPr>
          <w:p w:rsidR="00BA25DE" w:rsidRPr="00B23721" w:rsidRDefault="00BA25DE" w:rsidP="00FF0995">
            <w:pPr>
              <w:keepNext/>
              <w:jc w:val="center"/>
              <w:rPr>
                <w:rFonts w:ascii="Arial Narrow" w:hAnsi="Arial Narrow"/>
                <w:sz w:val="20"/>
                <w:lang w:val="fr-FR"/>
              </w:rPr>
            </w:pPr>
            <w:r w:rsidRPr="00B23721">
              <w:rPr>
                <w:rFonts w:ascii="Arial Narrow" w:hAnsi="Arial Narrow"/>
                <w:sz w:val="20"/>
              </w:rPr>
              <w:t>Proprietary Name and Manufacturer</w:t>
            </w:r>
          </w:p>
        </w:tc>
      </w:tr>
      <w:tr w:rsidR="00BA25DE" w:rsidRPr="00B23721" w:rsidTr="002E1939">
        <w:trPr>
          <w:cantSplit/>
          <w:trHeight w:val="577"/>
        </w:trPr>
        <w:tc>
          <w:tcPr>
            <w:tcW w:w="1790" w:type="pct"/>
          </w:tcPr>
          <w:p w:rsidR="00BA25DE" w:rsidRPr="00B23721" w:rsidRDefault="00BA25DE" w:rsidP="00FF0995">
            <w:pPr>
              <w:keepNext/>
              <w:rPr>
                <w:rFonts w:ascii="Arial Narrow" w:hAnsi="Arial Narrow"/>
                <w:sz w:val="20"/>
              </w:rPr>
            </w:pPr>
            <w:r w:rsidRPr="00B23721">
              <w:rPr>
                <w:rFonts w:ascii="Arial Narrow" w:hAnsi="Arial Narrow"/>
                <w:smallCaps/>
                <w:sz w:val="20"/>
              </w:rPr>
              <w:t>nivolumab</w:t>
            </w:r>
          </w:p>
          <w:p w:rsidR="00BA25DE" w:rsidRPr="00B23721" w:rsidRDefault="00BA25DE" w:rsidP="00FF0995">
            <w:pPr>
              <w:keepNext/>
              <w:rPr>
                <w:rFonts w:ascii="Arial Narrow" w:hAnsi="Arial Narrow"/>
                <w:sz w:val="20"/>
              </w:rPr>
            </w:pPr>
            <w:r w:rsidRPr="00B23721">
              <w:rPr>
                <w:rFonts w:ascii="Arial Narrow" w:hAnsi="Arial Narrow"/>
                <w:sz w:val="20"/>
              </w:rPr>
              <w:t>40</w:t>
            </w:r>
            <w:r w:rsidR="002E1939" w:rsidRPr="00B23721">
              <w:rPr>
                <w:rFonts w:ascii="Arial Narrow" w:hAnsi="Arial Narrow"/>
                <w:sz w:val="20"/>
              </w:rPr>
              <w:t> </w:t>
            </w:r>
            <w:r w:rsidRPr="00B23721">
              <w:rPr>
                <w:rFonts w:ascii="Arial Narrow" w:hAnsi="Arial Narrow"/>
                <w:sz w:val="20"/>
              </w:rPr>
              <w:t>mg/4</w:t>
            </w:r>
            <w:r w:rsidR="002E1939" w:rsidRPr="00B23721">
              <w:rPr>
                <w:rFonts w:ascii="Arial Narrow" w:hAnsi="Arial Narrow"/>
                <w:sz w:val="20"/>
              </w:rPr>
              <w:t> </w:t>
            </w:r>
            <w:r w:rsidRPr="00B23721">
              <w:rPr>
                <w:rFonts w:ascii="Arial Narrow" w:hAnsi="Arial Narrow"/>
                <w:sz w:val="20"/>
              </w:rPr>
              <w:t>mL injection, 1 x 4</w:t>
            </w:r>
            <w:r w:rsidR="002E1939" w:rsidRPr="00B23721">
              <w:rPr>
                <w:rFonts w:ascii="Arial Narrow" w:hAnsi="Arial Narrow"/>
                <w:sz w:val="20"/>
              </w:rPr>
              <w:t> </w:t>
            </w:r>
            <w:r w:rsidRPr="00B23721">
              <w:rPr>
                <w:rFonts w:ascii="Arial Narrow" w:hAnsi="Arial Narrow"/>
                <w:sz w:val="20"/>
              </w:rPr>
              <w:t>mL vial</w:t>
            </w:r>
          </w:p>
          <w:p w:rsidR="00BA25DE" w:rsidRPr="00B23721" w:rsidRDefault="00BA25DE" w:rsidP="00FF0995">
            <w:pPr>
              <w:keepNext/>
              <w:rPr>
                <w:rFonts w:ascii="Arial Narrow" w:hAnsi="Arial Narrow"/>
                <w:sz w:val="20"/>
              </w:rPr>
            </w:pPr>
          </w:p>
          <w:p w:rsidR="00BA25DE" w:rsidRPr="00B23721" w:rsidRDefault="00BA25DE" w:rsidP="00FF0995">
            <w:pPr>
              <w:keepNext/>
              <w:rPr>
                <w:rFonts w:ascii="Arial Narrow" w:hAnsi="Arial Narrow"/>
                <w:sz w:val="20"/>
              </w:rPr>
            </w:pPr>
            <w:r w:rsidRPr="00B23721">
              <w:rPr>
                <w:rFonts w:ascii="Arial Narrow" w:hAnsi="Arial Narrow"/>
                <w:sz w:val="20"/>
              </w:rPr>
              <w:t>100</w:t>
            </w:r>
            <w:r w:rsidR="002E1939" w:rsidRPr="00B23721">
              <w:rPr>
                <w:rFonts w:ascii="Arial Narrow" w:hAnsi="Arial Narrow"/>
                <w:sz w:val="20"/>
              </w:rPr>
              <w:t> </w:t>
            </w:r>
            <w:r w:rsidRPr="00B23721">
              <w:rPr>
                <w:rFonts w:ascii="Arial Narrow" w:hAnsi="Arial Narrow"/>
                <w:sz w:val="20"/>
              </w:rPr>
              <w:t>mg/10</w:t>
            </w:r>
            <w:r w:rsidR="002E1939" w:rsidRPr="00B23721">
              <w:rPr>
                <w:rFonts w:ascii="Arial Narrow" w:hAnsi="Arial Narrow"/>
                <w:sz w:val="20"/>
              </w:rPr>
              <w:t> </w:t>
            </w:r>
            <w:r w:rsidRPr="00B23721">
              <w:rPr>
                <w:rFonts w:ascii="Arial Narrow" w:hAnsi="Arial Narrow"/>
                <w:sz w:val="20"/>
              </w:rPr>
              <w:t>mL injection, 1 x 10</w:t>
            </w:r>
            <w:r w:rsidR="002E1939" w:rsidRPr="00B23721">
              <w:rPr>
                <w:rFonts w:ascii="Arial Narrow" w:hAnsi="Arial Narrow"/>
                <w:sz w:val="20"/>
              </w:rPr>
              <w:t> </w:t>
            </w:r>
            <w:r w:rsidRPr="00B23721">
              <w:rPr>
                <w:rFonts w:ascii="Arial Narrow" w:hAnsi="Arial Narrow"/>
                <w:sz w:val="20"/>
              </w:rPr>
              <w:t>mL vial</w:t>
            </w:r>
          </w:p>
        </w:tc>
        <w:tc>
          <w:tcPr>
            <w:tcW w:w="425" w:type="pct"/>
          </w:tcPr>
          <w:p w:rsidR="00BA25DE" w:rsidRPr="00B23721" w:rsidRDefault="00BA25DE" w:rsidP="00FF0995">
            <w:pPr>
              <w:keepNext/>
              <w:jc w:val="center"/>
              <w:rPr>
                <w:rFonts w:ascii="Arial Narrow" w:hAnsi="Arial Narrow"/>
                <w:sz w:val="20"/>
              </w:rPr>
            </w:pPr>
          </w:p>
          <w:p w:rsidR="00BA25DE" w:rsidRPr="00B23721" w:rsidRDefault="00BA25DE" w:rsidP="00FF0995">
            <w:pPr>
              <w:keepNext/>
              <w:jc w:val="center"/>
              <w:rPr>
                <w:rFonts w:ascii="Arial Narrow" w:hAnsi="Arial Narrow"/>
                <w:sz w:val="20"/>
              </w:rPr>
            </w:pPr>
          </w:p>
          <w:p w:rsidR="00BA25DE" w:rsidRPr="00B23721" w:rsidRDefault="00BA25DE" w:rsidP="00FF0995">
            <w:pPr>
              <w:keepNext/>
              <w:jc w:val="center"/>
              <w:rPr>
                <w:rFonts w:ascii="Arial Narrow" w:hAnsi="Arial Narrow"/>
                <w:sz w:val="20"/>
              </w:rPr>
            </w:pPr>
            <w:r w:rsidRPr="00B23721">
              <w:rPr>
                <w:rFonts w:ascii="Arial Narrow" w:hAnsi="Arial Narrow"/>
                <w:sz w:val="20"/>
              </w:rPr>
              <w:t>360</w:t>
            </w:r>
            <w:r w:rsidR="002E1939" w:rsidRPr="00B23721">
              <w:rPr>
                <w:rFonts w:ascii="Arial Narrow" w:hAnsi="Arial Narrow"/>
                <w:sz w:val="20"/>
              </w:rPr>
              <w:t> </w:t>
            </w:r>
            <w:r w:rsidRPr="00B23721">
              <w:rPr>
                <w:rFonts w:ascii="Arial Narrow" w:hAnsi="Arial Narrow"/>
                <w:sz w:val="20"/>
              </w:rPr>
              <w:t>mg</w:t>
            </w:r>
          </w:p>
        </w:tc>
        <w:tc>
          <w:tcPr>
            <w:tcW w:w="285" w:type="pct"/>
          </w:tcPr>
          <w:p w:rsidR="00BA25DE" w:rsidRPr="00B23721" w:rsidRDefault="00BA25DE" w:rsidP="00FF0995">
            <w:pPr>
              <w:keepNext/>
              <w:jc w:val="center"/>
              <w:rPr>
                <w:rFonts w:ascii="Arial Narrow" w:hAnsi="Arial Narrow"/>
                <w:sz w:val="20"/>
              </w:rPr>
            </w:pPr>
          </w:p>
          <w:p w:rsidR="00BA25DE" w:rsidRPr="00B23721" w:rsidRDefault="00BA25DE" w:rsidP="00FF0995">
            <w:pPr>
              <w:keepNext/>
              <w:jc w:val="center"/>
              <w:rPr>
                <w:rFonts w:ascii="Arial Narrow" w:hAnsi="Arial Narrow"/>
                <w:sz w:val="20"/>
              </w:rPr>
            </w:pPr>
          </w:p>
          <w:p w:rsidR="00BA25DE" w:rsidRPr="00B23721" w:rsidRDefault="005227F2" w:rsidP="00FF0995">
            <w:pPr>
              <w:keepNext/>
              <w:jc w:val="center"/>
              <w:rPr>
                <w:rFonts w:ascii="Arial Narrow" w:hAnsi="Arial Narrow"/>
                <w:sz w:val="20"/>
              </w:rPr>
            </w:pPr>
            <w:r>
              <w:rPr>
                <w:rFonts w:ascii="Arial Narrow" w:hAnsi="Arial Narrow"/>
                <w:strike/>
                <w:sz w:val="20"/>
              </w:rPr>
              <w:t>5</w:t>
            </w:r>
            <w:r>
              <w:rPr>
                <w:rFonts w:ascii="Arial Narrow" w:hAnsi="Arial Narrow"/>
                <w:i/>
                <w:sz w:val="20"/>
              </w:rPr>
              <w:t>8</w:t>
            </w:r>
          </w:p>
        </w:tc>
        <w:tc>
          <w:tcPr>
            <w:tcW w:w="1173" w:type="pct"/>
          </w:tcPr>
          <w:p w:rsidR="00BA25DE" w:rsidRPr="00B23721" w:rsidRDefault="00BA25DE" w:rsidP="00FF0995">
            <w:pPr>
              <w:keepNext/>
              <w:jc w:val="center"/>
              <w:rPr>
                <w:rFonts w:ascii="Arial Narrow" w:hAnsi="Arial Narrow"/>
                <w:sz w:val="20"/>
              </w:rPr>
            </w:pPr>
            <w:r w:rsidRPr="00B23721">
              <w:rPr>
                <w:rFonts w:ascii="Arial Narrow" w:hAnsi="Arial Narrow"/>
                <w:sz w:val="20"/>
              </w:rPr>
              <w:t>Published price</w:t>
            </w:r>
          </w:p>
          <w:p w:rsidR="00BA25DE" w:rsidRPr="00B23721" w:rsidRDefault="00BA25DE" w:rsidP="00FF0995">
            <w:pPr>
              <w:keepNext/>
              <w:jc w:val="center"/>
              <w:rPr>
                <w:rFonts w:ascii="Arial Narrow" w:hAnsi="Arial Narrow"/>
                <w:sz w:val="20"/>
                <w:vertAlign w:val="superscript"/>
              </w:rPr>
            </w:pPr>
            <w:r w:rsidRPr="00B23721">
              <w:rPr>
                <w:rFonts w:ascii="Arial Narrow" w:hAnsi="Arial Narrow"/>
                <w:sz w:val="20"/>
              </w:rPr>
              <w:t>$</w:t>
            </w:r>
            <w:r w:rsidR="00BF699F">
              <w:rPr>
                <w:rFonts w:ascii="Arial Narrow" w:hAnsi="Arial Narrow"/>
                <w:noProof/>
                <w:color w:val="000000"/>
                <w:sz w:val="20"/>
                <w:highlight w:val="black"/>
              </w:rPr>
              <w:t>'''''''''''''''''''''''</w:t>
            </w:r>
            <w:r w:rsidRPr="00B23721">
              <w:rPr>
                <w:rFonts w:ascii="Arial Narrow" w:hAnsi="Arial Narrow"/>
                <w:sz w:val="20"/>
              </w:rPr>
              <w:t xml:space="preserve"> (Private)</w:t>
            </w:r>
            <w:r w:rsidRPr="00B23721">
              <w:rPr>
                <w:rFonts w:ascii="Arial Narrow" w:hAnsi="Arial Narrow"/>
                <w:sz w:val="20"/>
                <w:vertAlign w:val="superscript"/>
              </w:rPr>
              <w:t>a</w:t>
            </w:r>
          </w:p>
          <w:p w:rsidR="00BA25DE" w:rsidRPr="00B23721" w:rsidRDefault="00BA25DE" w:rsidP="00FF0995">
            <w:pPr>
              <w:keepNext/>
              <w:spacing w:after="60"/>
              <w:jc w:val="center"/>
              <w:rPr>
                <w:rFonts w:ascii="Arial Narrow" w:hAnsi="Arial Narrow"/>
                <w:sz w:val="20"/>
                <w:vertAlign w:val="superscript"/>
              </w:rPr>
            </w:pPr>
            <w:r w:rsidRPr="00B23721">
              <w:rPr>
                <w:rFonts w:ascii="Arial Narrow" w:hAnsi="Arial Narrow"/>
                <w:sz w:val="20"/>
              </w:rPr>
              <w:t>$</w:t>
            </w:r>
            <w:r w:rsidR="00BF699F">
              <w:rPr>
                <w:rFonts w:ascii="Arial Narrow" w:hAnsi="Arial Narrow"/>
                <w:noProof/>
                <w:color w:val="000000"/>
                <w:sz w:val="20"/>
                <w:highlight w:val="black"/>
              </w:rPr>
              <w:t>'''''''''''''''''''''</w:t>
            </w:r>
            <w:r w:rsidRPr="00B23721">
              <w:rPr>
                <w:rFonts w:ascii="Arial Narrow" w:hAnsi="Arial Narrow"/>
                <w:sz w:val="20"/>
              </w:rPr>
              <w:t xml:space="preserve"> (Public)</w:t>
            </w:r>
            <w:r w:rsidRPr="00B23721">
              <w:rPr>
                <w:rFonts w:ascii="Arial Narrow" w:hAnsi="Arial Narrow"/>
                <w:sz w:val="20"/>
                <w:vertAlign w:val="superscript"/>
              </w:rPr>
              <w:t>a</w:t>
            </w:r>
          </w:p>
          <w:p w:rsidR="00BA25DE" w:rsidRPr="00B23721" w:rsidRDefault="00BA25DE" w:rsidP="00FF0995">
            <w:pPr>
              <w:keepNext/>
              <w:jc w:val="center"/>
              <w:rPr>
                <w:rFonts w:ascii="Arial Narrow" w:hAnsi="Arial Narrow"/>
                <w:sz w:val="20"/>
              </w:rPr>
            </w:pPr>
            <w:r w:rsidRPr="00B23721">
              <w:rPr>
                <w:rFonts w:ascii="Arial Narrow" w:hAnsi="Arial Narrow"/>
                <w:sz w:val="20"/>
              </w:rPr>
              <w:t>Effective price</w:t>
            </w:r>
          </w:p>
          <w:p w:rsidR="00BA25DE" w:rsidRPr="00B23721" w:rsidRDefault="00BA25DE" w:rsidP="00FF0995">
            <w:pPr>
              <w:keepNext/>
              <w:jc w:val="center"/>
              <w:rPr>
                <w:rFonts w:ascii="Arial Narrow" w:hAnsi="Arial Narrow"/>
                <w:sz w:val="20"/>
                <w:vertAlign w:val="superscript"/>
              </w:rPr>
            </w:pPr>
            <w:r w:rsidRPr="00B23721">
              <w:rPr>
                <w:rFonts w:ascii="Arial Narrow" w:hAnsi="Arial Narrow"/>
                <w:sz w:val="20"/>
              </w:rPr>
              <w:t>$</w:t>
            </w:r>
            <w:r w:rsidR="00BF699F">
              <w:rPr>
                <w:rFonts w:ascii="Arial Narrow" w:hAnsi="Arial Narrow"/>
                <w:noProof/>
                <w:color w:val="000000"/>
                <w:sz w:val="20"/>
                <w:highlight w:val="black"/>
              </w:rPr>
              <w:t>''''''''''''''''''''</w:t>
            </w:r>
            <w:r w:rsidRPr="00B23721">
              <w:rPr>
                <w:rFonts w:ascii="Arial Narrow" w:hAnsi="Arial Narrow"/>
                <w:sz w:val="20"/>
              </w:rPr>
              <w:t xml:space="preserve"> (Private)</w:t>
            </w:r>
            <w:r w:rsidRPr="00B23721">
              <w:rPr>
                <w:rFonts w:ascii="Arial Narrow" w:hAnsi="Arial Narrow"/>
                <w:sz w:val="20"/>
                <w:vertAlign w:val="superscript"/>
              </w:rPr>
              <w:t>a</w:t>
            </w:r>
          </w:p>
          <w:p w:rsidR="00BA25DE" w:rsidRPr="00B23721" w:rsidRDefault="00BA25DE" w:rsidP="00FF0995">
            <w:pPr>
              <w:keepNext/>
              <w:spacing w:after="60"/>
              <w:jc w:val="center"/>
              <w:rPr>
                <w:rFonts w:ascii="Arial Narrow" w:hAnsi="Arial Narrow"/>
                <w:sz w:val="20"/>
                <w:vertAlign w:val="superscript"/>
              </w:rPr>
            </w:pPr>
            <w:r w:rsidRPr="00B23721">
              <w:rPr>
                <w:rFonts w:ascii="Arial Narrow" w:hAnsi="Arial Narrow"/>
                <w:sz w:val="20"/>
              </w:rPr>
              <w:t>$</w:t>
            </w:r>
            <w:r w:rsidR="00BF699F">
              <w:rPr>
                <w:rFonts w:ascii="Arial Narrow" w:hAnsi="Arial Narrow"/>
                <w:noProof/>
                <w:color w:val="000000"/>
                <w:sz w:val="20"/>
                <w:highlight w:val="black"/>
              </w:rPr>
              <w:t>'''''''''''''''''''</w:t>
            </w:r>
            <w:r w:rsidRPr="00B23721">
              <w:rPr>
                <w:rFonts w:ascii="Arial Narrow" w:hAnsi="Arial Narrow"/>
                <w:sz w:val="20"/>
              </w:rPr>
              <w:t xml:space="preserve"> (Public)</w:t>
            </w:r>
            <w:r w:rsidRPr="00B23721">
              <w:rPr>
                <w:rFonts w:ascii="Arial Narrow" w:hAnsi="Arial Narrow"/>
                <w:sz w:val="20"/>
                <w:vertAlign w:val="superscript"/>
              </w:rPr>
              <w:t>a</w:t>
            </w:r>
          </w:p>
        </w:tc>
        <w:tc>
          <w:tcPr>
            <w:tcW w:w="538" w:type="pct"/>
          </w:tcPr>
          <w:p w:rsidR="00BA25DE" w:rsidRPr="00B23721" w:rsidRDefault="00BA25DE" w:rsidP="00FF0995">
            <w:pPr>
              <w:keepNext/>
              <w:jc w:val="center"/>
              <w:rPr>
                <w:rFonts w:ascii="Arial Narrow" w:hAnsi="Arial Narrow"/>
                <w:sz w:val="20"/>
              </w:rPr>
            </w:pPr>
            <w:r w:rsidRPr="00B23721">
              <w:rPr>
                <w:rFonts w:ascii="Arial Narrow" w:hAnsi="Arial Narrow"/>
                <w:sz w:val="20"/>
              </w:rPr>
              <w:t>Opdivo</w:t>
            </w:r>
            <w:r w:rsidRPr="00B23721">
              <w:rPr>
                <w:rFonts w:ascii="Arial Narrow" w:hAnsi="Arial Narrow"/>
                <w:sz w:val="20"/>
                <w:vertAlign w:val="superscript"/>
              </w:rPr>
              <w:t>®</w:t>
            </w:r>
          </w:p>
        </w:tc>
        <w:tc>
          <w:tcPr>
            <w:tcW w:w="789" w:type="pct"/>
          </w:tcPr>
          <w:p w:rsidR="00BA25DE" w:rsidRPr="00B23721" w:rsidRDefault="00BA25DE" w:rsidP="00FF0995">
            <w:pPr>
              <w:keepNext/>
              <w:jc w:val="center"/>
              <w:rPr>
                <w:rFonts w:ascii="Arial Narrow" w:hAnsi="Arial Narrow"/>
                <w:sz w:val="20"/>
              </w:rPr>
            </w:pPr>
            <w:r w:rsidRPr="00B23721">
              <w:rPr>
                <w:rFonts w:ascii="Arial Narrow" w:hAnsi="Arial Narrow"/>
                <w:sz w:val="20"/>
              </w:rPr>
              <w:t>Bristol-Myers Squibb Australia Pty Ltd (BQ)</w:t>
            </w:r>
          </w:p>
        </w:tc>
      </w:tr>
      <w:tr w:rsidR="00BA25DE" w:rsidRPr="00B23721" w:rsidTr="002E1939">
        <w:trPr>
          <w:cantSplit/>
          <w:trHeight w:val="360"/>
        </w:trPr>
        <w:tc>
          <w:tcPr>
            <w:tcW w:w="5000" w:type="pct"/>
            <w:gridSpan w:val="6"/>
          </w:tcPr>
          <w:p w:rsidR="00BA25DE" w:rsidRPr="00B23721" w:rsidRDefault="00BA25DE" w:rsidP="00D81FEF">
            <w:pPr>
              <w:pStyle w:val="TableFooter"/>
              <w:spacing w:after="60"/>
              <w:rPr>
                <w:u w:val="single"/>
              </w:rPr>
            </w:pPr>
            <w:r w:rsidRPr="00B23721">
              <w:rPr>
                <w:vertAlign w:val="superscript"/>
              </w:rPr>
              <w:t xml:space="preserve">a </w:t>
            </w:r>
            <w:r w:rsidRPr="00B23721">
              <w:t>The dispensed prices for the maximum amount of 360 mg have been updated during the evaluation to include the indexation of fees for the efficient funding of chemotherapy drugs that occurred on 1</w:t>
            </w:r>
            <w:r w:rsidRPr="00B23721">
              <w:rPr>
                <w:vertAlign w:val="superscript"/>
              </w:rPr>
              <w:t>st</w:t>
            </w:r>
            <w:r w:rsidRPr="00B23721">
              <w:t xml:space="preserve"> July 2016</w:t>
            </w:r>
            <w:r w:rsidRPr="00B23721">
              <w:rPr>
                <w:rStyle w:val="FootnoteReference"/>
              </w:rPr>
              <w:footnoteReference w:id="1"/>
            </w:r>
            <w:r w:rsidRPr="00B23721">
              <w:rPr>
                <w:szCs w:val="24"/>
              </w:rPr>
              <w:t>.</w:t>
            </w:r>
            <w:r w:rsidRPr="00B23721">
              <w:t xml:space="preserve"> </w:t>
            </w:r>
            <w:r w:rsidRPr="00B23721">
              <w:rPr>
                <w:u w:val="single"/>
              </w:rPr>
              <w:t>The re-submission proposed a revised special pricing arrangement in which the proposed effecti</w:t>
            </w:r>
            <w:r w:rsidR="00EE0363" w:rsidRPr="00B23721">
              <w:rPr>
                <w:u w:val="single"/>
              </w:rPr>
              <w:t>ve price was reduced compared with</w:t>
            </w:r>
            <w:r w:rsidRPr="00B23721">
              <w:rPr>
                <w:u w:val="single"/>
              </w:rPr>
              <w:t xml:space="preserve"> that in the previous submission</w:t>
            </w:r>
            <w:r w:rsidRPr="00DB5D9A">
              <w:rPr>
                <w:u w:val="single"/>
              </w:rPr>
              <w:t>.</w:t>
            </w:r>
          </w:p>
        </w:tc>
      </w:tr>
    </w:tbl>
    <w:p w:rsidR="00BA25DE" w:rsidRPr="00B23721" w:rsidRDefault="00BA25DE" w:rsidP="00BA25DE">
      <w:pPr>
        <w:ind w:firstLine="720"/>
        <w:rPr>
          <w:rFonts w:ascii="Arial Narrow" w:hAnsi="Arial Narrow"/>
          <w:b/>
          <w:color w:val="222222"/>
          <w:sz w:val="20"/>
          <w:lang w:eastAsia="en-AU"/>
        </w:rPr>
      </w:pPr>
    </w:p>
    <w:tbl>
      <w:tblPr>
        <w:tblW w:w="8358" w:type="dxa"/>
        <w:tblInd w:w="822" w:type="dxa"/>
        <w:tblLayout w:type="fixed"/>
        <w:tblLook w:val="0000" w:firstRow="0" w:lastRow="0" w:firstColumn="0" w:lastColumn="0" w:noHBand="0" w:noVBand="0"/>
      </w:tblPr>
      <w:tblGrid>
        <w:gridCol w:w="1887"/>
        <w:gridCol w:w="6471"/>
      </w:tblGrid>
      <w:tr w:rsidR="005227F2" w:rsidRPr="00E337CF" w:rsidTr="005227F2">
        <w:trPr>
          <w:cantSplit/>
          <w:trHeight w:val="360"/>
        </w:trPr>
        <w:tc>
          <w:tcPr>
            <w:tcW w:w="1887"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b/>
                <w:sz w:val="20"/>
              </w:rPr>
            </w:pPr>
            <w:r w:rsidRPr="00E337CF">
              <w:rPr>
                <w:rFonts w:ascii="Arial Narrow" w:hAnsi="Arial Narrow"/>
                <w:b/>
                <w:sz w:val="20"/>
              </w:rPr>
              <w:t>Category / Program:</w:t>
            </w:r>
          </w:p>
        </w:tc>
        <w:tc>
          <w:tcPr>
            <w:tcW w:w="6471"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sz w:val="20"/>
              </w:rPr>
            </w:pPr>
            <w:r w:rsidRPr="00E337CF">
              <w:rPr>
                <w:rFonts w:ascii="Arial Narrow" w:hAnsi="Arial Narrow"/>
                <w:sz w:val="20"/>
              </w:rPr>
              <w:t>Section 100 – Efficient funding of Chemotherapy</w:t>
            </w:r>
          </w:p>
        </w:tc>
      </w:tr>
      <w:tr w:rsidR="005227F2" w:rsidRPr="00E337CF" w:rsidTr="005227F2">
        <w:trPr>
          <w:cantSplit/>
          <w:trHeight w:val="360"/>
        </w:trPr>
        <w:tc>
          <w:tcPr>
            <w:tcW w:w="1887"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b/>
                <w:sz w:val="20"/>
              </w:rPr>
            </w:pPr>
            <w:r w:rsidRPr="00E337CF">
              <w:rPr>
                <w:rFonts w:ascii="Arial Narrow" w:hAnsi="Arial Narrow"/>
                <w:b/>
                <w:sz w:val="20"/>
              </w:rPr>
              <w:t>Prescriber type:</w:t>
            </w:r>
          </w:p>
        </w:tc>
        <w:tc>
          <w:tcPr>
            <w:tcW w:w="6471"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sz w:val="20"/>
              </w:rPr>
            </w:pPr>
            <w:r w:rsidRPr="00E337CF">
              <w:rPr>
                <w:rFonts w:ascii="Arial Narrow" w:hAnsi="Arial Narrow"/>
                <w:sz w:val="20"/>
              </w:rPr>
              <w:fldChar w:fldCharType="begin">
                <w:ffData>
                  <w:name w:val="Check1"/>
                  <w:enabled/>
                  <w:calcOnExit w:val="0"/>
                  <w:checkBox>
                    <w:sizeAuto/>
                    <w:default w:val="0"/>
                  </w:checkBox>
                </w:ffData>
              </w:fldChar>
            </w:r>
            <w:r w:rsidRPr="00E337CF">
              <w:rPr>
                <w:rFonts w:ascii="Arial Narrow" w:hAnsi="Arial Narrow"/>
                <w:sz w:val="20"/>
              </w:rPr>
              <w:instrText xml:space="preserve"> FORMCHECKBOX </w:instrText>
            </w:r>
            <w:r w:rsidR="00D07EFF">
              <w:rPr>
                <w:rFonts w:ascii="Arial Narrow" w:hAnsi="Arial Narrow"/>
                <w:sz w:val="20"/>
              </w:rPr>
            </w:r>
            <w:r w:rsidR="00D07EFF">
              <w:rPr>
                <w:rFonts w:ascii="Arial Narrow" w:hAnsi="Arial Narrow"/>
                <w:sz w:val="20"/>
              </w:rPr>
              <w:fldChar w:fldCharType="separate"/>
            </w:r>
            <w:r w:rsidRPr="00E337CF">
              <w:rPr>
                <w:rFonts w:ascii="Arial Narrow" w:hAnsi="Arial Narrow"/>
                <w:sz w:val="20"/>
              </w:rPr>
              <w:fldChar w:fldCharType="end"/>
            </w:r>
            <w:r w:rsidRPr="00E337CF">
              <w:rPr>
                <w:rFonts w:ascii="Arial Narrow" w:hAnsi="Arial Narrow"/>
                <w:sz w:val="20"/>
              </w:rPr>
              <w:t xml:space="preserve">Dental  </w:t>
            </w:r>
            <w:r w:rsidRPr="00E337CF">
              <w:rPr>
                <w:rFonts w:ascii="Arial Narrow" w:hAnsi="Arial Narrow"/>
                <w:sz w:val="20"/>
              </w:rPr>
              <w:fldChar w:fldCharType="begin">
                <w:ffData>
                  <w:name w:val=""/>
                  <w:enabled/>
                  <w:calcOnExit w:val="0"/>
                  <w:checkBox>
                    <w:sizeAuto/>
                    <w:default w:val="1"/>
                  </w:checkBox>
                </w:ffData>
              </w:fldChar>
            </w:r>
            <w:r w:rsidRPr="00E337CF">
              <w:rPr>
                <w:rFonts w:ascii="Arial Narrow" w:hAnsi="Arial Narrow"/>
                <w:sz w:val="20"/>
              </w:rPr>
              <w:instrText xml:space="preserve"> FORMCHECKBOX </w:instrText>
            </w:r>
            <w:r w:rsidR="00D07EFF">
              <w:rPr>
                <w:rFonts w:ascii="Arial Narrow" w:hAnsi="Arial Narrow"/>
                <w:sz w:val="20"/>
              </w:rPr>
            </w:r>
            <w:r w:rsidR="00D07EFF">
              <w:rPr>
                <w:rFonts w:ascii="Arial Narrow" w:hAnsi="Arial Narrow"/>
                <w:sz w:val="20"/>
              </w:rPr>
              <w:fldChar w:fldCharType="separate"/>
            </w:r>
            <w:r w:rsidRPr="00E337CF">
              <w:rPr>
                <w:rFonts w:ascii="Arial Narrow" w:hAnsi="Arial Narrow"/>
                <w:sz w:val="20"/>
              </w:rPr>
              <w:fldChar w:fldCharType="end"/>
            </w:r>
            <w:r w:rsidRPr="00E337CF">
              <w:rPr>
                <w:rFonts w:ascii="Arial Narrow" w:hAnsi="Arial Narrow"/>
                <w:sz w:val="20"/>
              </w:rPr>
              <w:t xml:space="preserve">Medical Practitioners  </w:t>
            </w:r>
            <w:r w:rsidRPr="00E337CF">
              <w:rPr>
                <w:rFonts w:ascii="Arial Narrow" w:hAnsi="Arial Narrow"/>
                <w:sz w:val="20"/>
              </w:rPr>
              <w:fldChar w:fldCharType="begin">
                <w:ffData>
                  <w:name w:val="Check3"/>
                  <w:enabled/>
                  <w:calcOnExit w:val="0"/>
                  <w:checkBox>
                    <w:sizeAuto/>
                    <w:default w:val="0"/>
                  </w:checkBox>
                </w:ffData>
              </w:fldChar>
            </w:r>
            <w:r w:rsidRPr="00E337CF">
              <w:rPr>
                <w:rFonts w:ascii="Arial Narrow" w:hAnsi="Arial Narrow"/>
                <w:sz w:val="20"/>
              </w:rPr>
              <w:instrText xml:space="preserve"> FORMCHECKBOX </w:instrText>
            </w:r>
            <w:r w:rsidR="00D07EFF">
              <w:rPr>
                <w:rFonts w:ascii="Arial Narrow" w:hAnsi="Arial Narrow"/>
                <w:sz w:val="20"/>
              </w:rPr>
            </w:r>
            <w:r w:rsidR="00D07EFF">
              <w:rPr>
                <w:rFonts w:ascii="Arial Narrow" w:hAnsi="Arial Narrow"/>
                <w:sz w:val="20"/>
              </w:rPr>
              <w:fldChar w:fldCharType="separate"/>
            </w:r>
            <w:r w:rsidRPr="00E337CF">
              <w:rPr>
                <w:rFonts w:ascii="Arial Narrow" w:hAnsi="Arial Narrow"/>
                <w:sz w:val="20"/>
              </w:rPr>
              <w:fldChar w:fldCharType="end"/>
            </w:r>
            <w:r w:rsidRPr="00E337CF">
              <w:rPr>
                <w:rFonts w:ascii="Arial Narrow" w:hAnsi="Arial Narrow"/>
                <w:sz w:val="20"/>
              </w:rPr>
              <w:t xml:space="preserve">Nurse practitioners  </w:t>
            </w:r>
            <w:r w:rsidRPr="00E337CF">
              <w:rPr>
                <w:rFonts w:ascii="Arial Narrow" w:hAnsi="Arial Narrow"/>
                <w:sz w:val="20"/>
              </w:rPr>
              <w:fldChar w:fldCharType="begin">
                <w:ffData>
                  <w:name w:val=""/>
                  <w:enabled/>
                  <w:calcOnExit w:val="0"/>
                  <w:checkBox>
                    <w:sizeAuto/>
                    <w:default w:val="0"/>
                  </w:checkBox>
                </w:ffData>
              </w:fldChar>
            </w:r>
            <w:r w:rsidRPr="00E337CF">
              <w:rPr>
                <w:rFonts w:ascii="Arial Narrow" w:hAnsi="Arial Narrow"/>
                <w:sz w:val="20"/>
              </w:rPr>
              <w:instrText xml:space="preserve"> FORMCHECKBOX </w:instrText>
            </w:r>
            <w:r w:rsidR="00D07EFF">
              <w:rPr>
                <w:rFonts w:ascii="Arial Narrow" w:hAnsi="Arial Narrow"/>
                <w:sz w:val="20"/>
              </w:rPr>
            </w:r>
            <w:r w:rsidR="00D07EFF">
              <w:rPr>
                <w:rFonts w:ascii="Arial Narrow" w:hAnsi="Arial Narrow"/>
                <w:sz w:val="20"/>
              </w:rPr>
              <w:fldChar w:fldCharType="separate"/>
            </w:r>
            <w:r w:rsidRPr="00E337CF">
              <w:rPr>
                <w:rFonts w:ascii="Arial Narrow" w:hAnsi="Arial Narrow"/>
                <w:sz w:val="20"/>
              </w:rPr>
              <w:fldChar w:fldCharType="end"/>
            </w:r>
            <w:r w:rsidRPr="00E337CF">
              <w:rPr>
                <w:rFonts w:ascii="Arial Narrow" w:hAnsi="Arial Narrow"/>
                <w:sz w:val="20"/>
              </w:rPr>
              <w:t>Optometrists</w:t>
            </w:r>
          </w:p>
          <w:p w:rsidR="005227F2" w:rsidRPr="00E337CF" w:rsidRDefault="005227F2" w:rsidP="00F06CF7">
            <w:pPr>
              <w:rPr>
                <w:rFonts w:ascii="Arial Narrow" w:hAnsi="Arial Narrow"/>
                <w:sz w:val="20"/>
              </w:rPr>
            </w:pPr>
            <w:r w:rsidRPr="00E337CF">
              <w:rPr>
                <w:rFonts w:ascii="Arial Narrow" w:hAnsi="Arial Narrow"/>
                <w:sz w:val="20"/>
              </w:rPr>
              <w:fldChar w:fldCharType="begin">
                <w:ffData>
                  <w:name w:val="Check5"/>
                  <w:enabled/>
                  <w:calcOnExit w:val="0"/>
                  <w:checkBox>
                    <w:sizeAuto/>
                    <w:default w:val="0"/>
                  </w:checkBox>
                </w:ffData>
              </w:fldChar>
            </w:r>
            <w:r w:rsidRPr="00E337CF">
              <w:rPr>
                <w:rFonts w:ascii="Arial Narrow" w:hAnsi="Arial Narrow"/>
                <w:sz w:val="20"/>
              </w:rPr>
              <w:instrText xml:space="preserve"> FORMCHECKBOX </w:instrText>
            </w:r>
            <w:r w:rsidR="00D07EFF">
              <w:rPr>
                <w:rFonts w:ascii="Arial Narrow" w:hAnsi="Arial Narrow"/>
                <w:sz w:val="20"/>
              </w:rPr>
            </w:r>
            <w:r w:rsidR="00D07EFF">
              <w:rPr>
                <w:rFonts w:ascii="Arial Narrow" w:hAnsi="Arial Narrow"/>
                <w:sz w:val="20"/>
              </w:rPr>
              <w:fldChar w:fldCharType="separate"/>
            </w:r>
            <w:r w:rsidRPr="00E337CF">
              <w:rPr>
                <w:rFonts w:ascii="Arial Narrow" w:hAnsi="Arial Narrow"/>
                <w:sz w:val="20"/>
              </w:rPr>
              <w:fldChar w:fldCharType="end"/>
            </w:r>
            <w:r w:rsidRPr="00E337CF">
              <w:rPr>
                <w:rFonts w:ascii="Arial Narrow" w:hAnsi="Arial Narrow"/>
                <w:sz w:val="20"/>
              </w:rPr>
              <w:t>Midwives</w:t>
            </w:r>
          </w:p>
        </w:tc>
      </w:tr>
      <w:tr w:rsidR="005227F2" w:rsidRPr="00E337CF" w:rsidTr="005227F2">
        <w:trPr>
          <w:cantSplit/>
          <w:trHeight w:val="360"/>
        </w:trPr>
        <w:tc>
          <w:tcPr>
            <w:tcW w:w="1887"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b/>
                <w:sz w:val="20"/>
              </w:rPr>
            </w:pPr>
            <w:r w:rsidRPr="00E337CF">
              <w:rPr>
                <w:rFonts w:ascii="Arial Narrow" w:hAnsi="Arial Narrow"/>
                <w:b/>
                <w:sz w:val="20"/>
              </w:rPr>
              <w:t>Episodicity:</w:t>
            </w:r>
          </w:p>
        </w:tc>
        <w:tc>
          <w:tcPr>
            <w:tcW w:w="6471"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sz w:val="20"/>
              </w:rPr>
            </w:pPr>
            <w:r w:rsidRPr="00E337CF">
              <w:rPr>
                <w:rFonts w:ascii="Arial Narrow" w:hAnsi="Arial Narrow"/>
                <w:sz w:val="20"/>
              </w:rPr>
              <w:t>-</w:t>
            </w:r>
          </w:p>
        </w:tc>
      </w:tr>
      <w:tr w:rsidR="005227F2" w:rsidRPr="00E337CF" w:rsidTr="005227F2">
        <w:trPr>
          <w:cantSplit/>
          <w:trHeight w:val="360"/>
        </w:trPr>
        <w:tc>
          <w:tcPr>
            <w:tcW w:w="1887"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b/>
                <w:sz w:val="20"/>
              </w:rPr>
            </w:pPr>
            <w:r w:rsidRPr="00E337CF">
              <w:rPr>
                <w:rFonts w:ascii="Arial Narrow" w:hAnsi="Arial Narrow"/>
                <w:b/>
                <w:sz w:val="20"/>
              </w:rPr>
              <w:t>Severity:</w:t>
            </w:r>
          </w:p>
        </w:tc>
        <w:tc>
          <w:tcPr>
            <w:tcW w:w="6471"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sz w:val="20"/>
              </w:rPr>
            </w:pPr>
            <w:r w:rsidRPr="00E337CF">
              <w:rPr>
                <w:rFonts w:ascii="Arial Narrow" w:hAnsi="Arial Narrow"/>
                <w:sz w:val="20"/>
              </w:rPr>
              <w:t>Locally advanced or metastatic</w:t>
            </w:r>
          </w:p>
        </w:tc>
      </w:tr>
      <w:tr w:rsidR="005227F2" w:rsidRPr="00E337CF" w:rsidTr="005227F2">
        <w:trPr>
          <w:cantSplit/>
          <w:trHeight w:val="360"/>
        </w:trPr>
        <w:tc>
          <w:tcPr>
            <w:tcW w:w="1887"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b/>
                <w:sz w:val="20"/>
              </w:rPr>
            </w:pPr>
            <w:r w:rsidRPr="00E337CF">
              <w:rPr>
                <w:rFonts w:ascii="Arial Narrow" w:hAnsi="Arial Narrow"/>
                <w:b/>
                <w:sz w:val="20"/>
              </w:rPr>
              <w:t>Condition:</w:t>
            </w:r>
          </w:p>
        </w:tc>
        <w:tc>
          <w:tcPr>
            <w:tcW w:w="6471"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sz w:val="20"/>
              </w:rPr>
            </w:pPr>
            <w:r w:rsidRPr="00E337CF">
              <w:rPr>
                <w:rFonts w:ascii="Arial Narrow" w:hAnsi="Arial Narrow"/>
                <w:strike/>
                <w:sz w:val="20"/>
              </w:rPr>
              <w:t>Squamous</w:t>
            </w:r>
            <w:r w:rsidRPr="00E337CF">
              <w:rPr>
                <w:rFonts w:ascii="Arial Narrow" w:hAnsi="Arial Narrow"/>
                <w:sz w:val="20"/>
              </w:rPr>
              <w:t xml:space="preserve"> non-small cell lung cancer</w:t>
            </w:r>
          </w:p>
        </w:tc>
      </w:tr>
      <w:tr w:rsidR="005227F2" w:rsidRPr="00E337CF" w:rsidTr="005227F2">
        <w:trPr>
          <w:cantSplit/>
          <w:trHeight w:val="360"/>
        </w:trPr>
        <w:tc>
          <w:tcPr>
            <w:tcW w:w="1887"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b/>
                <w:sz w:val="20"/>
              </w:rPr>
            </w:pPr>
            <w:r w:rsidRPr="00E337CF">
              <w:rPr>
                <w:rFonts w:ascii="Arial Narrow" w:hAnsi="Arial Narrow"/>
                <w:b/>
                <w:sz w:val="20"/>
              </w:rPr>
              <w:t>PBS Indication:</w:t>
            </w:r>
          </w:p>
        </w:tc>
        <w:tc>
          <w:tcPr>
            <w:tcW w:w="6471"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sz w:val="20"/>
              </w:rPr>
            </w:pPr>
            <w:r w:rsidRPr="00E337CF">
              <w:rPr>
                <w:rFonts w:ascii="Arial Narrow" w:hAnsi="Arial Narrow"/>
                <w:sz w:val="20"/>
              </w:rPr>
              <w:t xml:space="preserve">Locally advanced or metastatic </w:t>
            </w:r>
            <w:r w:rsidRPr="00E337CF">
              <w:rPr>
                <w:rFonts w:ascii="Arial Narrow" w:hAnsi="Arial Narrow"/>
                <w:strike/>
                <w:sz w:val="20"/>
              </w:rPr>
              <w:t>squamous</w:t>
            </w:r>
            <w:r w:rsidRPr="00E337CF">
              <w:rPr>
                <w:rFonts w:ascii="Arial Narrow" w:hAnsi="Arial Narrow"/>
                <w:sz w:val="20"/>
              </w:rPr>
              <w:t xml:space="preserve"> </w:t>
            </w:r>
            <w:r w:rsidRPr="00952BDA">
              <w:rPr>
                <w:rFonts w:ascii="Arial Narrow" w:hAnsi="Arial Narrow"/>
                <w:sz w:val="20"/>
              </w:rPr>
              <w:t>non-small cell lung cancer</w:t>
            </w:r>
          </w:p>
        </w:tc>
      </w:tr>
      <w:tr w:rsidR="005227F2" w:rsidRPr="00E337CF" w:rsidTr="005227F2">
        <w:trPr>
          <w:cantSplit/>
          <w:trHeight w:val="360"/>
        </w:trPr>
        <w:tc>
          <w:tcPr>
            <w:tcW w:w="1887"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b/>
                <w:sz w:val="20"/>
              </w:rPr>
            </w:pPr>
            <w:r w:rsidRPr="00E337CF">
              <w:rPr>
                <w:rFonts w:ascii="Arial Narrow" w:hAnsi="Arial Narrow"/>
                <w:b/>
                <w:sz w:val="20"/>
              </w:rPr>
              <w:t>Treatment phase:</w:t>
            </w:r>
          </w:p>
        </w:tc>
        <w:tc>
          <w:tcPr>
            <w:tcW w:w="6471"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sz w:val="20"/>
              </w:rPr>
            </w:pPr>
            <w:r w:rsidRPr="00E337CF">
              <w:rPr>
                <w:rFonts w:ascii="Arial Narrow" w:hAnsi="Arial Narrow"/>
                <w:sz w:val="20"/>
              </w:rPr>
              <w:t>Initial treatment</w:t>
            </w:r>
          </w:p>
        </w:tc>
      </w:tr>
      <w:tr w:rsidR="005227F2" w:rsidRPr="00E337CF" w:rsidTr="005227F2">
        <w:trPr>
          <w:cantSplit/>
          <w:trHeight w:val="360"/>
        </w:trPr>
        <w:tc>
          <w:tcPr>
            <w:tcW w:w="1887"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b/>
                <w:sz w:val="20"/>
              </w:rPr>
            </w:pPr>
            <w:r w:rsidRPr="00E337CF">
              <w:rPr>
                <w:rFonts w:ascii="Arial Narrow" w:hAnsi="Arial Narrow"/>
                <w:b/>
                <w:sz w:val="20"/>
              </w:rPr>
              <w:lastRenderedPageBreak/>
              <w:t>Restriction Level / Method:</w:t>
            </w:r>
          </w:p>
        </w:tc>
        <w:tc>
          <w:tcPr>
            <w:tcW w:w="6471"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sz w:val="20"/>
              </w:rPr>
            </w:pPr>
            <w:r w:rsidRPr="00E337CF">
              <w:rPr>
                <w:rFonts w:ascii="Arial Narrow" w:hAnsi="Arial Narrow"/>
                <w:sz w:val="20"/>
              </w:rPr>
              <w:fldChar w:fldCharType="begin">
                <w:ffData>
                  <w:name w:val="Check1"/>
                  <w:enabled/>
                  <w:calcOnExit w:val="0"/>
                  <w:checkBox>
                    <w:sizeAuto/>
                    <w:default w:val="0"/>
                  </w:checkBox>
                </w:ffData>
              </w:fldChar>
            </w:r>
            <w:r w:rsidRPr="00E337CF">
              <w:rPr>
                <w:rFonts w:ascii="Arial Narrow" w:hAnsi="Arial Narrow"/>
                <w:sz w:val="20"/>
              </w:rPr>
              <w:instrText xml:space="preserve"> FORMCHECKBOX </w:instrText>
            </w:r>
            <w:r w:rsidR="00D07EFF">
              <w:rPr>
                <w:rFonts w:ascii="Arial Narrow" w:hAnsi="Arial Narrow"/>
                <w:sz w:val="20"/>
              </w:rPr>
            </w:r>
            <w:r w:rsidR="00D07EFF">
              <w:rPr>
                <w:rFonts w:ascii="Arial Narrow" w:hAnsi="Arial Narrow"/>
                <w:sz w:val="20"/>
              </w:rPr>
              <w:fldChar w:fldCharType="separate"/>
            </w:r>
            <w:r w:rsidRPr="00E337CF">
              <w:rPr>
                <w:rFonts w:ascii="Arial Narrow" w:hAnsi="Arial Narrow"/>
                <w:sz w:val="20"/>
              </w:rPr>
              <w:fldChar w:fldCharType="end"/>
            </w:r>
            <w:r w:rsidRPr="00E337CF">
              <w:rPr>
                <w:rFonts w:ascii="Arial Narrow" w:hAnsi="Arial Narrow"/>
                <w:sz w:val="20"/>
              </w:rPr>
              <w:t>Restricted benefit</w:t>
            </w:r>
          </w:p>
          <w:p w:rsidR="005227F2" w:rsidRPr="00E337CF" w:rsidRDefault="005227F2" w:rsidP="00F06CF7">
            <w:pPr>
              <w:rPr>
                <w:rFonts w:ascii="Arial Narrow" w:hAnsi="Arial Narrow"/>
                <w:sz w:val="20"/>
              </w:rPr>
            </w:pPr>
            <w:r w:rsidRPr="00E337CF">
              <w:rPr>
                <w:rFonts w:ascii="Arial Narrow" w:hAnsi="Arial Narrow"/>
                <w:sz w:val="20"/>
              </w:rPr>
              <w:fldChar w:fldCharType="begin">
                <w:ffData>
                  <w:name w:val=""/>
                  <w:enabled/>
                  <w:calcOnExit w:val="0"/>
                  <w:checkBox>
                    <w:sizeAuto/>
                    <w:default w:val="0"/>
                  </w:checkBox>
                </w:ffData>
              </w:fldChar>
            </w:r>
            <w:r w:rsidRPr="00E337CF">
              <w:rPr>
                <w:rFonts w:ascii="Arial Narrow" w:hAnsi="Arial Narrow"/>
                <w:sz w:val="20"/>
              </w:rPr>
              <w:instrText xml:space="preserve"> FORMCHECKBOX </w:instrText>
            </w:r>
            <w:r w:rsidR="00D07EFF">
              <w:rPr>
                <w:rFonts w:ascii="Arial Narrow" w:hAnsi="Arial Narrow"/>
                <w:sz w:val="20"/>
              </w:rPr>
            </w:r>
            <w:r w:rsidR="00D07EFF">
              <w:rPr>
                <w:rFonts w:ascii="Arial Narrow" w:hAnsi="Arial Narrow"/>
                <w:sz w:val="20"/>
              </w:rPr>
              <w:fldChar w:fldCharType="separate"/>
            </w:r>
            <w:r w:rsidRPr="00E337CF">
              <w:rPr>
                <w:rFonts w:ascii="Arial Narrow" w:hAnsi="Arial Narrow"/>
                <w:sz w:val="20"/>
              </w:rPr>
              <w:fldChar w:fldCharType="end"/>
            </w:r>
            <w:r w:rsidRPr="00E337CF">
              <w:rPr>
                <w:rFonts w:ascii="Arial Narrow" w:hAnsi="Arial Narrow"/>
                <w:sz w:val="20"/>
              </w:rPr>
              <w:t>Authority Required - In Writing</w:t>
            </w:r>
          </w:p>
          <w:p w:rsidR="005227F2" w:rsidRPr="00E337CF" w:rsidRDefault="005227F2" w:rsidP="00F06CF7">
            <w:pPr>
              <w:rPr>
                <w:rFonts w:ascii="Arial Narrow" w:hAnsi="Arial Narrow"/>
                <w:sz w:val="20"/>
              </w:rPr>
            </w:pPr>
            <w:r w:rsidRPr="00E337CF">
              <w:rPr>
                <w:rFonts w:ascii="Arial Narrow" w:hAnsi="Arial Narrow"/>
                <w:sz w:val="20"/>
              </w:rPr>
              <w:fldChar w:fldCharType="begin">
                <w:ffData>
                  <w:name w:val="Check3"/>
                  <w:enabled/>
                  <w:calcOnExit w:val="0"/>
                  <w:checkBox>
                    <w:sizeAuto/>
                    <w:default w:val="0"/>
                  </w:checkBox>
                </w:ffData>
              </w:fldChar>
            </w:r>
            <w:r w:rsidRPr="00E337CF">
              <w:rPr>
                <w:rFonts w:ascii="Arial Narrow" w:hAnsi="Arial Narrow"/>
                <w:sz w:val="20"/>
              </w:rPr>
              <w:instrText xml:space="preserve"> FORMCHECKBOX </w:instrText>
            </w:r>
            <w:r w:rsidR="00D07EFF">
              <w:rPr>
                <w:rFonts w:ascii="Arial Narrow" w:hAnsi="Arial Narrow"/>
                <w:sz w:val="20"/>
              </w:rPr>
            </w:r>
            <w:r w:rsidR="00D07EFF">
              <w:rPr>
                <w:rFonts w:ascii="Arial Narrow" w:hAnsi="Arial Narrow"/>
                <w:sz w:val="20"/>
              </w:rPr>
              <w:fldChar w:fldCharType="separate"/>
            </w:r>
            <w:r w:rsidRPr="00E337CF">
              <w:rPr>
                <w:rFonts w:ascii="Arial Narrow" w:hAnsi="Arial Narrow"/>
                <w:sz w:val="20"/>
              </w:rPr>
              <w:fldChar w:fldCharType="end"/>
            </w:r>
            <w:r w:rsidRPr="00E337CF">
              <w:rPr>
                <w:rFonts w:ascii="Arial Narrow" w:hAnsi="Arial Narrow"/>
                <w:sz w:val="20"/>
              </w:rPr>
              <w:t>Authority Required - Telephone</w:t>
            </w:r>
          </w:p>
          <w:p w:rsidR="005227F2" w:rsidRPr="00E337CF" w:rsidRDefault="005227F2" w:rsidP="00F06CF7">
            <w:pPr>
              <w:rPr>
                <w:rFonts w:ascii="Arial Narrow" w:hAnsi="Arial Narrow"/>
                <w:sz w:val="20"/>
              </w:rPr>
            </w:pPr>
            <w:r w:rsidRPr="00E337CF">
              <w:rPr>
                <w:rFonts w:ascii="Arial Narrow" w:hAnsi="Arial Narrow"/>
                <w:sz w:val="20"/>
              </w:rPr>
              <w:fldChar w:fldCharType="begin">
                <w:ffData>
                  <w:name w:val=""/>
                  <w:enabled/>
                  <w:calcOnExit w:val="0"/>
                  <w:checkBox>
                    <w:sizeAuto/>
                    <w:default w:val="0"/>
                  </w:checkBox>
                </w:ffData>
              </w:fldChar>
            </w:r>
            <w:r w:rsidRPr="00E337CF">
              <w:rPr>
                <w:rFonts w:ascii="Arial Narrow" w:hAnsi="Arial Narrow"/>
                <w:sz w:val="20"/>
              </w:rPr>
              <w:instrText xml:space="preserve"> FORMCHECKBOX </w:instrText>
            </w:r>
            <w:r w:rsidR="00D07EFF">
              <w:rPr>
                <w:rFonts w:ascii="Arial Narrow" w:hAnsi="Arial Narrow"/>
                <w:sz w:val="20"/>
              </w:rPr>
            </w:r>
            <w:r w:rsidR="00D07EFF">
              <w:rPr>
                <w:rFonts w:ascii="Arial Narrow" w:hAnsi="Arial Narrow"/>
                <w:sz w:val="20"/>
              </w:rPr>
              <w:fldChar w:fldCharType="separate"/>
            </w:r>
            <w:r w:rsidRPr="00E337CF">
              <w:rPr>
                <w:rFonts w:ascii="Arial Narrow" w:hAnsi="Arial Narrow"/>
                <w:sz w:val="20"/>
              </w:rPr>
              <w:fldChar w:fldCharType="end"/>
            </w:r>
            <w:r w:rsidRPr="00E337CF">
              <w:rPr>
                <w:rFonts w:ascii="Arial Narrow" w:hAnsi="Arial Narrow"/>
                <w:sz w:val="20"/>
              </w:rPr>
              <w:t>Authority Required - Emergency</w:t>
            </w:r>
          </w:p>
          <w:p w:rsidR="005227F2" w:rsidRPr="00E337CF" w:rsidRDefault="005227F2" w:rsidP="00F06CF7">
            <w:pPr>
              <w:rPr>
                <w:rFonts w:ascii="Arial Narrow" w:hAnsi="Arial Narrow"/>
                <w:sz w:val="20"/>
              </w:rPr>
            </w:pPr>
            <w:r w:rsidRPr="00E337CF">
              <w:rPr>
                <w:rFonts w:ascii="Arial Narrow" w:hAnsi="Arial Narrow"/>
                <w:sz w:val="20"/>
              </w:rPr>
              <w:fldChar w:fldCharType="begin">
                <w:ffData>
                  <w:name w:val="Check5"/>
                  <w:enabled/>
                  <w:calcOnExit w:val="0"/>
                  <w:checkBox>
                    <w:sizeAuto/>
                    <w:default w:val="0"/>
                  </w:checkBox>
                </w:ffData>
              </w:fldChar>
            </w:r>
            <w:r w:rsidRPr="00E337CF">
              <w:rPr>
                <w:rFonts w:ascii="Arial Narrow" w:hAnsi="Arial Narrow"/>
                <w:sz w:val="20"/>
              </w:rPr>
              <w:instrText xml:space="preserve"> FORMCHECKBOX </w:instrText>
            </w:r>
            <w:r w:rsidR="00D07EFF">
              <w:rPr>
                <w:rFonts w:ascii="Arial Narrow" w:hAnsi="Arial Narrow"/>
                <w:sz w:val="20"/>
              </w:rPr>
            </w:r>
            <w:r w:rsidR="00D07EFF">
              <w:rPr>
                <w:rFonts w:ascii="Arial Narrow" w:hAnsi="Arial Narrow"/>
                <w:sz w:val="20"/>
              </w:rPr>
              <w:fldChar w:fldCharType="separate"/>
            </w:r>
            <w:r w:rsidRPr="00E337CF">
              <w:rPr>
                <w:rFonts w:ascii="Arial Narrow" w:hAnsi="Arial Narrow"/>
                <w:sz w:val="20"/>
              </w:rPr>
              <w:fldChar w:fldCharType="end"/>
            </w:r>
            <w:r w:rsidRPr="00E337CF">
              <w:rPr>
                <w:rFonts w:ascii="Arial Narrow" w:hAnsi="Arial Narrow"/>
                <w:sz w:val="20"/>
              </w:rPr>
              <w:t>Authority Required - Electronic</w:t>
            </w:r>
          </w:p>
          <w:p w:rsidR="005227F2" w:rsidRPr="00E337CF" w:rsidRDefault="005227F2" w:rsidP="00F06CF7">
            <w:pPr>
              <w:rPr>
                <w:rFonts w:ascii="Arial Narrow" w:hAnsi="Arial Narrow"/>
                <w:sz w:val="20"/>
              </w:rPr>
            </w:pPr>
            <w:r w:rsidRPr="00E337CF">
              <w:rPr>
                <w:rFonts w:ascii="Arial Narrow" w:hAnsi="Arial Narrow"/>
                <w:sz w:val="20"/>
              </w:rPr>
              <w:fldChar w:fldCharType="begin">
                <w:ffData>
                  <w:name w:val="Check5"/>
                  <w:enabled/>
                  <w:calcOnExit w:val="0"/>
                  <w:checkBox>
                    <w:sizeAuto/>
                    <w:default w:val="1"/>
                  </w:checkBox>
                </w:ffData>
              </w:fldChar>
            </w:r>
            <w:r w:rsidRPr="00E337CF">
              <w:rPr>
                <w:rFonts w:ascii="Arial Narrow" w:hAnsi="Arial Narrow"/>
                <w:sz w:val="20"/>
              </w:rPr>
              <w:instrText xml:space="preserve"> FORMCHECKBOX </w:instrText>
            </w:r>
            <w:r w:rsidR="00D07EFF">
              <w:rPr>
                <w:rFonts w:ascii="Arial Narrow" w:hAnsi="Arial Narrow"/>
                <w:sz w:val="20"/>
              </w:rPr>
            </w:r>
            <w:r w:rsidR="00D07EFF">
              <w:rPr>
                <w:rFonts w:ascii="Arial Narrow" w:hAnsi="Arial Narrow"/>
                <w:sz w:val="20"/>
              </w:rPr>
              <w:fldChar w:fldCharType="separate"/>
            </w:r>
            <w:r w:rsidRPr="00E337CF">
              <w:rPr>
                <w:rFonts w:ascii="Arial Narrow" w:hAnsi="Arial Narrow"/>
                <w:sz w:val="20"/>
              </w:rPr>
              <w:fldChar w:fldCharType="end"/>
            </w:r>
            <w:r w:rsidRPr="00E337CF">
              <w:rPr>
                <w:rFonts w:ascii="Arial Narrow" w:hAnsi="Arial Narrow"/>
                <w:sz w:val="20"/>
              </w:rPr>
              <w:t>Streamlined</w:t>
            </w:r>
          </w:p>
        </w:tc>
      </w:tr>
      <w:tr w:rsidR="005227F2" w:rsidRPr="00E337CF" w:rsidTr="005227F2">
        <w:trPr>
          <w:cantSplit/>
          <w:trHeight w:val="360"/>
        </w:trPr>
        <w:tc>
          <w:tcPr>
            <w:tcW w:w="1887"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b/>
                <w:sz w:val="20"/>
              </w:rPr>
            </w:pPr>
            <w:r w:rsidRPr="00E337CF">
              <w:rPr>
                <w:rFonts w:ascii="Arial Narrow" w:hAnsi="Arial Narrow"/>
                <w:b/>
                <w:sz w:val="20"/>
              </w:rPr>
              <w:t>Clinical criteria:</w:t>
            </w:r>
          </w:p>
        </w:tc>
        <w:tc>
          <w:tcPr>
            <w:tcW w:w="6471"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i/>
                <w:sz w:val="20"/>
              </w:rPr>
            </w:pPr>
            <w:r w:rsidRPr="00E337CF">
              <w:rPr>
                <w:rFonts w:ascii="Arial Narrow" w:hAnsi="Arial Narrow"/>
                <w:i/>
                <w:sz w:val="20"/>
              </w:rPr>
              <w:t>The condition must be squamous type n</w:t>
            </w:r>
            <w:r>
              <w:rPr>
                <w:rFonts w:ascii="Arial Narrow" w:hAnsi="Arial Narrow"/>
                <w:i/>
                <w:sz w:val="20"/>
              </w:rPr>
              <w:t>on-small cell lung cancer</w:t>
            </w:r>
          </w:p>
          <w:p w:rsidR="005227F2" w:rsidRDefault="005227F2" w:rsidP="00F06CF7">
            <w:pPr>
              <w:rPr>
                <w:rFonts w:ascii="Arial Narrow" w:hAnsi="Arial Narrow"/>
                <w:i/>
                <w:sz w:val="20"/>
              </w:rPr>
            </w:pPr>
            <w:r w:rsidRPr="00E337CF">
              <w:rPr>
                <w:rFonts w:ascii="Arial Narrow" w:hAnsi="Arial Narrow"/>
                <w:i/>
                <w:sz w:val="20"/>
              </w:rPr>
              <w:t>AND</w:t>
            </w:r>
          </w:p>
          <w:p w:rsidR="005227F2" w:rsidRPr="00E337CF" w:rsidRDefault="005227F2" w:rsidP="00F06CF7">
            <w:pPr>
              <w:rPr>
                <w:rFonts w:ascii="Arial Narrow" w:hAnsi="Arial Narrow"/>
                <w:i/>
                <w:sz w:val="20"/>
              </w:rPr>
            </w:pPr>
            <w:r w:rsidRPr="000F0CF7">
              <w:rPr>
                <w:rFonts w:ascii="Arial Narrow" w:hAnsi="Arial Narrow"/>
                <w:i/>
                <w:sz w:val="20"/>
              </w:rPr>
              <w:t>Patient must not have received prior treatment with a PD-1 (programmed cell death-1) inhibitor for this condition</w:t>
            </w:r>
          </w:p>
          <w:p w:rsidR="005227F2" w:rsidRDefault="005227F2" w:rsidP="00F06CF7">
            <w:pPr>
              <w:rPr>
                <w:rFonts w:ascii="Arial Narrow" w:hAnsi="Arial Narrow"/>
                <w:i/>
                <w:sz w:val="20"/>
              </w:rPr>
            </w:pPr>
            <w:r>
              <w:rPr>
                <w:rFonts w:ascii="Arial Narrow" w:hAnsi="Arial Narrow"/>
                <w:i/>
                <w:sz w:val="20"/>
              </w:rPr>
              <w:t>AND</w:t>
            </w:r>
          </w:p>
          <w:p w:rsidR="005227F2" w:rsidRPr="004A455B" w:rsidRDefault="005227F2" w:rsidP="00F06CF7">
            <w:pPr>
              <w:rPr>
                <w:rFonts w:ascii="Arial Narrow" w:hAnsi="Arial Narrow"/>
                <w:sz w:val="20"/>
              </w:rPr>
            </w:pPr>
            <w:r w:rsidRPr="004A455B">
              <w:rPr>
                <w:rFonts w:ascii="Arial Narrow" w:hAnsi="Arial Narrow"/>
                <w:sz w:val="20"/>
              </w:rPr>
              <w:t>Patient must have a WHO performance status of 0 or 1</w:t>
            </w:r>
          </w:p>
          <w:p w:rsidR="005227F2" w:rsidRPr="004A455B" w:rsidRDefault="005227F2" w:rsidP="00F06CF7">
            <w:pPr>
              <w:rPr>
                <w:rFonts w:ascii="Arial Narrow" w:hAnsi="Arial Narrow"/>
                <w:sz w:val="20"/>
              </w:rPr>
            </w:pPr>
            <w:r w:rsidRPr="004A455B">
              <w:rPr>
                <w:rFonts w:ascii="Arial Narrow" w:hAnsi="Arial Narrow"/>
                <w:sz w:val="20"/>
              </w:rPr>
              <w:t>AND</w:t>
            </w:r>
          </w:p>
          <w:p w:rsidR="005227F2" w:rsidRPr="00E337CF" w:rsidRDefault="005227F2" w:rsidP="00F06CF7">
            <w:pPr>
              <w:rPr>
                <w:rFonts w:ascii="Arial Narrow" w:hAnsi="Arial Narrow"/>
                <w:sz w:val="20"/>
              </w:rPr>
            </w:pPr>
            <w:r w:rsidRPr="00E337CF">
              <w:rPr>
                <w:rFonts w:ascii="Arial Narrow" w:hAnsi="Arial Narrow"/>
                <w:sz w:val="20"/>
              </w:rPr>
              <w:t>The treatment must be the sole PBS-subsidised therapy for this condition</w:t>
            </w:r>
          </w:p>
          <w:p w:rsidR="005227F2" w:rsidRPr="00E337CF" w:rsidRDefault="005227F2" w:rsidP="00F06CF7">
            <w:pPr>
              <w:rPr>
                <w:rFonts w:ascii="Arial Narrow" w:hAnsi="Arial Narrow"/>
                <w:sz w:val="20"/>
              </w:rPr>
            </w:pPr>
            <w:r w:rsidRPr="00E337CF">
              <w:rPr>
                <w:rFonts w:ascii="Arial Narrow" w:hAnsi="Arial Narrow"/>
                <w:sz w:val="20"/>
              </w:rPr>
              <w:t>AND</w:t>
            </w:r>
          </w:p>
          <w:p w:rsidR="005227F2" w:rsidRPr="00E337CF" w:rsidRDefault="005227F2" w:rsidP="00F06CF7">
            <w:pPr>
              <w:rPr>
                <w:rFonts w:ascii="Arial Narrow" w:hAnsi="Arial Narrow"/>
                <w:sz w:val="20"/>
              </w:rPr>
            </w:pPr>
            <w:r w:rsidRPr="00E337CF">
              <w:rPr>
                <w:rFonts w:ascii="Arial Narrow" w:hAnsi="Arial Narrow"/>
                <w:sz w:val="20"/>
              </w:rPr>
              <w:t>The condition must have progressed on or after prior platinum based chemotherapy.</w:t>
            </w:r>
          </w:p>
        </w:tc>
      </w:tr>
      <w:tr w:rsidR="005227F2" w:rsidRPr="00E337CF" w:rsidTr="005227F2">
        <w:trPr>
          <w:cantSplit/>
          <w:trHeight w:val="360"/>
        </w:trPr>
        <w:tc>
          <w:tcPr>
            <w:tcW w:w="1887"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b/>
                <w:sz w:val="20"/>
              </w:rPr>
            </w:pPr>
            <w:r w:rsidRPr="00E337CF">
              <w:rPr>
                <w:rFonts w:ascii="Arial Narrow" w:hAnsi="Arial Narrow"/>
                <w:b/>
                <w:sz w:val="20"/>
              </w:rPr>
              <w:t>Prescriber Instructions:</w:t>
            </w:r>
          </w:p>
        </w:tc>
        <w:tc>
          <w:tcPr>
            <w:tcW w:w="6471"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sz w:val="20"/>
              </w:rPr>
            </w:pPr>
            <w:r w:rsidRPr="00E337CF">
              <w:rPr>
                <w:rFonts w:ascii="Arial Narrow" w:hAnsi="Arial Narrow"/>
                <w:sz w:val="20"/>
              </w:rPr>
              <w:t>The patient’s body weight must be documented in the patient’s medical records at the time treatment is initiated.</w:t>
            </w:r>
          </w:p>
        </w:tc>
      </w:tr>
      <w:tr w:rsidR="005227F2" w:rsidRPr="00E337CF" w:rsidTr="005227F2">
        <w:trPr>
          <w:cantSplit/>
          <w:trHeight w:val="360"/>
        </w:trPr>
        <w:tc>
          <w:tcPr>
            <w:tcW w:w="1887"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i/>
                <w:sz w:val="20"/>
              </w:rPr>
            </w:pPr>
            <w:r w:rsidRPr="00E337CF">
              <w:rPr>
                <w:rFonts w:ascii="Arial Narrow" w:hAnsi="Arial Narrow"/>
                <w:b/>
                <w:sz w:val="20"/>
              </w:rPr>
              <w:t>Administrative Advice:</w:t>
            </w:r>
          </w:p>
        </w:tc>
        <w:tc>
          <w:tcPr>
            <w:tcW w:w="6471" w:type="dxa"/>
            <w:tcBorders>
              <w:top w:val="single" w:sz="4" w:space="0" w:color="auto"/>
              <w:left w:val="single" w:sz="4" w:space="0" w:color="auto"/>
              <w:bottom w:val="single" w:sz="4" w:space="0" w:color="auto"/>
              <w:right w:val="single" w:sz="4" w:space="0" w:color="auto"/>
            </w:tcBorders>
          </w:tcPr>
          <w:p w:rsidR="005227F2" w:rsidRDefault="005227F2" w:rsidP="00F06CF7">
            <w:pPr>
              <w:rPr>
                <w:rFonts w:ascii="Arial Narrow" w:hAnsi="Arial Narrow"/>
                <w:sz w:val="20"/>
              </w:rPr>
            </w:pPr>
            <w:r w:rsidRPr="00E337CF">
              <w:rPr>
                <w:rFonts w:ascii="Arial Narrow" w:hAnsi="Arial Narrow"/>
                <w:sz w:val="20"/>
              </w:rPr>
              <w:t>No increase in the maximum number of repeats may be authorised.</w:t>
            </w:r>
          </w:p>
          <w:p w:rsidR="005227F2" w:rsidRDefault="005227F2" w:rsidP="00F06CF7">
            <w:pPr>
              <w:rPr>
                <w:rFonts w:ascii="Arial Narrow" w:hAnsi="Arial Narrow"/>
                <w:sz w:val="20"/>
              </w:rPr>
            </w:pPr>
          </w:p>
          <w:p w:rsidR="005227F2" w:rsidRPr="00B7574F" w:rsidRDefault="005227F2" w:rsidP="00F06CF7">
            <w:pPr>
              <w:rPr>
                <w:rFonts w:ascii="Arial Narrow" w:hAnsi="Arial Narrow"/>
                <w:i/>
                <w:sz w:val="20"/>
              </w:rPr>
            </w:pPr>
            <w:r w:rsidRPr="00B7574F">
              <w:rPr>
                <w:rFonts w:ascii="Arial Narrow" w:hAnsi="Arial Narrow"/>
                <w:i/>
                <w:sz w:val="20"/>
              </w:rPr>
              <w:t>In the first few months after start of immunotherapy, some patients can have a transient tumour flare with subsequent disease response. When progression is suspected, this should be confirmed through a confirmatory scan, taken at least 4 weeks later.</w:t>
            </w:r>
          </w:p>
          <w:p w:rsidR="005227F2" w:rsidRPr="00E337CF" w:rsidRDefault="005227F2" w:rsidP="00F06CF7">
            <w:pPr>
              <w:rPr>
                <w:rFonts w:ascii="Arial Narrow" w:hAnsi="Arial Narrow"/>
                <w:sz w:val="20"/>
              </w:rPr>
            </w:pPr>
          </w:p>
          <w:p w:rsidR="005227F2" w:rsidRPr="00E337CF" w:rsidRDefault="005227F2" w:rsidP="00F06CF7">
            <w:pPr>
              <w:rPr>
                <w:rFonts w:ascii="Arial Narrow" w:hAnsi="Arial Narrow"/>
                <w:sz w:val="20"/>
              </w:rPr>
            </w:pPr>
            <w:r w:rsidRPr="00E337CF">
              <w:rPr>
                <w:rFonts w:ascii="Arial Narrow" w:hAnsi="Arial Narrow"/>
                <w:sz w:val="20"/>
              </w:rPr>
              <w:t>Special Pricing Arrangements apply.</w:t>
            </w:r>
          </w:p>
        </w:tc>
      </w:tr>
    </w:tbl>
    <w:p w:rsidR="0079219B" w:rsidRDefault="0079219B">
      <w:pPr>
        <w:widowControl/>
        <w:jc w:val="left"/>
        <w:rPr>
          <w:rFonts w:ascii="Arial Narrow" w:hAnsi="Arial Narrow"/>
          <w:b/>
          <w:sz w:val="20"/>
        </w:rPr>
      </w:pPr>
    </w:p>
    <w:tbl>
      <w:tblPr>
        <w:tblW w:w="4594" w:type="pct"/>
        <w:tblInd w:w="726" w:type="dxa"/>
        <w:tblLayout w:type="fixed"/>
        <w:tblCellMar>
          <w:left w:w="28" w:type="dxa"/>
          <w:right w:w="28" w:type="dxa"/>
        </w:tblCellMar>
        <w:tblLook w:val="0000" w:firstRow="0" w:lastRow="0" w:firstColumn="0" w:lastColumn="0" w:noHBand="0" w:noVBand="0"/>
      </w:tblPr>
      <w:tblGrid>
        <w:gridCol w:w="2987"/>
        <w:gridCol w:w="709"/>
        <w:gridCol w:w="476"/>
        <w:gridCol w:w="1958"/>
        <w:gridCol w:w="898"/>
        <w:gridCol w:w="1317"/>
      </w:tblGrid>
      <w:tr w:rsidR="005227F2" w:rsidRPr="00B23721" w:rsidTr="00F06CF7">
        <w:trPr>
          <w:cantSplit/>
          <w:trHeight w:val="471"/>
        </w:trPr>
        <w:tc>
          <w:tcPr>
            <w:tcW w:w="1790" w:type="pct"/>
            <w:tcBorders>
              <w:bottom w:val="single" w:sz="4" w:space="0" w:color="auto"/>
            </w:tcBorders>
          </w:tcPr>
          <w:p w:rsidR="005227F2" w:rsidRPr="00B23721" w:rsidRDefault="005227F2" w:rsidP="00F06CF7">
            <w:pPr>
              <w:keepNext/>
              <w:rPr>
                <w:rFonts w:ascii="Arial Narrow" w:hAnsi="Arial Narrow"/>
                <w:sz w:val="20"/>
              </w:rPr>
            </w:pPr>
            <w:r w:rsidRPr="00B23721">
              <w:rPr>
                <w:rFonts w:ascii="Arial Narrow" w:hAnsi="Arial Narrow"/>
                <w:sz w:val="20"/>
              </w:rPr>
              <w:t>Name, Restriction,</w:t>
            </w:r>
          </w:p>
          <w:p w:rsidR="005227F2" w:rsidRPr="00B23721" w:rsidRDefault="005227F2" w:rsidP="00F06CF7">
            <w:pPr>
              <w:keepNext/>
              <w:rPr>
                <w:rFonts w:ascii="Arial Narrow" w:hAnsi="Arial Narrow"/>
                <w:sz w:val="20"/>
              </w:rPr>
            </w:pPr>
            <w:r w:rsidRPr="00B23721">
              <w:rPr>
                <w:rFonts w:ascii="Arial Narrow" w:hAnsi="Arial Narrow"/>
                <w:sz w:val="20"/>
              </w:rPr>
              <w:t>Manner of administration and form</w:t>
            </w:r>
          </w:p>
        </w:tc>
        <w:tc>
          <w:tcPr>
            <w:tcW w:w="425" w:type="pct"/>
            <w:tcBorders>
              <w:bottom w:val="single" w:sz="4" w:space="0" w:color="auto"/>
            </w:tcBorders>
          </w:tcPr>
          <w:p w:rsidR="005227F2" w:rsidRPr="00B23721" w:rsidRDefault="005227F2" w:rsidP="00F06CF7">
            <w:pPr>
              <w:keepNext/>
              <w:jc w:val="center"/>
              <w:rPr>
                <w:rFonts w:ascii="Arial Narrow" w:hAnsi="Arial Narrow"/>
                <w:sz w:val="20"/>
              </w:rPr>
            </w:pPr>
            <w:r w:rsidRPr="00B23721">
              <w:rPr>
                <w:rFonts w:ascii="Arial Narrow" w:hAnsi="Arial Narrow"/>
                <w:sz w:val="20"/>
              </w:rPr>
              <w:t>Max.</w:t>
            </w:r>
          </w:p>
          <w:p w:rsidR="005227F2" w:rsidRPr="00B23721" w:rsidRDefault="005227F2" w:rsidP="00F06CF7">
            <w:pPr>
              <w:keepNext/>
              <w:jc w:val="center"/>
              <w:rPr>
                <w:rFonts w:ascii="Arial Narrow" w:hAnsi="Arial Narrow"/>
                <w:sz w:val="20"/>
              </w:rPr>
            </w:pPr>
            <w:r w:rsidRPr="00B23721">
              <w:rPr>
                <w:rFonts w:ascii="Arial Narrow" w:hAnsi="Arial Narrow"/>
                <w:sz w:val="20"/>
              </w:rPr>
              <w:t>Amt</w:t>
            </w:r>
          </w:p>
        </w:tc>
        <w:tc>
          <w:tcPr>
            <w:tcW w:w="285" w:type="pct"/>
            <w:tcBorders>
              <w:bottom w:val="single" w:sz="4" w:space="0" w:color="auto"/>
            </w:tcBorders>
          </w:tcPr>
          <w:p w:rsidR="005227F2" w:rsidRPr="00B23721" w:rsidRDefault="005227F2" w:rsidP="00F06CF7">
            <w:pPr>
              <w:keepNext/>
              <w:jc w:val="center"/>
              <w:rPr>
                <w:rFonts w:ascii="Arial Narrow" w:hAnsi="Arial Narrow"/>
                <w:sz w:val="20"/>
              </w:rPr>
            </w:pPr>
            <w:r w:rsidRPr="00B23721">
              <w:rPr>
                <w:rFonts w:ascii="Arial Narrow" w:hAnsi="Arial Narrow"/>
                <w:sz w:val="20"/>
              </w:rPr>
              <w:t>№.of</w:t>
            </w:r>
          </w:p>
          <w:p w:rsidR="005227F2" w:rsidRPr="00B23721" w:rsidRDefault="005227F2" w:rsidP="00F06CF7">
            <w:pPr>
              <w:keepNext/>
              <w:jc w:val="center"/>
              <w:rPr>
                <w:rFonts w:ascii="Arial Narrow" w:hAnsi="Arial Narrow"/>
                <w:sz w:val="20"/>
              </w:rPr>
            </w:pPr>
            <w:r w:rsidRPr="00B23721">
              <w:rPr>
                <w:rFonts w:ascii="Arial Narrow" w:hAnsi="Arial Narrow"/>
                <w:sz w:val="20"/>
              </w:rPr>
              <w:t>Rpts</w:t>
            </w:r>
          </w:p>
        </w:tc>
        <w:tc>
          <w:tcPr>
            <w:tcW w:w="1173" w:type="pct"/>
            <w:tcBorders>
              <w:bottom w:val="single" w:sz="4" w:space="0" w:color="auto"/>
            </w:tcBorders>
          </w:tcPr>
          <w:p w:rsidR="005227F2" w:rsidRPr="00B23721" w:rsidRDefault="005227F2" w:rsidP="00F06CF7">
            <w:pPr>
              <w:keepNext/>
              <w:jc w:val="center"/>
              <w:rPr>
                <w:rFonts w:ascii="Arial Narrow" w:hAnsi="Arial Narrow"/>
                <w:sz w:val="20"/>
                <w:vertAlign w:val="superscript"/>
              </w:rPr>
            </w:pPr>
            <w:r w:rsidRPr="00B23721">
              <w:rPr>
                <w:rFonts w:ascii="Arial Narrow" w:hAnsi="Arial Narrow"/>
                <w:sz w:val="20"/>
              </w:rPr>
              <w:t>Dispensed Price for Max. Amount</w:t>
            </w:r>
          </w:p>
        </w:tc>
        <w:tc>
          <w:tcPr>
            <w:tcW w:w="1327" w:type="pct"/>
            <w:gridSpan w:val="2"/>
            <w:tcBorders>
              <w:bottom w:val="single" w:sz="4" w:space="0" w:color="auto"/>
            </w:tcBorders>
          </w:tcPr>
          <w:p w:rsidR="005227F2" w:rsidRPr="00B23721" w:rsidRDefault="005227F2" w:rsidP="00F06CF7">
            <w:pPr>
              <w:keepNext/>
              <w:jc w:val="center"/>
              <w:rPr>
                <w:rFonts w:ascii="Arial Narrow" w:hAnsi="Arial Narrow"/>
                <w:sz w:val="20"/>
                <w:lang w:val="fr-FR"/>
              </w:rPr>
            </w:pPr>
            <w:r w:rsidRPr="00B23721">
              <w:rPr>
                <w:rFonts w:ascii="Arial Narrow" w:hAnsi="Arial Narrow"/>
                <w:sz w:val="20"/>
              </w:rPr>
              <w:t>Proprietary Name and Manufacturer</w:t>
            </w:r>
          </w:p>
        </w:tc>
      </w:tr>
      <w:tr w:rsidR="005227F2" w:rsidRPr="00B23721" w:rsidTr="00F06CF7">
        <w:trPr>
          <w:cantSplit/>
          <w:trHeight w:val="577"/>
        </w:trPr>
        <w:tc>
          <w:tcPr>
            <w:tcW w:w="1790" w:type="pct"/>
          </w:tcPr>
          <w:p w:rsidR="005227F2" w:rsidRPr="00B23721" w:rsidRDefault="005227F2" w:rsidP="00F06CF7">
            <w:pPr>
              <w:keepNext/>
              <w:rPr>
                <w:rFonts w:ascii="Arial Narrow" w:hAnsi="Arial Narrow"/>
                <w:sz w:val="20"/>
              </w:rPr>
            </w:pPr>
            <w:r w:rsidRPr="00B23721">
              <w:rPr>
                <w:rFonts w:ascii="Arial Narrow" w:hAnsi="Arial Narrow"/>
                <w:smallCaps/>
                <w:sz w:val="20"/>
              </w:rPr>
              <w:t>nivolumab</w:t>
            </w:r>
          </w:p>
          <w:p w:rsidR="005227F2" w:rsidRPr="00B23721" w:rsidRDefault="005227F2" w:rsidP="00F06CF7">
            <w:pPr>
              <w:keepNext/>
              <w:rPr>
                <w:rFonts w:ascii="Arial Narrow" w:hAnsi="Arial Narrow"/>
                <w:sz w:val="20"/>
              </w:rPr>
            </w:pPr>
            <w:r w:rsidRPr="00B23721">
              <w:rPr>
                <w:rFonts w:ascii="Arial Narrow" w:hAnsi="Arial Narrow"/>
                <w:sz w:val="20"/>
              </w:rPr>
              <w:t>40 mg/4 mL injection, 1 x 4 mL vial</w:t>
            </w:r>
          </w:p>
          <w:p w:rsidR="005227F2" w:rsidRPr="00B23721" w:rsidRDefault="005227F2" w:rsidP="00F06CF7">
            <w:pPr>
              <w:keepNext/>
              <w:rPr>
                <w:rFonts w:ascii="Arial Narrow" w:hAnsi="Arial Narrow"/>
                <w:sz w:val="20"/>
              </w:rPr>
            </w:pPr>
          </w:p>
          <w:p w:rsidR="005227F2" w:rsidRPr="00B23721" w:rsidRDefault="005227F2" w:rsidP="00F06CF7">
            <w:pPr>
              <w:keepNext/>
              <w:rPr>
                <w:rFonts w:ascii="Arial Narrow" w:hAnsi="Arial Narrow"/>
                <w:sz w:val="20"/>
              </w:rPr>
            </w:pPr>
            <w:r w:rsidRPr="00B23721">
              <w:rPr>
                <w:rFonts w:ascii="Arial Narrow" w:hAnsi="Arial Narrow"/>
                <w:sz w:val="20"/>
              </w:rPr>
              <w:t>100 mg/10 mL injection, 1 x 10 mL vial</w:t>
            </w:r>
          </w:p>
        </w:tc>
        <w:tc>
          <w:tcPr>
            <w:tcW w:w="425" w:type="pct"/>
          </w:tcPr>
          <w:p w:rsidR="005227F2" w:rsidRPr="00B23721" w:rsidRDefault="005227F2" w:rsidP="00F06CF7">
            <w:pPr>
              <w:keepNext/>
              <w:jc w:val="center"/>
              <w:rPr>
                <w:rFonts w:ascii="Arial Narrow" w:hAnsi="Arial Narrow"/>
                <w:sz w:val="20"/>
              </w:rPr>
            </w:pPr>
          </w:p>
          <w:p w:rsidR="005227F2" w:rsidRPr="00B23721" w:rsidRDefault="005227F2" w:rsidP="00F06CF7">
            <w:pPr>
              <w:keepNext/>
              <w:jc w:val="center"/>
              <w:rPr>
                <w:rFonts w:ascii="Arial Narrow" w:hAnsi="Arial Narrow"/>
                <w:sz w:val="20"/>
              </w:rPr>
            </w:pPr>
          </w:p>
          <w:p w:rsidR="005227F2" w:rsidRPr="00B23721" w:rsidRDefault="005227F2" w:rsidP="00F06CF7">
            <w:pPr>
              <w:keepNext/>
              <w:jc w:val="center"/>
              <w:rPr>
                <w:rFonts w:ascii="Arial Narrow" w:hAnsi="Arial Narrow"/>
                <w:sz w:val="20"/>
              </w:rPr>
            </w:pPr>
            <w:r w:rsidRPr="00B23721">
              <w:rPr>
                <w:rFonts w:ascii="Arial Narrow" w:hAnsi="Arial Narrow"/>
                <w:sz w:val="20"/>
              </w:rPr>
              <w:t>360 mg</w:t>
            </w:r>
          </w:p>
        </w:tc>
        <w:tc>
          <w:tcPr>
            <w:tcW w:w="285" w:type="pct"/>
          </w:tcPr>
          <w:p w:rsidR="005227F2" w:rsidRPr="00B23721" w:rsidRDefault="005227F2" w:rsidP="00F06CF7">
            <w:pPr>
              <w:keepNext/>
              <w:jc w:val="center"/>
              <w:rPr>
                <w:rFonts w:ascii="Arial Narrow" w:hAnsi="Arial Narrow"/>
                <w:sz w:val="20"/>
              </w:rPr>
            </w:pPr>
          </w:p>
          <w:p w:rsidR="005227F2" w:rsidRPr="00B23721" w:rsidRDefault="005227F2" w:rsidP="00F06CF7">
            <w:pPr>
              <w:keepNext/>
              <w:jc w:val="center"/>
              <w:rPr>
                <w:rFonts w:ascii="Arial Narrow" w:hAnsi="Arial Narrow"/>
                <w:sz w:val="20"/>
              </w:rPr>
            </w:pPr>
          </w:p>
          <w:p w:rsidR="005227F2" w:rsidRPr="00B23721" w:rsidRDefault="005227F2" w:rsidP="00F06CF7">
            <w:pPr>
              <w:keepNext/>
              <w:jc w:val="center"/>
              <w:rPr>
                <w:rFonts w:ascii="Arial Narrow" w:hAnsi="Arial Narrow"/>
                <w:sz w:val="20"/>
              </w:rPr>
            </w:pPr>
            <w:r>
              <w:rPr>
                <w:rFonts w:ascii="Arial Narrow" w:hAnsi="Arial Narrow"/>
                <w:strike/>
                <w:sz w:val="20"/>
              </w:rPr>
              <w:t>5</w:t>
            </w:r>
            <w:r>
              <w:rPr>
                <w:rFonts w:ascii="Arial Narrow" w:hAnsi="Arial Narrow"/>
                <w:i/>
                <w:sz w:val="20"/>
              </w:rPr>
              <w:t>11</w:t>
            </w:r>
          </w:p>
        </w:tc>
        <w:tc>
          <w:tcPr>
            <w:tcW w:w="1173" w:type="pct"/>
          </w:tcPr>
          <w:p w:rsidR="005227F2" w:rsidRPr="00B23721" w:rsidRDefault="005227F2" w:rsidP="00F06CF7">
            <w:pPr>
              <w:keepNext/>
              <w:jc w:val="center"/>
              <w:rPr>
                <w:rFonts w:ascii="Arial Narrow" w:hAnsi="Arial Narrow"/>
                <w:sz w:val="20"/>
              </w:rPr>
            </w:pPr>
            <w:r w:rsidRPr="00B23721">
              <w:rPr>
                <w:rFonts w:ascii="Arial Narrow" w:hAnsi="Arial Narrow"/>
                <w:sz w:val="20"/>
              </w:rPr>
              <w:t>Published price</w:t>
            </w:r>
          </w:p>
          <w:p w:rsidR="005227F2" w:rsidRPr="00B23721" w:rsidRDefault="005227F2" w:rsidP="00F06CF7">
            <w:pPr>
              <w:keepNext/>
              <w:jc w:val="center"/>
              <w:rPr>
                <w:rFonts w:ascii="Arial Narrow" w:hAnsi="Arial Narrow"/>
                <w:sz w:val="20"/>
                <w:vertAlign w:val="superscript"/>
              </w:rPr>
            </w:pPr>
            <w:r w:rsidRPr="00B23721">
              <w:rPr>
                <w:rFonts w:ascii="Arial Narrow" w:hAnsi="Arial Narrow"/>
                <w:sz w:val="20"/>
              </w:rPr>
              <w:t>$</w:t>
            </w:r>
            <w:r w:rsidR="00BF699F">
              <w:rPr>
                <w:rFonts w:ascii="Arial Narrow" w:hAnsi="Arial Narrow"/>
                <w:noProof/>
                <w:color w:val="000000"/>
                <w:sz w:val="20"/>
                <w:highlight w:val="black"/>
              </w:rPr>
              <w:t>'''''''''''''''''''''</w:t>
            </w:r>
            <w:r w:rsidRPr="00B23721">
              <w:rPr>
                <w:rFonts w:ascii="Arial Narrow" w:hAnsi="Arial Narrow"/>
                <w:sz w:val="20"/>
              </w:rPr>
              <w:t xml:space="preserve"> (Private)</w:t>
            </w:r>
            <w:r w:rsidRPr="00B23721">
              <w:rPr>
                <w:rFonts w:ascii="Arial Narrow" w:hAnsi="Arial Narrow"/>
                <w:sz w:val="20"/>
                <w:vertAlign w:val="superscript"/>
              </w:rPr>
              <w:t>a</w:t>
            </w:r>
          </w:p>
          <w:p w:rsidR="005227F2" w:rsidRPr="00B23721" w:rsidRDefault="005227F2" w:rsidP="00F06CF7">
            <w:pPr>
              <w:keepNext/>
              <w:spacing w:after="60"/>
              <w:jc w:val="center"/>
              <w:rPr>
                <w:rFonts w:ascii="Arial Narrow" w:hAnsi="Arial Narrow"/>
                <w:sz w:val="20"/>
                <w:vertAlign w:val="superscript"/>
              </w:rPr>
            </w:pPr>
            <w:r w:rsidRPr="00B23721">
              <w:rPr>
                <w:rFonts w:ascii="Arial Narrow" w:hAnsi="Arial Narrow"/>
                <w:sz w:val="20"/>
              </w:rPr>
              <w:t>$</w:t>
            </w:r>
            <w:r w:rsidR="00BF699F">
              <w:rPr>
                <w:rFonts w:ascii="Arial Narrow" w:hAnsi="Arial Narrow"/>
                <w:noProof/>
                <w:color w:val="000000"/>
                <w:sz w:val="20"/>
                <w:highlight w:val="black"/>
              </w:rPr>
              <w:t>'''''''''''''''''''''</w:t>
            </w:r>
            <w:r w:rsidRPr="00B23721">
              <w:rPr>
                <w:rFonts w:ascii="Arial Narrow" w:hAnsi="Arial Narrow"/>
                <w:sz w:val="20"/>
              </w:rPr>
              <w:t xml:space="preserve"> (Public)</w:t>
            </w:r>
            <w:r w:rsidRPr="00B23721">
              <w:rPr>
                <w:rFonts w:ascii="Arial Narrow" w:hAnsi="Arial Narrow"/>
                <w:sz w:val="20"/>
                <w:vertAlign w:val="superscript"/>
              </w:rPr>
              <w:t>a</w:t>
            </w:r>
          </w:p>
          <w:p w:rsidR="005227F2" w:rsidRPr="00B23721" w:rsidRDefault="005227F2" w:rsidP="00F06CF7">
            <w:pPr>
              <w:keepNext/>
              <w:jc w:val="center"/>
              <w:rPr>
                <w:rFonts w:ascii="Arial Narrow" w:hAnsi="Arial Narrow"/>
                <w:sz w:val="20"/>
              </w:rPr>
            </w:pPr>
            <w:r w:rsidRPr="00B23721">
              <w:rPr>
                <w:rFonts w:ascii="Arial Narrow" w:hAnsi="Arial Narrow"/>
                <w:sz w:val="20"/>
              </w:rPr>
              <w:t>Effective price</w:t>
            </w:r>
          </w:p>
          <w:p w:rsidR="005227F2" w:rsidRPr="00B23721" w:rsidRDefault="005227F2" w:rsidP="00F06CF7">
            <w:pPr>
              <w:keepNext/>
              <w:jc w:val="center"/>
              <w:rPr>
                <w:rFonts w:ascii="Arial Narrow" w:hAnsi="Arial Narrow"/>
                <w:sz w:val="20"/>
                <w:vertAlign w:val="superscript"/>
              </w:rPr>
            </w:pPr>
            <w:r w:rsidRPr="00B23721">
              <w:rPr>
                <w:rFonts w:ascii="Arial Narrow" w:hAnsi="Arial Narrow"/>
                <w:sz w:val="20"/>
              </w:rPr>
              <w:t>$</w:t>
            </w:r>
            <w:r w:rsidR="00BF699F">
              <w:rPr>
                <w:rFonts w:ascii="Arial Narrow" w:hAnsi="Arial Narrow"/>
                <w:noProof/>
                <w:color w:val="000000"/>
                <w:sz w:val="20"/>
                <w:highlight w:val="black"/>
              </w:rPr>
              <w:t>''''''''''''''''''''</w:t>
            </w:r>
            <w:r w:rsidRPr="00B23721">
              <w:rPr>
                <w:rFonts w:ascii="Arial Narrow" w:hAnsi="Arial Narrow"/>
                <w:sz w:val="20"/>
              </w:rPr>
              <w:t xml:space="preserve"> (Private)</w:t>
            </w:r>
            <w:r w:rsidRPr="00B23721">
              <w:rPr>
                <w:rFonts w:ascii="Arial Narrow" w:hAnsi="Arial Narrow"/>
                <w:sz w:val="20"/>
                <w:vertAlign w:val="superscript"/>
              </w:rPr>
              <w:t>a</w:t>
            </w:r>
          </w:p>
          <w:p w:rsidR="005227F2" w:rsidRPr="00B23721" w:rsidRDefault="005227F2" w:rsidP="00F06CF7">
            <w:pPr>
              <w:keepNext/>
              <w:spacing w:after="60"/>
              <w:jc w:val="center"/>
              <w:rPr>
                <w:rFonts w:ascii="Arial Narrow" w:hAnsi="Arial Narrow"/>
                <w:sz w:val="20"/>
                <w:vertAlign w:val="superscript"/>
              </w:rPr>
            </w:pPr>
            <w:r w:rsidRPr="00B23721">
              <w:rPr>
                <w:rFonts w:ascii="Arial Narrow" w:hAnsi="Arial Narrow"/>
                <w:sz w:val="20"/>
              </w:rPr>
              <w:t>$</w:t>
            </w:r>
            <w:r w:rsidR="00BF699F">
              <w:rPr>
                <w:rFonts w:ascii="Arial Narrow" w:hAnsi="Arial Narrow"/>
                <w:noProof/>
                <w:color w:val="000000"/>
                <w:sz w:val="20"/>
                <w:highlight w:val="black"/>
              </w:rPr>
              <w:t>'''''''''''''''''''</w:t>
            </w:r>
            <w:r w:rsidRPr="00B23721">
              <w:rPr>
                <w:rFonts w:ascii="Arial Narrow" w:hAnsi="Arial Narrow"/>
                <w:sz w:val="20"/>
              </w:rPr>
              <w:t xml:space="preserve"> (Public)</w:t>
            </w:r>
            <w:r w:rsidRPr="00B23721">
              <w:rPr>
                <w:rFonts w:ascii="Arial Narrow" w:hAnsi="Arial Narrow"/>
                <w:sz w:val="20"/>
                <w:vertAlign w:val="superscript"/>
              </w:rPr>
              <w:t>a</w:t>
            </w:r>
          </w:p>
        </w:tc>
        <w:tc>
          <w:tcPr>
            <w:tcW w:w="538" w:type="pct"/>
          </w:tcPr>
          <w:p w:rsidR="005227F2" w:rsidRPr="00B23721" w:rsidRDefault="005227F2" w:rsidP="00F06CF7">
            <w:pPr>
              <w:keepNext/>
              <w:jc w:val="center"/>
              <w:rPr>
                <w:rFonts w:ascii="Arial Narrow" w:hAnsi="Arial Narrow"/>
                <w:sz w:val="20"/>
              </w:rPr>
            </w:pPr>
            <w:r w:rsidRPr="00B23721">
              <w:rPr>
                <w:rFonts w:ascii="Arial Narrow" w:hAnsi="Arial Narrow"/>
                <w:sz w:val="20"/>
              </w:rPr>
              <w:t>Opdivo</w:t>
            </w:r>
            <w:r w:rsidRPr="00B23721">
              <w:rPr>
                <w:rFonts w:ascii="Arial Narrow" w:hAnsi="Arial Narrow"/>
                <w:sz w:val="20"/>
                <w:vertAlign w:val="superscript"/>
              </w:rPr>
              <w:t>®</w:t>
            </w:r>
          </w:p>
        </w:tc>
        <w:tc>
          <w:tcPr>
            <w:tcW w:w="789" w:type="pct"/>
          </w:tcPr>
          <w:p w:rsidR="005227F2" w:rsidRPr="00B23721" w:rsidRDefault="005227F2" w:rsidP="00F06CF7">
            <w:pPr>
              <w:keepNext/>
              <w:jc w:val="center"/>
              <w:rPr>
                <w:rFonts w:ascii="Arial Narrow" w:hAnsi="Arial Narrow"/>
                <w:sz w:val="20"/>
              </w:rPr>
            </w:pPr>
            <w:r w:rsidRPr="00B23721">
              <w:rPr>
                <w:rFonts w:ascii="Arial Narrow" w:hAnsi="Arial Narrow"/>
                <w:sz w:val="20"/>
              </w:rPr>
              <w:t>Bristol-Myers Squibb Australia Pty Ltd (BQ)</w:t>
            </w:r>
          </w:p>
        </w:tc>
      </w:tr>
      <w:tr w:rsidR="005227F2" w:rsidRPr="00B23721" w:rsidTr="00F06CF7">
        <w:trPr>
          <w:cantSplit/>
          <w:trHeight w:val="360"/>
        </w:trPr>
        <w:tc>
          <w:tcPr>
            <w:tcW w:w="5000" w:type="pct"/>
            <w:gridSpan w:val="6"/>
          </w:tcPr>
          <w:p w:rsidR="005227F2" w:rsidRPr="00B23721" w:rsidRDefault="005227F2" w:rsidP="00F06CF7">
            <w:pPr>
              <w:pStyle w:val="TableFooter"/>
              <w:spacing w:after="60"/>
              <w:rPr>
                <w:u w:val="single"/>
              </w:rPr>
            </w:pPr>
            <w:r w:rsidRPr="00B23721">
              <w:rPr>
                <w:vertAlign w:val="superscript"/>
              </w:rPr>
              <w:t xml:space="preserve">a </w:t>
            </w:r>
            <w:r w:rsidRPr="00B23721">
              <w:t>The dispensed prices for the maximum amount of 360 mg have been updated during the evaluation to include the indexation of fees for the efficient funding of chemotherapy drugs that occurred on 1</w:t>
            </w:r>
            <w:r w:rsidRPr="00B23721">
              <w:rPr>
                <w:vertAlign w:val="superscript"/>
              </w:rPr>
              <w:t>st</w:t>
            </w:r>
            <w:r w:rsidRPr="00B23721">
              <w:t xml:space="preserve"> July 2016</w:t>
            </w:r>
            <w:r w:rsidRPr="00B23721">
              <w:rPr>
                <w:rStyle w:val="FootnoteReference"/>
              </w:rPr>
              <w:footnoteReference w:id="2"/>
            </w:r>
            <w:r w:rsidRPr="00B23721">
              <w:rPr>
                <w:szCs w:val="24"/>
              </w:rPr>
              <w:t>.</w:t>
            </w:r>
            <w:r w:rsidRPr="00B23721">
              <w:t xml:space="preserve"> </w:t>
            </w:r>
            <w:r w:rsidRPr="00B23721">
              <w:rPr>
                <w:u w:val="single"/>
              </w:rPr>
              <w:t>The re-submission proposed a revised special pricing arrangement in which the proposed effective price was reduced compared with that in the previous submission</w:t>
            </w:r>
            <w:r w:rsidRPr="00DB5D9A">
              <w:rPr>
                <w:u w:val="single"/>
              </w:rPr>
              <w:t>.</w:t>
            </w:r>
          </w:p>
        </w:tc>
      </w:tr>
    </w:tbl>
    <w:p w:rsidR="005227F2" w:rsidRDefault="005227F2">
      <w:pPr>
        <w:widowControl/>
        <w:jc w:val="left"/>
        <w:rPr>
          <w:rFonts w:ascii="Arial Narrow" w:hAnsi="Arial Narrow"/>
          <w:b/>
          <w:sz w:val="20"/>
        </w:rPr>
      </w:pPr>
    </w:p>
    <w:tbl>
      <w:tblPr>
        <w:tblW w:w="8363" w:type="dxa"/>
        <w:tblInd w:w="817" w:type="dxa"/>
        <w:tblLayout w:type="fixed"/>
        <w:tblLook w:val="0000" w:firstRow="0" w:lastRow="0" w:firstColumn="0" w:lastColumn="0" w:noHBand="0" w:noVBand="0"/>
      </w:tblPr>
      <w:tblGrid>
        <w:gridCol w:w="1985"/>
        <w:gridCol w:w="6378"/>
      </w:tblGrid>
      <w:tr w:rsidR="005227F2" w:rsidRPr="00E337CF" w:rsidTr="005227F2">
        <w:trPr>
          <w:cantSplit/>
          <w:trHeight w:val="360"/>
        </w:trPr>
        <w:tc>
          <w:tcPr>
            <w:tcW w:w="1985"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b/>
                <w:sz w:val="20"/>
              </w:rPr>
            </w:pPr>
            <w:r w:rsidRPr="00E337CF">
              <w:rPr>
                <w:rFonts w:ascii="Arial Narrow" w:hAnsi="Arial Narrow"/>
                <w:b/>
                <w:sz w:val="20"/>
              </w:rPr>
              <w:t>Category / Program</w:t>
            </w:r>
          </w:p>
        </w:tc>
        <w:tc>
          <w:tcPr>
            <w:tcW w:w="6378"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sz w:val="20"/>
              </w:rPr>
            </w:pPr>
            <w:r w:rsidRPr="00E337CF">
              <w:rPr>
                <w:rFonts w:ascii="Arial Narrow" w:hAnsi="Arial Narrow"/>
                <w:sz w:val="20"/>
              </w:rPr>
              <w:t>Section 100 – Efficient funding of Chemotherapy</w:t>
            </w:r>
          </w:p>
        </w:tc>
      </w:tr>
      <w:tr w:rsidR="005227F2" w:rsidRPr="00E337CF" w:rsidTr="005227F2">
        <w:trPr>
          <w:cantSplit/>
          <w:trHeight w:val="360"/>
        </w:trPr>
        <w:tc>
          <w:tcPr>
            <w:tcW w:w="1985"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b/>
                <w:sz w:val="20"/>
              </w:rPr>
            </w:pPr>
            <w:r w:rsidRPr="00E337CF">
              <w:rPr>
                <w:rFonts w:ascii="Arial Narrow" w:hAnsi="Arial Narrow"/>
                <w:b/>
                <w:sz w:val="20"/>
              </w:rPr>
              <w:t>Prescriber type:</w:t>
            </w:r>
          </w:p>
        </w:tc>
        <w:tc>
          <w:tcPr>
            <w:tcW w:w="6378"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sz w:val="20"/>
              </w:rPr>
            </w:pPr>
            <w:r w:rsidRPr="00E337CF">
              <w:rPr>
                <w:rFonts w:ascii="Arial Narrow" w:hAnsi="Arial Narrow"/>
                <w:sz w:val="20"/>
              </w:rPr>
              <w:fldChar w:fldCharType="begin">
                <w:ffData>
                  <w:name w:val="Check1"/>
                  <w:enabled/>
                  <w:calcOnExit w:val="0"/>
                  <w:checkBox>
                    <w:sizeAuto/>
                    <w:default w:val="0"/>
                  </w:checkBox>
                </w:ffData>
              </w:fldChar>
            </w:r>
            <w:r w:rsidRPr="00E337CF">
              <w:rPr>
                <w:rFonts w:ascii="Arial Narrow" w:hAnsi="Arial Narrow"/>
                <w:sz w:val="20"/>
              </w:rPr>
              <w:instrText xml:space="preserve"> FORMCHECKBOX </w:instrText>
            </w:r>
            <w:r w:rsidR="00D07EFF">
              <w:rPr>
                <w:rFonts w:ascii="Arial Narrow" w:hAnsi="Arial Narrow"/>
                <w:sz w:val="20"/>
              </w:rPr>
            </w:r>
            <w:r w:rsidR="00D07EFF">
              <w:rPr>
                <w:rFonts w:ascii="Arial Narrow" w:hAnsi="Arial Narrow"/>
                <w:sz w:val="20"/>
              </w:rPr>
              <w:fldChar w:fldCharType="separate"/>
            </w:r>
            <w:r w:rsidRPr="00E337CF">
              <w:rPr>
                <w:rFonts w:ascii="Arial Narrow" w:hAnsi="Arial Narrow"/>
                <w:sz w:val="20"/>
              </w:rPr>
              <w:fldChar w:fldCharType="end"/>
            </w:r>
            <w:r w:rsidRPr="00E337CF">
              <w:rPr>
                <w:rFonts w:ascii="Arial Narrow" w:hAnsi="Arial Narrow"/>
                <w:sz w:val="20"/>
              </w:rPr>
              <w:t xml:space="preserve">Dental  </w:t>
            </w:r>
            <w:r w:rsidRPr="00E337CF">
              <w:rPr>
                <w:rFonts w:ascii="Arial Narrow" w:hAnsi="Arial Narrow"/>
                <w:sz w:val="20"/>
              </w:rPr>
              <w:fldChar w:fldCharType="begin">
                <w:ffData>
                  <w:name w:val=""/>
                  <w:enabled/>
                  <w:calcOnExit w:val="0"/>
                  <w:checkBox>
                    <w:sizeAuto/>
                    <w:default w:val="1"/>
                  </w:checkBox>
                </w:ffData>
              </w:fldChar>
            </w:r>
            <w:r w:rsidRPr="00E337CF">
              <w:rPr>
                <w:rFonts w:ascii="Arial Narrow" w:hAnsi="Arial Narrow"/>
                <w:sz w:val="20"/>
              </w:rPr>
              <w:instrText xml:space="preserve"> FORMCHECKBOX </w:instrText>
            </w:r>
            <w:r w:rsidR="00D07EFF">
              <w:rPr>
                <w:rFonts w:ascii="Arial Narrow" w:hAnsi="Arial Narrow"/>
                <w:sz w:val="20"/>
              </w:rPr>
            </w:r>
            <w:r w:rsidR="00D07EFF">
              <w:rPr>
                <w:rFonts w:ascii="Arial Narrow" w:hAnsi="Arial Narrow"/>
                <w:sz w:val="20"/>
              </w:rPr>
              <w:fldChar w:fldCharType="separate"/>
            </w:r>
            <w:r w:rsidRPr="00E337CF">
              <w:rPr>
                <w:rFonts w:ascii="Arial Narrow" w:hAnsi="Arial Narrow"/>
                <w:sz w:val="20"/>
              </w:rPr>
              <w:fldChar w:fldCharType="end"/>
            </w:r>
            <w:r w:rsidRPr="00E337CF">
              <w:rPr>
                <w:rFonts w:ascii="Arial Narrow" w:hAnsi="Arial Narrow"/>
                <w:sz w:val="20"/>
              </w:rPr>
              <w:t xml:space="preserve">Medical Practitioners  </w:t>
            </w:r>
            <w:r w:rsidRPr="00E337CF">
              <w:rPr>
                <w:rFonts w:ascii="Arial Narrow" w:hAnsi="Arial Narrow"/>
                <w:sz w:val="20"/>
              </w:rPr>
              <w:fldChar w:fldCharType="begin">
                <w:ffData>
                  <w:name w:val="Check3"/>
                  <w:enabled/>
                  <w:calcOnExit w:val="0"/>
                  <w:checkBox>
                    <w:sizeAuto/>
                    <w:default w:val="0"/>
                  </w:checkBox>
                </w:ffData>
              </w:fldChar>
            </w:r>
            <w:r w:rsidRPr="00E337CF">
              <w:rPr>
                <w:rFonts w:ascii="Arial Narrow" w:hAnsi="Arial Narrow"/>
                <w:sz w:val="20"/>
              </w:rPr>
              <w:instrText xml:space="preserve"> FORMCHECKBOX </w:instrText>
            </w:r>
            <w:r w:rsidR="00D07EFF">
              <w:rPr>
                <w:rFonts w:ascii="Arial Narrow" w:hAnsi="Arial Narrow"/>
                <w:sz w:val="20"/>
              </w:rPr>
            </w:r>
            <w:r w:rsidR="00D07EFF">
              <w:rPr>
                <w:rFonts w:ascii="Arial Narrow" w:hAnsi="Arial Narrow"/>
                <w:sz w:val="20"/>
              </w:rPr>
              <w:fldChar w:fldCharType="separate"/>
            </w:r>
            <w:r w:rsidRPr="00E337CF">
              <w:rPr>
                <w:rFonts w:ascii="Arial Narrow" w:hAnsi="Arial Narrow"/>
                <w:sz w:val="20"/>
              </w:rPr>
              <w:fldChar w:fldCharType="end"/>
            </w:r>
            <w:r w:rsidRPr="00E337CF">
              <w:rPr>
                <w:rFonts w:ascii="Arial Narrow" w:hAnsi="Arial Narrow"/>
                <w:sz w:val="20"/>
              </w:rPr>
              <w:t xml:space="preserve">Nurse practitioners  </w:t>
            </w:r>
            <w:r w:rsidRPr="00E337CF">
              <w:rPr>
                <w:rFonts w:ascii="Arial Narrow" w:hAnsi="Arial Narrow"/>
                <w:sz w:val="20"/>
              </w:rPr>
              <w:fldChar w:fldCharType="begin">
                <w:ffData>
                  <w:name w:val=""/>
                  <w:enabled/>
                  <w:calcOnExit w:val="0"/>
                  <w:checkBox>
                    <w:sizeAuto/>
                    <w:default w:val="0"/>
                  </w:checkBox>
                </w:ffData>
              </w:fldChar>
            </w:r>
            <w:r w:rsidRPr="00E337CF">
              <w:rPr>
                <w:rFonts w:ascii="Arial Narrow" w:hAnsi="Arial Narrow"/>
                <w:sz w:val="20"/>
              </w:rPr>
              <w:instrText xml:space="preserve"> FORMCHECKBOX </w:instrText>
            </w:r>
            <w:r w:rsidR="00D07EFF">
              <w:rPr>
                <w:rFonts w:ascii="Arial Narrow" w:hAnsi="Arial Narrow"/>
                <w:sz w:val="20"/>
              </w:rPr>
            </w:r>
            <w:r w:rsidR="00D07EFF">
              <w:rPr>
                <w:rFonts w:ascii="Arial Narrow" w:hAnsi="Arial Narrow"/>
                <w:sz w:val="20"/>
              </w:rPr>
              <w:fldChar w:fldCharType="separate"/>
            </w:r>
            <w:r w:rsidRPr="00E337CF">
              <w:rPr>
                <w:rFonts w:ascii="Arial Narrow" w:hAnsi="Arial Narrow"/>
                <w:sz w:val="20"/>
              </w:rPr>
              <w:fldChar w:fldCharType="end"/>
            </w:r>
            <w:r w:rsidRPr="00E337CF">
              <w:rPr>
                <w:rFonts w:ascii="Arial Narrow" w:hAnsi="Arial Narrow"/>
                <w:sz w:val="20"/>
              </w:rPr>
              <w:t>Optometrists</w:t>
            </w:r>
          </w:p>
          <w:p w:rsidR="005227F2" w:rsidRPr="00E337CF" w:rsidRDefault="005227F2" w:rsidP="00F06CF7">
            <w:pPr>
              <w:rPr>
                <w:rFonts w:ascii="Arial Narrow" w:hAnsi="Arial Narrow"/>
                <w:sz w:val="20"/>
              </w:rPr>
            </w:pPr>
            <w:r w:rsidRPr="00E337CF">
              <w:rPr>
                <w:rFonts w:ascii="Arial Narrow" w:hAnsi="Arial Narrow"/>
                <w:sz w:val="20"/>
              </w:rPr>
              <w:fldChar w:fldCharType="begin">
                <w:ffData>
                  <w:name w:val="Check5"/>
                  <w:enabled/>
                  <w:calcOnExit w:val="0"/>
                  <w:checkBox>
                    <w:sizeAuto/>
                    <w:default w:val="0"/>
                  </w:checkBox>
                </w:ffData>
              </w:fldChar>
            </w:r>
            <w:r w:rsidRPr="00E337CF">
              <w:rPr>
                <w:rFonts w:ascii="Arial Narrow" w:hAnsi="Arial Narrow"/>
                <w:sz w:val="20"/>
              </w:rPr>
              <w:instrText xml:space="preserve"> FORMCHECKBOX </w:instrText>
            </w:r>
            <w:r w:rsidR="00D07EFF">
              <w:rPr>
                <w:rFonts w:ascii="Arial Narrow" w:hAnsi="Arial Narrow"/>
                <w:sz w:val="20"/>
              </w:rPr>
            </w:r>
            <w:r w:rsidR="00D07EFF">
              <w:rPr>
                <w:rFonts w:ascii="Arial Narrow" w:hAnsi="Arial Narrow"/>
                <w:sz w:val="20"/>
              </w:rPr>
              <w:fldChar w:fldCharType="separate"/>
            </w:r>
            <w:r w:rsidRPr="00E337CF">
              <w:rPr>
                <w:rFonts w:ascii="Arial Narrow" w:hAnsi="Arial Narrow"/>
                <w:sz w:val="20"/>
              </w:rPr>
              <w:fldChar w:fldCharType="end"/>
            </w:r>
            <w:r w:rsidRPr="00E337CF">
              <w:rPr>
                <w:rFonts w:ascii="Arial Narrow" w:hAnsi="Arial Narrow"/>
                <w:sz w:val="20"/>
              </w:rPr>
              <w:t>Midwives</w:t>
            </w:r>
          </w:p>
        </w:tc>
      </w:tr>
      <w:tr w:rsidR="005227F2" w:rsidRPr="00E337CF" w:rsidTr="005227F2">
        <w:trPr>
          <w:cantSplit/>
          <w:trHeight w:val="360"/>
        </w:trPr>
        <w:tc>
          <w:tcPr>
            <w:tcW w:w="1985"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b/>
                <w:sz w:val="20"/>
              </w:rPr>
            </w:pPr>
            <w:r w:rsidRPr="00E337CF">
              <w:rPr>
                <w:rFonts w:ascii="Arial Narrow" w:hAnsi="Arial Narrow"/>
                <w:b/>
                <w:sz w:val="20"/>
              </w:rPr>
              <w:t>Episodicity:</w:t>
            </w:r>
          </w:p>
        </w:tc>
        <w:tc>
          <w:tcPr>
            <w:tcW w:w="6378"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sz w:val="20"/>
              </w:rPr>
            </w:pPr>
            <w:r w:rsidRPr="00E337CF">
              <w:rPr>
                <w:rFonts w:ascii="Arial Narrow" w:hAnsi="Arial Narrow"/>
                <w:sz w:val="20"/>
              </w:rPr>
              <w:t>-</w:t>
            </w:r>
          </w:p>
        </w:tc>
      </w:tr>
      <w:tr w:rsidR="005227F2" w:rsidRPr="00E337CF" w:rsidTr="005227F2">
        <w:trPr>
          <w:cantSplit/>
          <w:trHeight w:val="360"/>
        </w:trPr>
        <w:tc>
          <w:tcPr>
            <w:tcW w:w="1985"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b/>
                <w:sz w:val="20"/>
              </w:rPr>
            </w:pPr>
            <w:r w:rsidRPr="00E337CF">
              <w:rPr>
                <w:rFonts w:ascii="Arial Narrow" w:hAnsi="Arial Narrow"/>
                <w:b/>
                <w:sz w:val="20"/>
              </w:rPr>
              <w:t>Severity:</w:t>
            </w:r>
          </w:p>
        </w:tc>
        <w:tc>
          <w:tcPr>
            <w:tcW w:w="6378"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sz w:val="20"/>
              </w:rPr>
            </w:pPr>
            <w:r w:rsidRPr="00E337CF">
              <w:rPr>
                <w:rFonts w:ascii="Arial Narrow" w:hAnsi="Arial Narrow"/>
                <w:sz w:val="20"/>
              </w:rPr>
              <w:t>Locally advanced or metastatic</w:t>
            </w:r>
          </w:p>
        </w:tc>
      </w:tr>
      <w:tr w:rsidR="005227F2" w:rsidRPr="00E337CF" w:rsidTr="005227F2">
        <w:trPr>
          <w:cantSplit/>
          <w:trHeight w:val="360"/>
        </w:trPr>
        <w:tc>
          <w:tcPr>
            <w:tcW w:w="1985"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b/>
                <w:sz w:val="20"/>
              </w:rPr>
            </w:pPr>
            <w:r w:rsidRPr="00E337CF">
              <w:rPr>
                <w:rFonts w:ascii="Arial Narrow" w:hAnsi="Arial Narrow"/>
                <w:b/>
                <w:sz w:val="20"/>
              </w:rPr>
              <w:t>Condition:</w:t>
            </w:r>
          </w:p>
        </w:tc>
        <w:tc>
          <w:tcPr>
            <w:tcW w:w="6378"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sz w:val="20"/>
              </w:rPr>
            </w:pPr>
            <w:r w:rsidRPr="00E337CF">
              <w:rPr>
                <w:rFonts w:ascii="Arial Narrow" w:hAnsi="Arial Narrow"/>
                <w:strike/>
                <w:sz w:val="20"/>
              </w:rPr>
              <w:t>Squamous</w:t>
            </w:r>
            <w:r w:rsidRPr="00E337CF">
              <w:rPr>
                <w:rFonts w:ascii="Arial Narrow" w:hAnsi="Arial Narrow"/>
                <w:sz w:val="20"/>
              </w:rPr>
              <w:t xml:space="preserve"> non-small cell lung cancer</w:t>
            </w:r>
          </w:p>
        </w:tc>
      </w:tr>
      <w:tr w:rsidR="005227F2" w:rsidRPr="00E337CF" w:rsidTr="005227F2">
        <w:trPr>
          <w:cantSplit/>
          <w:trHeight w:val="360"/>
        </w:trPr>
        <w:tc>
          <w:tcPr>
            <w:tcW w:w="1985"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b/>
                <w:sz w:val="20"/>
              </w:rPr>
            </w:pPr>
            <w:r w:rsidRPr="00E337CF">
              <w:rPr>
                <w:rFonts w:ascii="Arial Narrow" w:hAnsi="Arial Narrow"/>
                <w:b/>
                <w:sz w:val="20"/>
              </w:rPr>
              <w:t>PBS Indication:</w:t>
            </w:r>
          </w:p>
        </w:tc>
        <w:tc>
          <w:tcPr>
            <w:tcW w:w="6378"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sz w:val="20"/>
              </w:rPr>
            </w:pPr>
            <w:r w:rsidRPr="00E337CF">
              <w:rPr>
                <w:rFonts w:ascii="Arial Narrow" w:hAnsi="Arial Narrow"/>
                <w:sz w:val="20"/>
              </w:rPr>
              <w:t xml:space="preserve">Locally advanced or metastatic </w:t>
            </w:r>
            <w:r w:rsidRPr="00E337CF">
              <w:rPr>
                <w:rFonts w:ascii="Arial Narrow" w:hAnsi="Arial Narrow"/>
                <w:strike/>
                <w:sz w:val="20"/>
              </w:rPr>
              <w:t>squamous</w:t>
            </w:r>
            <w:r w:rsidRPr="00E337CF">
              <w:rPr>
                <w:rFonts w:ascii="Arial Narrow" w:hAnsi="Arial Narrow"/>
                <w:sz w:val="20"/>
              </w:rPr>
              <w:t xml:space="preserve"> </w:t>
            </w:r>
            <w:r w:rsidRPr="00952BDA">
              <w:rPr>
                <w:rFonts w:ascii="Arial Narrow" w:hAnsi="Arial Narrow"/>
                <w:sz w:val="20"/>
              </w:rPr>
              <w:t>non-small cell lung cancer</w:t>
            </w:r>
          </w:p>
        </w:tc>
      </w:tr>
      <w:tr w:rsidR="005227F2" w:rsidRPr="00E337CF" w:rsidTr="005227F2">
        <w:trPr>
          <w:cantSplit/>
          <w:trHeight w:val="360"/>
        </w:trPr>
        <w:tc>
          <w:tcPr>
            <w:tcW w:w="1985"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i/>
                <w:sz w:val="20"/>
              </w:rPr>
            </w:pPr>
            <w:r w:rsidRPr="00E337CF">
              <w:rPr>
                <w:rFonts w:ascii="Arial Narrow" w:hAnsi="Arial Narrow"/>
                <w:b/>
                <w:sz w:val="20"/>
              </w:rPr>
              <w:t>Treatment phase:</w:t>
            </w:r>
          </w:p>
        </w:tc>
        <w:tc>
          <w:tcPr>
            <w:tcW w:w="6378"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sz w:val="20"/>
              </w:rPr>
            </w:pPr>
            <w:r w:rsidRPr="00E337CF">
              <w:rPr>
                <w:rFonts w:ascii="Arial Narrow" w:hAnsi="Arial Narrow"/>
                <w:sz w:val="20"/>
              </w:rPr>
              <w:t>Continuing treatment</w:t>
            </w:r>
          </w:p>
        </w:tc>
      </w:tr>
      <w:tr w:rsidR="005227F2" w:rsidRPr="00E337CF" w:rsidTr="005227F2">
        <w:trPr>
          <w:cantSplit/>
          <w:trHeight w:val="360"/>
        </w:trPr>
        <w:tc>
          <w:tcPr>
            <w:tcW w:w="1985"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b/>
                <w:sz w:val="20"/>
              </w:rPr>
            </w:pPr>
            <w:r w:rsidRPr="00E337CF">
              <w:rPr>
                <w:rFonts w:ascii="Arial Narrow" w:hAnsi="Arial Narrow"/>
                <w:b/>
                <w:sz w:val="20"/>
              </w:rPr>
              <w:lastRenderedPageBreak/>
              <w:t>Restriction Level / Method:</w:t>
            </w:r>
          </w:p>
        </w:tc>
        <w:tc>
          <w:tcPr>
            <w:tcW w:w="6378"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sz w:val="20"/>
              </w:rPr>
            </w:pPr>
            <w:r w:rsidRPr="00E337CF">
              <w:rPr>
                <w:rFonts w:ascii="Arial Narrow" w:hAnsi="Arial Narrow"/>
                <w:sz w:val="20"/>
              </w:rPr>
              <w:fldChar w:fldCharType="begin">
                <w:ffData>
                  <w:name w:val="Check1"/>
                  <w:enabled/>
                  <w:calcOnExit w:val="0"/>
                  <w:checkBox>
                    <w:sizeAuto/>
                    <w:default w:val="0"/>
                  </w:checkBox>
                </w:ffData>
              </w:fldChar>
            </w:r>
            <w:r w:rsidRPr="00E337CF">
              <w:rPr>
                <w:rFonts w:ascii="Arial Narrow" w:hAnsi="Arial Narrow"/>
                <w:sz w:val="20"/>
              </w:rPr>
              <w:instrText xml:space="preserve"> FORMCHECKBOX </w:instrText>
            </w:r>
            <w:r w:rsidR="00D07EFF">
              <w:rPr>
                <w:rFonts w:ascii="Arial Narrow" w:hAnsi="Arial Narrow"/>
                <w:sz w:val="20"/>
              </w:rPr>
            </w:r>
            <w:r w:rsidR="00D07EFF">
              <w:rPr>
                <w:rFonts w:ascii="Arial Narrow" w:hAnsi="Arial Narrow"/>
                <w:sz w:val="20"/>
              </w:rPr>
              <w:fldChar w:fldCharType="separate"/>
            </w:r>
            <w:r w:rsidRPr="00E337CF">
              <w:rPr>
                <w:rFonts w:ascii="Arial Narrow" w:hAnsi="Arial Narrow"/>
                <w:sz w:val="20"/>
              </w:rPr>
              <w:fldChar w:fldCharType="end"/>
            </w:r>
            <w:r w:rsidRPr="00E337CF">
              <w:rPr>
                <w:rFonts w:ascii="Arial Narrow" w:hAnsi="Arial Narrow"/>
                <w:sz w:val="20"/>
              </w:rPr>
              <w:t>Restricted benefit</w:t>
            </w:r>
          </w:p>
          <w:p w:rsidR="005227F2" w:rsidRPr="00E337CF" w:rsidRDefault="005227F2" w:rsidP="00F06CF7">
            <w:pPr>
              <w:rPr>
                <w:rFonts w:ascii="Arial Narrow" w:hAnsi="Arial Narrow"/>
                <w:sz w:val="20"/>
              </w:rPr>
            </w:pPr>
            <w:r w:rsidRPr="00E337CF">
              <w:rPr>
                <w:rFonts w:ascii="Arial Narrow" w:hAnsi="Arial Narrow"/>
                <w:sz w:val="20"/>
              </w:rPr>
              <w:fldChar w:fldCharType="begin">
                <w:ffData>
                  <w:name w:val=""/>
                  <w:enabled/>
                  <w:calcOnExit w:val="0"/>
                  <w:checkBox>
                    <w:sizeAuto/>
                    <w:default w:val="0"/>
                  </w:checkBox>
                </w:ffData>
              </w:fldChar>
            </w:r>
            <w:r w:rsidRPr="00E337CF">
              <w:rPr>
                <w:rFonts w:ascii="Arial Narrow" w:hAnsi="Arial Narrow"/>
                <w:sz w:val="20"/>
              </w:rPr>
              <w:instrText xml:space="preserve"> FORMCHECKBOX </w:instrText>
            </w:r>
            <w:r w:rsidR="00D07EFF">
              <w:rPr>
                <w:rFonts w:ascii="Arial Narrow" w:hAnsi="Arial Narrow"/>
                <w:sz w:val="20"/>
              </w:rPr>
            </w:r>
            <w:r w:rsidR="00D07EFF">
              <w:rPr>
                <w:rFonts w:ascii="Arial Narrow" w:hAnsi="Arial Narrow"/>
                <w:sz w:val="20"/>
              </w:rPr>
              <w:fldChar w:fldCharType="separate"/>
            </w:r>
            <w:r w:rsidRPr="00E337CF">
              <w:rPr>
                <w:rFonts w:ascii="Arial Narrow" w:hAnsi="Arial Narrow"/>
                <w:sz w:val="20"/>
              </w:rPr>
              <w:fldChar w:fldCharType="end"/>
            </w:r>
            <w:r w:rsidRPr="00E337CF">
              <w:rPr>
                <w:rFonts w:ascii="Arial Narrow" w:hAnsi="Arial Narrow"/>
                <w:sz w:val="20"/>
              </w:rPr>
              <w:t>Authority Required - In Writing</w:t>
            </w:r>
          </w:p>
          <w:p w:rsidR="005227F2" w:rsidRPr="00E337CF" w:rsidRDefault="005227F2" w:rsidP="00F06CF7">
            <w:pPr>
              <w:rPr>
                <w:rFonts w:ascii="Arial Narrow" w:hAnsi="Arial Narrow"/>
                <w:sz w:val="20"/>
              </w:rPr>
            </w:pPr>
            <w:r w:rsidRPr="00E337CF">
              <w:rPr>
                <w:rFonts w:ascii="Arial Narrow" w:hAnsi="Arial Narrow"/>
                <w:sz w:val="20"/>
              </w:rPr>
              <w:fldChar w:fldCharType="begin">
                <w:ffData>
                  <w:name w:val="Check3"/>
                  <w:enabled/>
                  <w:calcOnExit w:val="0"/>
                  <w:checkBox>
                    <w:sizeAuto/>
                    <w:default w:val="0"/>
                  </w:checkBox>
                </w:ffData>
              </w:fldChar>
            </w:r>
            <w:r w:rsidRPr="00E337CF">
              <w:rPr>
                <w:rFonts w:ascii="Arial Narrow" w:hAnsi="Arial Narrow"/>
                <w:sz w:val="20"/>
              </w:rPr>
              <w:instrText xml:space="preserve"> FORMCHECKBOX </w:instrText>
            </w:r>
            <w:r w:rsidR="00D07EFF">
              <w:rPr>
                <w:rFonts w:ascii="Arial Narrow" w:hAnsi="Arial Narrow"/>
                <w:sz w:val="20"/>
              </w:rPr>
            </w:r>
            <w:r w:rsidR="00D07EFF">
              <w:rPr>
                <w:rFonts w:ascii="Arial Narrow" w:hAnsi="Arial Narrow"/>
                <w:sz w:val="20"/>
              </w:rPr>
              <w:fldChar w:fldCharType="separate"/>
            </w:r>
            <w:r w:rsidRPr="00E337CF">
              <w:rPr>
                <w:rFonts w:ascii="Arial Narrow" w:hAnsi="Arial Narrow"/>
                <w:sz w:val="20"/>
              </w:rPr>
              <w:fldChar w:fldCharType="end"/>
            </w:r>
            <w:r w:rsidRPr="00E337CF">
              <w:rPr>
                <w:rFonts w:ascii="Arial Narrow" w:hAnsi="Arial Narrow"/>
                <w:sz w:val="20"/>
              </w:rPr>
              <w:t>Authority Required - Telephone</w:t>
            </w:r>
          </w:p>
          <w:p w:rsidR="005227F2" w:rsidRPr="00E337CF" w:rsidRDefault="005227F2" w:rsidP="00F06CF7">
            <w:pPr>
              <w:rPr>
                <w:rFonts w:ascii="Arial Narrow" w:hAnsi="Arial Narrow"/>
                <w:sz w:val="20"/>
              </w:rPr>
            </w:pPr>
            <w:r w:rsidRPr="00E337CF">
              <w:rPr>
                <w:rFonts w:ascii="Arial Narrow" w:hAnsi="Arial Narrow"/>
                <w:sz w:val="20"/>
              </w:rPr>
              <w:fldChar w:fldCharType="begin">
                <w:ffData>
                  <w:name w:val=""/>
                  <w:enabled/>
                  <w:calcOnExit w:val="0"/>
                  <w:checkBox>
                    <w:sizeAuto/>
                    <w:default w:val="0"/>
                  </w:checkBox>
                </w:ffData>
              </w:fldChar>
            </w:r>
            <w:r w:rsidRPr="00E337CF">
              <w:rPr>
                <w:rFonts w:ascii="Arial Narrow" w:hAnsi="Arial Narrow"/>
                <w:sz w:val="20"/>
              </w:rPr>
              <w:instrText xml:space="preserve"> FORMCHECKBOX </w:instrText>
            </w:r>
            <w:r w:rsidR="00D07EFF">
              <w:rPr>
                <w:rFonts w:ascii="Arial Narrow" w:hAnsi="Arial Narrow"/>
                <w:sz w:val="20"/>
              </w:rPr>
            </w:r>
            <w:r w:rsidR="00D07EFF">
              <w:rPr>
                <w:rFonts w:ascii="Arial Narrow" w:hAnsi="Arial Narrow"/>
                <w:sz w:val="20"/>
              </w:rPr>
              <w:fldChar w:fldCharType="separate"/>
            </w:r>
            <w:r w:rsidRPr="00E337CF">
              <w:rPr>
                <w:rFonts w:ascii="Arial Narrow" w:hAnsi="Arial Narrow"/>
                <w:sz w:val="20"/>
              </w:rPr>
              <w:fldChar w:fldCharType="end"/>
            </w:r>
            <w:r w:rsidRPr="00E337CF">
              <w:rPr>
                <w:rFonts w:ascii="Arial Narrow" w:hAnsi="Arial Narrow"/>
                <w:sz w:val="20"/>
              </w:rPr>
              <w:t>Authority Required - Emergency</w:t>
            </w:r>
          </w:p>
          <w:p w:rsidR="005227F2" w:rsidRPr="00E337CF" w:rsidRDefault="005227F2" w:rsidP="00F06CF7">
            <w:pPr>
              <w:rPr>
                <w:rFonts w:ascii="Arial Narrow" w:hAnsi="Arial Narrow"/>
                <w:sz w:val="20"/>
              </w:rPr>
            </w:pPr>
            <w:r w:rsidRPr="00E337CF">
              <w:rPr>
                <w:rFonts w:ascii="Arial Narrow" w:hAnsi="Arial Narrow"/>
                <w:sz w:val="20"/>
              </w:rPr>
              <w:fldChar w:fldCharType="begin">
                <w:ffData>
                  <w:name w:val="Check5"/>
                  <w:enabled/>
                  <w:calcOnExit w:val="0"/>
                  <w:checkBox>
                    <w:sizeAuto/>
                    <w:default w:val="0"/>
                  </w:checkBox>
                </w:ffData>
              </w:fldChar>
            </w:r>
            <w:r w:rsidRPr="00E337CF">
              <w:rPr>
                <w:rFonts w:ascii="Arial Narrow" w:hAnsi="Arial Narrow"/>
                <w:sz w:val="20"/>
              </w:rPr>
              <w:instrText xml:space="preserve"> FORMCHECKBOX </w:instrText>
            </w:r>
            <w:r w:rsidR="00D07EFF">
              <w:rPr>
                <w:rFonts w:ascii="Arial Narrow" w:hAnsi="Arial Narrow"/>
                <w:sz w:val="20"/>
              </w:rPr>
            </w:r>
            <w:r w:rsidR="00D07EFF">
              <w:rPr>
                <w:rFonts w:ascii="Arial Narrow" w:hAnsi="Arial Narrow"/>
                <w:sz w:val="20"/>
              </w:rPr>
              <w:fldChar w:fldCharType="separate"/>
            </w:r>
            <w:r w:rsidRPr="00E337CF">
              <w:rPr>
                <w:rFonts w:ascii="Arial Narrow" w:hAnsi="Arial Narrow"/>
                <w:sz w:val="20"/>
              </w:rPr>
              <w:fldChar w:fldCharType="end"/>
            </w:r>
            <w:r w:rsidRPr="00E337CF">
              <w:rPr>
                <w:rFonts w:ascii="Arial Narrow" w:hAnsi="Arial Narrow"/>
                <w:sz w:val="20"/>
              </w:rPr>
              <w:t>Authority Required - Electronic</w:t>
            </w:r>
          </w:p>
          <w:p w:rsidR="005227F2" w:rsidRPr="00E337CF" w:rsidRDefault="005227F2" w:rsidP="00F06CF7">
            <w:pPr>
              <w:rPr>
                <w:rFonts w:ascii="Arial Narrow" w:hAnsi="Arial Narrow"/>
                <w:sz w:val="20"/>
              </w:rPr>
            </w:pPr>
            <w:r w:rsidRPr="00E337CF">
              <w:rPr>
                <w:rFonts w:ascii="Arial Narrow" w:hAnsi="Arial Narrow"/>
                <w:sz w:val="20"/>
              </w:rPr>
              <w:fldChar w:fldCharType="begin">
                <w:ffData>
                  <w:name w:val="Check5"/>
                  <w:enabled/>
                  <w:calcOnExit w:val="0"/>
                  <w:checkBox>
                    <w:sizeAuto/>
                    <w:default w:val="1"/>
                  </w:checkBox>
                </w:ffData>
              </w:fldChar>
            </w:r>
            <w:r w:rsidRPr="00E337CF">
              <w:rPr>
                <w:rFonts w:ascii="Arial Narrow" w:hAnsi="Arial Narrow"/>
                <w:sz w:val="20"/>
              </w:rPr>
              <w:instrText xml:space="preserve"> FORMCHECKBOX </w:instrText>
            </w:r>
            <w:r w:rsidR="00D07EFF">
              <w:rPr>
                <w:rFonts w:ascii="Arial Narrow" w:hAnsi="Arial Narrow"/>
                <w:sz w:val="20"/>
              </w:rPr>
            </w:r>
            <w:r w:rsidR="00D07EFF">
              <w:rPr>
                <w:rFonts w:ascii="Arial Narrow" w:hAnsi="Arial Narrow"/>
                <w:sz w:val="20"/>
              </w:rPr>
              <w:fldChar w:fldCharType="separate"/>
            </w:r>
            <w:r w:rsidRPr="00E337CF">
              <w:rPr>
                <w:rFonts w:ascii="Arial Narrow" w:hAnsi="Arial Narrow"/>
                <w:sz w:val="20"/>
              </w:rPr>
              <w:fldChar w:fldCharType="end"/>
            </w:r>
            <w:r w:rsidRPr="00E337CF">
              <w:rPr>
                <w:rFonts w:ascii="Arial Narrow" w:hAnsi="Arial Narrow"/>
                <w:sz w:val="20"/>
              </w:rPr>
              <w:t>Streamlined</w:t>
            </w:r>
          </w:p>
        </w:tc>
      </w:tr>
      <w:tr w:rsidR="005227F2" w:rsidRPr="00E337CF" w:rsidTr="005227F2">
        <w:trPr>
          <w:cantSplit/>
          <w:trHeight w:val="360"/>
        </w:trPr>
        <w:tc>
          <w:tcPr>
            <w:tcW w:w="1985"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b/>
                <w:sz w:val="20"/>
              </w:rPr>
            </w:pPr>
            <w:r w:rsidRPr="00E337CF">
              <w:rPr>
                <w:rFonts w:ascii="Arial Narrow" w:hAnsi="Arial Narrow"/>
                <w:b/>
                <w:sz w:val="20"/>
              </w:rPr>
              <w:t>Clinical criteria:</w:t>
            </w:r>
          </w:p>
        </w:tc>
        <w:tc>
          <w:tcPr>
            <w:tcW w:w="6378"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i/>
                <w:sz w:val="20"/>
              </w:rPr>
            </w:pPr>
            <w:r w:rsidRPr="00E337CF">
              <w:rPr>
                <w:rFonts w:ascii="Arial Narrow" w:hAnsi="Arial Narrow"/>
                <w:i/>
                <w:sz w:val="20"/>
              </w:rPr>
              <w:t>The condition must be squamous type n</w:t>
            </w:r>
            <w:r>
              <w:rPr>
                <w:rFonts w:ascii="Arial Narrow" w:hAnsi="Arial Narrow"/>
                <w:i/>
                <w:sz w:val="20"/>
              </w:rPr>
              <w:t>on-small cell lung cancer</w:t>
            </w:r>
          </w:p>
          <w:p w:rsidR="005227F2" w:rsidRDefault="005227F2" w:rsidP="00F06CF7">
            <w:pPr>
              <w:rPr>
                <w:rFonts w:ascii="Arial Narrow" w:hAnsi="Arial Narrow"/>
                <w:sz w:val="20"/>
              </w:rPr>
            </w:pPr>
            <w:r>
              <w:rPr>
                <w:rFonts w:ascii="Arial Narrow" w:hAnsi="Arial Narrow"/>
                <w:sz w:val="20"/>
              </w:rPr>
              <w:t>AND</w:t>
            </w:r>
          </w:p>
          <w:p w:rsidR="005227F2" w:rsidRPr="00E337CF" w:rsidRDefault="005227F2" w:rsidP="00F06CF7">
            <w:pPr>
              <w:rPr>
                <w:rFonts w:ascii="Arial Narrow" w:hAnsi="Arial Narrow"/>
                <w:i/>
                <w:sz w:val="20"/>
              </w:rPr>
            </w:pPr>
            <w:r w:rsidRPr="00E337CF">
              <w:rPr>
                <w:rFonts w:ascii="Arial Narrow" w:hAnsi="Arial Narrow"/>
                <w:sz w:val="20"/>
              </w:rPr>
              <w:t xml:space="preserve">Patient must have previously been issued with an authority prescription for this drug </w:t>
            </w:r>
            <w:r w:rsidRPr="00E337CF">
              <w:rPr>
                <w:rFonts w:ascii="Arial Narrow" w:hAnsi="Arial Narrow"/>
                <w:i/>
                <w:sz w:val="20"/>
              </w:rPr>
              <w:t>for this condition</w:t>
            </w:r>
          </w:p>
          <w:p w:rsidR="005227F2" w:rsidRPr="00E337CF" w:rsidRDefault="005227F2" w:rsidP="00F06CF7">
            <w:pPr>
              <w:rPr>
                <w:rFonts w:ascii="Arial Narrow" w:hAnsi="Arial Narrow"/>
                <w:sz w:val="20"/>
              </w:rPr>
            </w:pPr>
            <w:r w:rsidRPr="00E337CF">
              <w:rPr>
                <w:rFonts w:ascii="Arial Narrow" w:hAnsi="Arial Narrow"/>
                <w:sz w:val="20"/>
              </w:rPr>
              <w:t>AND</w:t>
            </w:r>
          </w:p>
          <w:p w:rsidR="005227F2" w:rsidRPr="00E337CF" w:rsidRDefault="005227F2" w:rsidP="00F06CF7">
            <w:pPr>
              <w:rPr>
                <w:rFonts w:ascii="Arial Narrow" w:hAnsi="Arial Narrow"/>
                <w:sz w:val="20"/>
              </w:rPr>
            </w:pPr>
            <w:r w:rsidRPr="00E337CF">
              <w:rPr>
                <w:rFonts w:ascii="Arial Narrow" w:hAnsi="Arial Narrow"/>
                <w:sz w:val="20"/>
              </w:rPr>
              <w:t>The treatment must be the sole PBS-subsidised therapy for this condition</w:t>
            </w:r>
          </w:p>
          <w:p w:rsidR="005227F2" w:rsidRPr="00E337CF" w:rsidRDefault="005227F2" w:rsidP="00F06CF7">
            <w:pPr>
              <w:rPr>
                <w:rFonts w:ascii="Arial Narrow" w:hAnsi="Arial Narrow"/>
                <w:sz w:val="20"/>
              </w:rPr>
            </w:pPr>
            <w:r w:rsidRPr="00E337CF">
              <w:rPr>
                <w:rFonts w:ascii="Arial Narrow" w:hAnsi="Arial Narrow"/>
                <w:sz w:val="20"/>
              </w:rPr>
              <w:t>AND</w:t>
            </w:r>
          </w:p>
          <w:p w:rsidR="005227F2" w:rsidRDefault="005227F2" w:rsidP="00F06CF7">
            <w:pPr>
              <w:rPr>
                <w:rFonts w:ascii="Arial Narrow" w:hAnsi="Arial Narrow"/>
                <w:strike/>
                <w:sz w:val="20"/>
              </w:rPr>
            </w:pPr>
            <w:r w:rsidRPr="00D8500A">
              <w:rPr>
                <w:rFonts w:ascii="Arial Narrow" w:hAnsi="Arial Narrow"/>
                <w:strike/>
                <w:sz w:val="20"/>
              </w:rPr>
              <w:t>Patient must be deriving clinical benefit and tolerating treatment.</w:t>
            </w:r>
          </w:p>
          <w:p w:rsidR="005227F2" w:rsidRPr="00D8500A" w:rsidRDefault="005227F2" w:rsidP="00F06CF7">
            <w:pPr>
              <w:rPr>
                <w:rFonts w:ascii="Arial Narrow" w:hAnsi="Arial Narrow"/>
                <w:strike/>
                <w:sz w:val="20"/>
              </w:rPr>
            </w:pPr>
            <w:r w:rsidRPr="00D8500A">
              <w:rPr>
                <w:rFonts w:ascii="Arial Narrow" w:hAnsi="Arial Narrow"/>
                <w:i/>
                <w:sz w:val="20"/>
              </w:rPr>
              <w:t>Patient must have stable or responding disease</w:t>
            </w:r>
            <w:r>
              <w:rPr>
                <w:rFonts w:ascii="Arial Narrow" w:hAnsi="Arial Narrow"/>
                <w:i/>
                <w:sz w:val="20"/>
              </w:rPr>
              <w:t>.</w:t>
            </w:r>
          </w:p>
        </w:tc>
      </w:tr>
      <w:tr w:rsidR="005227F2" w:rsidRPr="00E337CF" w:rsidTr="005227F2">
        <w:trPr>
          <w:cantSplit/>
          <w:trHeight w:val="360"/>
        </w:trPr>
        <w:tc>
          <w:tcPr>
            <w:tcW w:w="1985"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i/>
                <w:sz w:val="20"/>
              </w:rPr>
            </w:pPr>
            <w:r w:rsidRPr="00E337CF">
              <w:rPr>
                <w:rFonts w:ascii="Arial Narrow" w:hAnsi="Arial Narrow"/>
                <w:b/>
                <w:sz w:val="20"/>
              </w:rPr>
              <w:t>Administrative Advice:</w:t>
            </w:r>
          </w:p>
        </w:tc>
        <w:tc>
          <w:tcPr>
            <w:tcW w:w="6378" w:type="dxa"/>
            <w:tcBorders>
              <w:top w:val="single" w:sz="4" w:space="0" w:color="auto"/>
              <w:left w:val="single" w:sz="4" w:space="0" w:color="auto"/>
              <w:bottom w:val="single" w:sz="4" w:space="0" w:color="auto"/>
              <w:right w:val="single" w:sz="4" w:space="0" w:color="auto"/>
            </w:tcBorders>
          </w:tcPr>
          <w:p w:rsidR="005227F2" w:rsidRPr="00E337CF" w:rsidRDefault="005227F2" w:rsidP="00F06CF7">
            <w:pPr>
              <w:rPr>
                <w:rFonts w:ascii="Arial Narrow" w:hAnsi="Arial Narrow"/>
                <w:sz w:val="20"/>
              </w:rPr>
            </w:pPr>
            <w:r w:rsidRPr="00E337CF">
              <w:rPr>
                <w:rFonts w:ascii="Arial Narrow" w:hAnsi="Arial Narrow"/>
                <w:sz w:val="20"/>
              </w:rPr>
              <w:t>No increase in the maximum number of repeats may be authorised.</w:t>
            </w:r>
          </w:p>
          <w:p w:rsidR="005227F2" w:rsidRPr="00E337CF" w:rsidRDefault="005227F2" w:rsidP="00F06CF7">
            <w:pPr>
              <w:rPr>
                <w:rFonts w:ascii="Arial Narrow" w:hAnsi="Arial Narrow"/>
                <w:sz w:val="20"/>
              </w:rPr>
            </w:pPr>
          </w:p>
          <w:p w:rsidR="005227F2" w:rsidRDefault="005227F2" w:rsidP="00F06CF7">
            <w:pPr>
              <w:rPr>
                <w:rFonts w:ascii="Arial Narrow" w:hAnsi="Arial Narrow"/>
                <w:sz w:val="20"/>
              </w:rPr>
            </w:pPr>
            <w:r w:rsidRPr="00E337CF">
              <w:rPr>
                <w:rFonts w:ascii="Arial Narrow" w:hAnsi="Arial Narrow"/>
                <w:sz w:val="20"/>
              </w:rPr>
              <w:t>Special Pricing Arrangements apply.</w:t>
            </w:r>
          </w:p>
          <w:p w:rsidR="005227F2" w:rsidRDefault="005227F2" w:rsidP="00F06CF7">
            <w:pPr>
              <w:rPr>
                <w:rFonts w:ascii="Arial Narrow" w:hAnsi="Arial Narrow"/>
                <w:sz w:val="20"/>
              </w:rPr>
            </w:pPr>
          </w:p>
          <w:p w:rsidR="005227F2" w:rsidRPr="00B7574F" w:rsidRDefault="005227F2" w:rsidP="00F06CF7">
            <w:pPr>
              <w:rPr>
                <w:rFonts w:ascii="Arial Narrow" w:hAnsi="Arial Narrow"/>
                <w:strike/>
                <w:sz w:val="20"/>
              </w:rPr>
            </w:pPr>
            <w:r w:rsidRPr="00B7574F">
              <w:rPr>
                <w:rFonts w:ascii="Arial Narrow" w:hAnsi="Arial Narrow"/>
                <w:strike/>
                <w:sz w:val="20"/>
                <w:lang w:val="en-US"/>
              </w:rPr>
              <w:t>In the first few months after start of immunotherapy, some patients can have a transient tumour flare with subsequent disease response. When progression is suspected, this should be confirmed through a confirmatory scan, taken at least 4 weeks later.</w:t>
            </w:r>
          </w:p>
        </w:tc>
      </w:tr>
    </w:tbl>
    <w:p w:rsidR="00BA25DE" w:rsidRPr="00B23721" w:rsidRDefault="00BA25DE" w:rsidP="00BA25DE"/>
    <w:p w:rsidR="00BA25DE" w:rsidRPr="00B23721" w:rsidRDefault="00BA25DE" w:rsidP="00BA25DE">
      <w:pPr>
        <w:pStyle w:val="ListParagraph"/>
        <w:widowControl/>
        <w:numPr>
          <w:ilvl w:val="1"/>
          <w:numId w:val="6"/>
        </w:numPr>
        <w:rPr>
          <w:szCs w:val="22"/>
        </w:rPr>
      </w:pPr>
      <w:r w:rsidRPr="00B23721">
        <w:rPr>
          <w:szCs w:val="22"/>
        </w:rPr>
        <w:t>In contrast to the requested restriction in the original submission:</w:t>
      </w:r>
    </w:p>
    <w:p w:rsidR="00BA25DE" w:rsidRPr="00B23721" w:rsidRDefault="00BA25DE" w:rsidP="002E1939">
      <w:pPr>
        <w:pStyle w:val="ListParagraph"/>
        <w:widowControl/>
        <w:numPr>
          <w:ilvl w:val="0"/>
          <w:numId w:val="14"/>
        </w:numPr>
        <w:ind w:left="1134"/>
        <w:rPr>
          <w:szCs w:val="22"/>
        </w:rPr>
      </w:pPr>
      <w:r w:rsidRPr="00B23721">
        <w:rPr>
          <w:szCs w:val="22"/>
        </w:rPr>
        <w:t xml:space="preserve">The </w:t>
      </w:r>
      <w:r w:rsidR="002E1939" w:rsidRPr="00B23721">
        <w:rPr>
          <w:szCs w:val="22"/>
        </w:rPr>
        <w:t>revised</w:t>
      </w:r>
      <w:r w:rsidRPr="00B23721">
        <w:rPr>
          <w:szCs w:val="22"/>
        </w:rPr>
        <w:t xml:space="preserve"> initial treatment restriction required patients to have a performance score of 0 or 1. This is consistent with the eligibility criteria in the key clinical trial for nivolumab (CA209-017)</w:t>
      </w:r>
      <w:r w:rsidR="00BB496C">
        <w:rPr>
          <w:szCs w:val="22"/>
        </w:rPr>
        <w:t>.</w:t>
      </w:r>
    </w:p>
    <w:p w:rsidR="00BA25DE" w:rsidRPr="00B23721" w:rsidRDefault="00BA25DE" w:rsidP="002E1939">
      <w:pPr>
        <w:pStyle w:val="ListParagraph"/>
        <w:widowControl/>
        <w:numPr>
          <w:ilvl w:val="0"/>
          <w:numId w:val="14"/>
        </w:numPr>
        <w:ind w:left="1134"/>
        <w:rPr>
          <w:szCs w:val="22"/>
        </w:rPr>
      </w:pPr>
      <w:r w:rsidRPr="00B23721">
        <w:rPr>
          <w:szCs w:val="22"/>
        </w:rPr>
        <w:t>The continuing treatment restriction contained a note acknowledging early "pseudo-progression" associated with immunotherapy with programmed cell death-1 (PD-1) inhibitors.</w:t>
      </w:r>
    </w:p>
    <w:p w:rsidR="00BA25DE" w:rsidRPr="00B23721" w:rsidRDefault="00BA25DE" w:rsidP="00BA25DE">
      <w:pPr>
        <w:pStyle w:val="ListParagraph"/>
        <w:widowControl/>
        <w:rPr>
          <w:szCs w:val="22"/>
        </w:rPr>
      </w:pPr>
      <w:r w:rsidRPr="00B23721">
        <w:rPr>
          <w:szCs w:val="22"/>
        </w:rPr>
        <w:t>These changes were consistent with the PBAC considerations outlined in the Public Summary Document (PSD) for the original nivolumab submission (paragraph 7.3, 5.06 nivolumab PSD, March 2016 PBAC meeting).</w:t>
      </w:r>
    </w:p>
    <w:p w:rsidR="00BA25DE" w:rsidRPr="00B23721" w:rsidRDefault="00BA25DE" w:rsidP="002E1939">
      <w:pPr>
        <w:widowControl/>
        <w:rPr>
          <w:szCs w:val="22"/>
        </w:rPr>
      </w:pPr>
    </w:p>
    <w:p w:rsidR="00BA25DE" w:rsidRPr="00B23721" w:rsidRDefault="00BA25DE" w:rsidP="00BA25DE">
      <w:pPr>
        <w:pStyle w:val="ListParagraph"/>
        <w:widowControl/>
        <w:numPr>
          <w:ilvl w:val="1"/>
          <w:numId w:val="6"/>
        </w:numPr>
        <w:rPr>
          <w:szCs w:val="22"/>
        </w:rPr>
      </w:pPr>
      <w:r w:rsidRPr="00B23721">
        <w:t>In contrast to the restrictions for PD-1 inhibitors already listed on the PBS:</w:t>
      </w:r>
    </w:p>
    <w:p w:rsidR="00BA25DE" w:rsidRPr="00405347" w:rsidRDefault="00BA25DE" w:rsidP="002E1939">
      <w:pPr>
        <w:pStyle w:val="ListParagraph"/>
        <w:widowControl/>
        <w:numPr>
          <w:ilvl w:val="0"/>
          <w:numId w:val="14"/>
        </w:numPr>
        <w:ind w:left="1134"/>
        <w:rPr>
          <w:szCs w:val="22"/>
        </w:rPr>
      </w:pPr>
      <w:r w:rsidRPr="00405347">
        <w:rPr>
          <w:szCs w:val="22"/>
        </w:rPr>
        <w:t>The requested restriction for initial treatment did not preclude use of nivolumab in patients who have received prior treatment with a PD-1 inhibitor for the condition</w:t>
      </w:r>
      <w:r w:rsidR="00D57A62" w:rsidRPr="00405347">
        <w:rPr>
          <w:szCs w:val="22"/>
        </w:rPr>
        <w:t>. The PSCR (p.1) indicated a willingness to ensure inclusion of specific wording relating to the use of multiple PD-L1 inhibitors.</w:t>
      </w:r>
    </w:p>
    <w:p w:rsidR="00BA25DE" w:rsidRPr="00405347" w:rsidRDefault="00BA25DE" w:rsidP="002E1939">
      <w:pPr>
        <w:pStyle w:val="ListParagraph"/>
        <w:widowControl/>
        <w:numPr>
          <w:ilvl w:val="0"/>
          <w:numId w:val="14"/>
        </w:numPr>
        <w:ind w:left="1134"/>
        <w:rPr>
          <w:szCs w:val="22"/>
        </w:rPr>
      </w:pPr>
      <w:r w:rsidRPr="00405347">
        <w:rPr>
          <w:szCs w:val="22"/>
        </w:rPr>
        <w:t xml:space="preserve">The requested restriction for continuing treatment did not contain the criterion requiring stable or responding disease, which the PBAC previously stated would be necessary (paragraph 7.3, </w:t>
      </w:r>
      <w:r w:rsidRPr="00405347">
        <w:t>5.06 nivolumab PSD, March 2016 PBAC Meeting).</w:t>
      </w:r>
      <w:r w:rsidR="00D57A62" w:rsidRPr="00405347">
        <w:t xml:space="preserve"> The PSCR (p.2) agreed to the inclusion of th</w:t>
      </w:r>
      <w:r w:rsidR="002D79F3" w:rsidRPr="00405347">
        <w:t>is</w:t>
      </w:r>
      <w:r w:rsidR="00D57A62" w:rsidRPr="00405347">
        <w:t xml:space="preserve"> criterion in the continuing restriction.</w:t>
      </w:r>
    </w:p>
    <w:p w:rsidR="00BA25DE" w:rsidRPr="00B23721" w:rsidRDefault="00BA25DE" w:rsidP="002E1939">
      <w:pPr>
        <w:widowControl/>
        <w:rPr>
          <w:szCs w:val="22"/>
        </w:rPr>
      </w:pPr>
    </w:p>
    <w:p w:rsidR="00BA25DE" w:rsidRPr="00B23721" w:rsidRDefault="00BA25DE" w:rsidP="00BA25DE">
      <w:pPr>
        <w:pStyle w:val="ListParagraph"/>
        <w:widowControl/>
        <w:numPr>
          <w:ilvl w:val="1"/>
          <w:numId w:val="6"/>
        </w:numPr>
        <w:rPr>
          <w:szCs w:val="22"/>
        </w:rPr>
      </w:pPr>
      <w:r w:rsidRPr="00B23721">
        <w:rPr>
          <w:szCs w:val="22"/>
        </w:rPr>
        <w:t xml:space="preserve">As in the original submission, the proposed listing did not restrict nivolumab to patients whose tumours express programmed death ligand-1 (PD-L1). </w:t>
      </w:r>
      <w:r w:rsidRPr="00B23721">
        <w:t>The PBAC previously considered that, as no clear predictive effect of PD-L1 status on the comparative effectiveness of nivolumab versus docetaxel was demonstrated in trial CA209-017, it would be appropriate to allow treatment for patients regardless of PD-L1 status (paragraph 7.3, 5.06 nivolumab PSD, March 2016 PBAC Meeting).</w:t>
      </w:r>
      <w:r w:rsidR="00BD6FF9" w:rsidRPr="00B23721">
        <w:t xml:space="preserve"> </w:t>
      </w:r>
      <w:r w:rsidR="0032417F" w:rsidRPr="00B23721">
        <w:t xml:space="preserve">Further </w:t>
      </w:r>
      <w:r w:rsidR="0032417F" w:rsidRPr="00B23721">
        <w:lastRenderedPageBreak/>
        <w:t xml:space="preserve">evidence is required </w:t>
      </w:r>
      <w:r w:rsidR="00375433" w:rsidRPr="00B23721">
        <w:rPr>
          <w:iCs/>
        </w:rPr>
        <w:t>to fully characterise the value of biomarkers (including PD-L1) for guiding treatment selection in squamous NSCLC.</w:t>
      </w:r>
    </w:p>
    <w:p w:rsidR="00BA25DE" w:rsidRPr="00B23721" w:rsidRDefault="00BA25DE" w:rsidP="00BA25DE">
      <w:pPr>
        <w:widowControl/>
        <w:rPr>
          <w:szCs w:val="22"/>
        </w:rPr>
      </w:pPr>
    </w:p>
    <w:p w:rsidR="00BA25DE" w:rsidRPr="00B23721" w:rsidRDefault="00BA25DE" w:rsidP="00BA25DE">
      <w:pPr>
        <w:pStyle w:val="ListParagraph"/>
        <w:widowControl/>
        <w:numPr>
          <w:ilvl w:val="1"/>
          <w:numId w:val="6"/>
        </w:numPr>
        <w:rPr>
          <w:szCs w:val="22"/>
        </w:rPr>
      </w:pPr>
      <w:r w:rsidRPr="00B23721">
        <w:t>The re-submission sought listing on the basis of a cost</w:t>
      </w:r>
      <w:r w:rsidR="002E1939" w:rsidRPr="00B23721">
        <w:t>-</w:t>
      </w:r>
      <w:r w:rsidRPr="00B23721">
        <w:t>effectiveness analysis via a direct comparison with docetaxel.</w:t>
      </w:r>
    </w:p>
    <w:p w:rsidR="00BA25DE" w:rsidRDefault="00BA25DE" w:rsidP="00BA25DE">
      <w:pPr>
        <w:widowControl/>
        <w:rPr>
          <w:szCs w:val="22"/>
        </w:rPr>
      </w:pPr>
    </w:p>
    <w:p w:rsidR="00F5449A" w:rsidRDefault="00F5449A" w:rsidP="00405347">
      <w:pPr>
        <w:pStyle w:val="ListParagraph"/>
        <w:ind w:left="709"/>
        <w:rPr>
          <w:i/>
          <w:szCs w:val="22"/>
        </w:rPr>
      </w:pPr>
      <w:r w:rsidRPr="00405347">
        <w:rPr>
          <w:i/>
          <w:szCs w:val="22"/>
        </w:rPr>
        <w:t>For more detail on PBAC’s view, see section 7 “PBAC outcome”</w:t>
      </w:r>
      <w:r w:rsidR="00BB496C">
        <w:rPr>
          <w:i/>
          <w:szCs w:val="22"/>
        </w:rPr>
        <w:t>.</w:t>
      </w:r>
    </w:p>
    <w:p w:rsidR="00F5449A" w:rsidRPr="00B23721" w:rsidRDefault="00F5449A" w:rsidP="00BA25DE">
      <w:pPr>
        <w:widowControl/>
        <w:rPr>
          <w:szCs w:val="22"/>
        </w:rPr>
      </w:pPr>
    </w:p>
    <w:p w:rsidR="00BA25DE" w:rsidRPr="00B23721" w:rsidRDefault="00BA25DE" w:rsidP="00BA25DE"/>
    <w:p w:rsidR="00BA25DE" w:rsidRPr="00B23721" w:rsidRDefault="00BA25DE" w:rsidP="009905CA">
      <w:pPr>
        <w:pStyle w:val="Heading2"/>
      </w:pPr>
      <w:bookmarkStart w:id="5" w:name="_Toc461611878"/>
      <w:r w:rsidRPr="00B23721">
        <w:t>Background</w:t>
      </w:r>
      <w:bookmarkEnd w:id="5"/>
    </w:p>
    <w:p w:rsidR="00BA25DE" w:rsidRPr="00B23721" w:rsidRDefault="00BA25DE" w:rsidP="00BA25DE">
      <w:pPr>
        <w:rPr>
          <w:szCs w:val="22"/>
        </w:rPr>
      </w:pPr>
    </w:p>
    <w:p w:rsidR="00BA25DE" w:rsidRPr="00B23721" w:rsidRDefault="00BA25DE" w:rsidP="002E1939">
      <w:pPr>
        <w:pStyle w:val="ListParagraph"/>
        <w:widowControl/>
        <w:numPr>
          <w:ilvl w:val="1"/>
          <w:numId w:val="4"/>
        </w:numPr>
        <w:contextualSpacing w:val="0"/>
        <w:rPr>
          <w:szCs w:val="22"/>
        </w:rPr>
      </w:pPr>
      <w:r w:rsidRPr="00B23721">
        <w:rPr>
          <w:szCs w:val="22"/>
        </w:rPr>
        <w:t>Nivolumab was registered on the Australian Register of Therapeutic Goods on 12</w:t>
      </w:r>
      <w:r w:rsidR="002E1939" w:rsidRPr="00B23721">
        <w:rPr>
          <w:szCs w:val="22"/>
        </w:rPr>
        <w:t> </w:t>
      </w:r>
      <w:r w:rsidRPr="00B23721">
        <w:rPr>
          <w:szCs w:val="22"/>
        </w:rPr>
        <w:t>January</w:t>
      </w:r>
      <w:r w:rsidR="002E1939" w:rsidRPr="00B23721">
        <w:rPr>
          <w:szCs w:val="22"/>
        </w:rPr>
        <w:t> </w:t>
      </w:r>
      <w:r w:rsidRPr="00B23721">
        <w:rPr>
          <w:szCs w:val="22"/>
        </w:rPr>
        <w:t>2016 for the following indication relevant to this re-submission:</w:t>
      </w:r>
    </w:p>
    <w:p w:rsidR="00BA25DE" w:rsidRPr="00B23721" w:rsidRDefault="00BA25DE" w:rsidP="00BA25DE">
      <w:pPr>
        <w:pStyle w:val="ListParagraph"/>
        <w:widowControl/>
        <w:ind w:left="1022"/>
        <w:rPr>
          <w:szCs w:val="22"/>
        </w:rPr>
      </w:pPr>
      <w:r w:rsidRPr="00B23721">
        <w:t>Nivolumab, as monotherapy, is indicated for the treatment of locally advanced or metastatic squamous NSCLC with progression on or after prior chemotherapy</w:t>
      </w:r>
      <w:r w:rsidRPr="00B23721">
        <w:rPr>
          <w:szCs w:val="22"/>
        </w:rPr>
        <w:t>.</w:t>
      </w:r>
    </w:p>
    <w:p w:rsidR="00BA25DE" w:rsidRPr="00B23721" w:rsidRDefault="00BA25DE" w:rsidP="002E1939">
      <w:pPr>
        <w:widowControl/>
        <w:rPr>
          <w:szCs w:val="22"/>
        </w:rPr>
      </w:pPr>
    </w:p>
    <w:p w:rsidR="008A7C15" w:rsidRDefault="00BA25DE" w:rsidP="00BA25DE">
      <w:pPr>
        <w:pStyle w:val="ListParagraph"/>
        <w:widowControl/>
        <w:numPr>
          <w:ilvl w:val="1"/>
          <w:numId w:val="4"/>
        </w:numPr>
        <w:rPr>
          <w:szCs w:val="22"/>
        </w:rPr>
      </w:pPr>
      <w:r w:rsidRPr="00B23721">
        <w:rPr>
          <w:szCs w:val="22"/>
        </w:rPr>
        <w:t xml:space="preserve">This was the second submission to the PBAC for the requested listing. </w:t>
      </w:r>
      <w:r w:rsidR="008A7C15">
        <w:rPr>
          <w:szCs w:val="22"/>
        </w:rPr>
        <w:t>A previous submission was considered at the March 2016 PBAC meeting</w:t>
      </w:r>
      <w:r w:rsidR="002D79F3">
        <w:rPr>
          <w:szCs w:val="22"/>
        </w:rPr>
        <w:t>.</w:t>
      </w:r>
    </w:p>
    <w:p w:rsidR="008A7C15" w:rsidRPr="008A7C15" w:rsidRDefault="008A7C15" w:rsidP="00BC425A">
      <w:pPr>
        <w:widowControl/>
        <w:rPr>
          <w:szCs w:val="22"/>
        </w:rPr>
      </w:pPr>
    </w:p>
    <w:p w:rsidR="00BA25DE" w:rsidRPr="00B23721" w:rsidRDefault="00BA25DE" w:rsidP="00BA25DE">
      <w:pPr>
        <w:pStyle w:val="ListParagraph"/>
        <w:widowControl/>
        <w:numPr>
          <w:ilvl w:val="1"/>
          <w:numId w:val="4"/>
        </w:numPr>
        <w:rPr>
          <w:szCs w:val="22"/>
        </w:rPr>
      </w:pPr>
      <w:r w:rsidRPr="00B23721">
        <w:rPr>
          <w:szCs w:val="22"/>
        </w:rPr>
        <w:t>The PBAC also consider</w:t>
      </w:r>
      <w:r w:rsidR="0014353B">
        <w:rPr>
          <w:szCs w:val="22"/>
        </w:rPr>
        <w:t>ed</w:t>
      </w:r>
      <w:r w:rsidRPr="00B23721">
        <w:rPr>
          <w:szCs w:val="22"/>
        </w:rPr>
        <w:t xml:space="preserve"> a concurrent re-submission to list nivolumab for non-squamous NSCLC</w:t>
      </w:r>
      <w:r w:rsidR="008A7C15">
        <w:rPr>
          <w:szCs w:val="22"/>
        </w:rPr>
        <w:t xml:space="preserve"> at its November 2016 meeting</w:t>
      </w:r>
      <w:r w:rsidRPr="00B23721">
        <w:rPr>
          <w:szCs w:val="22"/>
        </w:rPr>
        <w:t>.</w:t>
      </w:r>
    </w:p>
    <w:p w:rsidR="00BA25DE" w:rsidRPr="00B23721" w:rsidRDefault="00BA25DE" w:rsidP="00BA25DE"/>
    <w:p w:rsidR="00BA25DE" w:rsidRDefault="00BA25DE" w:rsidP="00BA25DE">
      <w:pPr>
        <w:pStyle w:val="ListParagraph"/>
        <w:widowControl/>
        <w:numPr>
          <w:ilvl w:val="1"/>
          <w:numId w:val="4"/>
        </w:numPr>
        <w:rPr>
          <w:szCs w:val="22"/>
        </w:rPr>
      </w:pPr>
      <w:r w:rsidRPr="004F2020">
        <w:rPr>
          <w:szCs w:val="22"/>
        </w:rPr>
        <w:t xml:space="preserve">In comparison with the original submission, the re-submission updated some inputs in the economic model and the financial estimates, in response to PBAC’s concerns </w:t>
      </w:r>
      <w:r w:rsidR="00980E11" w:rsidRPr="004F2020">
        <w:rPr>
          <w:szCs w:val="22"/>
        </w:rPr>
        <w:t xml:space="preserve">with </w:t>
      </w:r>
      <w:r w:rsidR="002D79F3">
        <w:rPr>
          <w:szCs w:val="22"/>
        </w:rPr>
        <w:t>the original submission.</w:t>
      </w:r>
    </w:p>
    <w:p w:rsidR="00F5449A" w:rsidRPr="00405347" w:rsidRDefault="00F5449A" w:rsidP="00F5449A">
      <w:pPr>
        <w:rPr>
          <w:szCs w:val="22"/>
        </w:rPr>
      </w:pPr>
    </w:p>
    <w:p w:rsidR="00BA25DE" w:rsidRPr="00B23721" w:rsidRDefault="00BA25DE" w:rsidP="00BA25DE"/>
    <w:p w:rsidR="00BA25DE" w:rsidRPr="00B23721" w:rsidRDefault="00BA25DE" w:rsidP="009905CA">
      <w:pPr>
        <w:pStyle w:val="Heading2"/>
      </w:pPr>
      <w:bookmarkStart w:id="6" w:name="_Toc461611879"/>
      <w:r w:rsidRPr="00B23721">
        <w:t>Clinical place for the proposed therapy</w:t>
      </w:r>
      <w:bookmarkEnd w:id="6"/>
    </w:p>
    <w:p w:rsidR="00BA25DE" w:rsidRPr="00B23721" w:rsidRDefault="00BA25DE" w:rsidP="00D03426">
      <w:pPr>
        <w:keepNext/>
        <w:rPr>
          <w:szCs w:val="22"/>
        </w:rPr>
      </w:pPr>
    </w:p>
    <w:p w:rsidR="00BA25DE" w:rsidRPr="00B23721" w:rsidRDefault="00BA25DE" w:rsidP="00BA25DE">
      <w:pPr>
        <w:pStyle w:val="ListParagraph"/>
        <w:widowControl/>
        <w:numPr>
          <w:ilvl w:val="1"/>
          <w:numId w:val="4"/>
        </w:numPr>
        <w:rPr>
          <w:szCs w:val="22"/>
        </w:rPr>
      </w:pPr>
      <w:r w:rsidRPr="00B23721">
        <w:t>NSCLC comprises approximately 15%-25% of the squamous histologic subtype and 75%-85% of the non-squamous histologic subtype. The standard first-line therapy for squamous NSCLC patients is platinum-based doublet chemotherapy, followed by second-line docetaxel. Epidermal growth factor receptor mutations are rare in these patients and so tyrosine kinase inhibitors would rarely be used.</w:t>
      </w:r>
    </w:p>
    <w:p w:rsidR="00BA25DE" w:rsidRPr="00B23721" w:rsidRDefault="00BA25DE" w:rsidP="00BA25DE">
      <w:pPr>
        <w:widowControl/>
        <w:rPr>
          <w:szCs w:val="22"/>
        </w:rPr>
      </w:pPr>
    </w:p>
    <w:p w:rsidR="00BA25DE" w:rsidRPr="00B23721" w:rsidRDefault="00BA25DE" w:rsidP="00BA25DE">
      <w:pPr>
        <w:pStyle w:val="ListParagraph"/>
        <w:widowControl/>
        <w:numPr>
          <w:ilvl w:val="1"/>
          <w:numId w:val="4"/>
        </w:numPr>
        <w:rPr>
          <w:szCs w:val="22"/>
        </w:rPr>
      </w:pPr>
      <w:r w:rsidRPr="00B23721">
        <w:t>The proposed listing is for patients with squamous NSCLC who have failed platinum-based chemotherapy. Thus, nivolumab would displace docetaxel monotherapy to third-line therapy</w:t>
      </w:r>
      <w:r w:rsidR="00FA394F" w:rsidRPr="00B23721">
        <w:t>.</w:t>
      </w:r>
    </w:p>
    <w:p w:rsidR="00BA25DE" w:rsidRPr="00B23721" w:rsidRDefault="00BA25DE" w:rsidP="00BA25DE">
      <w:pPr>
        <w:widowControl/>
        <w:rPr>
          <w:szCs w:val="22"/>
        </w:rPr>
      </w:pPr>
    </w:p>
    <w:p w:rsidR="00BA25DE" w:rsidRPr="00B23721" w:rsidRDefault="00BA25DE" w:rsidP="00BA25DE">
      <w:pPr>
        <w:pStyle w:val="ListParagraph"/>
        <w:widowControl/>
        <w:numPr>
          <w:ilvl w:val="1"/>
          <w:numId w:val="4"/>
        </w:numPr>
        <w:rPr>
          <w:szCs w:val="22"/>
        </w:rPr>
      </w:pPr>
      <w:r w:rsidRPr="00B23721">
        <w:rPr>
          <w:szCs w:val="22"/>
        </w:rPr>
        <w:t>The intended place for nivolumab in the treatment of squamous NSCLC was unchanged from the previous submission.</w:t>
      </w:r>
    </w:p>
    <w:p w:rsidR="00F5449A" w:rsidRPr="00B23721" w:rsidRDefault="00F5449A" w:rsidP="00FA394F">
      <w:pPr>
        <w:widowControl/>
        <w:rPr>
          <w:szCs w:val="22"/>
        </w:rPr>
      </w:pPr>
    </w:p>
    <w:p w:rsidR="00BA25DE" w:rsidRPr="00B23721" w:rsidRDefault="00BA25DE" w:rsidP="00BA25DE">
      <w:pPr>
        <w:rPr>
          <w:szCs w:val="22"/>
        </w:rPr>
      </w:pPr>
    </w:p>
    <w:p w:rsidR="00BA25DE" w:rsidRPr="00B23721" w:rsidRDefault="00BA25DE" w:rsidP="009905CA">
      <w:pPr>
        <w:pStyle w:val="Heading2"/>
      </w:pPr>
      <w:bookmarkStart w:id="7" w:name="_Toc461611880"/>
      <w:r w:rsidRPr="00B23721">
        <w:t>Comparator</w:t>
      </w:r>
      <w:bookmarkEnd w:id="7"/>
    </w:p>
    <w:p w:rsidR="00BA25DE" w:rsidRPr="00B23721" w:rsidRDefault="00BA25DE" w:rsidP="00BA25DE"/>
    <w:p w:rsidR="00BA25DE" w:rsidRPr="00B23721" w:rsidRDefault="00BA25DE" w:rsidP="00BA25DE">
      <w:pPr>
        <w:pStyle w:val="ListParagraph"/>
        <w:widowControl/>
        <w:numPr>
          <w:ilvl w:val="1"/>
          <w:numId w:val="4"/>
        </w:numPr>
        <w:rPr>
          <w:szCs w:val="22"/>
        </w:rPr>
      </w:pPr>
      <w:r w:rsidRPr="00B23721">
        <w:t xml:space="preserve">The re-submission nominated docetaxel as the main comparator. This was unchanged from the original submission. The PBAC considered that this comparator was appropriate (paragraph 7.4, 5.06 nivolumab </w:t>
      </w:r>
      <w:r w:rsidR="002C1A38">
        <w:t>Public Summary Document (</w:t>
      </w:r>
      <w:r w:rsidRPr="00B23721">
        <w:t>PSD</w:t>
      </w:r>
      <w:r w:rsidR="002C1A38">
        <w:t>)</w:t>
      </w:r>
      <w:r w:rsidRPr="00B23721">
        <w:t>, March 2016 PBAC Meeting).</w:t>
      </w:r>
    </w:p>
    <w:p w:rsidR="00BA25DE" w:rsidRDefault="00BA25DE" w:rsidP="00BA25DE"/>
    <w:p w:rsidR="00F5449A" w:rsidRDefault="00F5449A" w:rsidP="00405347">
      <w:pPr>
        <w:pStyle w:val="ListParagraph"/>
        <w:ind w:left="709"/>
        <w:rPr>
          <w:i/>
          <w:szCs w:val="22"/>
        </w:rPr>
      </w:pPr>
      <w:r w:rsidRPr="00405347">
        <w:rPr>
          <w:i/>
          <w:szCs w:val="22"/>
        </w:rPr>
        <w:t>For more detail on PBAC’s view, see section 7 “PBAC outcome”</w:t>
      </w:r>
      <w:r w:rsidR="00BB496C">
        <w:rPr>
          <w:i/>
          <w:szCs w:val="22"/>
        </w:rPr>
        <w:t>.</w:t>
      </w:r>
    </w:p>
    <w:p w:rsidR="00F5449A" w:rsidRPr="00B23721" w:rsidRDefault="00F5449A" w:rsidP="00BA25DE"/>
    <w:p w:rsidR="00BA25DE" w:rsidRPr="00B23721" w:rsidRDefault="00BA25DE" w:rsidP="00BA25DE"/>
    <w:p w:rsidR="00BA25DE" w:rsidRPr="00B23721" w:rsidRDefault="00BA25DE" w:rsidP="009905CA">
      <w:pPr>
        <w:pStyle w:val="Heading2"/>
      </w:pPr>
      <w:bookmarkStart w:id="8" w:name="_Toc461611881"/>
      <w:r w:rsidRPr="00B23721">
        <w:t>Consideration of the evidence</w:t>
      </w:r>
      <w:bookmarkEnd w:id="8"/>
    </w:p>
    <w:p w:rsidR="00BA25DE" w:rsidRDefault="00BA25DE" w:rsidP="00F5449A">
      <w:pPr>
        <w:widowControl/>
        <w:rPr>
          <w:szCs w:val="22"/>
        </w:rPr>
      </w:pPr>
    </w:p>
    <w:p w:rsidR="00F5449A" w:rsidRPr="00F26EA7" w:rsidRDefault="00F5449A" w:rsidP="00F5449A">
      <w:pPr>
        <w:pStyle w:val="Heading3"/>
        <w:rPr>
          <w:bCs/>
          <w:szCs w:val="22"/>
        </w:rPr>
      </w:pPr>
      <w:r w:rsidRPr="00F26EA7">
        <w:rPr>
          <w:bCs/>
          <w:szCs w:val="22"/>
        </w:rPr>
        <w:t>Sponsor hearing</w:t>
      </w:r>
    </w:p>
    <w:p w:rsidR="00F5449A" w:rsidRPr="00F26EA7" w:rsidRDefault="00F5449A" w:rsidP="00F5449A"/>
    <w:p w:rsidR="00F26EA7" w:rsidRPr="00382710" w:rsidRDefault="00F26EA7" w:rsidP="00F26EA7">
      <w:pPr>
        <w:numPr>
          <w:ilvl w:val="1"/>
          <w:numId w:val="4"/>
        </w:numPr>
        <w:contextualSpacing/>
        <w:rPr>
          <w:bCs/>
          <w:szCs w:val="22"/>
        </w:rPr>
      </w:pPr>
      <w:r w:rsidRPr="00382710">
        <w:rPr>
          <w:bCs/>
          <w:szCs w:val="22"/>
        </w:rPr>
        <w:t xml:space="preserve">The sponsor requested a hearing for this item. The speakers </w:t>
      </w:r>
      <w:r w:rsidR="00BB496C">
        <w:rPr>
          <w:bCs/>
          <w:szCs w:val="22"/>
        </w:rPr>
        <w:t xml:space="preserve">offered </w:t>
      </w:r>
      <w:r w:rsidRPr="00382710">
        <w:rPr>
          <w:bCs/>
          <w:szCs w:val="22"/>
        </w:rPr>
        <w:t>justification</w:t>
      </w:r>
      <w:r w:rsidR="00BB496C">
        <w:rPr>
          <w:bCs/>
          <w:szCs w:val="22"/>
        </w:rPr>
        <w:t>s</w:t>
      </w:r>
      <w:r w:rsidRPr="00382710">
        <w:rPr>
          <w:bCs/>
          <w:szCs w:val="22"/>
        </w:rPr>
        <w:t xml:space="preserve"> for some of the assumptions included in the economic model</w:t>
      </w:r>
      <w:r>
        <w:rPr>
          <w:bCs/>
          <w:szCs w:val="22"/>
        </w:rPr>
        <w:t>,</w:t>
      </w:r>
      <w:r w:rsidRPr="00382710">
        <w:rPr>
          <w:bCs/>
          <w:szCs w:val="22"/>
        </w:rPr>
        <w:t xml:space="preserve"> including the extrapolation method and time horizon, and reiterated the sponsor’s willingness to negotiate a </w:t>
      </w:r>
      <w:r w:rsidR="00BB496C" w:rsidRPr="00382710">
        <w:rPr>
          <w:bCs/>
          <w:szCs w:val="22"/>
        </w:rPr>
        <w:t>r</w:t>
      </w:r>
      <w:r w:rsidRPr="00382710">
        <w:rPr>
          <w:bCs/>
          <w:szCs w:val="22"/>
        </w:rPr>
        <w:t xml:space="preserve">isk </w:t>
      </w:r>
      <w:r w:rsidR="00BB496C" w:rsidRPr="00382710">
        <w:rPr>
          <w:bCs/>
          <w:szCs w:val="22"/>
        </w:rPr>
        <w:t>s</w:t>
      </w:r>
      <w:r w:rsidRPr="00382710">
        <w:rPr>
          <w:bCs/>
          <w:szCs w:val="22"/>
        </w:rPr>
        <w:t xml:space="preserve">haring </w:t>
      </w:r>
      <w:r w:rsidR="00BB496C" w:rsidRPr="00382710">
        <w:rPr>
          <w:bCs/>
          <w:szCs w:val="22"/>
        </w:rPr>
        <w:t>a</w:t>
      </w:r>
      <w:r w:rsidRPr="00382710">
        <w:rPr>
          <w:bCs/>
          <w:szCs w:val="22"/>
        </w:rPr>
        <w:t>rrangement</w:t>
      </w:r>
      <w:r w:rsidR="00811D2A">
        <w:rPr>
          <w:bCs/>
          <w:szCs w:val="22"/>
        </w:rPr>
        <w:t xml:space="preserve"> (RSA)</w:t>
      </w:r>
      <w:r w:rsidRPr="00382710">
        <w:rPr>
          <w:bCs/>
          <w:szCs w:val="22"/>
        </w:rPr>
        <w:t xml:space="preserve"> to manage some of the concerns raised by the ESC.</w:t>
      </w:r>
    </w:p>
    <w:p w:rsidR="00F5449A" w:rsidRPr="00F26EA7" w:rsidRDefault="00F5449A" w:rsidP="00F5449A">
      <w:pPr>
        <w:rPr>
          <w:bCs/>
          <w:szCs w:val="22"/>
        </w:rPr>
      </w:pPr>
    </w:p>
    <w:p w:rsidR="00F5449A" w:rsidRPr="002C45BA" w:rsidRDefault="00F5449A" w:rsidP="00F5449A">
      <w:pPr>
        <w:pStyle w:val="Heading3"/>
        <w:rPr>
          <w:bCs/>
          <w:szCs w:val="22"/>
        </w:rPr>
      </w:pPr>
      <w:r w:rsidRPr="00F26EA7">
        <w:rPr>
          <w:bCs/>
          <w:szCs w:val="22"/>
        </w:rPr>
        <w:t>Consumer comments</w:t>
      </w:r>
    </w:p>
    <w:p w:rsidR="00F5449A" w:rsidRPr="002C45BA" w:rsidRDefault="00F5449A" w:rsidP="00F5449A"/>
    <w:p w:rsidR="002C45BA" w:rsidRPr="002C45BA" w:rsidRDefault="002C45BA" w:rsidP="002C45BA">
      <w:pPr>
        <w:numPr>
          <w:ilvl w:val="1"/>
          <w:numId w:val="4"/>
        </w:numPr>
        <w:contextualSpacing/>
        <w:rPr>
          <w:bCs/>
          <w:szCs w:val="22"/>
        </w:rPr>
      </w:pPr>
      <w:r w:rsidRPr="002C45BA">
        <w:rPr>
          <w:bCs/>
          <w:szCs w:val="22"/>
        </w:rPr>
        <w:t xml:space="preserve">The PBAC noted and welcomed the input from individuals (5), health care professionals (13) and organisations (2) via the Consumer Comments facility on the PBS website. The comments described the value of </w:t>
      </w:r>
      <w:r w:rsidR="00516901">
        <w:rPr>
          <w:bCs/>
          <w:szCs w:val="22"/>
        </w:rPr>
        <w:t xml:space="preserve">nivolumab as </w:t>
      </w:r>
      <w:r w:rsidRPr="002C45BA">
        <w:rPr>
          <w:bCs/>
          <w:szCs w:val="22"/>
        </w:rPr>
        <w:t>another treatment option for squamous NSCLC</w:t>
      </w:r>
      <w:r w:rsidR="00516901">
        <w:rPr>
          <w:bCs/>
          <w:szCs w:val="22"/>
        </w:rPr>
        <w:t>, including</w:t>
      </w:r>
      <w:r w:rsidRPr="002C45BA">
        <w:rPr>
          <w:bCs/>
          <w:szCs w:val="22"/>
        </w:rPr>
        <w:t xml:space="preserve"> </w:t>
      </w:r>
      <w:r w:rsidR="00516901">
        <w:rPr>
          <w:bCs/>
          <w:szCs w:val="22"/>
        </w:rPr>
        <w:t>the</w:t>
      </w:r>
      <w:r w:rsidRPr="002C45BA">
        <w:rPr>
          <w:bCs/>
          <w:szCs w:val="22"/>
        </w:rPr>
        <w:t xml:space="preserve"> </w:t>
      </w:r>
      <w:r>
        <w:rPr>
          <w:bCs/>
          <w:szCs w:val="22"/>
        </w:rPr>
        <w:t>clinically meaningful outcomes for patients</w:t>
      </w:r>
      <w:r w:rsidRPr="002C45BA">
        <w:rPr>
          <w:bCs/>
          <w:szCs w:val="22"/>
        </w:rPr>
        <w:t xml:space="preserve"> and good tolerability </w:t>
      </w:r>
      <w:r w:rsidR="004427B9">
        <w:rPr>
          <w:bCs/>
          <w:szCs w:val="22"/>
        </w:rPr>
        <w:t xml:space="preserve">of the drug </w:t>
      </w:r>
      <w:r w:rsidRPr="002C45BA">
        <w:rPr>
          <w:bCs/>
          <w:szCs w:val="22"/>
        </w:rPr>
        <w:t>in comparison to docetaxel.</w:t>
      </w:r>
    </w:p>
    <w:p w:rsidR="002C45BA" w:rsidRPr="002C45BA" w:rsidRDefault="002C45BA" w:rsidP="002C45BA">
      <w:pPr>
        <w:contextualSpacing/>
        <w:rPr>
          <w:bCs/>
          <w:szCs w:val="22"/>
        </w:rPr>
      </w:pPr>
    </w:p>
    <w:p w:rsidR="002C45BA" w:rsidRPr="002C45BA" w:rsidRDefault="002C45BA" w:rsidP="00CB6AC8">
      <w:pPr>
        <w:numPr>
          <w:ilvl w:val="1"/>
          <w:numId w:val="4"/>
        </w:numPr>
        <w:contextualSpacing/>
        <w:rPr>
          <w:bCs/>
          <w:szCs w:val="22"/>
        </w:rPr>
      </w:pPr>
      <w:r w:rsidRPr="002C45BA">
        <w:rPr>
          <w:bCs/>
          <w:szCs w:val="22"/>
        </w:rPr>
        <w:t xml:space="preserve">The PBAC noted the input received from the Medical Oncology Group of Australia (MOGA) and the Lung Foundation of Australia, both providing strong support for nivolumab. The input from MOGA highlighted the high clinical value of nivolumab in squamous NSCLC, citing a European Society for Medical Oncology Magnitude of Clinical Benefit Scale (ESMO-MCBS) </w:t>
      </w:r>
      <w:r w:rsidR="00CB6AC8">
        <w:rPr>
          <w:bCs/>
          <w:szCs w:val="22"/>
        </w:rPr>
        <w:t xml:space="preserve">evaluation score for non-curative therapies </w:t>
      </w:r>
      <w:r w:rsidRPr="002C45BA">
        <w:rPr>
          <w:bCs/>
          <w:szCs w:val="22"/>
        </w:rPr>
        <w:t>of 5</w:t>
      </w:r>
      <w:r w:rsidR="00C67DD8">
        <w:rPr>
          <w:bCs/>
          <w:szCs w:val="22"/>
        </w:rPr>
        <w:t xml:space="preserve"> in comparison to docetaxel</w:t>
      </w:r>
      <w:r w:rsidRPr="002C45BA">
        <w:rPr>
          <w:bCs/>
          <w:szCs w:val="22"/>
        </w:rPr>
        <w:t xml:space="preserve"> (</w:t>
      </w:r>
      <w:r w:rsidR="00CB6AC8" w:rsidRPr="00CB6AC8">
        <w:rPr>
          <w:bCs/>
          <w:szCs w:val="22"/>
        </w:rPr>
        <w:t>where 5 and 4 represent the grades with substantial improvement)</w:t>
      </w:r>
      <w:r w:rsidR="00675813">
        <w:rPr>
          <w:rStyle w:val="FootnoteReference"/>
          <w:bCs/>
          <w:szCs w:val="22"/>
        </w:rPr>
        <w:footnoteReference w:id="3"/>
      </w:r>
      <w:r w:rsidR="00CB6AC8">
        <w:rPr>
          <w:bCs/>
          <w:szCs w:val="22"/>
        </w:rPr>
        <w:t>.</w:t>
      </w:r>
    </w:p>
    <w:p w:rsidR="00F5449A" w:rsidRPr="00B23721" w:rsidRDefault="00F5449A" w:rsidP="002C45BA">
      <w:pPr>
        <w:widowControl/>
        <w:rPr>
          <w:szCs w:val="22"/>
        </w:rPr>
      </w:pPr>
    </w:p>
    <w:p w:rsidR="00BA25DE" w:rsidRPr="00B23721" w:rsidRDefault="00BA25DE" w:rsidP="009905CA">
      <w:pPr>
        <w:pStyle w:val="Heading3"/>
      </w:pPr>
      <w:bookmarkStart w:id="9" w:name="_Toc461611882"/>
      <w:r w:rsidRPr="00B23721">
        <w:t>Clinical trials</w:t>
      </w:r>
      <w:bookmarkEnd w:id="9"/>
    </w:p>
    <w:p w:rsidR="00BA25DE" w:rsidRPr="00B23721" w:rsidRDefault="00BA25DE" w:rsidP="00BA25DE">
      <w:pPr>
        <w:rPr>
          <w:szCs w:val="22"/>
        </w:rPr>
      </w:pPr>
    </w:p>
    <w:p w:rsidR="00BA25DE" w:rsidRPr="00B23721" w:rsidRDefault="00BA25DE" w:rsidP="00BA25DE">
      <w:pPr>
        <w:pStyle w:val="ListParagraph"/>
        <w:widowControl/>
        <w:numPr>
          <w:ilvl w:val="1"/>
          <w:numId w:val="4"/>
        </w:numPr>
        <w:rPr>
          <w:szCs w:val="22"/>
        </w:rPr>
      </w:pPr>
      <w:r w:rsidRPr="00B23721">
        <w:t>The re-submission was based on one open-label head-to-head randomised controlled trial (CA209-017: N=272) comparing nivolumab with docetaxel in previously treated patients with locally advanced or metastatic squamous NSCLC. This trial formed the basis of the clinical evidence in the original submission, which provided results for both 10.6 months and 18 months minimum follow-up (database locks December 2014 and August 2015, respectively). Updated data from the February 2016 database lock (24 months minimum follow-up) were provided in the re-submission.</w:t>
      </w:r>
    </w:p>
    <w:p w:rsidR="00BA25DE" w:rsidRPr="00B23721" w:rsidRDefault="00BA25DE" w:rsidP="00BA25DE">
      <w:pPr>
        <w:widowControl/>
        <w:rPr>
          <w:szCs w:val="22"/>
        </w:rPr>
      </w:pPr>
    </w:p>
    <w:p w:rsidR="00316B9C" w:rsidRDefault="00BA25DE" w:rsidP="0079219B">
      <w:pPr>
        <w:widowControl/>
        <w:numPr>
          <w:ilvl w:val="1"/>
          <w:numId w:val="4"/>
        </w:numPr>
        <w:rPr>
          <w:szCs w:val="22"/>
        </w:rPr>
      </w:pPr>
      <w:r w:rsidRPr="00B23721">
        <w:rPr>
          <w:szCs w:val="22"/>
        </w:rPr>
        <w:t>Details of the trial presented in the re-submission are provided in the table below.</w:t>
      </w:r>
    </w:p>
    <w:p w:rsidR="00DB5D9A" w:rsidRPr="00B23721" w:rsidRDefault="00DB5D9A" w:rsidP="00BB496C">
      <w:pPr>
        <w:widowControl/>
        <w:rPr>
          <w:szCs w:val="22"/>
        </w:rPr>
      </w:pPr>
    </w:p>
    <w:p w:rsidR="00D01269" w:rsidRDefault="00D01269">
      <w:pPr>
        <w:widowControl/>
        <w:jc w:val="left"/>
        <w:rPr>
          <w:rFonts w:ascii="Arial Narrow" w:hAnsi="Arial Narrow"/>
          <w:b/>
          <w:bCs/>
          <w:sz w:val="20"/>
        </w:rPr>
      </w:pPr>
      <w:r>
        <w:rPr>
          <w:rFonts w:ascii="Arial Narrow" w:hAnsi="Arial Narrow"/>
        </w:rPr>
        <w:br w:type="page"/>
      </w:r>
    </w:p>
    <w:p w:rsidR="00892F33" w:rsidRPr="00DB5D9A" w:rsidRDefault="00892F33" w:rsidP="00892F33">
      <w:pPr>
        <w:pStyle w:val="Caption"/>
        <w:keepNext/>
        <w:ind w:firstLine="709"/>
        <w:rPr>
          <w:rFonts w:ascii="Arial Narrow" w:hAnsi="Arial Narrow"/>
        </w:rPr>
      </w:pPr>
      <w:r w:rsidRPr="00DB5D9A">
        <w:rPr>
          <w:rFonts w:ascii="Arial Narrow" w:hAnsi="Arial Narrow"/>
        </w:rPr>
        <w:lastRenderedPageBreak/>
        <w:t xml:space="preserve">Table </w:t>
      </w:r>
      <w:r w:rsidR="00BB09B5" w:rsidRPr="00DB5D9A">
        <w:rPr>
          <w:rFonts w:ascii="Arial Narrow" w:hAnsi="Arial Narrow"/>
          <w:noProof/>
        </w:rPr>
        <w:t>1</w:t>
      </w:r>
      <w:r w:rsidRPr="00DB5D9A">
        <w:rPr>
          <w:rFonts w:ascii="Arial Narrow" w:hAnsi="Arial Narrow"/>
        </w:rPr>
        <w:t>: Trial and associated reports presented in the re-submission</w:t>
      </w:r>
    </w:p>
    <w:tbl>
      <w:tblPr>
        <w:tblW w:w="834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93"/>
        <w:gridCol w:w="4819"/>
        <w:gridCol w:w="2529"/>
      </w:tblGrid>
      <w:tr w:rsidR="00BA25DE" w:rsidRPr="00B23721" w:rsidTr="00FA394F">
        <w:trPr>
          <w:tblHeader/>
        </w:trPr>
        <w:tc>
          <w:tcPr>
            <w:tcW w:w="595" w:type="pct"/>
            <w:tcBorders>
              <w:top w:val="single" w:sz="4" w:space="0" w:color="auto"/>
              <w:left w:val="single" w:sz="4" w:space="0" w:color="auto"/>
              <w:bottom w:val="single" w:sz="4" w:space="0" w:color="auto"/>
              <w:right w:val="single" w:sz="4" w:space="0" w:color="auto"/>
            </w:tcBorders>
          </w:tcPr>
          <w:p w:rsidR="00BA25DE" w:rsidRPr="00B23721" w:rsidRDefault="00BA25DE" w:rsidP="00FF0995">
            <w:pPr>
              <w:jc w:val="left"/>
              <w:rPr>
                <w:rFonts w:ascii="Arial Narrow" w:hAnsi="Arial Narrow"/>
                <w:b/>
                <w:sz w:val="20"/>
              </w:rPr>
            </w:pPr>
            <w:r w:rsidRPr="00B23721">
              <w:rPr>
                <w:rFonts w:ascii="Arial Narrow" w:hAnsi="Arial Narrow"/>
                <w:b/>
                <w:sz w:val="20"/>
              </w:rPr>
              <w:t>Trial ID</w:t>
            </w:r>
          </w:p>
        </w:tc>
        <w:tc>
          <w:tcPr>
            <w:tcW w:w="2889" w:type="pct"/>
            <w:tcBorders>
              <w:top w:val="single" w:sz="4" w:space="0" w:color="auto"/>
              <w:left w:val="single" w:sz="4" w:space="0" w:color="auto"/>
              <w:bottom w:val="single" w:sz="4" w:space="0" w:color="auto"/>
              <w:right w:val="single" w:sz="4" w:space="0" w:color="auto"/>
            </w:tcBorders>
          </w:tcPr>
          <w:p w:rsidR="00BA25DE" w:rsidRPr="00B23721" w:rsidRDefault="00BA25DE" w:rsidP="00FF0995">
            <w:pPr>
              <w:jc w:val="center"/>
              <w:rPr>
                <w:rFonts w:ascii="Arial Narrow" w:hAnsi="Arial Narrow"/>
                <w:b/>
                <w:sz w:val="20"/>
              </w:rPr>
            </w:pPr>
            <w:r w:rsidRPr="00B23721">
              <w:rPr>
                <w:rFonts w:ascii="Arial Narrow" w:hAnsi="Arial Narrow"/>
                <w:b/>
                <w:sz w:val="20"/>
              </w:rPr>
              <w:t>Protocol title / Publication title</w:t>
            </w:r>
          </w:p>
        </w:tc>
        <w:tc>
          <w:tcPr>
            <w:tcW w:w="1516" w:type="pct"/>
            <w:tcBorders>
              <w:top w:val="single" w:sz="4" w:space="0" w:color="auto"/>
              <w:left w:val="single" w:sz="4" w:space="0" w:color="auto"/>
              <w:bottom w:val="single" w:sz="4" w:space="0" w:color="auto"/>
              <w:right w:val="single" w:sz="4" w:space="0" w:color="auto"/>
            </w:tcBorders>
          </w:tcPr>
          <w:p w:rsidR="00BA25DE" w:rsidRPr="00B23721" w:rsidRDefault="00BA25DE" w:rsidP="00FF0995">
            <w:pPr>
              <w:jc w:val="center"/>
              <w:rPr>
                <w:rFonts w:ascii="Arial Narrow" w:hAnsi="Arial Narrow"/>
                <w:b/>
                <w:sz w:val="20"/>
              </w:rPr>
            </w:pPr>
            <w:r w:rsidRPr="00B23721">
              <w:rPr>
                <w:rFonts w:ascii="Arial Narrow" w:hAnsi="Arial Narrow"/>
                <w:b/>
                <w:sz w:val="20"/>
              </w:rPr>
              <w:t>Publication citation</w:t>
            </w:r>
          </w:p>
        </w:tc>
      </w:tr>
      <w:tr w:rsidR="00BA25DE" w:rsidRPr="00B23721" w:rsidTr="00655E4A">
        <w:tc>
          <w:tcPr>
            <w:tcW w:w="5000" w:type="pct"/>
            <w:gridSpan w:val="3"/>
            <w:tcBorders>
              <w:bottom w:val="single" w:sz="4" w:space="0" w:color="auto"/>
            </w:tcBorders>
          </w:tcPr>
          <w:p w:rsidR="00BA25DE" w:rsidRPr="00B23721" w:rsidRDefault="00BA25DE" w:rsidP="00FF0995">
            <w:pPr>
              <w:jc w:val="left"/>
              <w:rPr>
                <w:rFonts w:ascii="Arial Narrow" w:hAnsi="Arial Narrow"/>
                <w:b/>
                <w:sz w:val="20"/>
              </w:rPr>
            </w:pPr>
            <w:r w:rsidRPr="00B23721">
              <w:rPr>
                <w:rFonts w:ascii="Arial Narrow" w:hAnsi="Arial Narrow"/>
                <w:b/>
                <w:sz w:val="20"/>
              </w:rPr>
              <w:t>Direct randomised trial</w:t>
            </w:r>
          </w:p>
        </w:tc>
      </w:tr>
      <w:tr w:rsidR="00BA25DE" w:rsidRPr="00B23721" w:rsidTr="00FA394F">
        <w:tc>
          <w:tcPr>
            <w:tcW w:w="595" w:type="pct"/>
            <w:tcBorders>
              <w:bottom w:val="nil"/>
            </w:tcBorders>
          </w:tcPr>
          <w:p w:rsidR="00BA25DE" w:rsidRPr="00B23721" w:rsidRDefault="00BA25DE" w:rsidP="00FF0995">
            <w:pPr>
              <w:jc w:val="left"/>
              <w:rPr>
                <w:rFonts w:ascii="Arial Narrow" w:hAnsi="Arial Narrow"/>
                <w:sz w:val="20"/>
              </w:rPr>
            </w:pPr>
            <w:r w:rsidRPr="00B23721">
              <w:rPr>
                <w:rFonts w:ascii="Arial Narrow" w:hAnsi="Arial Narrow"/>
                <w:sz w:val="20"/>
              </w:rPr>
              <w:t>CA209-017</w:t>
            </w:r>
          </w:p>
        </w:tc>
        <w:tc>
          <w:tcPr>
            <w:tcW w:w="2889" w:type="pct"/>
            <w:tcBorders>
              <w:bottom w:val="nil"/>
            </w:tcBorders>
          </w:tcPr>
          <w:p w:rsidR="00BA25DE" w:rsidRPr="00B23721" w:rsidRDefault="00BA25DE" w:rsidP="00FF0995">
            <w:pPr>
              <w:spacing w:after="120"/>
              <w:jc w:val="left"/>
              <w:rPr>
                <w:rFonts w:ascii="Arial Narrow" w:hAnsi="Arial Narrow"/>
                <w:b/>
                <w:sz w:val="20"/>
              </w:rPr>
            </w:pPr>
            <w:r w:rsidRPr="00B23721">
              <w:rPr>
                <w:rFonts w:ascii="Arial Narrow" w:hAnsi="Arial Narrow"/>
                <w:sz w:val="20"/>
              </w:rPr>
              <w:t>Clinical study report CA209-017: An open-label randomized phase III trial of bms-936558 (nivolumab) versus docetaxel in previously treated advanced or metastatic squamous cell non-small cell lung cancer (NSCLC) – (based on database lock 15 December 2014 - minimum follow-up of 10.6 months).</w:t>
            </w:r>
          </w:p>
        </w:tc>
        <w:tc>
          <w:tcPr>
            <w:tcW w:w="1516" w:type="pct"/>
            <w:tcBorders>
              <w:bottom w:val="nil"/>
            </w:tcBorders>
          </w:tcPr>
          <w:p w:rsidR="00BA25DE" w:rsidRPr="00B23721" w:rsidRDefault="00BA25DE" w:rsidP="00FF0995">
            <w:pPr>
              <w:jc w:val="left"/>
              <w:rPr>
                <w:rFonts w:ascii="Arial Narrow" w:hAnsi="Arial Narrow"/>
                <w:b/>
                <w:sz w:val="20"/>
              </w:rPr>
            </w:pPr>
            <w:r w:rsidRPr="00B23721">
              <w:rPr>
                <w:rFonts w:ascii="Arial Narrow" w:hAnsi="Arial Narrow"/>
                <w:sz w:val="20"/>
              </w:rPr>
              <w:t>February 2015</w:t>
            </w:r>
          </w:p>
        </w:tc>
      </w:tr>
      <w:tr w:rsidR="00BA25DE" w:rsidRPr="00B23721" w:rsidTr="00FA394F">
        <w:tc>
          <w:tcPr>
            <w:tcW w:w="595" w:type="pct"/>
            <w:tcBorders>
              <w:top w:val="nil"/>
              <w:bottom w:val="nil"/>
            </w:tcBorders>
          </w:tcPr>
          <w:p w:rsidR="00BA25DE" w:rsidRPr="00B23721" w:rsidRDefault="00BA25DE" w:rsidP="00FF0995">
            <w:pPr>
              <w:jc w:val="left"/>
              <w:rPr>
                <w:rFonts w:ascii="Arial Narrow" w:hAnsi="Arial Narrow"/>
                <w:sz w:val="20"/>
              </w:rPr>
            </w:pPr>
          </w:p>
        </w:tc>
        <w:tc>
          <w:tcPr>
            <w:tcW w:w="2889" w:type="pct"/>
            <w:tcBorders>
              <w:top w:val="nil"/>
              <w:bottom w:val="nil"/>
            </w:tcBorders>
          </w:tcPr>
          <w:p w:rsidR="00BA25DE" w:rsidRPr="00B23721" w:rsidRDefault="00BA25DE" w:rsidP="00FF0995">
            <w:pPr>
              <w:spacing w:after="120"/>
              <w:jc w:val="left"/>
              <w:rPr>
                <w:rFonts w:ascii="Arial Narrow" w:hAnsi="Arial Narrow"/>
                <w:sz w:val="20"/>
              </w:rPr>
            </w:pPr>
            <w:r w:rsidRPr="00B23721">
              <w:rPr>
                <w:rFonts w:ascii="Arial Narrow" w:hAnsi="Arial Narrow"/>
                <w:sz w:val="20"/>
              </w:rPr>
              <w:t>Brahmer J, Reckamp KL, Baas P et al. Nivolumab versus docetaxel in advanced squamous cell non-small cell lung cancer.</w:t>
            </w:r>
          </w:p>
        </w:tc>
        <w:tc>
          <w:tcPr>
            <w:tcW w:w="1516" w:type="pct"/>
            <w:tcBorders>
              <w:top w:val="nil"/>
              <w:bottom w:val="nil"/>
            </w:tcBorders>
          </w:tcPr>
          <w:p w:rsidR="00BA25DE" w:rsidRPr="00B23721" w:rsidRDefault="00BA25DE" w:rsidP="00FF0995">
            <w:pPr>
              <w:jc w:val="left"/>
              <w:rPr>
                <w:rFonts w:ascii="Arial Narrow" w:hAnsi="Arial Narrow"/>
                <w:sz w:val="20"/>
              </w:rPr>
            </w:pPr>
            <w:r w:rsidRPr="00B23721">
              <w:rPr>
                <w:rFonts w:ascii="Arial Narrow" w:hAnsi="Arial Narrow"/>
                <w:sz w:val="20"/>
              </w:rPr>
              <w:t>New England Journal of Medicine 2015; 373 (2):123-132.</w:t>
            </w:r>
          </w:p>
        </w:tc>
      </w:tr>
      <w:tr w:rsidR="00BA25DE" w:rsidRPr="00B23721" w:rsidTr="00FA394F">
        <w:tc>
          <w:tcPr>
            <w:tcW w:w="595" w:type="pct"/>
            <w:tcBorders>
              <w:top w:val="nil"/>
              <w:bottom w:val="nil"/>
            </w:tcBorders>
          </w:tcPr>
          <w:p w:rsidR="00BA25DE" w:rsidRPr="00B23721" w:rsidRDefault="00BA25DE" w:rsidP="00FF0995">
            <w:pPr>
              <w:jc w:val="left"/>
              <w:rPr>
                <w:rFonts w:ascii="Arial Narrow" w:hAnsi="Arial Narrow"/>
                <w:sz w:val="20"/>
              </w:rPr>
            </w:pPr>
          </w:p>
        </w:tc>
        <w:tc>
          <w:tcPr>
            <w:tcW w:w="2889" w:type="pct"/>
            <w:tcBorders>
              <w:top w:val="nil"/>
              <w:bottom w:val="nil"/>
            </w:tcBorders>
          </w:tcPr>
          <w:p w:rsidR="00BA25DE" w:rsidRPr="00B23721" w:rsidRDefault="00BA25DE" w:rsidP="00FF0995">
            <w:pPr>
              <w:keepNext/>
              <w:spacing w:after="40"/>
              <w:jc w:val="left"/>
              <w:rPr>
                <w:rFonts w:ascii="Arial Narrow" w:hAnsi="Arial Narrow" w:cs="Arial Narrow"/>
                <w:sz w:val="20"/>
                <w:u w:val="single"/>
              </w:rPr>
            </w:pPr>
            <w:r w:rsidRPr="00B23721">
              <w:rPr>
                <w:rFonts w:ascii="Arial Narrow" w:hAnsi="Arial Narrow" w:cs="Arial Narrow"/>
                <w:sz w:val="20"/>
                <w:u w:val="single"/>
              </w:rPr>
              <w:t>Abstract</w:t>
            </w:r>
          </w:p>
          <w:p w:rsidR="00BA25DE" w:rsidRPr="00B23721" w:rsidRDefault="00BA25DE" w:rsidP="00FF0995">
            <w:pPr>
              <w:spacing w:after="120"/>
              <w:jc w:val="left"/>
              <w:rPr>
                <w:rFonts w:ascii="Arial Narrow" w:hAnsi="Arial Narrow"/>
                <w:sz w:val="20"/>
              </w:rPr>
            </w:pPr>
            <w:r w:rsidRPr="00B23721">
              <w:rPr>
                <w:rFonts w:ascii="Arial Narrow" w:hAnsi="Arial Narrow"/>
                <w:sz w:val="20"/>
              </w:rPr>
              <w:t>Reckamp K et al. Phase 3, Global, Randomized trial (Checkmate 017) of nivolumab vs ,docetaxel in advanced squamous (SQ) cell non-small cell lung cancer (NSCLC) - (database lock of August 2015 - minimum follow-up of 18 months).</w:t>
            </w:r>
          </w:p>
        </w:tc>
        <w:tc>
          <w:tcPr>
            <w:tcW w:w="1516" w:type="pct"/>
            <w:tcBorders>
              <w:top w:val="nil"/>
              <w:bottom w:val="nil"/>
            </w:tcBorders>
          </w:tcPr>
          <w:p w:rsidR="00BA25DE" w:rsidRPr="00B23721" w:rsidRDefault="00BA25DE" w:rsidP="00FF0995">
            <w:pPr>
              <w:jc w:val="left"/>
              <w:rPr>
                <w:rFonts w:ascii="Arial Narrow" w:hAnsi="Arial Narrow"/>
                <w:sz w:val="20"/>
              </w:rPr>
            </w:pPr>
          </w:p>
          <w:p w:rsidR="00BA25DE" w:rsidRPr="00B23721" w:rsidRDefault="00BA25DE" w:rsidP="00FF0995">
            <w:pPr>
              <w:jc w:val="left"/>
              <w:rPr>
                <w:rFonts w:ascii="Arial Narrow" w:hAnsi="Arial Narrow"/>
                <w:sz w:val="20"/>
              </w:rPr>
            </w:pPr>
            <w:r w:rsidRPr="00B23721">
              <w:rPr>
                <w:rFonts w:ascii="Arial Narrow" w:hAnsi="Arial Narrow"/>
                <w:sz w:val="20"/>
              </w:rPr>
              <w:t>16th World Conference on Lung Cancer. September</w:t>
            </w:r>
            <w:r w:rsidRPr="00B23721">
              <w:rPr>
                <w:rFonts w:ascii="Arial Narrow" w:hAnsi="Arial Narrow"/>
                <w:sz w:val="20"/>
                <w:lang w:val="fr-FR"/>
              </w:rPr>
              <w:t xml:space="preserve"> 6 – 9. 2015. Denver, USA.</w:t>
            </w:r>
          </w:p>
        </w:tc>
      </w:tr>
      <w:tr w:rsidR="00BA25DE" w:rsidRPr="00B23721" w:rsidTr="00FA394F">
        <w:tc>
          <w:tcPr>
            <w:tcW w:w="595" w:type="pct"/>
            <w:tcBorders>
              <w:top w:val="nil"/>
            </w:tcBorders>
          </w:tcPr>
          <w:p w:rsidR="00BA25DE" w:rsidRPr="00B23721" w:rsidRDefault="00BA25DE" w:rsidP="00FF0995">
            <w:pPr>
              <w:jc w:val="left"/>
              <w:rPr>
                <w:rFonts w:ascii="Arial Narrow" w:hAnsi="Arial Narrow"/>
                <w:sz w:val="20"/>
              </w:rPr>
            </w:pPr>
          </w:p>
        </w:tc>
        <w:tc>
          <w:tcPr>
            <w:tcW w:w="2889" w:type="pct"/>
            <w:tcBorders>
              <w:top w:val="nil"/>
            </w:tcBorders>
          </w:tcPr>
          <w:p w:rsidR="00BA25DE" w:rsidRPr="00B23721" w:rsidRDefault="00BA25DE" w:rsidP="00FF0995">
            <w:pPr>
              <w:keepNext/>
              <w:spacing w:after="40"/>
              <w:jc w:val="left"/>
              <w:rPr>
                <w:rFonts w:ascii="Arial Narrow" w:hAnsi="Arial Narrow" w:cs="Arial Narrow"/>
                <w:sz w:val="20"/>
              </w:rPr>
            </w:pPr>
            <w:r w:rsidRPr="00B23721">
              <w:rPr>
                <w:rFonts w:ascii="Arial Narrow" w:hAnsi="Arial Narrow" w:cs="Arial Narrow"/>
                <w:sz w:val="20"/>
                <w:u w:val="single"/>
              </w:rPr>
              <w:t>Poster presentation</w:t>
            </w:r>
          </w:p>
          <w:p w:rsidR="00BA25DE" w:rsidRPr="00B23721" w:rsidRDefault="00BA25DE" w:rsidP="00FF0995">
            <w:pPr>
              <w:jc w:val="left"/>
              <w:rPr>
                <w:rFonts w:ascii="Arial Narrow" w:hAnsi="Arial Narrow"/>
                <w:sz w:val="20"/>
              </w:rPr>
            </w:pPr>
            <w:r w:rsidRPr="00B23721">
              <w:rPr>
                <w:rFonts w:ascii="Arial Narrow" w:hAnsi="Arial Narrow" w:cs="Arial Narrow"/>
                <w:sz w:val="20"/>
              </w:rPr>
              <w:t>Borghaei H, Brahmer J, Horn L, et al. Nivolumab vs docetaxel in patients with advanced NSCLC: CheckMate 017/057 2-year update and exploratory cytokine profile analyses.</w:t>
            </w:r>
          </w:p>
        </w:tc>
        <w:tc>
          <w:tcPr>
            <w:tcW w:w="1516" w:type="pct"/>
            <w:tcBorders>
              <w:top w:val="nil"/>
            </w:tcBorders>
          </w:tcPr>
          <w:p w:rsidR="00FA394F" w:rsidRPr="00B23721" w:rsidRDefault="00FA394F" w:rsidP="00FF0995">
            <w:pPr>
              <w:jc w:val="left"/>
              <w:rPr>
                <w:rFonts w:ascii="Arial Narrow" w:hAnsi="Arial Narrow" w:cs="Arial Narrow"/>
                <w:sz w:val="20"/>
              </w:rPr>
            </w:pPr>
          </w:p>
          <w:p w:rsidR="00BA25DE" w:rsidRPr="00B23721" w:rsidRDefault="00BA25DE" w:rsidP="00FF0995">
            <w:pPr>
              <w:jc w:val="left"/>
              <w:rPr>
                <w:rFonts w:ascii="Arial Narrow" w:hAnsi="Arial Narrow"/>
                <w:sz w:val="20"/>
              </w:rPr>
            </w:pPr>
            <w:r w:rsidRPr="00B23721">
              <w:rPr>
                <w:rFonts w:ascii="Arial Narrow" w:hAnsi="Arial Narrow" w:cs="Arial Narrow"/>
                <w:sz w:val="20"/>
              </w:rPr>
              <w:t>American Society of Clinical Oncology 2016 Annual Meeting; June 3-7, 2016; Chicago.I</w:t>
            </w:r>
            <w:r w:rsidR="00576660" w:rsidRPr="00B23721">
              <w:rPr>
                <w:rFonts w:ascii="Arial Narrow" w:hAnsi="Arial Narrow" w:cs="Arial Narrow"/>
                <w:sz w:val="20"/>
              </w:rPr>
              <w:t>L</w:t>
            </w:r>
            <w:r w:rsidRPr="00B23721">
              <w:rPr>
                <w:rFonts w:ascii="Arial Narrow" w:hAnsi="Arial Narrow" w:cs="Arial Narrow"/>
                <w:sz w:val="20"/>
              </w:rPr>
              <w:t>, USA.</w:t>
            </w:r>
          </w:p>
        </w:tc>
      </w:tr>
    </w:tbl>
    <w:p w:rsidR="00BA25DE" w:rsidRPr="00B23721" w:rsidRDefault="00BA25DE" w:rsidP="00BA25DE">
      <w:pPr>
        <w:pStyle w:val="TableFooter"/>
        <w:ind w:firstLine="709"/>
      </w:pPr>
      <w:r w:rsidRPr="00B23721">
        <w:t>Source: Table 11, p18 of the re-submission.</w:t>
      </w:r>
    </w:p>
    <w:p w:rsidR="00BA25DE" w:rsidRPr="00B23721" w:rsidRDefault="00BA25DE" w:rsidP="00BA25DE">
      <w:pPr>
        <w:widowControl/>
        <w:rPr>
          <w:szCs w:val="22"/>
        </w:rPr>
      </w:pPr>
    </w:p>
    <w:p w:rsidR="00BA25DE" w:rsidRPr="00B23721" w:rsidRDefault="00BA25DE" w:rsidP="00BA25DE">
      <w:pPr>
        <w:widowControl/>
        <w:numPr>
          <w:ilvl w:val="1"/>
          <w:numId w:val="4"/>
        </w:numPr>
        <w:rPr>
          <w:szCs w:val="22"/>
        </w:rPr>
      </w:pPr>
      <w:r w:rsidRPr="00B23721">
        <w:rPr>
          <w:szCs w:val="22"/>
        </w:rPr>
        <w:t>The key features of the direct randomised trial are summarised in the table below.</w:t>
      </w:r>
    </w:p>
    <w:p w:rsidR="00BA25DE" w:rsidRPr="00B23721" w:rsidRDefault="00BA25DE" w:rsidP="00FA394F">
      <w:pPr>
        <w:widowControl/>
      </w:pPr>
    </w:p>
    <w:p w:rsidR="00892F33" w:rsidRPr="00DB5D9A" w:rsidRDefault="00892F33" w:rsidP="00DB5D9A">
      <w:pPr>
        <w:pStyle w:val="Caption"/>
        <w:keepNext/>
        <w:ind w:firstLine="709"/>
        <w:rPr>
          <w:rFonts w:ascii="Arial Narrow" w:hAnsi="Arial Narrow"/>
        </w:rPr>
      </w:pPr>
      <w:r w:rsidRPr="00DB5D9A">
        <w:rPr>
          <w:rFonts w:ascii="Arial Narrow" w:hAnsi="Arial Narrow"/>
        </w:rPr>
        <w:t xml:space="preserve">Table </w:t>
      </w:r>
      <w:r w:rsidR="00BB09B5" w:rsidRPr="00DB5D9A">
        <w:rPr>
          <w:rFonts w:ascii="Arial Narrow" w:hAnsi="Arial Narrow"/>
        </w:rPr>
        <w:t>2</w:t>
      </w:r>
      <w:r w:rsidRPr="00DB5D9A">
        <w:rPr>
          <w:rFonts w:ascii="Arial Narrow" w:hAnsi="Arial Narrow"/>
        </w:rPr>
        <w:t>: Key features of the included evidence</w:t>
      </w:r>
    </w:p>
    <w:tbl>
      <w:tblPr>
        <w:tblW w:w="834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1"/>
        <w:gridCol w:w="427"/>
        <w:gridCol w:w="2412"/>
        <w:gridCol w:w="993"/>
        <w:gridCol w:w="1558"/>
        <w:gridCol w:w="991"/>
        <w:gridCol w:w="969"/>
      </w:tblGrid>
      <w:tr w:rsidR="00BA25DE" w:rsidRPr="00B23721" w:rsidTr="00655E4A">
        <w:tc>
          <w:tcPr>
            <w:tcW w:w="594" w:type="pct"/>
            <w:shd w:val="clear" w:color="auto" w:fill="auto"/>
            <w:vAlign w:val="center"/>
          </w:tcPr>
          <w:p w:rsidR="00BA25DE" w:rsidRPr="00B23721" w:rsidRDefault="00BA25DE" w:rsidP="00FF0995">
            <w:pPr>
              <w:keepNext/>
              <w:keepLines/>
              <w:jc w:val="left"/>
              <w:rPr>
                <w:rFonts w:ascii="Arial Narrow" w:hAnsi="Arial Narrow"/>
                <w:b/>
                <w:sz w:val="20"/>
                <w:lang w:val="en-US"/>
              </w:rPr>
            </w:pPr>
            <w:r w:rsidRPr="00B23721">
              <w:rPr>
                <w:rFonts w:ascii="Arial Narrow" w:hAnsi="Arial Narrow"/>
                <w:b/>
                <w:sz w:val="20"/>
                <w:lang w:val="en-US"/>
              </w:rPr>
              <w:t>Trial</w:t>
            </w:r>
          </w:p>
        </w:tc>
        <w:tc>
          <w:tcPr>
            <w:tcW w:w="256" w:type="pct"/>
            <w:shd w:val="clear" w:color="auto" w:fill="auto"/>
            <w:vAlign w:val="center"/>
          </w:tcPr>
          <w:p w:rsidR="00BA25DE" w:rsidRPr="00B23721" w:rsidRDefault="00BA25DE" w:rsidP="00FF0995">
            <w:pPr>
              <w:keepNext/>
              <w:keepLines/>
              <w:jc w:val="center"/>
              <w:rPr>
                <w:rFonts w:ascii="Arial Narrow" w:hAnsi="Arial Narrow"/>
                <w:b/>
                <w:sz w:val="20"/>
                <w:lang w:val="en-US"/>
              </w:rPr>
            </w:pPr>
            <w:r w:rsidRPr="00B23721">
              <w:rPr>
                <w:rFonts w:ascii="Arial Narrow" w:hAnsi="Arial Narrow"/>
                <w:b/>
                <w:sz w:val="20"/>
                <w:lang w:val="en-US"/>
              </w:rPr>
              <w:t>N</w:t>
            </w:r>
          </w:p>
        </w:tc>
        <w:tc>
          <w:tcPr>
            <w:tcW w:w="1446" w:type="pct"/>
            <w:shd w:val="clear" w:color="auto" w:fill="auto"/>
            <w:vAlign w:val="center"/>
          </w:tcPr>
          <w:p w:rsidR="00BA25DE" w:rsidRPr="00B23721" w:rsidRDefault="00BA25DE" w:rsidP="00FF0995">
            <w:pPr>
              <w:keepNext/>
              <w:keepLines/>
              <w:jc w:val="center"/>
              <w:rPr>
                <w:rFonts w:ascii="Arial Narrow" w:hAnsi="Arial Narrow"/>
                <w:b/>
                <w:sz w:val="20"/>
                <w:lang w:val="en-US"/>
              </w:rPr>
            </w:pPr>
            <w:r w:rsidRPr="00B23721">
              <w:rPr>
                <w:rFonts w:ascii="Arial Narrow" w:hAnsi="Arial Narrow"/>
                <w:b/>
                <w:sz w:val="20"/>
                <w:lang w:val="en-US"/>
              </w:rPr>
              <w:t>Design/ duration</w:t>
            </w:r>
          </w:p>
        </w:tc>
        <w:tc>
          <w:tcPr>
            <w:tcW w:w="595" w:type="pct"/>
            <w:shd w:val="clear" w:color="auto" w:fill="auto"/>
            <w:vAlign w:val="center"/>
          </w:tcPr>
          <w:p w:rsidR="00BA25DE" w:rsidRPr="00B23721" w:rsidRDefault="00BA25DE" w:rsidP="00FF0995">
            <w:pPr>
              <w:keepNext/>
              <w:keepLines/>
              <w:jc w:val="center"/>
              <w:rPr>
                <w:rFonts w:ascii="Arial Narrow" w:hAnsi="Arial Narrow"/>
                <w:b/>
                <w:sz w:val="20"/>
                <w:lang w:val="en-US"/>
              </w:rPr>
            </w:pPr>
            <w:r w:rsidRPr="00B23721">
              <w:rPr>
                <w:rFonts w:ascii="Arial Narrow" w:hAnsi="Arial Narrow"/>
                <w:b/>
                <w:sz w:val="20"/>
                <w:lang w:val="en-US"/>
              </w:rPr>
              <w:t>Risk of bias</w:t>
            </w:r>
          </w:p>
        </w:tc>
        <w:tc>
          <w:tcPr>
            <w:tcW w:w="934" w:type="pct"/>
            <w:shd w:val="clear" w:color="auto" w:fill="auto"/>
            <w:vAlign w:val="center"/>
          </w:tcPr>
          <w:p w:rsidR="00BA25DE" w:rsidRPr="00B23721" w:rsidRDefault="00BA25DE" w:rsidP="00FF0995">
            <w:pPr>
              <w:keepNext/>
              <w:keepLines/>
              <w:jc w:val="center"/>
              <w:rPr>
                <w:rFonts w:ascii="Arial Narrow" w:hAnsi="Arial Narrow"/>
                <w:b/>
                <w:sz w:val="20"/>
                <w:lang w:val="en-US"/>
              </w:rPr>
            </w:pPr>
            <w:r w:rsidRPr="00B23721">
              <w:rPr>
                <w:rFonts w:ascii="Arial Narrow" w:hAnsi="Arial Narrow"/>
                <w:b/>
                <w:sz w:val="20"/>
                <w:lang w:val="en-US"/>
              </w:rPr>
              <w:t>Patient population</w:t>
            </w:r>
          </w:p>
        </w:tc>
        <w:tc>
          <w:tcPr>
            <w:tcW w:w="594" w:type="pct"/>
            <w:shd w:val="clear" w:color="auto" w:fill="auto"/>
            <w:vAlign w:val="center"/>
          </w:tcPr>
          <w:p w:rsidR="00BA25DE" w:rsidRPr="00B23721" w:rsidRDefault="00BA25DE" w:rsidP="00FF0995">
            <w:pPr>
              <w:keepNext/>
              <w:keepLines/>
              <w:jc w:val="center"/>
              <w:rPr>
                <w:rFonts w:ascii="Arial Narrow" w:hAnsi="Arial Narrow"/>
                <w:b/>
                <w:sz w:val="20"/>
                <w:lang w:val="en-US"/>
              </w:rPr>
            </w:pPr>
            <w:r w:rsidRPr="00B23721">
              <w:rPr>
                <w:rFonts w:ascii="Arial Narrow" w:hAnsi="Arial Narrow"/>
                <w:b/>
                <w:sz w:val="20"/>
                <w:lang w:val="en-US"/>
              </w:rPr>
              <w:t>Outcome</w:t>
            </w:r>
          </w:p>
        </w:tc>
        <w:tc>
          <w:tcPr>
            <w:tcW w:w="581" w:type="pct"/>
            <w:shd w:val="clear" w:color="auto" w:fill="auto"/>
            <w:vAlign w:val="center"/>
          </w:tcPr>
          <w:p w:rsidR="00BA25DE" w:rsidRPr="00B23721" w:rsidRDefault="00BA25DE" w:rsidP="00FF0995">
            <w:pPr>
              <w:keepNext/>
              <w:keepLines/>
              <w:jc w:val="center"/>
              <w:rPr>
                <w:rFonts w:ascii="Arial Narrow" w:hAnsi="Arial Narrow"/>
                <w:b/>
                <w:sz w:val="20"/>
                <w:lang w:val="en-US"/>
              </w:rPr>
            </w:pPr>
            <w:r w:rsidRPr="00B23721">
              <w:rPr>
                <w:rFonts w:ascii="Arial Narrow" w:hAnsi="Arial Narrow"/>
                <w:b/>
                <w:sz w:val="20"/>
                <w:lang w:val="en-US"/>
              </w:rPr>
              <w:t>Use in modelled evaluation</w:t>
            </w:r>
          </w:p>
        </w:tc>
      </w:tr>
      <w:tr w:rsidR="00BA25DE" w:rsidRPr="00B23721" w:rsidTr="00655E4A">
        <w:tc>
          <w:tcPr>
            <w:tcW w:w="5000" w:type="pct"/>
            <w:gridSpan w:val="7"/>
            <w:shd w:val="clear" w:color="auto" w:fill="auto"/>
            <w:vAlign w:val="center"/>
          </w:tcPr>
          <w:p w:rsidR="00BA25DE" w:rsidRPr="00B23721" w:rsidRDefault="00BA25DE" w:rsidP="00FF0995">
            <w:pPr>
              <w:jc w:val="left"/>
              <w:rPr>
                <w:rFonts w:ascii="Arial Narrow" w:hAnsi="Arial Narrow"/>
                <w:b/>
                <w:sz w:val="20"/>
                <w:lang w:val="en-US"/>
              </w:rPr>
            </w:pPr>
            <w:r w:rsidRPr="00B23721">
              <w:rPr>
                <w:rFonts w:ascii="Arial Narrow" w:hAnsi="Arial Narrow"/>
                <w:b/>
                <w:sz w:val="20"/>
                <w:lang w:val="en-US"/>
              </w:rPr>
              <w:t>Nivolumab 3 mg/kg Q2W vs. docetaxel 75mg/m</w:t>
            </w:r>
            <w:r w:rsidRPr="00B23721">
              <w:rPr>
                <w:rFonts w:ascii="Arial Narrow" w:hAnsi="Arial Narrow"/>
                <w:b/>
                <w:sz w:val="20"/>
                <w:vertAlign w:val="superscript"/>
                <w:lang w:val="en-US"/>
              </w:rPr>
              <w:t>2</w:t>
            </w:r>
            <w:r w:rsidRPr="00B23721">
              <w:rPr>
                <w:rFonts w:ascii="Arial Narrow" w:hAnsi="Arial Narrow"/>
                <w:b/>
                <w:sz w:val="20"/>
                <w:lang w:val="en-US"/>
              </w:rPr>
              <w:t xml:space="preserve"> Q3W</w:t>
            </w:r>
          </w:p>
        </w:tc>
      </w:tr>
      <w:tr w:rsidR="00BA25DE" w:rsidRPr="00B23721" w:rsidTr="00655E4A">
        <w:tc>
          <w:tcPr>
            <w:tcW w:w="594" w:type="pct"/>
            <w:shd w:val="clear" w:color="auto" w:fill="auto"/>
            <w:vAlign w:val="center"/>
          </w:tcPr>
          <w:p w:rsidR="00BA25DE" w:rsidRPr="00B23721" w:rsidRDefault="00BA25DE" w:rsidP="00FF0995">
            <w:pPr>
              <w:jc w:val="left"/>
              <w:rPr>
                <w:rFonts w:ascii="Arial Narrow" w:hAnsi="Arial Narrow"/>
                <w:sz w:val="20"/>
                <w:lang w:val="en-US"/>
              </w:rPr>
            </w:pPr>
            <w:r w:rsidRPr="00B23721">
              <w:rPr>
                <w:rFonts w:ascii="Arial Narrow" w:hAnsi="Arial Narrow"/>
                <w:sz w:val="20"/>
                <w:lang w:val="en-US"/>
              </w:rPr>
              <w:t>CA209-017</w:t>
            </w:r>
          </w:p>
        </w:tc>
        <w:tc>
          <w:tcPr>
            <w:tcW w:w="256" w:type="pct"/>
            <w:shd w:val="clear" w:color="auto" w:fill="auto"/>
            <w:vAlign w:val="center"/>
          </w:tcPr>
          <w:p w:rsidR="00BA25DE" w:rsidRPr="00B23721" w:rsidRDefault="00BA25DE" w:rsidP="00FF0995">
            <w:pPr>
              <w:jc w:val="center"/>
              <w:rPr>
                <w:rFonts w:ascii="Arial Narrow" w:hAnsi="Arial Narrow"/>
                <w:sz w:val="20"/>
                <w:lang w:val="en-US"/>
              </w:rPr>
            </w:pPr>
            <w:r w:rsidRPr="00B23721">
              <w:rPr>
                <w:rFonts w:ascii="Arial Narrow" w:hAnsi="Arial Narrow"/>
                <w:sz w:val="20"/>
                <w:lang w:val="en-US"/>
              </w:rPr>
              <w:t>272</w:t>
            </w:r>
          </w:p>
        </w:tc>
        <w:tc>
          <w:tcPr>
            <w:tcW w:w="1446" w:type="pct"/>
            <w:shd w:val="clear" w:color="auto" w:fill="auto"/>
            <w:vAlign w:val="center"/>
          </w:tcPr>
          <w:p w:rsidR="00BA25DE" w:rsidRPr="00B23721" w:rsidRDefault="00BA25DE" w:rsidP="00FF0995">
            <w:pPr>
              <w:jc w:val="center"/>
              <w:rPr>
                <w:rFonts w:ascii="Arial Narrow" w:hAnsi="Arial Narrow"/>
                <w:sz w:val="20"/>
                <w:lang w:val="en-US"/>
              </w:rPr>
            </w:pPr>
            <w:r w:rsidRPr="00B23721">
              <w:rPr>
                <w:rFonts w:ascii="Arial Narrow" w:hAnsi="Arial Narrow"/>
                <w:sz w:val="20"/>
                <w:lang w:val="en-US"/>
              </w:rPr>
              <w:t>R, OL</w:t>
            </w:r>
          </w:p>
          <w:p w:rsidR="00BA25DE" w:rsidRPr="00B23721" w:rsidRDefault="00BA25DE" w:rsidP="00FF0995">
            <w:pPr>
              <w:jc w:val="center"/>
              <w:rPr>
                <w:rFonts w:ascii="Arial Narrow" w:hAnsi="Arial Narrow"/>
                <w:sz w:val="20"/>
                <w:lang w:val="en-US"/>
              </w:rPr>
            </w:pPr>
            <w:r w:rsidRPr="00B23721">
              <w:rPr>
                <w:rFonts w:ascii="Arial Narrow" w:hAnsi="Arial Narrow"/>
                <w:sz w:val="20"/>
                <w:lang w:val="en-US"/>
              </w:rPr>
              <w:t>Database lock December 2014 (follow-up 10.6 months),</w:t>
            </w:r>
            <w:r w:rsidRPr="00B23721">
              <w:rPr>
                <w:rFonts w:ascii="Arial Narrow" w:hAnsi="Arial Narrow"/>
                <w:sz w:val="20"/>
                <w:lang w:val="en-US"/>
              </w:rPr>
              <w:br/>
              <w:t>Database lock August 2015 (follow-up 18 months)</w:t>
            </w:r>
            <w:r w:rsidRPr="00B23721">
              <w:rPr>
                <w:rFonts w:ascii="Arial Narrow" w:hAnsi="Arial Narrow"/>
                <w:sz w:val="20"/>
                <w:lang w:val="en-US"/>
              </w:rPr>
              <w:br/>
              <w:t>Database lock February 2016</w:t>
            </w:r>
            <w:r w:rsidRPr="00B23721">
              <w:rPr>
                <w:rFonts w:ascii="Arial Narrow" w:hAnsi="Arial Narrow"/>
                <w:sz w:val="20"/>
                <w:lang w:val="en-US"/>
              </w:rPr>
              <w:br/>
              <w:t>(follow-up 24 months)</w:t>
            </w:r>
          </w:p>
        </w:tc>
        <w:tc>
          <w:tcPr>
            <w:tcW w:w="595" w:type="pct"/>
            <w:shd w:val="clear" w:color="auto" w:fill="auto"/>
            <w:vAlign w:val="center"/>
          </w:tcPr>
          <w:p w:rsidR="00BA25DE" w:rsidRPr="00B23721" w:rsidRDefault="00BA25DE" w:rsidP="00FF0995">
            <w:pPr>
              <w:jc w:val="center"/>
              <w:rPr>
                <w:rFonts w:ascii="Arial Narrow" w:hAnsi="Arial Narrow"/>
                <w:sz w:val="20"/>
                <w:lang w:val="en-US"/>
              </w:rPr>
            </w:pPr>
            <w:r w:rsidRPr="00B23721">
              <w:rPr>
                <w:rFonts w:ascii="Arial Narrow" w:hAnsi="Arial Narrow"/>
                <w:sz w:val="20"/>
                <w:lang w:val="en-US"/>
              </w:rPr>
              <w:t>Low for OS</w:t>
            </w:r>
          </w:p>
          <w:p w:rsidR="00BA25DE" w:rsidRPr="00B23721" w:rsidRDefault="00BA25DE" w:rsidP="00FF0995">
            <w:pPr>
              <w:jc w:val="center"/>
              <w:rPr>
                <w:rFonts w:ascii="Arial Narrow" w:hAnsi="Arial Narrow"/>
                <w:sz w:val="20"/>
                <w:lang w:val="en-US"/>
              </w:rPr>
            </w:pPr>
            <w:r w:rsidRPr="00B23721">
              <w:rPr>
                <w:rFonts w:ascii="Arial Narrow" w:hAnsi="Arial Narrow"/>
                <w:sz w:val="20"/>
                <w:lang w:val="en-US"/>
              </w:rPr>
              <w:t>High for AEs and QoL.</w:t>
            </w:r>
          </w:p>
        </w:tc>
        <w:tc>
          <w:tcPr>
            <w:tcW w:w="934" w:type="pct"/>
            <w:shd w:val="clear" w:color="auto" w:fill="auto"/>
            <w:vAlign w:val="center"/>
          </w:tcPr>
          <w:p w:rsidR="00BA25DE" w:rsidRPr="00B23721" w:rsidRDefault="00BA25DE" w:rsidP="00FF0995">
            <w:pPr>
              <w:jc w:val="center"/>
              <w:rPr>
                <w:rFonts w:ascii="Arial Narrow" w:hAnsi="Arial Narrow"/>
                <w:sz w:val="20"/>
                <w:lang w:val="en-US"/>
              </w:rPr>
            </w:pPr>
            <w:r w:rsidRPr="00B23721">
              <w:rPr>
                <w:rFonts w:ascii="Arial Narrow" w:hAnsi="Arial Narrow"/>
                <w:sz w:val="20"/>
                <w:lang w:val="en-US"/>
              </w:rPr>
              <w:t>Patients (unselected for PD-L1 status) who had failed platinum-based chemotherapy</w:t>
            </w:r>
          </w:p>
        </w:tc>
        <w:tc>
          <w:tcPr>
            <w:tcW w:w="594" w:type="pct"/>
            <w:shd w:val="clear" w:color="auto" w:fill="auto"/>
            <w:vAlign w:val="center"/>
          </w:tcPr>
          <w:p w:rsidR="00BA25DE" w:rsidRPr="00B23721" w:rsidRDefault="00BA25DE" w:rsidP="00FF0995">
            <w:pPr>
              <w:jc w:val="center"/>
              <w:rPr>
                <w:rFonts w:ascii="Arial Narrow" w:hAnsi="Arial Narrow"/>
                <w:sz w:val="20"/>
                <w:lang w:val="en-US"/>
              </w:rPr>
            </w:pPr>
            <w:r w:rsidRPr="00B23721">
              <w:rPr>
                <w:rFonts w:ascii="Arial Narrow" w:hAnsi="Arial Narrow"/>
                <w:sz w:val="20"/>
                <w:lang w:val="en-US"/>
              </w:rPr>
              <w:t>Overall survival</w:t>
            </w:r>
          </w:p>
        </w:tc>
        <w:tc>
          <w:tcPr>
            <w:tcW w:w="581" w:type="pct"/>
            <w:shd w:val="clear" w:color="auto" w:fill="auto"/>
            <w:vAlign w:val="center"/>
          </w:tcPr>
          <w:p w:rsidR="00BA25DE" w:rsidRPr="00B23721" w:rsidRDefault="00BA25DE" w:rsidP="00FF0995">
            <w:pPr>
              <w:jc w:val="center"/>
              <w:rPr>
                <w:rFonts w:ascii="Arial Narrow" w:hAnsi="Arial Narrow"/>
                <w:sz w:val="20"/>
                <w:lang w:val="en-US"/>
              </w:rPr>
            </w:pPr>
            <w:r w:rsidRPr="00B23721">
              <w:rPr>
                <w:rFonts w:ascii="Arial Narrow" w:hAnsi="Arial Narrow"/>
                <w:sz w:val="20"/>
                <w:lang w:val="en-US"/>
              </w:rPr>
              <w:t>Used</w:t>
            </w:r>
          </w:p>
        </w:tc>
      </w:tr>
    </w:tbl>
    <w:p w:rsidR="00BA25DE" w:rsidRPr="00B23721" w:rsidRDefault="00BA25DE" w:rsidP="00BA25DE">
      <w:pPr>
        <w:pStyle w:val="TableFooter"/>
        <w:ind w:left="709"/>
      </w:pPr>
      <w:r w:rsidRPr="00B23721">
        <w:t xml:space="preserve">AEs = adverse events; OL = open label; OS =overall survival; PD-L1 = programmed death ligand-1; R = randomised; Q2W = every 2 weeks; Q3W = every 3 weeks; QoL = quality of life. </w:t>
      </w:r>
    </w:p>
    <w:p w:rsidR="00BA25DE" w:rsidRPr="00B23721" w:rsidRDefault="00BA25DE" w:rsidP="00BA25DE">
      <w:pPr>
        <w:pStyle w:val="TableFooter"/>
        <w:ind w:left="709"/>
      </w:pPr>
      <w:r w:rsidRPr="00B23721">
        <w:t>Source: compiled during the evaluation.</w:t>
      </w:r>
    </w:p>
    <w:p w:rsidR="00BA25DE" w:rsidRPr="00B23721" w:rsidRDefault="00BA25DE" w:rsidP="00FA394F">
      <w:pPr>
        <w:widowControl/>
        <w:rPr>
          <w:szCs w:val="22"/>
        </w:rPr>
      </w:pPr>
    </w:p>
    <w:p w:rsidR="00BA25DE" w:rsidRPr="00B23721" w:rsidRDefault="00BA25DE" w:rsidP="00BA25DE">
      <w:pPr>
        <w:pStyle w:val="ListParagraph"/>
        <w:widowControl/>
        <w:numPr>
          <w:ilvl w:val="1"/>
          <w:numId w:val="4"/>
        </w:numPr>
      </w:pPr>
      <w:r w:rsidRPr="00B23721">
        <w:rPr>
          <w:bCs/>
          <w:szCs w:val="22"/>
          <w:lang w:val="en-GB"/>
        </w:rPr>
        <w:t>The PBAC previously noted that the key clinical trial, CA209-017, directly compared nivolumab and docetaxel, and the risk of bias was low for the outcome of overall survival (OS) (paragraph 7.5, 5.06. nivolumab PSD, March 2016 PBAC Meeting).</w:t>
      </w:r>
      <w:r w:rsidRPr="00B23721">
        <w:t xml:space="preserve"> Due to the open-label design of the trial, it is possible that the observed rate of immune-related adverse events (AEs) may have been affected by investigator, clinician and patient knowledge of treatment allocation.</w:t>
      </w:r>
    </w:p>
    <w:p w:rsidR="00BA25DE" w:rsidRPr="00B23721" w:rsidRDefault="00BA25DE" w:rsidP="00BA25DE">
      <w:pPr>
        <w:widowControl/>
        <w:rPr>
          <w:szCs w:val="22"/>
        </w:rPr>
      </w:pPr>
    </w:p>
    <w:p w:rsidR="00BA25DE" w:rsidRPr="00B23721" w:rsidRDefault="00BA25DE" w:rsidP="009905CA">
      <w:pPr>
        <w:pStyle w:val="Heading3"/>
      </w:pPr>
      <w:bookmarkStart w:id="10" w:name="_Toc461611883"/>
      <w:r w:rsidRPr="00B23721">
        <w:t>Comparative effectiveness</w:t>
      </w:r>
      <w:bookmarkEnd w:id="10"/>
    </w:p>
    <w:p w:rsidR="00BA25DE" w:rsidRPr="00B23721" w:rsidRDefault="00BA25DE" w:rsidP="00BA25DE">
      <w:pPr>
        <w:rPr>
          <w:szCs w:val="22"/>
        </w:rPr>
      </w:pPr>
    </w:p>
    <w:p w:rsidR="00BA25DE" w:rsidRPr="00B23721" w:rsidRDefault="00BA25DE" w:rsidP="00BA25DE">
      <w:pPr>
        <w:pStyle w:val="ListParagraph"/>
        <w:widowControl/>
        <w:numPr>
          <w:ilvl w:val="1"/>
          <w:numId w:val="4"/>
        </w:numPr>
        <w:rPr>
          <w:szCs w:val="22"/>
        </w:rPr>
      </w:pPr>
      <w:r w:rsidRPr="00B23721">
        <w:t>The Kaplan-Meier curves for OS, based on the updated results from trial CA209-017 (24 months minimum follow-up), a</w:t>
      </w:r>
      <w:r w:rsidR="00FA394F" w:rsidRPr="00B23721">
        <w:t>re presented below in Figure 1.</w:t>
      </w:r>
    </w:p>
    <w:p w:rsidR="00BA25DE" w:rsidRPr="00B23721" w:rsidRDefault="00BA25DE" w:rsidP="00FA394F">
      <w:pPr>
        <w:widowControl/>
        <w:rPr>
          <w:szCs w:val="22"/>
        </w:rPr>
      </w:pPr>
    </w:p>
    <w:p w:rsidR="00892F33" w:rsidRPr="00DB5D9A" w:rsidRDefault="00892F33" w:rsidP="00892F33">
      <w:pPr>
        <w:pStyle w:val="Caption"/>
        <w:keepNext/>
        <w:ind w:firstLine="709"/>
        <w:rPr>
          <w:rFonts w:ascii="Arial Narrow" w:hAnsi="Arial Narrow"/>
        </w:rPr>
      </w:pPr>
      <w:r w:rsidRPr="00DB5D9A">
        <w:rPr>
          <w:rFonts w:ascii="Arial Narrow" w:hAnsi="Arial Narrow"/>
        </w:rPr>
        <w:lastRenderedPageBreak/>
        <w:t>Figure 1: Kaplan-Meier curves for overall survival (24 months minimum follow-up)</w:t>
      </w:r>
    </w:p>
    <w:p w:rsidR="00BA25DE" w:rsidRPr="00B23721" w:rsidRDefault="00BA25DE" w:rsidP="00BA25DE">
      <w:pPr>
        <w:keepNext/>
        <w:keepLines/>
        <w:widowControl/>
        <w:ind w:left="709"/>
        <w:rPr>
          <w:szCs w:val="22"/>
        </w:rPr>
      </w:pPr>
      <w:r w:rsidRPr="00B23721">
        <w:rPr>
          <w:noProof/>
          <w:lang w:eastAsia="en-AU"/>
        </w:rPr>
        <w:drawing>
          <wp:inline distT="0" distB="0" distL="0" distR="0" wp14:anchorId="17BF12F6" wp14:editId="18471C0B">
            <wp:extent cx="4591050" cy="3533968"/>
            <wp:effectExtent l="0" t="0" r="0" b="9525"/>
            <wp:docPr id="3" name="Picture 3" descr="Kaplan-meier curves of overall survival from trial CA209-017 for nivolumab and docetaxel over 39 months" title="Kaplan-meier curves of overall survival, nivolumab and doceta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02508" cy="3542787"/>
                    </a:xfrm>
                    <a:prstGeom prst="rect">
                      <a:avLst/>
                    </a:prstGeom>
                  </pic:spPr>
                </pic:pic>
              </a:graphicData>
            </a:graphic>
          </wp:inline>
        </w:drawing>
      </w:r>
    </w:p>
    <w:p w:rsidR="00BA25DE" w:rsidRPr="00B23721" w:rsidRDefault="00BA25DE" w:rsidP="00655E4A">
      <w:pPr>
        <w:pStyle w:val="TableFooter"/>
        <w:keepNext/>
        <w:keepLines/>
        <w:spacing w:before="40"/>
        <w:ind w:left="709"/>
      </w:pPr>
      <w:r w:rsidRPr="00B23721">
        <w:t>CI = confidence interval; HR = hazard ratio; OS = overall survival</w:t>
      </w:r>
    </w:p>
    <w:p w:rsidR="00BA25DE" w:rsidRPr="00B23721" w:rsidRDefault="00BA25DE" w:rsidP="00655E4A">
      <w:pPr>
        <w:pStyle w:val="TableFooter"/>
        <w:keepNext/>
        <w:keepLines/>
        <w:ind w:left="709"/>
      </w:pPr>
      <w:r w:rsidRPr="00B23721">
        <w:t>Source: Figure 1, p21 of the re-submission.</w:t>
      </w:r>
    </w:p>
    <w:p w:rsidR="00BA25DE" w:rsidRPr="00B23721" w:rsidRDefault="00BA25DE" w:rsidP="00BA25DE">
      <w:pPr>
        <w:widowControl/>
        <w:rPr>
          <w:szCs w:val="22"/>
        </w:rPr>
      </w:pPr>
    </w:p>
    <w:p w:rsidR="00BA25DE" w:rsidRPr="00B23721" w:rsidRDefault="00BA25DE" w:rsidP="00BA25DE">
      <w:pPr>
        <w:pStyle w:val="ListParagraph"/>
        <w:widowControl/>
        <w:numPr>
          <w:ilvl w:val="1"/>
          <w:numId w:val="4"/>
        </w:numPr>
      </w:pPr>
      <w:r w:rsidRPr="00B23721">
        <w:t>Table 3 compares the updated OS results, based on the 24 months minimum follow-up data, with those presented in the original submission</w:t>
      </w:r>
      <w:r w:rsidR="00FA394F" w:rsidRPr="00B23721">
        <w:t xml:space="preserve"> (18 months minimum follow-up).</w:t>
      </w:r>
    </w:p>
    <w:p w:rsidR="00BA25DE" w:rsidRPr="00B23721" w:rsidRDefault="00BA25DE" w:rsidP="00FA394F">
      <w:pPr>
        <w:widowControl/>
        <w:rPr>
          <w:szCs w:val="22"/>
        </w:rPr>
      </w:pPr>
    </w:p>
    <w:p w:rsidR="00892F33" w:rsidRPr="009E7552" w:rsidRDefault="00892F33" w:rsidP="009E7552">
      <w:pPr>
        <w:pStyle w:val="Caption"/>
        <w:keepNext/>
        <w:ind w:firstLine="709"/>
        <w:rPr>
          <w:rFonts w:ascii="Arial Narrow" w:hAnsi="Arial Narrow"/>
        </w:rPr>
      </w:pPr>
      <w:r w:rsidRPr="009E7552">
        <w:rPr>
          <w:rFonts w:ascii="Arial Narrow" w:hAnsi="Arial Narrow"/>
        </w:rPr>
        <w:t xml:space="preserve">Table </w:t>
      </w:r>
      <w:r w:rsidR="00BB09B5" w:rsidRPr="009E7552">
        <w:rPr>
          <w:rFonts w:ascii="Arial Narrow" w:hAnsi="Arial Narrow"/>
        </w:rPr>
        <w:t>3</w:t>
      </w:r>
      <w:r w:rsidRPr="009E7552">
        <w:rPr>
          <w:rFonts w:ascii="Arial Narrow" w:hAnsi="Arial Narrow"/>
        </w:rPr>
        <w:t>: Overall survival results from Trial CA209-017</w:t>
      </w:r>
    </w:p>
    <w:tbl>
      <w:tblPr>
        <w:tblW w:w="83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1260"/>
        <w:gridCol w:w="1851"/>
        <w:gridCol w:w="1259"/>
        <w:gridCol w:w="1851"/>
      </w:tblGrid>
      <w:tr w:rsidR="00BA25DE" w:rsidRPr="00B23721" w:rsidTr="005227F2">
        <w:trPr>
          <w:trHeight w:val="365"/>
        </w:trPr>
        <w:tc>
          <w:tcPr>
            <w:tcW w:w="1293" w:type="pct"/>
            <w:shd w:val="clear" w:color="auto" w:fill="auto"/>
            <w:vAlign w:val="center"/>
          </w:tcPr>
          <w:p w:rsidR="00BA25DE" w:rsidRPr="00B23721" w:rsidRDefault="00BA25DE" w:rsidP="00FF0995">
            <w:pPr>
              <w:jc w:val="left"/>
              <w:rPr>
                <w:rFonts w:ascii="Arial Narrow" w:hAnsi="Arial Narrow"/>
                <w:b/>
                <w:sz w:val="20"/>
              </w:rPr>
            </w:pPr>
            <w:r w:rsidRPr="00B23721">
              <w:rPr>
                <w:rFonts w:ascii="Arial Narrow" w:hAnsi="Arial Narrow"/>
                <w:b/>
                <w:sz w:val="20"/>
              </w:rPr>
              <w:t>Source</w:t>
            </w:r>
          </w:p>
        </w:tc>
        <w:tc>
          <w:tcPr>
            <w:tcW w:w="1854" w:type="pct"/>
            <w:gridSpan w:val="2"/>
            <w:shd w:val="clear" w:color="auto" w:fill="auto"/>
            <w:vAlign w:val="center"/>
          </w:tcPr>
          <w:p w:rsidR="00BA25DE" w:rsidRPr="00B23721" w:rsidRDefault="00BA25DE" w:rsidP="00FF0995">
            <w:pPr>
              <w:jc w:val="center"/>
              <w:rPr>
                <w:rFonts w:ascii="Arial Narrow" w:hAnsi="Arial Narrow"/>
                <w:b/>
                <w:sz w:val="20"/>
                <w:vertAlign w:val="superscript"/>
              </w:rPr>
            </w:pPr>
            <w:r w:rsidRPr="00B23721">
              <w:rPr>
                <w:rFonts w:ascii="Arial Narrow" w:hAnsi="Arial Narrow"/>
                <w:b/>
                <w:sz w:val="20"/>
              </w:rPr>
              <w:t>Reckamp et al (2015)</w:t>
            </w:r>
            <w:r w:rsidRPr="00B23721">
              <w:rPr>
                <w:rFonts w:ascii="Arial Narrow" w:hAnsi="Arial Narrow"/>
                <w:b/>
                <w:sz w:val="20"/>
                <w:vertAlign w:val="superscript"/>
              </w:rPr>
              <w:t xml:space="preserve"> </w:t>
            </w:r>
          </w:p>
          <w:p w:rsidR="00BA25DE" w:rsidRPr="00B23721" w:rsidRDefault="00BA25DE" w:rsidP="00FF0995">
            <w:pPr>
              <w:jc w:val="center"/>
              <w:rPr>
                <w:rFonts w:ascii="Arial Narrow" w:hAnsi="Arial Narrow"/>
                <w:b/>
                <w:sz w:val="20"/>
              </w:rPr>
            </w:pPr>
            <w:r w:rsidRPr="00B23721">
              <w:rPr>
                <w:rFonts w:ascii="Arial Narrow" w:hAnsi="Arial Narrow"/>
                <w:b/>
                <w:sz w:val="20"/>
              </w:rPr>
              <w:t>Database lock August 2015</w:t>
            </w:r>
          </w:p>
        </w:tc>
        <w:tc>
          <w:tcPr>
            <w:tcW w:w="1853" w:type="pct"/>
            <w:gridSpan w:val="2"/>
            <w:shd w:val="clear" w:color="auto" w:fill="auto"/>
            <w:vAlign w:val="center"/>
          </w:tcPr>
          <w:p w:rsidR="00BA25DE" w:rsidRPr="00B23721" w:rsidRDefault="00BA25DE" w:rsidP="00FF0995">
            <w:pPr>
              <w:jc w:val="center"/>
              <w:rPr>
                <w:rFonts w:ascii="Arial Narrow" w:hAnsi="Arial Narrow"/>
                <w:b/>
                <w:sz w:val="20"/>
                <w:vertAlign w:val="superscript"/>
              </w:rPr>
            </w:pPr>
            <w:r w:rsidRPr="00B23721">
              <w:rPr>
                <w:rFonts w:ascii="Arial Narrow" w:hAnsi="Arial Narrow"/>
                <w:b/>
                <w:sz w:val="20"/>
              </w:rPr>
              <w:t>Borghaei et al (2016)</w:t>
            </w:r>
            <w:r w:rsidRPr="00B23721">
              <w:rPr>
                <w:rFonts w:ascii="Arial Narrow" w:hAnsi="Arial Narrow"/>
                <w:b/>
                <w:sz w:val="20"/>
                <w:vertAlign w:val="superscript"/>
              </w:rPr>
              <w:t xml:space="preserve"> </w:t>
            </w:r>
          </w:p>
          <w:p w:rsidR="00BA25DE" w:rsidRPr="00B23721" w:rsidRDefault="00BA25DE" w:rsidP="00FF0995">
            <w:pPr>
              <w:jc w:val="center"/>
              <w:rPr>
                <w:rFonts w:ascii="Arial Narrow" w:hAnsi="Arial Narrow"/>
                <w:b/>
                <w:sz w:val="20"/>
              </w:rPr>
            </w:pPr>
            <w:r w:rsidRPr="00B23721">
              <w:rPr>
                <w:rFonts w:ascii="Arial Narrow" w:hAnsi="Arial Narrow"/>
                <w:b/>
                <w:sz w:val="20"/>
              </w:rPr>
              <w:t>Database lock February 2016</w:t>
            </w:r>
          </w:p>
        </w:tc>
      </w:tr>
      <w:tr w:rsidR="00BA25DE" w:rsidRPr="00B23721" w:rsidTr="005227F2">
        <w:trPr>
          <w:trHeight w:val="113"/>
        </w:trPr>
        <w:tc>
          <w:tcPr>
            <w:tcW w:w="1293" w:type="pct"/>
            <w:shd w:val="clear" w:color="auto" w:fill="auto"/>
            <w:vAlign w:val="center"/>
          </w:tcPr>
          <w:p w:rsidR="00BA25DE" w:rsidRPr="00B23721" w:rsidRDefault="00BA25DE" w:rsidP="00FA394F">
            <w:pPr>
              <w:jc w:val="left"/>
              <w:rPr>
                <w:rFonts w:ascii="Arial Narrow" w:hAnsi="Arial Narrow"/>
                <w:b/>
                <w:sz w:val="20"/>
              </w:rPr>
            </w:pPr>
            <w:r w:rsidRPr="00B23721">
              <w:rPr>
                <w:rFonts w:ascii="Arial Narrow" w:hAnsi="Arial Narrow"/>
                <w:b/>
                <w:sz w:val="20"/>
              </w:rPr>
              <w:t>Min</w:t>
            </w:r>
            <w:r w:rsidR="00FA394F" w:rsidRPr="00B23721">
              <w:rPr>
                <w:rFonts w:ascii="Arial Narrow" w:hAnsi="Arial Narrow"/>
                <w:b/>
                <w:sz w:val="20"/>
              </w:rPr>
              <w:t>imum</w:t>
            </w:r>
            <w:r w:rsidRPr="00B23721">
              <w:rPr>
                <w:rFonts w:ascii="Arial Narrow" w:hAnsi="Arial Narrow"/>
                <w:b/>
                <w:sz w:val="20"/>
              </w:rPr>
              <w:t xml:space="preserve"> follow-up</w:t>
            </w:r>
          </w:p>
        </w:tc>
        <w:tc>
          <w:tcPr>
            <w:tcW w:w="1854" w:type="pct"/>
            <w:gridSpan w:val="2"/>
            <w:shd w:val="clear" w:color="auto" w:fill="auto"/>
            <w:vAlign w:val="center"/>
          </w:tcPr>
          <w:p w:rsidR="00BA25DE" w:rsidRPr="00B23721" w:rsidRDefault="00BA25DE" w:rsidP="00FF0995">
            <w:pPr>
              <w:jc w:val="center"/>
              <w:rPr>
                <w:rFonts w:ascii="Arial Narrow" w:hAnsi="Arial Narrow"/>
                <w:b/>
                <w:sz w:val="20"/>
              </w:rPr>
            </w:pPr>
            <w:r w:rsidRPr="00B23721">
              <w:rPr>
                <w:rFonts w:ascii="Arial Narrow" w:hAnsi="Arial Narrow"/>
                <w:b/>
                <w:sz w:val="20"/>
              </w:rPr>
              <w:t>18 months</w:t>
            </w:r>
          </w:p>
        </w:tc>
        <w:tc>
          <w:tcPr>
            <w:tcW w:w="1853" w:type="pct"/>
            <w:gridSpan w:val="2"/>
            <w:shd w:val="clear" w:color="auto" w:fill="auto"/>
            <w:vAlign w:val="center"/>
          </w:tcPr>
          <w:p w:rsidR="00BA25DE" w:rsidRPr="00B23721" w:rsidRDefault="00BA25DE" w:rsidP="00FF0995">
            <w:pPr>
              <w:jc w:val="center"/>
              <w:rPr>
                <w:rFonts w:ascii="Arial Narrow" w:hAnsi="Arial Narrow"/>
                <w:b/>
                <w:sz w:val="20"/>
              </w:rPr>
            </w:pPr>
            <w:r w:rsidRPr="00B23721">
              <w:rPr>
                <w:rFonts w:ascii="Arial Narrow" w:hAnsi="Arial Narrow"/>
                <w:b/>
                <w:sz w:val="20"/>
              </w:rPr>
              <w:t>24 months</w:t>
            </w:r>
          </w:p>
        </w:tc>
      </w:tr>
      <w:tr w:rsidR="00BA25DE" w:rsidRPr="00B23721" w:rsidTr="005227F2">
        <w:trPr>
          <w:trHeight w:val="365"/>
        </w:trPr>
        <w:tc>
          <w:tcPr>
            <w:tcW w:w="1293" w:type="pct"/>
            <w:shd w:val="clear" w:color="auto" w:fill="auto"/>
            <w:vAlign w:val="center"/>
          </w:tcPr>
          <w:p w:rsidR="00BA25DE" w:rsidRPr="00B23721" w:rsidRDefault="00BA25DE" w:rsidP="00FF0995">
            <w:pPr>
              <w:jc w:val="left"/>
              <w:rPr>
                <w:rFonts w:ascii="Arial Narrow" w:hAnsi="Arial Narrow"/>
                <w:b/>
                <w:sz w:val="20"/>
              </w:rPr>
            </w:pPr>
          </w:p>
        </w:tc>
        <w:tc>
          <w:tcPr>
            <w:tcW w:w="751" w:type="pct"/>
            <w:shd w:val="clear" w:color="auto" w:fill="auto"/>
            <w:vAlign w:val="center"/>
          </w:tcPr>
          <w:p w:rsidR="00BA25DE" w:rsidRPr="00B23721" w:rsidRDefault="00BA25DE" w:rsidP="00FF0995">
            <w:pPr>
              <w:jc w:val="center"/>
              <w:rPr>
                <w:rFonts w:ascii="Arial Narrow" w:hAnsi="Arial Narrow"/>
                <w:b/>
                <w:sz w:val="20"/>
              </w:rPr>
            </w:pPr>
            <w:r w:rsidRPr="00B23721">
              <w:rPr>
                <w:rFonts w:ascii="Arial Narrow" w:hAnsi="Arial Narrow"/>
                <w:b/>
                <w:sz w:val="20"/>
              </w:rPr>
              <w:t xml:space="preserve">Nivolumab </w:t>
            </w:r>
          </w:p>
          <w:p w:rsidR="00BA25DE" w:rsidRPr="00B23721" w:rsidRDefault="00BA25DE" w:rsidP="00FF0995">
            <w:pPr>
              <w:jc w:val="center"/>
              <w:rPr>
                <w:rFonts w:ascii="Arial Narrow" w:hAnsi="Arial Narrow"/>
                <w:b/>
                <w:sz w:val="20"/>
              </w:rPr>
            </w:pPr>
            <w:r w:rsidRPr="00B23721">
              <w:rPr>
                <w:rFonts w:ascii="Arial Narrow" w:hAnsi="Arial Narrow"/>
                <w:b/>
                <w:sz w:val="20"/>
              </w:rPr>
              <w:t>N=135</w:t>
            </w:r>
          </w:p>
        </w:tc>
        <w:tc>
          <w:tcPr>
            <w:tcW w:w="1103" w:type="pct"/>
            <w:shd w:val="clear" w:color="auto" w:fill="auto"/>
            <w:vAlign w:val="center"/>
          </w:tcPr>
          <w:p w:rsidR="00BA25DE" w:rsidRPr="00B23721" w:rsidRDefault="00BA25DE" w:rsidP="00FF0995">
            <w:pPr>
              <w:jc w:val="center"/>
              <w:rPr>
                <w:rFonts w:ascii="Arial Narrow" w:hAnsi="Arial Narrow"/>
                <w:b/>
                <w:sz w:val="20"/>
              </w:rPr>
            </w:pPr>
            <w:r w:rsidRPr="00B23721">
              <w:rPr>
                <w:rFonts w:ascii="Arial Narrow" w:hAnsi="Arial Narrow"/>
                <w:b/>
                <w:sz w:val="20"/>
              </w:rPr>
              <w:t>Docetaxel</w:t>
            </w:r>
          </w:p>
          <w:p w:rsidR="00BA25DE" w:rsidRPr="00B23721" w:rsidRDefault="00BA25DE" w:rsidP="00FF0995">
            <w:pPr>
              <w:jc w:val="center"/>
              <w:rPr>
                <w:rFonts w:ascii="Arial Narrow" w:hAnsi="Arial Narrow"/>
                <w:b/>
                <w:sz w:val="20"/>
              </w:rPr>
            </w:pPr>
            <w:r w:rsidRPr="00B23721">
              <w:rPr>
                <w:rFonts w:ascii="Arial Narrow" w:hAnsi="Arial Narrow"/>
                <w:b/>
                <w:sz w:val="20"/>
              </w:rPr>
              <w:t>N=137</w:t>
            </w:r>
          </w:p>
        </w:tc>
        <w:tc>
          <w:tcPr>
            <w:tcW w:w="750" w:type="pct"/>
            <w:shd w:val="clear" w:color="auto" w:fill="auto"/>
            <w:vAlign w:val="center"/>
          </w:tcPr>
          <w:p w:rsidR="00BA25DE" w:rsidRPr="00B23721" w:rsidRDefault="00BA25DE" w:rsidP="00FF0995">
            <w:pPr>
              <w:jc w:val="center"/>
              <w:rPr>
                <w:rFonts w:ascii="Arial Narrow" w:hAnsi="Arial Narrow"/>
                <w:b/>
                <w:sz w:val="20"/>
              </w:rPr>
            </w:pPr>
            <w:r w:rsidRPr="00B23721">
              <w:rPr>
                <w:rFonts w:ascii="Arial Narrow" w:hAnsi="Arial Narrow"/>
                <w:b/>
                <w:sz w:val="20"/>
              </w:rPr>
              <w:t xml:space="preserve">Nivolumab </w:t>
            </w:r>
          </w:p>
          <w:p w:rsidR="00BA25DE" w:rsidRPr="00B23721" w:rsidRDefault="00BA25DE" w:rsidP="00FF0995">
            <w:pPr>
              <w:jc w:val="center"/>
              <w:rPr>
                <w:rFonts w:ascii="Arial Narrow" w:hAnsi="Arial Narrow"/>
                <w:b/>
                <w:sz w:val="20"/>
              </w:rPr>
            </w:pPr>
            <w:r w:rsidRPr="00B23721">
              <w:rPr>
                <w:rFonts w:ascii="Arial Narrow" w:hAnsi="Arial Narrow"/>
                <w:b/>
                <w:sz w:val="20"/>
              </w:rPr>
              <w:t>N=135</w:t>
            </w:r>
          </w:p>
        </w:tc>
        <w:tc>
          <w:tcPr>
            <w:tcW w:w="1103" w:type="pct"/>
            <w:shd w:val="clear" w:color="auto" w:fill="auto"/>
            <w:vAlign w:val="center"/>
          </w:tcPr>
          <w:p w:rsidR="00BA25DE" w:rsidRPr="00B23721" w:rsidRDefault="00BA25DE" w:rsidP="00FF0995">
            <w:pPr>
              <w:jc w:val="center"/>
              <w:rPr>
                <w:rFonts w:ascii="Arial Narrow" w:hAnsi="Arial Narrow"/>
                <w:b/>
                <w:sz w:val="20"/>
              </w:rPr>
            </w:pPr>
            <w:r w:rsidRPr="00B23721">
              <w:rPr>
                <w:rFonts w:ascii="Arial Narrow" w:hAnsi="Arial Narrow"/>
                <w:b/>
                <w:sz w:val="20"/>
              </w:rPr>
              <w:t>Docetaxel</w:t>
            </w:r>
          </w:p>
          <w:p w:rsidR="00BA25DE" w:rsidRPr="00B23721" w:rsidRDefault="00BA25DE" w:rsidP="00FF0995">
            <w:pPr>
              <w:jc w:val="center"/>
              <w:rPr>
                <w:rFonts w:ascii="Arial Narrow" w:hAnsi="Arial Narrow"/>
                <w:b/>
                <w:sz w:val="20"/>
              </w:rPr>
            </w:pPr>
            <w:r w:rsidRPr="00B23721">
              <w:rPr>
                <w:rFonts w:ascii="Arial Narrow" w:hAnsi="Arial Narrow"/>
                <w:b/>
                <w:sz w:val="20"/>
              </w:rPr>
              <w:t>N=137</w:t>
            </w:r>
          </w:p>
        </w:tc>
      </w:tr>
      <w:tr w:rsidR="00BA25DE" w:rsidRPr="00B23721" w:rsidTr="005227F2">
        <w:trPr>
          <w:trHeight w:val="139"/>
        </w:trPr>
        <w:tc>
          <w:tcPr>
            <w:tcW w:w="1293" w:type="pct"/>
            <w:vAlign w:val="center"/>
          </w:tcPr>
          <w:p w:rsidR="00BA25DE" w:rsidRPr="00B23721" w:rsidRDefault="00BA25DE" w:rsidP="00FF0995">
            <w:pPr>
              <w:jc w:val="left"/>
              <w:rPr>
                <w:rFonts w:ascii="Arial Narrow" w:hAnsi="Arial Narrow"/>
                <w:sz w:val="20"/>
              </w:rPr>
            </w:pPr>
            <w:r w:rsidRPr="00B23721">
              <w:rPr>
                <w:rFonts w:ascii="Arial Narrow" w:hAnsi="Arial Narrow"/>
                <w:sz w:val="20"/>
              </w:rPr>
              <w:t>Number of events, n (%)</w:t>
            </w:r>
          </w:p>
        </w:tc>
        <w:tc>
          <w:tcPr>
            <w:tcW w:w="751" w:type="pct"/>
            <w:shd w:val="clear" w:color="auto" w:fill="auto"/>
            <w:vAlign w:val="center"/>
          </w:tcPr>
          <w:p w:rsidR="00BA25DE" w:rsidRPr="00B23721" w:rsidRDefault="00BA25DE" w:rsidP="00FF0995">
            <w:pPr>
              <w:jc w:val="center"/>
              <w:rPr>
                <w:rFonts w:ascii="Arial Narrow" w:hAnsi="Arial Narrow"/>
                <w:sz w:val="20"/>
              </w:rPr>
            </w:pPr>
            <w:r w:rsidRPr="00B23721">
              <w:rPr>
                <w:rFonts w:ascii="Arial Narrow" w:hAnsi="Arial Narrow"/>
                <w:sz w:val="20"/>
              </w:rPr>
              <w:t>103 (76.3)</w:t>
            </w:r>
          </w:p>
        </w:tc>
        <w:tc>
          <w:tcPr>
            <w:tcW w:w="1103" w:type="pct"/>
            <w:shd w:val="clear" w:color="auto" w:fill="auto"/>
            <w:vAlign w:val="center"/>
          </w:tcPr>
          <w:p w:rsidR="00BA25DE" w:rsidRPr="00B23721" w:rsidRDefault="00BA25DE" w:rsidP="00FF0995">
            <w:pPr>
              <w:jc w:val="center"/>
              <w:rPr>
                <w:rFonts w:ascii="Arial Narrow" w:hAnsi="Arial Narrow"/>
                <w:sz w:val="20"/>
              </w:rPr>
            </w:pPr>
            <w:r w:rsidRPr="00B23721">
              <w:rPr>
                <w:rFonts w:ascii="Arial Narrow" w:hAnsi="Arial Narrow"/>
                <w:sz w:val="20"/>
              </w:rPr>
              <w:t>122 (89.1)</w:t>
            </w:r>
          </w:p>
        </w:tc>
        <w:tc>
          <w:tcPr>
            <w:tcW w:w="750" w:type="pct"/>
            <w:vAlign w:val="center"/>
          </w:tcPr>
          <w:p w:rsidR="00BA25DE" w:rsidRPr="00B23721" w:rsidRDefault="00BA25DE" w:rsidP="00FF0995">
            <w:pPr>
              <w:jc w:val="center"/>
              <w:rPr>
                <w:rFonts w:ascii="Arial Narrow" w:hAnsi="Arial Narrow"/>
                <w:sz w:val="20"/>
              </w:rPr>
            </w:pPr>
            <w:r w:rsidRPr="00B23721">
              <w:rPr>
                <w:rFonts w:ascii="Arial Narrow" w:hAnsi="Arial Narrow"/>
                <w:sz w:val="20"/>
              </w:rPr>
              <w:t>110 (81.5)</w:t>
            </w:r>
          </w:p>
        </w:tc>
        <w:tc>
          <w:tcPr>
            <w:tcW w:w="1103" w:type="pct"/>
            <w:vAlign w:val="center"/>
          </w:tcPr>
          <w:p w:rsidR="00BA25DE" w:rsidRPr="00B23721" w:rsidRDefault="00BA25DE" w:rsidP="00FF0995">
            <w:pPr>
              <w:jc w:val="center"/>
              <w:rPr>
                <w:rFonts w:ascii="Arial Narrow" w:hAnsi="Arial Narrow"/>
                <w:sz w:val="20"/>
              </w:rPr>
            </w:pPr>
            <w:r w:rsidRPr="00B23721">
              <w:rPr>
                <w:rFonts w:ascii="Arial Narrow" w:hAnsi="Arial Narrow"/>
                <w:sz w:val="20"/>
              </w:rPr>
              <w:t>128 (93.4)</w:t>
            </w:r>
          </w:p>
        </w:tc>
      </w:tr>
      <w:tr w:rsidR="00BA25DE" w:rsidRPr="00B23721" w:rsidTr="005227F2">
        <w:trPr>
          <w:trHeight w:val="232"/>
        </w:trPr>
        <w:tc>
          <w:tcPr>
            <w:tcW w:w="1293" w:type="pct"/>
            <w:vAlign w:val="center"/>
          </w:tcPr>
          <w:p w:rsidR="00BA25DE" w:rsidRPr="00B23721" w:rsidRDefault="00BA25DE" w:rsidP="00FF0995">
            <w:pPr>
              <w:jc w:val="left"/>
              <w:rPr>
                <w:rFonts w:ascii="Arial Narrow" w:hAnsi="Arial Narrow"/>
                <w:sz w:val="20"/>
              </w:rPr>
            </w:pPr>
            <w:r w:rsidRPr="00B23721">
              <w:rPr>
                <w:rFonts w:ascii="Arial Narrow" w:hAnsi="Arial Narrow"/>
                <w:sz w:val="20"/>
              </w:rPr>
              <w:t>Median, months (95% CI)</w:t>
            </w:r>
          </w:p>
        </w:tc>
        <w:tc>
          <w:tcPr>
            <w:tcW w:w="751" w:type="pct"/>
            <w:shd w:val="clear" w:color="auto" w:fill="auto"/>
            <w:vAlign w:val="center"/>
          </w:tcPr>
          <w:p w:rsidR="00BA25DE" w:rsidRPr="00B23721" w:rsidRDefault="00BA25DE" w:rsidP="00171ABC">
            <w:pPr>
              <w:jc w:val="center"/>
              <w:rPr>
                <w:rFonts w:ascii="Arial Narrow" w:hAnsi="Arial Narrow"/>
                <w:sz w:val="20"/>
              </w:rPr>
            </w:pPr>
            <w:r w:rsidRPr="00B23721">
              <w:rPr>
                <w:rFonts w:ascii="Arial Narrow" w:hAnsi="Arial Narrow"/>
                <w:sz w:val="20"/>
              </w:rPr>
              <w:t>9.2</w:t>
            </w:r>
            <w:r w:rsidR="00171ABC" w:rsidRPr="00B23721">
              <w:rPr>
                <w:rFonts w:ascii="Arial Narrow" w:hAnsi="Arial Narrow"/>
                <w:sz w:val="20"/>
              </w:rPr>
              <w:t xml:space="preserve"> </w:t>
            </w:r>
            <w:r w:rsidRPr="00B23721">
              <w:rPr>
                <w:rFonts w:ascii="Arial Narrow" w:hAnsi="Arial Narrow"/>
                <w:sz w:val="20"/>
              </w:rPr>
              <w:t>(7.3, 12.6)</w:t>
            </w:r>
          </w:p>
        </w:tc>
        <w:tc>
          <w:tcPr>
            <w:tcW w:w="1103" w:type="pct"/>
            <w:shd w:val="clear" w:color="auto" w:fill="auto"/>
            <w:vAlign w:val="center"/>
          </w:tcPr>
          <w:p w:rsidR="00BA25DE" w:rsidRPr="00B23721" w:rsidRDefault="00BA25DE" w:rsidP="00171ABC">
            <w:pPr>
              <w:jc w:val="center"/>
              <w:rPr>
                <w:rFonts w:ascii="Arial Narrow" w:hAnsi="Arial Narrow"/>
                <w:sz w:val="20"/>
              </w:rPr>
            </w:pPr>
            <w:r w:rsidRPr="00B23721">
              <w:rPr>
                <w:rFonts w:ascii="Arial Narrow" w:hAnsi="Arial Narrow"/>
                <w:sz w:val="20"/>
              </w:rPr>
              <w:t>6.0 (5.3, 7.4)</w:t>
            </w:r>
          </w:p>
        </w:tc>
        <w:tc>
          <w:tcPr>
            <w:tcW w:w="750" w:type="pct"/>
            <w:vAlign w:val="center"/>
          </w:tcPr>
          <w:p w:rsidR="00BA25DE" w:rsidRPr="00B23721" w:rsidRDefault="00BA25DE" w:rsidP="00171ABC">
            <w:pPr>
              <w:jc w:val="center"/>
              <w:rPr>
                <w:rFonts w:ascii="Arial Narrow" w:hAnsi="Arial Narrow"/>
                <w:sz w:val="20"/>
              </w:rPr>
            </w:pPr>
            <w:r w:rsidRPr="00B23721">
              <w:rPr>
                <w:rFonts w:ascii="Arial Narrow" w:hAnsi="Arial Narrow"/>
                <w:sz w:val="20"/>
              </w:rPr>
              <w:t>9.2</w:t>
            </w:r>
            <w:r w:rsidR="00171ABC" w:rsidRPr="00B23721">
              <w:rPr>
                <w:rFonts w:ascii="Arial Narrow" w:hAnsi="Arial Narrow"/>
                <w:sz w:val="20"/>
              </w:rPr>
              <w:t xml:space="preserve"> </w:t>
            </w:r>
            <w:r w:rsidRPr="00B23721">
              <w:rPr>
                <w:rFonts w:ascii="Arial Narrow" w:hAnsi="Arial Narrow"/>
                <w:sz w:val="20"/>
              </w:rPr>
              <w:t>(7.3, 12.6)</w:t>
            </w:r>
          </w:p>
        </w:tc>
        <w:tc>
          <w:tcPr>
            <w:tcW w:w="1103" w:type="pct"/>
            <w:vAlign w:val="center"/>
          </w:tcPr>
          <w:p w:rsidR="00BA25DE" w:rsidRPr="00B23721" w:rsidRDefault="00BA25DE" w:rsidP="00171ABC">
            <w:pPr>
              <w:jc w:val="center"/>
              <w:rPr>
                <w:rFonts w:ascii="Arial Narrow" w:hAnsi="Arial Narrow"/>
                <w:sz w:val="20"/>
              </w:rPr>
            </w:pPr>
            <w:r w:rsidRPr="00B23721">
              <w:rPr>
                <w:rFonts w:ascii="Arial Narrow" w:hAnsi="Arial Narrow"/>
                <w:sz w:val="20"/>
              </w:rPr>
              <w:t>6.0</w:t>
            </w:r>
            <w:r w:rsidR="00171ABC" w:rsidRPr="00B23721">
              <w:rPr>
                <w:rFonts w:ascii="Arial Narrow" w:hAnsi="Arial Narrow"/>
                <w:sz w:val="20"/>
              </w:rPr>
              <w:t xml:space="preserve"> </w:t>
            </w:r>
            <w:r w:rsidRPr="00B23721">
              <w:rPr>
                <w:rFonts w:ascii="Arial Narrow" w:hAnsi="Arial Narrow"/>
                <w:sz w:val="20"/>
              </w:rPr>
              <w:t>(5.1, 7.3)</w:t>
            </w:r>
          </w:p>
        </w:tc>
      </w:tr>
      <w:tr w:rsidR="00BA25DE" w:rsidRPr="00B23721" w:rsidTr="005227F2">
        <w:trPr>
          <w:trHeight w:val="232"/>
        </w:trPr>
        <w:tc>
          <w:tcPr>
            <w:tcW w:w="1293" w:type="pct"/>
            <w:vAlign w:val="center"/>
          </w:tcPr>
          <w:p w:rsidR="00BA25DE" w:rsidRPr="00B23721" w:rsidRDefault="00BA25DE" w:rsidP="00FF0995">
            <w:pPr>
              <w:jc w:val="left"/>
              <w:rPr>
                <w:rFonts w:ascii="Arial Narrow" w:hAnsi="Arial Narrow"/>
                <w:sz w:val="20"/>
              </w:rPr>
            </w:pPr>
          </w:p>
        </w:tc>
        <w:tc>
          <w:tcPr>
            <w:tcW w:w="1854" w:type="pct"/>
            <w:gridSpan w:val="2"/>
            <w:shd w:val="clear" w:color="auto" w:fill="auto"/>
            <w:vAlign w:val="center"/>
          </w:tcPr>
          <w:p w:rsidR="00BA25DE" w:rsidRPr="00B23721" w:rsidRDefault="00BA25DE" w:rsidP="00FF0995">
            <w:pPr>
              <w:jc w:val="center"/>
              <w:rPr>
                <w:rFonts w:ascii="Arial Narrow" w:hAnsi="Arial Narrow"/>
                <w:sz w:val="20"/>
              </w:rPr>
            </w:pPr>
            <w:r w:rsidRPr="00B23721">
              <w:rPr>
                <w:rFonts w:ascii="Arial Narrow" w:hAnsi="Arial Narrow"/>
                <w:b/>
                <w:sz w:val="20"/>
              </w:rPr>
              <w:t>Nivolumab vs docetaxel</w:t>
            </w:r>
          </w:p>
        </w:tc>
        <w:tc>
          <w:tcPr>
            <w:tcW w:w="1853" w:type="pct"/>
            <w:gridSpan w:val="2"/>
            <w:vAlign w:val="center"/>
          </w:tcPr>
          <w:p w:rsidR="00BA25DE" w:rsidRPr="00B23721" w:rsidRDefault="00BA25DE" w:rsidP="00FF0995">
            <w:pPr>
              <w:jc w:val="center"/>
              <w:rPr>
                <w:rFonts w:ascii="Arial Narrow" w:hAnsi="Arial Narrow"/>
                <w:sz w:val="20"/>
              </w:rPr>
            </w:pPr>
            <w:r w:rsidRPr="00B23721">
              <w:rPr>
                <w:rFonts w:ascii="Arial Narrow" w:hAnsi="Arial Narrow"/>
                <w:b/>
                <w:sz w:val="20"/>
              </w:rPr>
              <w:t>Nivolumab vs docetaxel</w:t>
            </w:r>
          </w:p>
        </w:tc>
      </w:tr>
      <w:tr w:rsidR="00BA25DE" w:rsidRPr="00B23721" w:rsidTr="005227F2">
        <w:trPr>
          <w:trHeight w:val="232"/>
        </w:trPr>
        <w:tc>
          <w:tcPr>
            <w:tcW w:w="1293" w:type="pct"/>
            <w:vAlign w:val="center"/>
          </w:tcPr>
          <w:p w:rsidR="00BA25DE" w:rsidRPr="00B23721" w:rsidRDefault="00BA25DE" w:rsidP="00FF0995">
            <w:pPr>
              <w:jc w:val="left"/>
              <w:rPr>
                <w:rFonts w:ascii="Arial Narrow" w:hAnsi="Arial Narrow"/>
                <w:sz w:val="20"/>
              </w:rPr>
            </w:pPr>
            <w:r w:rsidRPr="00B23721">
              <w:rPr>
                <w:rFonts w:ascii="Arial Narrow" w:hAnsi="Arial Narrow"/>
                <w:sz w:val="20"/>
              </w:rPr>
              <w:t>Stratified HR (95% CI)</w:t>
            </w:r>
          </w:p>
        </w:tc>
        <w:tc>
          <w:tcPr>
            <w:tcW w:w="1854" w:type="pct"/>
            <w:gridSpan w:val="2"/>
            <w:shd w:val="clear" w:color="auto" w:fill="auto"/>
            <w:vAlign w:val="center"/>
          </w:tcPr>
          <w:p w:rsidR="00BA25DE" w:rsidRPr="00B23721" w:rsidRDefault="00BA25DE" w:rsidP="00FF0995">
            <w:pPr>
              <w:jc w:val="center"/>
              <w:rPr>
                <w:rFonts w:ascii="Arial Narrow" w:hAnsi="Arial Narrow"/>
                <w:sz w:val="20"/>
              </w:rPr>
            </w:pPr>
            <w:r w:rsidRPr="00B23721">
              <w:rPr>
                <w:rFonts w:ascii="Arial Narrow" w:hAnsi="Arial Narrow"/>
                <w:sz w:val="20"/>
              </w:rPr>
              <w:t>0.62 (0.48, 0.81)</w:t>
            </w:r>
          </w:p>
        </w:tc>
        <w:tc>
          <w:tcPr>
            <w:tcW w:w="1853" w:type="pct"/>
            <w:gridSpan w:val="2"/>
            <w:vAlign w:val="center"/>
          </w:tcPr>
          <w:p w:rsidR="00BA25DE" w:rsidRPr="00B23721" w:rsidRDefault="00BA25DE" w:rsidP="00FF0995">
            <w:pPr>
              <w:jc w:val="center"/>
              <w:rPr>
                <w:rFonts w:ascii="Arial Narrow" w:hAnsi="Arial Narrow"/>
                <w:sz w:val="20"/>
              </w:rPr>
            </w:pPr>
            <w:r w:rsidRPr="00B23721">
              <w:rPr>
                <w:rFonts w:ascii="Arial Narrow" w:hAnsi="Arial Narrow"/>
                <w:sz w:val="20"/>
              </w:rPr>
              <w:t>0.62 (0.47, 0.80)</w:t>
            </w:r>
          </w:p>
        </w:tc>
      </w:tr>
      <w:tr w:rsidR="00BA25DE" w:rsidRPr="00B23721" w:rsidTr="005227F2">
        <w:trPr>
          <w:trHeight w:val="102"/>
        </w:trPr>
        <w:tc>
          <w:tcPr>
            <w:tcW w:w="1293" w:type="pct"/>
            <w:vAlign w:val="center"/>
          </w:tcPr>
          <w:p w:rsidR="00BA25DE" w:rsidRPr="00B23721" w:rsidRDefault="00BA25DE" w:rsidP="00FF0995">
            <w:pPr>
              <w:jc w:val="left"/>
              <w:rPr>
                <w:rFonts w:ascii="Arial Narrow" w:hAnsi="Arial Narrow"/>
                <w:sz w:val="20"/>
              </w:rPr>
            </w:pPr>
            <w:r w:rsidRPr="00B23721">
              <w:rPr>
                <w:rFonts w:ascii="Arial Narrow" w:hAnsi="Arial Narrow"/>
                <w:sz w:val="20"/>
              </w:rPr>
              <w:t>Stratified log-rank</w:t>
            </w:r>
          </w:p>
        </w:tc>
        <w:tc>
          <w:tcPr>
            <w:tcW w:w="1854" w:type="pct"/>
            <w:gridSpan w:val="2"/>
            <w:shd w:val="clear" w:color="auto" w:fill="auto"/>
            <w:vAlign w:val="center"/>
          </w:tcPr>
          <w:p w:rsidR="00BA25DE" w:rsidRPr="00B23721" w:rsidRDefault="00BA25DE" w:rsidP="00FF0995">
            <w:pPr>
              <w:jc w:val="center"/>
              <w:rPr>
                <w:rFonts w:ascii="Arial Narrow" w:hAnsi="Arial Narrow"/>
                <w:sz w:val="20"/>
              </w:rPr>
            </w:pPr>
            <w:r w:rsidRPr="00B23721">
              <w:rPr>
                <w:rFonts w:ascii="Arial Narrow" w:hAnsi="Arial Narrow"/>
                <w:sz w:val="20"/>
              </w:rPr>
              <w:t>p = 0.0004</w:t>
            </w:r>
          </w:p>
        </w:tc>
        <w:tc>
          <w:tcPr>
            <w:tcW w:w="1853" w:type="pct"/>
            <w:gridSpan w:val="2"/>
            <w:vAlign w:val="center"/>
          </w:tcPr>
          <w:p w:rsidR="00BA25DE" w:rsidRPr="00B23721" w:rsidRDefault="00BA25DE" w:rsidP="00FF0995">
            <w:pPr>
              <w:jc w:val="center"/>
              <w:rPr>
                <w:rFonts w:ascii="Arial Narrow" w:hAnsi="Arial Narrow"/>
                <w:sz w:val="20"/>
              </w:rPr>
            </w:pPr>
            <w:r w:rsidRPr="00B23721">
              <w:rPr>
                <w:rFonts w:ascii="Arial Narrow" w:hAnsi="Arial Narrow"/>
                <w:sz w:val="20"/>
              </w:rPr>
              <w:t>NR</w:t>
            </w:r>
          </w:p>
        </w:tc>
      </w:tr>
    </w:tbl>
    <w:p w:rsidR="00BA25DE" w:rsidRPr="00B23721" w:rsidRDefault="00BA25DE" w:rsidP="00BA25DE">
      <w:pPr>
        <w:pStyle w:val="TableFooter"/>
        <w:ind w:left="709"/>
      </w:pPr>
      <w:r w:rsidRPr="00B23721">
        <w:t>CI = confidence interval; HR = hazard ratio; NR = not reported.</w:t>
      </w:r>
    </w:p>
    <w:p w:rsidR="00BA25DE" w:rsidRPr="00B23721" w:rsidRDefault="00BA25DE" w:rsidP="00BA25DE">
      <w:pPr>
        <w:pStyle w:val="TableFooter"/>
        <w:ind w:left="709"/>
        <w:rPr>
          <w:szCs w:val="18"/>
          <w:lang w:eastAsia="ja-JP"/>
        </w:rPr>
      </w:pPr>
      <w:r w:rsidRPr="00B23721">
        <w:rPr>
          <w:szCs w:val="18"/>
        </w:rPr>
        <w:t xml:space="preserve">Source: </w:t>
      </w:r>
      <w:r w:rsidRPr="00B23721">
        <w:rPr>
          <w:szCs w:val="18"/>
          <w:lang w:eastAsia="ja-JP"/>
        </w:rPr>
        <w:t>Table 12, p22 of the re-submission.</w:t>
      </w:r>
    </w:p>
    <w:p w:rsidR="00BA25DE" w:rsidRPr="00B23721" w:rsidRDefault="00BA25DE" w:rsidP="00BA25DE">
      <w:pPr>
        <w:widowControl/>
        <w:rPr>
          <w:szCs w:val="22"/>
        </w:rPr>
      </w:pPr>
    </w:p>
    <w:p w:rsidR="00BA25DE" w:rsidRPr="00B23721" w:rsidRDefault="00BA25DE" w:rsidP="00BA25DE">
      <w:pPr>
        <w:pStyle w:val="ListParagraph"/>
        <w:widowControl/>
        <w:numPr>
          <w:ilvl w:val="1"/>
          <w:numId w:val="4"/>
        </w:numPr>
        <w:rPr>
          <w:szCs w:val="22"/>
        </w:rPr>
      </w:pPr>
      <w:r w:rsidRPr="00B23721">
        <w:rPr>
          <w:szCs w:val="22"/>
        </w:rPr>
        <w:t>The updated results were similar to those presented in the original submission and did not alter any of the previous conclusions regarding the comparative effectiveness of nivolumab versus docetaxel in patients with squamous NSCLC.</w:t>
      </w:r>
    </w:p>
    <w:p w:rsidR="00BA25DE" w:rsidRPr="00B23721" w:rsidRDefault="00BA25DE" w:rsidP="00BA25DE">
      <w:pPr>
        <w:widowControl/>
        <w:rPr>
          <w:szCs w:val="22"/>
        </w:rPr>
      </w:pPr>
    </w:p>
    <w:p w:rsidR="00BA25DE" w:rsidRPr="00B23721" w:rsidRDefault="00BA25DE" w:rsidP="00BA25DE">
      <w:pPr>
        <w:pStyle w:val="ListParagraph"/>
        <w:widowControl/>
        <w:numPr>
          <w:ilvl w:val="1"/>
          <w:numId w:val="4"/>
        </w:numPr>
        <w:rPr>
          <w:bCs/>
        </w:rPr>
      </w:pPr>
      <w:r w:rsidRPr="00B23721">
        <w:rPr>
          <w:bCs/>
          <w:szCs w:val="22"/>
        </w:rPr>
        <w:t xml:space="preserve">The PBAC </w:t>
      </w:r>
      <w:r w:rsidR="00171ABC" w:rsidRPr="00B23721">
        <w:rPr>
          <w:bCs/>
          <w:szCs w:val="22"/>
        </w:rPr>
        <w:t xml:space="preserve">previously </w:t>
      </w:r>
      <w:r w:rsidRPr="00B23721">
        <w:rPr>
          <w:bCs/>
          <w:szCs w:val="22"/>
        </w:rPr>
        <w:t xml:space="preserve">noted the incremental benefit in median overall survival of 3.2 months. The PBAC noted however, that the incremental benefit in median progression-free survival </w:t>
      </w:r>
      <w:r w:rsidR="0024540D" w:rsidRPr="00B23721">
        <w:rPr>
          <w:bCs/>
          <w:szCs w:val="22"/>
        </w:rPr>
        <w:t xml:space="preserve">(PFS) </w:t>
      </w:r>
      <w:r w:rsidRPr="00B23721">
        <w:rPr>
          <w:bCs/>
          <w:szCs w:val="22"/>
        </w:rPr>
        <w:t>was 0.7 months (paragraph 7.6, 5.06 nivolumab</w:t>
      </w:r>
      <w:r w:rsidR="00171ABC" w:rsidRPr="00B23721">
        <w:rPr>
          <w:bCs/>
          <w:szCs w:val="22"/>
        </w:rPr>
        <w:t xml:space="preserve"> PSD, March 2016 PBAC Meeting).</w:t>
      </w:r>
    </w:p>
    <w:p w:rsidR="00BA25DE" w:rsidRPr="00B23721" w:rsidRDefault="00BA25DE" w:rsidP="00BA25DE">
      <w:pPr>
        <w:widowControl/>
        <w:rPr>
          <w:bCs/>
        </w:rPr>
      </w:pPr>
    </w:p>
    <w:p w:rsidR="00BA25DE" w:rsidRPr="00B23721" w:rsidRDefault="00BA25DE" w:rsidP="00BA25DE">
      <w:pPr>
        <w:pStyle w:val="ListParagraph"/>
        <w:widowControl/>
        <w:numPr>
          <w:ilvl w:val="1"/>
          <w:numId w:val="4"/>
        </w:numPr>
        <w:rPr>
          <w:bCs/>
          <w:szCs w:val="22"/>
        </w:rPr>
      </w:pPr>
      <w:r w:rsidRPr="00B23721">
        <w:rPr>
          <w:bCs/>
          <w:szCs w:val="22"/>
        </w:rPr>
        <w:t>The PBAC considered that</w:t>
      </w:r>
      <w:r w:rsidR="009128E7" w:rsidRPr="00B23721">
        <w:rPr>
          <w:bCs/>
          <w:szCs w:val="22"/>
        </w:rPr>
        <w:t>,</w:t>
      </w:r>
      <w:r w:rsidRPr="00B23721">
        <w:rPr>
          <w:bCs/>
          <w:szCs w:val="22"/>
        </w:rPr>
        <w:t xml:space="preserve"> in contrast to the corresponding trial in non-squamous NSCLC, trial CA209-017 did not support any conclusion of treatment effect variation by PD-L1 status (paragraph 7.7, 5.06 nivolumab PSD, March 2016 PBAC Meeting).</w:t>
      </w:r>
    </w:p>
    <w:p w:rsidR="00BA25DE" w:rsidRPr="00B23721" w:rsidRDefault="00BA25DE" w:rsidP="00BA25DE">
      <w:pPr>
        <w:rPr>
          <w:szCs w:val="22"/>
        </w:rPr>
      </w:pPr>
    </w:p>
    <w:p w:rsidR="00BA25DE" w:rsidRPr="00B23721" w:rsidRDefault="00BA25DE" w:rsidP="009905CA">
      <w:pPr>
        <w:pStyle w:val="Heading3"/>
      </w:pPr>
      <w:bookmarkStart w:id="11" w:name="_Toc461611884"/>
      <w:r w:rsidRPr="00B23721">
        <w:t>Comparative harms</w:t>
      </w:r>
      <w:bookmarkEnd w:id="11"/>
    </w:p>
    <w:p w:rsidR="00BA25DE" w:rsidRPr="00B23721" w:rsidRDefault="00BA25DE" w:rsidP="00BA25DE">
      <w:pPr>
        <w:ind w:left="720" w:hanging="720"/>
        <w:rPr>
          <w:szCs w:val="22"/>
        </w:rPr>
      </w:pPr>
    </w:p>
    <w:p w:rsidR="00BA25DE" w:rsidRPr="00B23721" w:rsidRDefault="00BA25DE" w:rsidP="00BA25DE">
      <w:pPr>
        <w:pStyle w:val="ListParagraph"/>
        <w:widowControl/>
        <w:numPr>
          <w:ilvl w:val="1"/>
          <w:numId w:val="4"/>
        </w:numPr>
        <w:rPr>
          <w:szCs w:val="22"/>
        </w:rPr>
      </w:pPr>
      <w:r w:rsidRPr="00B23721">
        <w:rPr>
          <w:szCs w:val="22"/>
        </w:rPr>
        <w:t xml:space="preserve">Table 4 summarises the updated safety data (minimum follow-up </w:t>
      </w:r>
      <w:r w:rsidR="00171ABC" w:rsidRPr="00B23721">
        <w:rPr>
          <w:szCs w:val="22"/>
        </w:rPr>
        <w:t xml:space="preserve">of </w:t>
      </w:r>
      <w:r w:rsidRPr="00B23721">
        <w:rPr>
          <w:szCs w:val="22"/>
        </w:rPr>
        <w:t>24 months) for nivolumab compared with docetaxel in CA209-017.</w:t>
      </w:r>
    </w:p>
    <w:p w:rsidR="00BA25DE" w:rsidRPr="00B23721" w:rsidRDefault="00BA25DE" w:rsidP="00171ABC">
      <w:pPr>
        <w:widowControl/>
        <w:rPr>
          <w:szCs w:val="22"/>
        </w:rPr>
      </w:pPr>
    </w:p>
    <w:p w:rsidR="00892F33" w:rsidRPr="009E7552" w:rsidRDefault="00892F33" w:rsidP="009E7552">
      <w:pPr>
        <w:pStyle w:val="Caption"/>
        <w:keepNext/>
        <w:ind w:firstLine="709"/>
        <w:rPr>
          <w:rFonts w:ascii="Arial Narrow" w:hAnsi="Arial Narrow"/>
        </w:rPr>
      </w:pPr>
      <w:r w:rsidRPr="009E7552">
        <w:rPr>
          <w:rFonts w:ascii="Arial Narrow" w:hAnsi="Arial Narrow"/>
        </w:rPr>
        <w:t xml:space="preserve">Table </w:t>
      </w:r>
      <w:r w:rsidR="00BB09B5" w:rsidRPr="009E7552">
        <w:rPr>
          <w:rFonts w:ascii="Arial Narrow" w:hAnsi="Arial Narrow"/>
        </w:rPr>
        <w:t>4</w:t>
      </w:r>
      <w:r w:rsidRPr="009E7552">
        <w:rPr>
          <w:rFonts w:ascii="Arial Narrow" w:hAnsi="Arial Narrow"/>
        </w:rPr>
        <w:t>: Summary of treatment-related AEs (24 months minimum follow-up)</w:t>
      </w:r>
    </w:p>
    <w:tbl>
      <w:tblPr>
        <w:tblStyle w:val="TableGrid"/>
        <w:tblW w:w="8341" w:type="dxa"/>
        <w:tblInd w:w="817" w:type="dxa"/>
        <w:tblLook w:val="04A0" w:firstRow="1" w:lastRow="0" w:firstColumn="1" w:lastColumn="0" w:noHBand="0" w:noVBand="1"/>
        <w:tblCaption w:val="Summary of treatment related adverse events"/>
        <w:tblDescription w:val="Summary of treatment-related adverse events (24 months minimum follow-up) from trial CA209-017"/>
      </w:tblPr>
      <w:tblGrid>
        <w:gridCol w:w="2109"/>
        <w:gridCol w:w="1264"/>
        <w:gridCol w:w="1306"/>
        <w:gridCol w:w="1830"/>
        <w:gridCol w:w="1832"/>
      </w:tblGrid>
      <w:tr w:rsidR="00BA25DE" w:rsidRPr="00B23721" w:rsidTr="005227F2">
        <w:trPr>
          <w:tblHeader/>
        </w:trPr>
        <w:tc>
          <w:tcPr>
            <w:tcW w:w="1264" w:type="pct"/>
            <w:tcBorders>
              <w:top w:val="single" w:sz="4" w:space="0" w:color="auto"/>
              <w:left w:val="single" w:sz="4" w:space="0" w:color="auto"/>
              <w:bottom w:val="single" w:sz="4" w:space="0" w:color="auto"/>
              <w:right w:val="single" w:sz="4" w:space="0" w:color="auto"/>
            </w:tcBorders>
          </w:tcPr>
          <w:p w:rsidR="00BA25DE" w:rsidRPr="00B23721" w:rsidRDefault="00BA25DE" w:rsidP="00FF0995">
            <w:pPr>
              <w:rPr>
                <w:rFonts w:ascii="Arial Narrow" w:hAnsi="Arial Narrow"/>
                <w:sz w:val="20"/>
              </w:rPr>
            </w:pPr>
          </w:p>
        </w:tc>
        <w:tc>
          <w:tcPr>
            <w:tcW w:w="758" w:type="pct"/>
            <w:tcBorders>
              <w:left w:val="single" w:sz="4" w:space="0" w:color="auto"/>
            </w:tcBorders>
            <w:vAlign w:val="center"/>
          </w:tcPr>
          <w:p w:rsidR="00BA25DE" w:rsidRPr="00B23721" w:rsidRDefault="00BA25DE" w:rsidP="00FF0995">
            <w:pPr>
              <w:jc w:val="center"/>
              <w:rPr>
                <w:rFonts w:ascii="Arial Narrow" w:hAnsi="Arial Narrow"/>
                <w:b/>
                <w:sz w:val="20"/>
              </w:rPr>
            </w:pPr>
            <w:r w:rsidRPr="00B23721">
              <w:rPr>
                <w:rFonts w:ascii="Arial Narrow" w:hAnsi="Arial Narrow"/>
                <w:b/>
                <w:sz w:val="20"/>
              </w:rPr>
              <w:t>Nivolumab</w:t>
            </w:r>
          </w:p>
          <w:p w:rsidR="00BA25DE" w:rsidRPr="00B23721" w:rsidRDefault="00BA25DE" w:rsidP="00FF0995">
            <w:pPr>
              <w:jc w:val="center"/>
              <w:rPr>
                <w:rFonts w:ascii="Arial Narrow" w:hAnsi="Arial Narrow"/>
                <w:b/>
                <w:sz w:val="20"/>
              </w:rPr>
            </w:pPr>
            <w:r w:rsidRPr="00B23721">
              <w:rPr>
                <w:rFonts w:ascii="Arial Narrow" w:hAnsi="Arial Narrow"/>
                <w:b/>
                <w:sz w:val="20"/>
              </w:rPr>
              <w:t>n (%)</w:t>
            </w:r>
          </w:p>
          <w:p w:rsidR="00BA25DE" w:rsidRPr="00B23721" w:rsidRDefault="00BA25DE" w:rsidP="00FF0995">
            <w:pPr>
              <w:jc w:val="center"/>
              <w:rPr>
                <w:rFonts w:ascii="Arial Narrow" w:hAnsi="Arial Narrow"/>
                <w:b/>
                <w:sz w:val="20"/>
              </w:rPr>
            </w:pPr>
            <w:r w:rsidRPr="00B23721">
              <w:rPr>
                <w:rFonts w:ascii="Arial Narrow" w:hAnsi="Arial Narrow"/>
                <w:b/>
                <w:sz w:val="20"/>
              </w:rPr>
              <w:t>N=131</w:t>
            </w:r>
          </w:p>
        </w:tc>
        <w:tc>
          <w:tcPr>
            <w:tcW w:w="783" w:type="pct"/>
            <w:vAlign w:val="center"/>
          </w:tcPr>
          <w:p w:rsidR="00BA25DE" w:rsidRPr="00B23721" w:rsidRDefault="00BA25DE" w:rsidP="00FF0995">
            <w:pPr>
              <w:jc w:val="center"/>
              <w:rPr>
                <w:rFonts w:ascii="Arial Narrow" w:hAnsi="Arial Narrow"/>
                <w:b/>
                <w:sz w:val="20"/>
              </w:rPr>
            </w:pPr>
            <w:r w:rsidRPr="00B23721">
              <w:rPr>
                <w:rFonts w:ascii="Arial Narrow" w:hAnsi="Arial Narrow"/>
                <w:b/>
                <w:sz w:val="20"/>
              </w:rPr>
              <w:t>Docetaxel</w:t>
            </w:r>
          </w:p>
          <w:p w:rsidR="00BA25DE" w:rsidRPr="00B23721" w:rsidRDefault="00BA25DE" w:rsidP="00FF0995">
            <w:pPr>
              <w:jc w:val="center"/>
              <w:rPr>
                <w:rFonts w:ascii="Arial Narrow" w:hAnsi="Arial Narrow"/>
                <w:b/>
                <w:sz w:val="20"/>
              </w:rPr>
            </w:pPr>
            <w:r w:rsidRPr="00B23721">
              <w:rPr>
                <w:rFonts w:ascii="Arial Narrow" w:hAnsi="Arial Narrow"/>
                <w:b/>
                <w:sz w:val="20"/>
              </w:rPr>
              <w:t>n (%)</w:t>
            </w:r>
          </w:p>
          <w:p w:rsidR="00BA25DE" w:rsidRPr="00B23721" w:rsidRDefault="00BA25DE" w:rsidP="00FF0995">
            <w:pPr>
              <w:jc w:val="center"/>
              <w:rPr>
                <w:rFonts w:ascii="Arial Narrow" w:hAnsi="Arial Narrow"/>
                <w:b/>
                <w:sz w:val="20"/>
              </w:rPr>
            </w:pPr>
            <w:r w:rsidRPr="00B23721">
              <w:rPr>
                <w:rFonts w:ascii="Arial Narrow" w:hAnsi="Arial Narrow"/>
                <w:b/>
                <w:sz w:val="20"/>
              </w:rPr>
              <w:t>N=129</w:t>
            </w:r>
          </w:p>
        </w:tc>
        <w:tc>
          <w:tcPr>
            <w:tcW w:w="1097" w:type="pct"/>
            <w:vAlign w:val="center"/>
          </w:tcPr>
          <w:p w:rsidR="00BA25DE" w:rsidRPr="00B23721" w:rsidRDefault="00BA25DE" w:rsidP="00FF0995">
            <w:pPr>
              <w:jc w:val="center"/>
              <w:rPr>
                <w:rFonts w:ascii="Arial Narrow" w:hAnsi="Arial Narrow"/>
                <w:b/>
                <w:sz w:val="20"/>
              </w:rPr>
            </w:pPr>
            <w:r w:rsidRPr="00B23721">
              <w:rPr>
                <w:rFonts w:ascii="Arial Narrow" w:hAnsi="Arial Narrow"/>
                <w:b/>
                <w:sz w:val="20"/>
              </w:rPr>
              <w:t>Relative risk</w:t>
            </w:r>
          </w:p>
          <w:p w:rsidR="00BA25DE" w:rsidRPr="00B23721" w:rsidRDefault="00BA25DE" w:rsidP="00FF0995">
            <w:pPr>
              <w:jc w:val="center"/>
              <w:rPr>
                <w:rFonts w:ascii="Arial Narrow" w:hAnsi="Arial Narrow"/>
                <w:b/>
                <w:sz w:val="20"/>
              </w:rPr>
            </w:pPr>
            <w:r w:rsidRPr="00B23721">
              <w:rPr>
                <w:rFonts w:ascii="Arial Narrow" w:hAnsi="Arial Narrow"/>
                <w:b/>
                <w:sz w:val="20"/>
              </w:rPr>
              <w:t>(95% CI)</w:t>
            </w:r>
          </w:p>
        </w:tc>
        <w:tc>
          <w:tcPr>
            <w:tcW w:w="1098" w:type="pct"/>
            <w:vAlign w:val="center"/>
          </w:tcPr>
          <w:p w:rsidR="00BA25DE" w:rsidRPr="00B23721" w:rsidRDefault="00BA25DE" w:rsidP="00FF0995">
            <w:pPr>
              <w:jc w:val="center"/>
              <w:rPr>
                <w:rFonts w:ascii="Arial Narrow" w:hAnsi="Arial Narrow"/>
                <w:b/>
                <w:sz w:val="20"/>
              </w:rPr>
            </w:pPr>
            <w:r w:rsidRPr="00B23721">
              <w:rPr>
                <w:rFonts w:ascii="Arial Narrow" w:hAnsi="Arial Narrow"/>
                <w:b/>
                <w:sz w:val="20"/>
              </w:rPr>
              <w:t>Risk difference</w:t>
            </w:r>
          </w:p>
          <w:p w:rsidR="00BA25DE" w:rsidRPr="00B23721" w:rsidRDefault="00BA25DE" w:rsidP="00FF0995">
            <w:pPr>
              <w:jc w:val="center"/>
              <w:rPr>
                <w:rFonts w:ascii="Arial Narrow" w:hAnsi="Arial Narrow"/>
                <w:b/>
                <w:sz w:val="20"/>
              </w:rPr>
            </w:pPr>
            <w:r w:rsidRPr="00B23721">
              <w:rPr>
                <w:rFonts w:ascii="Arial Narrow" w:hAnsi="Arial Narrow"/>
                <w:b/>
                <w:sz w:val="20"/>
              </w:rPr>
              <w:t>(95% CI)</w:t>
            </w:r>
          </w:p>
        </w:tc>
      </w:tr>
      <w:tr w:rsidR="00BA25DE" w:rsidRPr="00B23721" w:rsidTr="005227F2">
        <w:tc>
          <w:tcPr>
            <w:tcW w:w="5000" w:type="pct"/>
            <w:gridSpan w:val="5"/>
            <w:tcBorders>
              <w:top w:val="single" w:sz="4" w:space="0" w:color="auto"/>
              <w:left w:val="single" w:sz="4" w:space="0" w:color="auto"/>
              <w:bottom w:val="single" w:sz="4" w:space="0" w:color="auto"/>
            </w:tcBorders>
          </w:tcPr>
          <w:p w:rsidR="00BA25DE" w:rsidRPr="00B23721" w:rsidRDefault="00BA25DE" w:rsidP="00FF0995">
            <w:pPr>
              <w:rPr>
                <w:rFonts w:ascii="Arial Narrow" w:hAnsi="Arial Narrow"/>
                <w:b/>
                <w:sz w:val="20"/>
              </w:rPr>
            </w:pPr>
            <w:r w:rsidRPr="00B23721">
              <w:rPr>
                <w:rFonts w:ascii="Arial Narrow" w:hAnsi="Arial Narrow"/>
                <w:b/>
                <w:sz w:val="20"/>
              </w:rPr>
              <w:t>Treatment related AEs</w:t>
            </w:r>
          </w:p>
        </w:tc>
      </w:tr>
      <w:tr w:rsidR="00BA25DE" w:rsidRPr="00B23721" w:rsidTr="005227F2">
        <w:tc>
          <w:tcPr>
            <w:tcW w:w="1264" w:type="pct"/>
            <w:tcBorders>
              <w:top w:val="single" w:sz="4" w:space="0" w:color="auto"/>
              <w:left w:val="single" w:sz="4" w:space="0" w:color="auto"/>
              <w:bottom w:val="single" w:sz="4" w:space="0" w:color="auto"/>
              <w:right w:val="single" w:sz="4" w:space="0" w:color="auto"/>
            </w:tcBorders>
          </w:tcPr>
          <w:p w:rsidR="00BA25DE" w:rsidRPr="00B23721" w:rsidRDefault="00BA25DE" w:rsidP="00FF0995">
            <w:pPr>
              <w:rPr>
                <w:rFonts w:ascii="Arial Narrow" w:hAnsi="Arial Narrow"/>
                <w:sz w:val="20"/>
              </w:rPr>
            </w:pPr>
            <w:r w:rsidRPr="00B23721">
              <w:rPr>
                <w:rFonts w:ascii="Arial Narrow" w:hAnsi="Arial Narrow"/>
                <w:sz w:val="20"/>
              </w:rPr>
              <w:t>Any grade</w:t>
            </w:r>
          </w:p>
        </w:tc>
        <w:tc>
          <w:tcPr>
            <w:tcW w:w="758" w:type="pct"/>
            <w:tcBorders>
              <w:left w:val="single" w:sz="4" w:space="0" w:color="auto"/>
            </w:tcBorders>
            <w:vAlign w:val="center"/>
          </w:tcPr>
          <w:p w:rsidR="00BA25DE" w:rsidRPr="00B23721" w:rsidRDefault="00BA25DE" w:rsidP="00FF0995">
            <w:pPr>
              <w:jc w:val="center"/>
              <w:rPr>
                <w:rFonts w:ascii="Arial Narrow" w:hAnsi="Arial Narrow"/>
                <w:sz w:val="20"/>
              </w:rPr>
            </w:pPr>
            <w:r w:rsidRPr="00B23721">
              <w:rPr>
                <w:rFonts w:ascii="Arial Narrow" w:hAnsi="Arial Narrow"/>
                <w:sz w:val="20"/>
              </w:rPr>
              <w:t>80 (61)</w:t>
            </w:r>
          </w:p>
        </w:tc>
        <w:tc>
          <w:tcPr>
            <w:tcW w:w="783" w:type="pct"/>
            <w:vAlign w:val="center"/>
          </w:tcPr>
          <w:p w:rsidR="00BA25DE" w:rsidRPr="00B23721" w:rsidRDefault="00BA25DE" w:rsidP="00FF0995">
            <w:pPr>
              <w:jc w:val="center"/>
              <w:rPr>
                <w:rFonts w:ascii="Arial Narrow" w:hAnsi="Arial Narrow"/>
                <w:sz w:val="20"/>
              </w:rPr>
            </w:pPr>
            <w:r w:rsidRPr="00B23721">
              <w:rPr>
                <w:rFonts w:ascii="Arial Narrow" w:hAnsi="Arial Narrow"/>
                <w:sz w:val="20"/>
              </w:rPr>
              <w:t>112 (87)</w:t>
            </w:r>
          </w:p>
        </w:tc>
        <w:tc>
          <w:tcPr>
            <w:tcW w:w="1097" w:type="pct"/>
            <w:vAlign w:val="center"/>
          </w:tcPr>
          <w:p w:rsidR="00BA25DE" w:rsidRPr="00B23721" w:rsidRDefault="00BA25DE" w:rsidP="00FF0995">
            <w:pPr>
              <w:jc w:val="center"/>
              <w:rPr>
                <w:rFonts w:ascii="Arial Narrow" w:hAnsi="Arial Narrow"/>
                <w:b/>
                <w:sz w:val="20"/>
              </w:rPr>
            </w:pPr>
            <w:r w:rsidRPr="00B23721">
              <w:rPr>
                <w:rFonts w:ascii="Arial Narrow" w:hAnsi="Arial Narrow"/>
                <w:b/>
                <w:sz w:val="20"/>
              </w:rPr>
              <w:t>0.70 (0.60, 0.82)</w:t>
            </w:r>
          </w:p>
        </w:tc>
        <w:tc>
          <w:tcPr>
            <w:tcW w:w="1098" w:type="pct"/>
            <w:vAlign w:val="center"/>
          </w:tcPr>
          <w:p w:rsidR="00BA25DE" w:rsidRPr="00B23721" w:rsidRDefault="00BA25DE" w:rsidP="00FF0995">
            <w:pPr>
              <w:jc w:val="center"/>
              <w:rPr>
                <w:rFonts w:ascii="Arial Narrow" w:hAnsi="Arial Narrow"/>
                <w:b/>
                <w:sz w:val="20"/>
              </w:rPr>
            </w:pPr>
            <w:r w:rsidRPr="00B23721">
              <w:rPr>
                <w:rFonts w:ascii="Arial Narrow" w:hAnsi="Arial Narrow"/>
                <w:b/>
                <w:sz w:val="20"/>
              </w:rPr>
              <w:t>-0.26 (-0.36, -0.16)</w:t>
            </w:r>
          </w:p>
        </w:tc>
      </w:tr>
      <w:tr w:rsidR="00BA25DE" w:rsidRPr="00B23721" w:rsidTr="005227F2">
        <w:tc>
          <w:tcPr>
            <w:tcW w:w="1264" w:type="pct"/>
            <w:tcBorders>
              <w:top w:val="single" w:sz="4" w:space="0" w:color="auto"/>
              <w:left w:val="single" w:sz="4" w:space="0" w:color="auto"/>
              <w:bottom w:val="single" w:sz="4" w:space="0" w:color="auto"/>
              <w:right w:val="single" w:sz="4" w:space="0" w:color="auto"/>
            </w:tcBorders>
          </w:tcPr>
          <w:p w:rsidR="00BA25DE" w:rsidRPr="00B23721" w:rsidRDefault="00BA25DE" w:rsidP="00FF0995">
            <w:pPr>
              <w:rPr>
                <w:rFonts w:ascii="Arial Narrow" w:hAnsi="Arial Narrow"/>
                <w:sz w:val="20"/>
              </w:rPr>
            </w:pPr>
            <w:r w:rsidRPr="00B23721">
              <w:rPr>
                <w:rFonts w:ascii="Arial Narrow" w:hAnsi="Arial Narrow"/>
                <w:sz w:val="20"/>
              </w:rPr>
              <w:t>Grade 3-4</w:t>
            </w:r>
          </w:p>
        </w:tc>
        <w:tc>
          <w:tcPr>
            <w:tcW w:w="758" w:type="pct"/>
            <w:tcBorders>
              <w:left w:val="single" w:sz="4" w:space="0" w:color="auto"/>
            </w:tcBorders>
            <w:vAlign w:val="center"/>
          </w:tcPr>
          <w:p w:rsidR="00BA25DE" w:rsidRPr="00B23721" w:rsidRDefault="00BA25DE" w:rsidP="00FF0995">
            <w:pPr>
              <w:jc w:val="center"/>
              <w:rPr>
                <w:rFonts w:ascii="Arial Narrow" w:hAnsi="Arial Narrow"/>
                <w:sz w:val="20"/>
              </w:rPr>
            </w:pPr>
            <w:r w:rsidRPr="00B23721">
              <w:rPr>
                <w:rFonts w:ascii="Arial Narrow" w:hAnsi="Arial Narrow"/>
                <w:sz w:val="20"/>
              </w:rPr>
              <w:t>10 (8)</w:t>
            </w:r>
          </w:p>
        </w:tc>
        <w:tc>
          <w:tcPr>
            <w:tcW w:w="783" w:type="pct"/>
            <w:vAlign w:val="center"/>
          </w:tcPr>
          <w:p w:rsidR="00BA25DE" w:rsidRPr="00B23721" w:rsidRDefault="00BA25DE" w:rsidP="00FF0995">
            <w:pPr>
              <w:jc w:val="center"/>
              <w:rPr>
                <w:rFonts w:ascii="Arial Narrow" w:hAnsi="Arial Narrow"/>
                <w:sz w:val="20"/>
              </w:rPr>
            </w:pPr>
            <w:r w:rsidRPr="00B23721">
              <w:rPr>
                <w:rFonts w:ascii="Arial Narrow" w:hAnsi="Arial Narrow"/>
                <w:sz w:val="20"/>
              </w:rPr>
              <w:t>72 (56)</w:t>
            </w:r>
          </w:p>
        </w:tc>
        <w:tc>
          <w:tcPr>
            <w:tcW w:w="1097" w:type="pct"/>
            <w:vAlign w:val="center"/>
          </w:tcPr>
          <w:p w:rsidR="00BA25DE" w:rsidRPr="00B23721" w:rsidRDefault="00BA25DE" w:rsidP="00FF0995">
            <w:pPr>
              <w:jc w:val="center"/>
              <w:rPr>
                <w:rFonts w:ascii="Arial Narrow" w:hAnsi="Arial Narrow"/>
                <w:b/>
                <w:sz w:val="20"/>
              </w:rPr>
            </w:pPr>
            <w:r w:rsidRPr="00B23721">
              <w:rPr>
                <w:rFonts w:ascii="Arial Narrow" w:hAnsi="Arial Narrow"/>
                <w:b/>
                <w:sz w:val="20"/>
              </w:rPr>
              <w:t>0.14 (0.07, 0.25)</w:t>
            </w:r>
          </w:p>
        </w:tc>
        <w:tc>
          <w:tcPr>
            <w:tcW w:w="1098" w:type="pct"/>
            <w:vAlign w:val="center"/>
          </w:tcPr>
          <w:p w:rsidR="00BA25DE" w:rsidRPr="00B23721" w:rsidRDefault="00BA25DE" w:rsidP="00FF0995">
            <w:pPr>
              <w:jc w:val="center"/>
              <w:rPr>
                <w:rFonts w:ascii="Arial Narrow" w:hAnsi="Arial Narrow"/>
                <w:b/>
                <w:sz w:val="20"/>
              </w:rPr>
            </w:pPr>
            <w:r w:rsidRPr="00B23721">
              <w:rPr>
                <w:rFonts w:ascii="Arial Narrow" w:hAnsi="Arial Narrow"/>
                <w:b/>
                <w:sz w:val="20"/>
              </w:rPr>
              <w:t>-0.48 (-0.58, -0.38)</w:t>
            </w:r>
          </w:p>
        </w:tc>
      </w:tr>
      <w:tr w:rsidR="00BA25DE" w:rsidRPr="00B23721" w:rsidTr="005227F2">
        <w:tc>
          <w:tcPr>
            <w:tcW w:w="5000" w:type="pct"/>
            <w:gridSpan w:val="5"/>
            <w:tcBorders>
              <w:top w:val="single" w:sz="4" w:space="0" w:color="auto"/>
              <w:left w:val="single" w:sz="4" w:space="0" w:color="auto"/>
              <w:bottom w:val="single" w:sz="4" w:space="0" w:color="auto"/>
            </w:tcBorders>
          </w:tcPr>
          <w:p w:rsidR="00BA25DE" w:rsidRPr="00B23721" w:rsidRDefault="00BA25DE" w:rsidP="00FF0995">
            <w:pPr>
              <w:rPr>
                <w:rFonts w:ascii="Arial Narrow" w:hAnsi="Arial Narrow"/>
                <w:b/>
                <w:sz w:val="20"/>
              </w:rPr>
            </w:pPr>
            <w:r w:rsidRPr="00B23721">
              <w:rPr>
                <w:rFonts w:ascii="Arial Narrow" w:hAnsi="Arial Narrow"/>
                <w:b/>
                <w:sz w:val="20"/>
              </w:rPr>
              <w:t>Treatment-related AE leading to discontinuation</w:t>
            </w:r>
          </w:p>
        </w:tc>
      </w:tr>
      <w:tr w:rsidR="00BA25DE" w:rsidRPr="00B23721" w:rsidTr="005227F2">
        <w:tc>
          <w:tcPr>
            <w:tcW w:w="1264" w:type="pct"/>
            <w:tcBorders>
              <w:top w:val="single" w:sz="4" w:space="0" w:color="auto"/>
              <w:left w:val="single" w:sz="4" w:space="0" w:color="auto"/>
              <w:bottom w:val="single" w:sz="4" w:space="0" w:color="auto"/>
              <w:right w:val="single" w:sz="4" w:space="0" w:color="auto"/>
            </w:tcBorders>
          </w:tcPr>
          <w:p w:rsidR="00BA25DE" w:rsidRPr="00B23721" w:rsidRDefault="00BA25DE" w:rsidP="00FF0995">
            <w:pPr>
              <w:rPr>
                <w:rFonts w:ascii="Arial Narrow" w:hAnsi="Arial Narrow"/>
                <w:sz w:val="20"/>
              </w:rPr>
            </w:pPr>
            <w:r w:rsidRPr="00B23721">
              <w:rPr>
                <w:rFonts w:ascii="Arial Narrow" w:hAnsi="Arial Narrow"/>
                <w:sz w:val="20"/>
              </w:rPr>
              <w:t>Any grade</w:t>
            </w:r>
          </w:p>
        </w:tc>
        <w:tc>
          <w:tcPr>
            <w:tcW w:w="758" w:type="pct"/>
            <w:tcBorders>
              <w:left w:val="single" w:sz="4" w:space="0" w:color="auto"/>
            </w:tcBorders>
            <w:vAlign w:val="center"/>
          </w:tcPr>
          <w:p w:rsidR="00BA25DE" w:rsidRPr="00B23721" w:rsidRDefault="00BA25DE" w:rsidP="00FF0995">
            <w:pPr>
              <w:jc w:val="center"/>
              <w:rPr>
                <w:rFonts w:ascii="Arial Narrow" w:hAnsi="Arial Narrow"/>
                <w:sz w:val="20"/>
              </w:rPr>
            </w:pPr>
            <w:r w:rsidRPr="00B23721">
              <w:rPr>
                <w:rFonts w:ascii="Arial Narrow" w:hAnsi="Arial Narrow"/>
                <w:sz w:val="20"/>
              </w:rPr>
              <w:t>8 (6)</w:t>
            </w:r>
          </w:p>
        </w:tc>
        <w:tc>
          <w:tcPr>
            <w:tcW w:w="783" w:type="pct"/>
            <w:vAlign w:val="center"/>
          </w:tcPr>
          <w:p w:rsidR="00BA25DE" w:rsidRPr="00B23721" w:rsidRDefault="00BA25DE" w:rsidP="00FF0995">
            <w:pPr>
              <w:jc w:val="center"/>
              <w:rPr>
                <w:rFonts w:ascii="Arial Narrow" w:hAnsi="Arial Narrow"/>
                <w:sz w:val="20"/>
              </w:rPr>
            </w:pPr>
            <w:r w:rsidRPr="00B23721">
              <w:rPr>
                <w:rFonts w:ascii="Arial Narrow" w:hAnsi="Arial Narrow"/>
                <w:sz w:val="20"/>
              </w:rPr>
              <w:t>13 (10)</w:t>
            </w:r>
          </w:p>
        </w:tc>
        <w:tc>
          <w:tcPr>
            <w:tcW w:w="1097" w:type="pct"/>
            <w:vAlign w:val="center"/>
          </w:tcPr>
          <w:p w:rsidR="00BA25DE" w:rsidRPr="00B23721" w:rsidRDefault="00BA25DE" w:rsidP="00FF0995">
            <w:pPr>
              <w:jc w:val="center"/>
              <w:rPr>
                <w:rFonts w:ascii="Arial Narrow" w:hAnsi="Arial Narrow"/>
                <w:sz w:val="20"/>
              </w:rPr>
            </w:pPr>
            <w:r w:rsidRPr="00B23721">
              <w:rPr>
                <w:rFonts w:ascii="Arial Narrow" w:hAnsi="Arial Narrow"/>
                <w:sz w:val="20"/>
              </w:rPr>
              <w:t>0.61 (0.26, 1.41)</w:t>
            </w:r>
          </w:p>
        </w:tc>
        <w:tc>
          <w:tcPr>
            <w:tcW w:w="1098" w:type="pct"/>
            <w:vAlign w:val="center"/>
          </w:tcPr>
          <w:p w:rsidR="00BA25DE" w:rsidRPr="00B23721" w:rsidRDefault="00BA25DE" w:rsidP="00FF0995">
            <w:pPr>
              <w:jc w:val="center"/>
              <w:rPr>
                <w:rFonts w:ascii="Arial Narrow" w:hAnsi="Arial Narrow"/>
                <w:sz w:val="20"/>
              </w:rPr>
            </w:pPr>
            <w:r w:rsidRPr="00B23721">
              <w:rPr>
                <w:rFonts w:ascii="Arial Narrow" w:hAnsi="Arial Narrow"/>
                <w:sz w:val="20"/>
              </w:rPr>
              <w:t>-0.04 (-0.11, 0.03)</w:t>
            </w:r>
          </w:p>
        </w:tc>
      </w:tr>
      <w:tr w:rsidR="00BA25DE" w:rsidRPr="00B23721" w:rsidTr="005227F2">
        <w:tc>
          <w:tcPr>
            <w:tcW w:w="1264" w:type="pct"/>
            <w:tcBorders>
              <w:top w:val="single" w:sz="4" w:space="0" w:color="auto"/>
              <w:left w:val="single" w:sz="4" w:space="0" w:color="auto"/>
              <w:bottom w:val="single" w:sz="4" w:space="0" w:color="auto"/>
              <w:right w:val="single" w:sz="4" w:space="0" w:color="auto"/>
            </w:tcBorders>
          </w:tcPr>
          <w:p w:rsidR="00BA25DE" w:rsidRPr="00B23721" w:rsidRDefault="00BA25DE" w:rsidP="00FF0995">
            <w:pPr>
              <w:rPr>
                <w:rFonts w:ascii="Arial Narrow" w:hAnsi="Arial Narrow"/>
                <w:sz w:val="20"/>
              </w:rPr>
            </w:pPr>
            <w:r w:rsidRPr="00B23721">
              <w:rPr>
                <w:rFonts w:ascii="Arial Narrow" w:hAnsi="Arial Narrow"/>
                <w:sz w:val="20"/>
              </w:rPr>
              <w:t>Grade 3-4</w:t>
            </w:r>
          </w:p>
        </w:tc>
        <w:tc>
          <w:tcPr>
            <w:tcW w:w="758" w:type="pct"/>
            <w:tcBorders>
              <w:left w:val="single" w:sz="4" w:space="0" w:color="auto"/>
            </w:tcBorders>
            <w:vAlign w:val="center"/>
          </w:tcPr>
          <w:p w:rsidR="00BA25DE" w:rsidRPr="00B23721" w:rsidRDefault="00BA25DE" w:rsidP="00FF0995">
            <w:pPr>
              <w:jc w:val="center"/>
              <w:rPr>
                <w:rFonts w:ascii="Arial Narrow" w:hAnsi="Arial Narrow"/>
                <w:sz w:val="20"/>
              </w:rPr>
            </w:pPr>
            <w:r w:rsidRPr="00B23721">
              <w:rPr>
                <w:rFonts w:ascii="Arial Narrow" w:hAnsi="Arial Narrow"/>
                <w:sz w:val="20"/>
              </w:rPr>
              <w:t>5 (4)</w:t>
            </w:r>
          </w:p>
        </w:tc>
        <w:tc>
          <w:tcPr>
            <w:tcW w:w="783" w:type="pct"/>
            <w:vAlign w:val="center"/>
          </w:tcPr>
          <w:p w:rsidR="00BA25DE" w:rsidRPr="00B23721" w:rsidRDefault="00BA25DE" w:rsidP="00FF0995">
            <w:pPr>
              <w:jc w:val="center"/>
              <w:rPr>
                <w:rFonts w:ascii="Arial Narrow" w:hAnsi="Arial Narrow"/>
                <w:sz w:val="20"/>
              </w:rPr>
            </w:pPr>
            <w:r w:rsidRPr="00B23721">
              <w:rPr>
                <w:rFonts w:ascii="Arial Narrow" w:hAnsi="Arial Narrow"/>
                <w:sz w:val="20"/>
              </w:rPr>
              <w:t>8 (6)</w:t>
            </w:r>
          </w:p>
        </w:tc>
        <w:tc>
          <w:tcPr>
            <w:tcW w:w="1097" w:type="pct"/>
            <w:vAlign w:val="center"/>
          </w:tcPr>
          <w:p w:rsidR="00BA25DE" w:rsidRPr="00B23721" w:rsidRDefault="00BA25DE" w:rsidP="00FF0995">
            <w:pPr>
              <w:jc w:val="center"/>
              <w:rPr>
                <w:rFonts w:ascii="Arial Narrow" w:hAnsi="Arial Narrow"/>
                <w:sz w:val="20"/>
              </w:rPr>
            </w:pPr>
            <w:r w:rsidRPr="00B23721">
              <w:rPr>
                <w:rFonts w:ascii="Arial Narrow" w:hAnsi="Arial Narrow"/>
                <w:sz w:val="20"/>
              </w:rPr>
              <w:t>0.62 (0.21, 1.83)</w:t>
            </w:r>
          </w:p>
        </w:tc>
        <w:tc>
          <w:tcPr>
            <w:tcW w:w="1098" w:type="pct"/>
            <w:vAlign w:val="center"/>
          </w:tcPr>
          <w:p w:rsidR="00BA25DE" w:rsidRPr="00B23721" w:rsidRDefault="00BA25DE" w:rsidP="00FF0995">
            <w:pPr>
              <w:jc w:val="center"/>
              <w:rPr>
                <w:rFonts w:ascii="Arial Narrow" w:hAnsi="Arial Narrow"/>
                <w:sz w:val="20"/>
              </w:rPr>
            </w:pPr>
            <w:r w:rsidRPr="00B23721">
              <w:rPr>
                <w:rFonts w:ascii="Arial Narrow" w:hAnsi="Arial Narrow"/>
                <w:sz w:val="20"/>
              </w:rPr>
              <w:t>-0.02 (-0.08, 0.03)</w:t>
            </w:r>
          </w:p>
        </w:tc>
      </w:tr>
      <w:tr w:rsidR="00BA25DE" w:rsidRPr="00B23721" w:rsidTr="005227F2">
        <w:tc>
          <w:tcPr>
            <w:tcW w:w="1264" w:type="pct"/>
            <w:tcBorders>
              <w:top w:val="single" w:sz="4" w:space="0" w:color="auto"/>
              <w:left w:val="single" w:sz="4" w:space="0" w:color="auto"/>
              <w:bottom w:val="single" w:sz="4" w:space="0" w:color="auto"/>
              <w:right w:val="single" w:sz="4" w:space="0" w:color="auto"/>
            </w:tcBorders>
          </w:tcPr>
          <w:p w:rsidR="00BA25DE" w:rsidRPr="00B23721" w:rsidRDefault="00BA25DE" w:rsidP="00FF0995">
            <w:pPr>
              <w:rPr>
                <w:rFonts w:ascii="Arial Narrow" w:hAnsi="Arial Narrow"/>
                <w:sz w:val="20"/>
              </w:rPr>
            </w:pPr>
            <w:r w:rsidRPr="00B23721">
              <w:rPr>
                <w:rFonts w:ascii="Arial Narrow" w:hAnsi="Arial Narrow"/>
                <w:sz w:val="20"/>
              </w:rPr>
              <w:t>Treatment-related deaths</w:t>
            </w:r>
          </w:p>
        </w:tc>
        <w:tc>
          <w:tcPr>
            <w:tcW w:w="758" w:type="pct"/>
            <w:tcBorders>
              <w:left w:val="single" w:sz="4" w:space="0" w:color="auto"/>
            </w:tcBorders>
            <w:vAlign w:val="center"/>
          </w:tcPr>
          <w:p w:rsidR="00BA25DE" w:rsidRPr="00B23721" w:rsidRDefault="00BA25DE" w:rsidP="00FF0995">
            <w:pPr>
              <w:jc w:val="center"/>
              <w:rPr>
                <w:rFonts w:ascii="Arial Narrow" w:hAnsi="Arial Narrow"/>
                <w:sz w:val="20"/>
              </w:rPr>
            </w:pPr>
            <w:r w:rsidRPr="00B23721">
              <w:rPr>
                <w:rFonts w:ascii="Arial Narrow" w:hAnsi="Arial Narrow"/>
                <w:sz w:val="20"/>
              </w:rPr>
              <w:t>0</w:t>
            </w:r>
          </w:p>
        </w:tc>
        <w:tc>
          <w:tcPr>
            <w:tcW w:w="783" w:type="pct"/>
            <w:vAlign w:val="center"/>
          </w:tcPr>
          <w:p w:rsidR="00BA25DE" w:rsidRPr="00B23721" w:rsidRDefault="00BA25DE" w:rsidP="00FF0995">
            <w:pPr>
              <w:jc w:val="center"/>
              <w:rPr>
                <w:rFonts w:ascii="Arial Narrow" w:hAnsi="Arial Narrow"/>
                <w:sz w:val="20"/>
                <w:vertAlign w:val="superscript"/>
              </w:rPr>
            </w:pPr>
            <w:r w:rsidRPr="00B23721">
              <w:rPr>
                <w:rFonts w:ascii="Arial Narrow" w:hAnsi="Arial Narrow"/>
                <w:sz w:val="20"/>
              </w:rPr>
              <w:t>3 (2)</w:t>
            </w:r>
            <w:r w:rsidRPr="00B23721">
              <w:rPr>
                <w:rFonts w:ascii="Arial Narrow" w:hAnsi="Arial Narrow"/>
                <w:sz w:val="20"/>
                <w:vertAlign w:val="superscript"/>
              </w:rPr>
              <w:t>a</w:t>
            </w:r>
          </w:p>
        </w:tc>
        <w:tc>
          <w:tcPr>
            <w:tcW w:w="1097" w:type="pct"/>
            <w:vAlign w:val="center"/>
          </w:tcPr>
          <w:p w:rsidR="00BA25DE" w:rsidRPr="00B23721" w:rsidRDefault="00BA25DE" w:rsidP="00FF0995">
            <w:pPr>
              <w:jc w:val="center"/>
              <w:rPr>
                <w:rFonts w:ascii="Arial Narrow" w:hAnsi="Arial Narrow"/>
                <w:sz w:val="20"/>
              </w:rPr>
            </w:pPr>
            <w:r w:rsidRPr="00B23721">
              <w:rPr>
                <w:rFonts w:ascii="Arial Narrow" w:hAnsi="Arial Narrow"/>
                <w:sz w:val="20"/>
              </w:rPr>
              <w:t>-</w:t>
            </w:r>
          </w:p>
        </w:tc>
        <w:tc>
          <w:tcPr>
            <w:tcW w:w="1098" w:type="pct"/>
            <w:vAlign w:val="center"/>
          </w:tcPr>
          <w:p w:rsidR="00BA25DE" w:rsidRPr="00B23721" w:rsidRDefault="00BA25DE" w:rsidP="00FF0995">
            <w:pPr>
              <w:jc w:val="center"/>
              <w:rPr>
                <w:rFonts w:ascii="Arial Narrow" w:hAnsi="Arial Narrow"/>
                <w:sz w:val="20"/>
              </w:rPr>
            </w:pPr>
            <w:r w:rsidRPr="00B23721">
              <w:rPr>
                <w:rFonts w:ascii="Arial Narrow" w:hAnsi="Arial Narrow"/>
                <w:sz w:val="20"/>
              </w:rPr>
              <w:t>-0.02 (-0.05, 0.00)</w:t>
            </w:r>
          </w:p>
        </w:tc>
      </w:tr>
      <w:tr w:rsidR="00BA25DE" w:rsidRPr="00B23721" w:rsidTr="005227F2">
        <w:tc>
          <w:tcPr>
            <w:tcW w:w="5000" w:type="pct"/>
            <w:gridSpan w:val="5"/>
            <w:tcBorders>
              <w:top w:val="single" w:sz="4" w:space="0" w:color="auto"/>
              <w:left w:val="single" w:sz="4" w:space="0" w:color="auto"/>
              <w:bottom w:val="single" w:sz="4" w:space="0" w:color="auto"/>
            </w:tcBorders>
          </w:tcPr>
          <w:p w:rsidR="00BA25DE" w:rsidRPr="00B23721" w:rsidRDefault="00BA25DE" w:rsidP="00FF0995">
            <w:pPr>
              <w:rPr>
                <w:rFonts w:ascii="Arial Narrow" w:hAnsi="Arial Narrow"/>
                <w:b/>
                <w:sz w:val="20"/>
              </w:rPr>
            </w:pPr>
            <w:r w:rsidRPr="00B23721">
              <w:rPr>
                <w:rFonts w:ascii="Arial Narrow" w:hAnsi="Arial Narrow"/>
                <w:b/>
                <w:sz w:val="20"/>
              </w:rPr>
              <w:t>Most frequent treatment-related AEs of any grade (≥10% of patients)</w:t>
            </w:r>
          </w:p>
        </w:tc>
      </w:tr>
      <w:tr w:rsidR="00BA25DE" w:rsidRPr="00B23721" w:rsidTr="005227F2">
        <w:tc>
          <w:tcPr>
            <w:tcW w:w="1264" w:type="pct"/>
            <w:tcBorders>
              <w:top w:val="single" w:sz="4" w:space="0" w:color="auto"/>
              <w:left w:val="single" w:sz="4" w:space="0" w:color="auto"/>
              <w:bottom w:val="single" w:sz="4" w:space="0" w:color="auto"/>
              <w:right w:val="single" w:sz="4" w:space="0" w:color="auto"/>
            </w:tcBorders>
          </w:tcPr>
          <w:p w:rsidR="00BA25DE" w:rsidRPr="00B23721" w:rsidRDefault="00BA25DE" w:rsidP="00FF0995">
            <w:pPr>
              <w:rPr>
                <w:rFonts w:ascii="Arial Narrow" w:hAnsi="Arial Narrow"/>
                <w:sz w:val="20"/>
              </w:rPr>
            </w:pPr>
            <w:r w:rsidRPr="00B23721">
              <w:rPr>
                <w:rFonts w:ascii="Arial Narrow" w:hAnsi="Arial Narrow"/>
                <w:sz w:val="20"/>
              </w:rPr>
              <w:t>Fatigue</w:t>
            </w:r>
          </w:p>
        </w:tc>
        <w:tc>
          <w:tcPr>
            <w:tcW w:w="758" w:type="pct"/>
            <w:tcBorders>
              <w:left w:val="single" w:sz="4" w:space="0" w:color="auto"/>
            </w:tcBorders>
          </w:tcPr>
          <w:p w:rsidR="00BA25DE" w:rsidRPr="00B23721" w:rsidRDefault="00BA25DE" w:rsidP="00FF0995">
            <w:pPr>
              <w:jc w:val="center"/>
              <w:rPr>
                <w:rFonts w:ascii="Arial Narrow" w:hAnsi="Arial Narrow"/>
                <w:sz w:val="20"/>
              </w:rPr>
            </w:pPr>
            <w:r w:rsidRPr="00B23721">
              <w:rPr>
                <w:rFonts w:ascii="Arial Narrow" w:hAnsi="Arial Narrow"/>
                <w:sz w:val="20"/>
              </w:rPr>
              <w:t>21 (16)</w:t>
            </w:r>
          </w:p>
        </w:tc>
        <w:tc>
          <w:tcPr>
            <w:tcW w:w="783" w:type="pct"/>
          </w:tcPr>
          <w:p w:rsidR="00BA25DE" w:rsidRPr="00B23721" w:rsidRDefault="00BA25DE" w:rsidP="00FF0995">
            <w:pPr>
              <w:jc w:val="center"/>
              <w:rPr>
                <w:rFonts w:ascii="Arial Narrow" w:hAnsi="Arial Narrow"/>
                <w:sz w:val="20"/>
              </w:rPr>
            </w:pPr>
            <w:r w:rsidRPr="00B23721">
              <w:rPr>
                <w:rFonts w:ascii="Arial Narrow" w:hAnsi="Arial Narrow"/>
                <w:sz w:val="20"/>
              </w:rPr>
              <w:t>43 (33)</w:t>
            </w:r>
          </w:p>
        </w:tc>
        <w:tc>
          <w:tcPr>
            <w:tcW w:w="1097" w:type="pct"/>
          </w:tcPr>
          <w:p w:rsidR="00BA25DE" w:rsidRPr="00B23721" w:rsidRDefault="00BA25DE" w:rsidP="00FF0995">
            <w:pPr>
              <w:jc w:val="center"/>
              <w:rPr>
                <w:rFonts w:ascii="Arial Narrow" w:hAnsi="Arial Narrow"/>
                <w:b/>
                <w:sz w:val="20"/>
              </w:rPr>
            </w:pPr>
            <w:r w:rsidRPr="00B23721">
              <w:rPr>
                <w:rFonts w:ascii="Arial Narrow" w:hAnsi="Arial Narrow"/>
                <w:b/>
                <w:sz w:val="20"/>
              </w:rPr>
              <w:t>0.48 (0.30, 0.76)</w:t>
            </w:r>
          </w:p>
        </w:tc>
        <w:tc>
          <w:tcPr>
            <w:tcW w:w="1098" w:type="pct"/>
          </w:tcPr>
          <w:p w:rsidR="00BA25DE" w:rsidRPr="00B23721" w:rsidRDefault="00BA25DE" w:rsidP="00FF0995">
            <w:pPr>
              <w:jc w:val="center"/>
              <w:rPr>
                <w:rFonts w:ascii="Arial Narrow" w:hAnsi="Arial Narrow"/>
                <w:b/>
                <w:sz w:val="20"/>
              </w:rPr>
            </w:pPr>
            <w:r w:rsidRPr="00B23721">
              <w:rPr>
                <w:rFonts w:ascii="Arial Narrow" w:hAnsi="Arial Narrow"/>
                <w:b/>
                <w:sz w:val="20"/>
              </w:rPr>
              <w:t>-0.17 (-0.28, -0.07)</w:t>
            </w:r>
          </w:p>
        </w:tc>
      </w:tr>
      <w:tr w:rsidR="00BA25DE" w:rsidRPr="00B23721" w:rsidTr="005227F2">
        <w:tc>
          <w:tcPr>
            <w:tcW w:w="1264" w:type="pct"/>
            <w:tcBorders>
              <w:top w:val="single" w:sz="4" w:space="0" w:color="auto"/>
              <w:left w:val="single" w:sz="4" w:space="0" w:color="auto"/>
              <w:bottom w:val="single" w:sz="4" w:space="0" w:color="auto"/>
              <w:right w:val="single" w:sz="4" w:space="0" w:color="auto"/>
            </w:tcBorders>
          </w:tcPr>
          <w:p w:rsidR="00BA25DE" w:rsidRPr="00B23721" w:rsidRDefault="00BA25DE" w:rsidP="00FF0995">
            <w:pPr>
              <w:rPr>
                <w:rFonts w:ascii="Arial Narrow" w:hAnsi="Arial Narrow"/>
                <w:sz w:val="20"/>
              </w:rPr>
            </w:pPr>
            <w:r w:rsidRPr="00B23721">
              <w:rPr>
                <w:rFonts w:ascii="Arial Narrow" w:hAnsi="Arial Narrow"/>
                <w:sz w:val="20"/>
              </w:rPr>
              <w:t>Asthenia</w:t>
            </w:r>
          </w:p>
        </w:tc>
        <w:tc>
          <w:tcPr>
            <w:tcW w:w="758" w:type="pct"/>
            <w:tcBorders>
              <w:left w:val="single" w:sz="4" w:space="0" w:color="auto"/>
            </w:tcBorders>
          </w:tcPr>
          <w:p w:rsidR="00BA25DE" w:rsidRPr="00B23721" w:rsidRDefault="00BA25DE" w:rsidP="00FF0995">
            <w:pPr>
              <w:jc w:val="center"/>
              <w:rPr>
                <w:rFonts w:ascii="Arial Narrow" w:hAnsi="Arial Narrow"/>
                <w:sz w:val="20"/>
              </w:rPr>
            </w:pPr>
            <w:r w:rsidRPr="00B23721">
              <w:rPr>
                <w:rFonts w:ascii="Arial Narrow" w:hAnsi="Arial Narrow"/>
                <w:sz w:val="20"/>
              </w:rPr>
              <w:t>14 (11)</w:t>
            </w:r>
          </w:p>
        </w:tc>
        <w:tc>
          <w:tcPr>
            <w:tcW w:w="783" w:type="pct"/>
          </w:tcPr>
          <w:p w:rsidR="00BA25DE" w:rsidRPr="00B23721" w:rsidRDefault="00BA25DE" w:rsidP="00FF0995">
            <w:pPr>
              <w:jc w:val="center"/>
              <w:rPr>
                <w:rFonts w:ascii="Arial Narrow" w:hAnsi="Arial Narrow"/>
                <w:sz w:val="20"/>
              </w:rPr>
            </w:pPr>
            <w:r w:rsidRPr="00B23721">
              <w:rPr>
                <w:rFonts w:ascii="Arial Narrow" w:hAnsi="Arial Narrow"/>
                <w:sz w:val="20"/>
              </w:rPr>
              <w:t>18 (14)</w:t>
            </w:r>
          </w:p>
        </w:tc>
        <w:tc>
          <w:tcPr>
            <w:tcW w:w="1097" w:type="pct"/>
          </w:tcPr>
          <w:p w:rsidR="00BA25DE" w:rsidRPr="00B23721" w:rsidRDefault="00BA25DE" w:rsidP="00FF0995">
            <w:pPr>
              <w:jc w:val="center"/>
              <w:rPr>
                <w:rFonts w:ascii="Arial Narrow" w:hAnsi="Arial Narrow"/>
                <w:sz w:val="20"/>
              </w:rPr>
            </w:pPr>
            <w:r w:rsidRPr="00B23721">
              <w:rPr>
                <w:rFonts w:ascii="Arial Narrow" w:hAnsi="Arial Narrow"/>
                <w:sz w:val="20"/>
              </w:rPr>
              <w:t>0.77 (0.40, 1.47)</w:t>
            </w:r>
          </w:p>
        </w:tc>
        <w:tc>
          <w:tcPr>
            <w:tcW w:w="1098" w:type="pct"/>
          </w:tcPr>
          <w:p w:rsidR="00BA25DE" w:rsidRPr="00B23721" w:rsidRDefault="00BA25DE" w:rsidP="00FF0995">
            <w:pPr>
              <w:jc w:val="center"/>
              <w:rPr>
                <w:rFonts w:ascii="Arial Narrow" w:hAnsi="Arial Narrow"/>
                <w:sz w:val="20"/>
              </w:rPr>
            </w:pPr>
            <w:r w:rsidRPr="00B23721">
              <w:rPr>
                <w:rFonts w:ascii="Arial Narrow" w:hAnsi="Arial Narrow"/>
                <w:sz w:val="20"/>
              </w:rPr>
              <w:t>-0.03 (-0.11, 0.05)</w:t>
            </w:r>
          </w:p>
        </w:tc>
      </w:tr>
      <w:tr w:rsidR="00BA25DE" w:rsidRPr="00B23721" w:rsidTr="005227F2">
        <w:tc>
          <w:tcPr>
            <w:tcW w:w="1264" w:type="pct"/>
            <w:tcBorders>
              <w:top w:val="single" w:sz="4" w:space="0" w:color="auto"/>
              <w:left w:val="single" w:sz="4" w:space="0" w:color="auto"/>
              <w:bottom w:val="single" w:sz="4" w:space="0" w:color="auto"/>
              <w:right w:val="single" w:sz="4" w:space="0" w:color="auto"/>
            </w:tcBorders>
          </w:tcPr>
          <w:p w:rsidR="00BA25DE" w:rsidRPr="00B23721" w:rsidRDefault="00BA25DE" w:rsidP="00FF0995">
            <w:pPr>
              <w:rPr>
                <w:rFonts w:ascii="Arial Narrow" w:hAnsi="Arial Narrow"/>
                <w:sz w:val="20"/>
              </w:rPr>
            </w:pPr>
            <w:r w:rsidRPr="00B23721">
              <w:rPr>
                <w:rFonts w:ascii="Arial Narrow" w:hAnsi="Arial Narrow"/>
                <w:sz w:val="20"/>
              </w:rPr>
              <w:t>Decreased appetite</w:t>
            </w:r>
          </w:p>
        </w:tc>
        <w:tc>
          <w:tcPr>
            <w:tcW w:w="758" w:type="pct"/>
            <w:tcBorders>
              <w:left w:val="single" w:sz="4" w:space="0" w:color="auto"/>
              <w:bottom w:val="single" w:sz="4" w:space="0" w:color="auto"/>
            </w:tcBorders>
          </w:tcPr>
          <w:p w:rsidR="00BA25DE" w:rsidRPr="00B23721" w:rsidRDefault="00BA25DE" w:rsidP="00FF0995">
            <w:pPr>
              <w:jc w:val="center"/>
              <w:rPr>
                <w:rFonts w:ascii="Arial Narrow" w:hAnsi="Arial Narrow"/>
                <w:sz w:val="20"/>
              </w:rPr>
            </w:pPr>
            <w:r w:rsidRPr="00B23721">
              <w:rPr>
                <w:rFonts w:ascii="Arial Narrow" w:hAnsi="Arial Narrow"/>
                <w:sz w:val="20"/>
              </w:rPr>
              <w:t>14 (11)</w:t>
            </w:r>
          </w:p>
        </w:tc>
        <w:tc>
          <w:tcPr>
            <w:tcW w:w="783" w:type="pct"/>
            <w:tcBorders>
              <w:bottom w:val="single" w:sz="4" w:space="0" w:color="auto"/>
            </w:tcBorders>
          </w:tcPr>
          <w:p w:rsidR="00BA25DE" w:rsidRPr="00B23721" w:rsidRDefault="00BA25DE" w:rsidP="00FF0995">
            <w:pPr>
              <w:jc w:val="center"/>
              <w:rPr>
                <w:rFonts w:ascii="Arial Narrow" w:hAnsi="Arial Narrow"/>
                <w:sz w:val="20"/>
              </w:rPr>
            </w:pPr>
            <w:r w:rsidRPr="00B23721">
              <w:rPr>
                <w:rFonts w:ascii="Arial Narrow" w:hAnsi="Arial Narrow"/>
                <w:sz w:val="20"/>
              </w:rPr>
              <w:t>25 (19)</w:t>
            </w:r>
          </w:p>
        </w:tc>
        <w:tc>
          <w:tcPr>
            <w:tcW w:w="1097" w:type="pct"/>
            <w:tcBorders>
              <w:bottom w:val="single" w:sz="4" w:space="0" w:color="auto"/>
            </w:tcBorders>
          </w:tcPr>
          <w:p w:rsidR="00BA25DE" w:rsidRPr="00B23721" w:rsidRDefault="00BA25DE" w:rsidP="00FF0995">
            <w:pPr>
              <w:jc w:val="center"/>
              <w:rPr>
                <w:rFonts w:ascii="Arial Narrow" w:hAnsi="Arial Narrow"/>
                <w:sz w:val="20"/>
              </w:rPr>
            </w:pPr>
            <w:r w:rsidRPr="00B23721">
              <w:rPr>
                <w:rFonts w:ascii="Arial Narrow" w:hAnsi="Arial Narrow"/>
                <w:sz w:val="20"/>
              </w:rPr>
              <w:t>0.55 (0.30, 1.01)</w:t>
            </w:r>
          </w:p>
        </w:tc>
        <w:tc>
          <w:tcPr>
            <w:tcW w:w="1098" w:type="pct"/>
            <w:tcBorders>
              <w:bottom w:val="single" w:sz="4" w:space="0" w:color="auto"/>
            </w:tcBorders>
          </w:tcPr>
          <w:p w:rsidR="00BA25DE" w:rsidRPr="00B23721" w:rsidRDefault="00BA25DE" w:rsidP="00FF0995">
            <w:pPr>
              <w:jc w:val="center"/>
              <w:rPr>
                <w:rFonts w:ascii="Arial Narrow" w:hAnsi="Arial Narrow"/>
                <w:sz w:val="20"/>
              </w:rPr>
            </w:pPr>
            <w:r w:rsidRPr="00B23721">
              <w:rPr>
                <w:rFonts w:ascii="Arial Narrow" w:hAnsi="Arial Narrow"/>
                <w:sz w:val="20"/>
              </w:rPr>
              <w:t>-0.09 (-0.17, 0.00)</w:t>
            </w:r>
          </w:p>
        </w:tc>
      </w:tr>
      <w:tr w:rsidR="00BA25DE" w:rsidRPr="00B23721" w:rsidTr="005227F2">
        <w:tc>
          <w:tcPr>
            <w:tcW w:w="1264" w:type="pct"/>
            <w:tcBorders>
              <w:top w:val="single" w:sz="4" w:space="0" w:color="auto"/>
              <w:left w:val="single" w:sz="4" w:space="0" w:color="auto"/>
              <w:bottom w:val="single" w:sz="4" w:space="0" w:color="auto"/>
              <w:right w:val="single" w:sz="4" w:space="0" w:color="auto"/>
            </w:tcBorders>
          </w:tcPr>
          <w:p w:rsidR="00BA25DE" w:rsidRPr="00B23721" w:rsidRDefault="00BA25DE" w:rsidP="00FF0995">
            <w:pPr>
              <w:rPr>
                <w:rFonts w:ascii="Arial Narrow" w:hAnsi="Arial Narrow"/>
                <w:sz w:val="20"/>
              </w:rPr>
            </w:pPr>
            <w:r w:rsidRPr="00B23721">
              <w:rPr>
                <w:rFonts w:ascii="Arial Narrow" w:hAnsi="Arial Narrow"/>
                <w:sz w:val="20"/>
              </w:rPr>
              <w:t>Nausea</w:t>
            </w:r>
          </w:p>
        </w:tc>
        <w:tc>
          <w:tcPr>
            <w:tcW w:w="758" w:type="pct"/>
            <w:tcBorders>
              <w:left w:val="single" w:sz="4" w:space="0" w:color="auto"/>
            </w:tcBorders>
          </w:tcPr>
          <w:p w:rsidR="00BA25DE" w:rsidRPr="00B23721" w:rsidRDefault="00BA25DE" w:rsidP="00FF0995">
            <w:pPr>
              <w:jc w:val="center"/>
              <w:rPr>
                <w:rFonts w:ascii="Arial Narrow" w:hAnsi="Arial Narrow"/>
                <w:sz w:val="20"/>
              </w:rPr>
            </w:pPr>
            <w:r w:rsidRPr="00B23721">
              <w:rPr>
                <w:rFonts w:ascii="Arial Narrow" w:hAnsi="Arial Narrow"/>
                <w:sz w:val="20"/>
              </w:rPr>
              <w:t>12 (9)</w:t>
            </w:r>
          </w:p>
        </w:tc>
        <w:tc>
          <w:tcPr>
            <w:tcW w:w="783" w:type="pct"/>
          </w:tcPr>
          <w:p w:rsidR="00BA25DE" w:rsidRPr="00B23721" w:rsidRDefault="00BA25DE" w:rsidP="00FF0995">
            <w:pPr>
              <w:jc w:val="center"/>
              <w:rPr>
                <w:rFonts w:ascii="Arial Narrow" w:hAnsi="Arial Narrow"/>
                <w:sz w:val="20"/>
              </w:rPr>
            </w:pPr>
            <w:r w:rsidRPr="00B23721">
              <w:rPr>
                <w:rFonts w:ascii="Arial Narrow" w:hAnsi="Arial Narrow"/>
                <w:sz w:val="20"/>
              </w:rPr>
              <w:t>30 (23)</w:t>
            </w:r>
          </w:p>
        </w:tc>
        <w:tc>
          <w:tcPr>
            <w:tcW w:w="1097" w:type="pct"/>
          </w:tcPr>
          <w:p w:rsidR="00BA25DE" w:rsidRPr="00B23721" w:rsidRDefault="00BA25DE" w:rsidP="00FF0995">
            <w:pPr>
              <w:jc w:val="center"/>
              <w:rPr>
                <w:rFonts w:ascii="Arial Narrow" w:hAnsi="Arial Narrow"/>
                <w:b/>
                <w:sz w:val="20"/>
              </w:rPr>
            </w:pPr>
            <w:r w:rsidRPr="00B23721">
              <w:rPr>
                <w:rFonts w:ascii="Arial Narrow" w:hAnsi="Arial Narrow"/>
                <w:b/>
                <w:sz w:val="20"/>
              </w:rPr>
              <w:t>0.39 (0.21, 0.73)</w:t>
            </w:r>
          </w:p>
        </w:tc>
        <w:tc>
          <w:tcPr>
            <w:tcW w:w="1098" w:type="pct"/>
          </w:tcPr>
          <w:p w:rsidR="00BA25DE" w:rsidRPr="00B23721" w:rsidRDefault="00BA25DE" w:rsidP="00FF0995">
            <w:pPr>
              <w:jc w:val="center"/>
              <w:rPr>
                <w:rFonts w:ascii="Arial Narrow" w:hAnsi="Arial Narrow"/>
                <w:b/>
                <w:sz w:val="20"/>
              </w:rPr>
            </w:pPr>
            <w:r w:rsidRPr="00B23721">
              <w:rPr>
                <w:rFonts w:ascii="Arial Narrow" w:hAnsi="Arial Narrow"/>
                <w:b/>
                <w:sz w:val="20"/>
              </w:rPr>
              <w:t>-0.14 (-0.23, -0.05)</w:t>
            </w:r>
          </w:p>
        </w:tc>
      </w:tr>
      <w:tr w:rsidR="00BA25DE" w:rsidRPr="00B23721" w:rsidTr="005227F2">
        <w:tc>
          <w:tcPr>
            <w:tcW w:w="1264" w:type="pct"/>
            <w:tcBorders>
              <w:top w:val="single" w:sz="4" w:space="0" w:color="auto"/>
              <w:left w:val="single" w:sz="4" w:space="0" w:color="auto"/>
              <w:bottom w:val="single" w:sz="4" w:space="0" w:color="auto"/>
              <w:right w:val="single" w:sz="4" w:space="0" w:color="auto"/>
            </w:tcBorders>
          </w:tcPr>
          <w:p w:rsidR="00BA25DE" w:rsidRPr="00B23721" w:rsidRDefault="00BA25DE" w:rsidP="00FF0995">
            <w:pPr>
              <w:rPr>
                <w:rFonts w:ascii="Arial Narrow" w:hAnsi="Arial Narrow"/>
                <w:sz w:val="20"/>
              </w:rPr>
            </w:pPr>
            <w:r w:rsidRPr="00B23721">
              <w:rPr>
                <w:rFonts w:ascii="Arial Narrow" w:hAnsi="Arial Narrow"/>
                <w:sz w:val="20"/>
              </w:rPr>
              <w:t>Diarrhoea</w:t>
            </w:r>
          </w:p>
        </w:tc>
        <w:tc>
          <w:tcPr>
            <w:tcW w:w="758" w:type="pct"/>
            <w:tcBorders>
              <w:left w:val="single" w:sz="4" w:space="0" w:color="auto"/>
            </w:tcBorders>
          </w:tcPr>
          <w:p w:rsidR="00BA25DE" w:rsidRPr="00B23721" w:rsidRDefault="00BA25DE" w:rsidP="00FF0995">
            <w:pPr>
              <w:jc w:val="center"/>
              <w:rPr>
                <w:rFonts w:ascii="Arial Narrow" w:hAnsi="Arial Narrow"/>
                <w:sz w:val="20"/>
              </w:rPr>
            </w:pPr>
            <w:r w:rsidRPr="00B23721">
              <w:rPr>
                <w:rFonts w:ascii="Arial Narrow" w:hAnsi="Arial Narrow"/>
                <w:sz w:val="20"/>
              </w:rPr>
              <w:t>10 (8)</w:t>
            </w:r>
          </w:p>
        </w:tc>
        <w:tc>
          <w:tcPr>
            <w:tcW w:w="783" w:type="pct"/>
          </w:tcPr>
          <w:p w:rsidR="00BA25DE" w:rsidRPr="00B23721" w:rsidRDefault="00BA25DE" w:rsidP="00FF0995">
            <w:pPr>
              <w:jc w:val="center"/>
              <w:rPr>
                <w:rFonts w:ascii="Arial Narrow" w:hAnsi="Arial Narrow"/>
                <w:sz w:val="20"/>
              </w:rPr>
            </w:pPr>
            <w:r w:rsidRPr="00B23721">
              <w:rPr>
                <w:rFonts w:ascii="Arial Narrow" w:hAnsi="Arial Narrow"/>
                <w:sz w:val="20"/>
              </w:rPr>
              <w:t>26 (20)</w:t>
            </w:r>
          </w:p>
        </w:tc>
        <w:tc>
          <w:tcPr>
            <w:tcW w:w="1097" w:type="pct"/>
          </w:tcPr>
          <w:p w:rsidR="00BA25DE" w:rsidRPr="00B23721" w:rsidRDefault="00BA25DE" w:rsidP="00FF0995">
            <w:pPr>
              <w:jc w:val="center"/>
              <w:rPr>
                <w:rFonts w:ascii="Arial Narrow" w:hAnsi="Arial Narrow"/>
                <w:b/>
                <w:sz w:val="20"/>
              </w:rPr>
            </w:pPr>
            <w:r w:rsidRPr="00B23721">
              <w:rPr>
                <w:rFonts w:ascii="Arial Narrow" w:hAnsi="Arial Narrow"/>
                <w:b/>
                <w:sz w:val="20"/>
              </w:rPr>
              <w:t>0.38 (0.19, 0.75)</w:t>
            </w:r>
          </w:p>
        </w:tc>
        <w:tc>
          <w:tcPr>
            <w:tcW w:w="1098" w:type="pct"/>
          </w:tcPr>
          <w:p w:rsidR="00BA25DE" w:rsidRPr="00B23721" w:rsidRDefault="00BA25DE" w:rsidP="00FF0995">
            <w:pPr>
              <w:jc w:val="center"/>
              <w:rPr>
                <w:rFonts w:ascii="Arial Narrow" w:hAnsi="Arial Narrow"/>
                <w:b/>
                <w:sz w:val="20"/>
              </w:rPr>
            </w:pPr>
            <w:r w:rsidRPr="00B23721">
              <w:rPr>
                <w:rFonts w:ascii="Arial Narrow" w:hAnsi="Arial Narrow"/>
                <w:b/>
                <w:sz w:val="20"/>
              </w:rPr>
              <w:t>-0.13 (-0.21, -0.04)</w:t>
            </w:r>
          </w:p>
        </w:tc>
      </w:tr>
      <w:tr w:rsidR="00BA25DE" w:rsidRPr="00B23721" w:rsidTr="005227F2">
        <w:tc>
          <w:tcPr>
            <w:tcW w:w="1264" w:type="pct"/>
            <w:tcBorders>
              <w:top w:val="single" w:sz="4" w:space="0" w:color="auto"/>
              <w:left w:val="single" w:sz="4" w:space="0" w:color="auto"/>
              <w:bottom w:val="single" w:sz="4" w:space="0" w:color="auto"/>
              <w:right w:val="single" w:sz="4" w:space="0" w:color="auto"/>
            </w:tcBorders>
          </w:tcPr>
          <w:p w:rsidR="00BA25DE" w:rsidRPr="00B23721" w:rsidRDefault="00BA25DE" w:rsidP="00FF0995">
            <w:pPr>
              <w:rPr>
                <w:rFonts w:ascii="Arial Narrow" w:hAnsi="Arial Narrow"/>
                <w:sz w:val="20"/>
              </w:rPr>
            </w:pPr>
            <w:r w:rsidRPr="00B23721">
              <w:rPr>
                <w:rFonts w:ascii="Arial Narrow" w:hAnsi="Arial Narrow"/>
                <w:sz w:val="20"/>
              </w:rPr>
              <w:t>Vomiting</w:t>
            </w:r>
          </w:p>
        </w:tc>
        <w:tc>
          <w:tcPr>
            <w:tcW w:w="758" w:type="pct"/>
            <w:tcBorders>
              <w:left w:val="single" w:sz="4" w:space="0" w:color="auto"/>
              <w:bottom w:val="single" w:sz="4" w:space="0" w:color="auto"/>
            </w:tcBorders>
          </w:tcPr>
          <w:p w:rsidR="00BA25DE" w:rsidRPr="00B23721" w:rsidRDefault="00BA25DE" w:rsidP="00FF0995">
            <w:pPr>
              <w:jc w:val="center"/>
              <w:rPr>
                <w:rFonts w:ascii="Arial Narrow" w:hAnsi="Arial Narrow"/>
                <w:sz w:val="20"/>
              </w:rPr>
            </w:pPr>
            <w:r w:rsidRPr="00B23721">
              <w:rPr>
                <w:rFonts w:ascii="Arial Narrow" w:hAnsi="Arial Narrow"/>
                <w:sz w:val="20"/>
              </w:rPr>
              <w:t>4 (3)</w:t>
            </w:r>
          </w:p>
        </w:tc>
        <w:tc>
          <w:tcPr>
            <w:tcW w:w="783" w:type="pct"/>
            <w:tcBorders>
              <w:bottom w:val="single" w:sz="4" w:space="0" w:color="auto"/>
            </w:tcBorders>
          </w:tcPr>
          <w:p w:rsidR="00BA25DE" w:rsidRPr="00B23721" w:rsidRDefault="00BA25DE" w:rsidP="00FF0995">
            <w:pPr>
              <w:jc w:val="center"/>
              <w:rPr>
                <w:rFonts w:ascii="Arial Narrow" w:hAnsi="Arial Narrow"/>
                <w:sz w:val="20"/>
              </w:rPr>
            </w:pPr>
            <w:r w:rsidRPr="00B23721">
              <w:rPr>
                <w:rFonts w:ascii="Arial Narrow" w:hAnsi="Arial Narrow"/>
                <w:sz w:val="20"/>
              </w:rPr>
              <w:t>14 (11)</w:t>
            </w:r>
          </w:p>
        </w:tc>
        <w:tc>
          <w:tcPr>
            <w:tcW w:w="1097" w:type="pct"/>
            <w:tcBorders>
              <w:bottom w:val="single" w:sz="4" w:space="0" w:color="auto"/>
            </w:tcBorders>
          </w:tcPr>
          <w:p w:rsidR="00BA25DE" w:rsidRPr="00B23721" w:rsidRDefault="00BA25DE" w:rsidP="00FF0995">
            <w:pPr>
              <w:jc w:val="center"/>
              <w:rPr>
                <w:rFonts w:ascii="Arial Narrow" w:hAnsi="Arial Narrow"/>
                <w:b/>
                <w:sz w:val="20"/>
              </w:rPr>
            </w:pPr>
            <w:r w:rsidRPr="00B23721">
              <w:rPr>
                <w:rFonts w:ascii="Arial Narrow" w:hAnsi="Arial Narrow"/>
                <w:b/>
                <w:sz w:val="20"/>
              </w:rPr>
              <w:t>0.28 (0.10, 0.83)</w:t>
            </w:r>
          </w:p>
        </w:tc>
        <w:tc>
          <w:tcPr>
            <w:tcW w:w="1098" w:type="pct"/>
            <w:tcBorders>
              <w:bottom w:val="single" w:sz="4" w:space="0" w:color="auto"/>
            </w:tcBorders>
          </w:tcPr>
          <w:p w:rsidR="00BA25DE" w:rsidRPr="00B23721" w:rsidRDefault="00BA25DE" w:rsidP="00FF0995">
            <w:pPr>
              <w:jc w:val="center"/>
              <w:rPr>
                <w:rFonts w:ascii="Arial Narrow" w:hAnsi="Arial Narrow"/>
                <w:b/>
                <w:sz w:val="20"/>
              </w:rPr>
            </w:pPr>
            <w:r w:rsidRPr="00B23721">
              <w:rPr>
                <w:rFonts w:ascii="Arial Narrow" w:hAnsi="Arial Narrow"/>
                <w:b/>
                <w:sz w:val="20"/>
              </w:rPr>
              <w:t>-0.08 (-0.14, -0.02)</w:t>
            </w:r>
          </w:p>
        </w:tc>
      </w:tr>
      <w:tr w:rsidR="00BA25DE" w:rsidRPr="00B23721" w:rsidTr="005227F2">
        <w:tc>
          <w:tcPr>
            <w:tcW w:w="1264" w:type="pct"/>
            <w:tcBorders>
              <w:top w:val="single" w:sz="4" w:space="0" w:color="auto"/>
              <w:left w:val="single" w:sz="4" w:space="0" w:color="auto"/>
              <w:bottom w:val="single" w:sz="4" w:space="0" w:color="auto"/>
              <w:right w:val="single" w:sz="4" w:space="0" w:color="auto"/>
            </w:tcBorders>
          </w:tcPr>
          <w:p w:rsidR="00BA25DE" w:rsidRPr="00B23721" w:rsidRDefault="00BA25DE" w:rsidP="00FF0995">
            <w:pPr>
              <w:rPr>
                <w:rFonts w:ascii="Arial Narrow" w:hAnsi="Arial Narrow"/>
                <w:sz w:val="20"/>
              </w:rPr>
            </w:pPr>
            <w:r w:rsidRPr="00B23721">
              <w:rPr>
                <w:rFonts w:ascii="Arial Narrow" w:hAnsi="Arial Narrow"/>
                <w:sz w:val="20"/>
              </w:rPr>
              <w:t>Anaemia</w:t>
            </w:r>
          </w:p>
        </w:tc>
        <w:tc>
          <w:tcPr>
            <w:tcW w:w="758" w:type="pct"/>
            <w:tcBorders>
              <w:left w:val="single" w:sz="4" w:space="0" w:color="auto"/>
            </w:tcBorders>
          </w:tcPr>
          <w:p w:rsidR="00BA25DE" w:rsidRPr="00B23721" w:rsidRDefault="00BA25DE" w:rsidP="00FF0995">
            <w:pPr>
              <w:jc w:val="center"/>
              <w:rPr>
                <w:rFonts w:ascii="Arial Narrow" w:hAnsi="Arial Narrow"/>
                <w:sz w:val="20"/>
              </w:rPr>
            </w:pPr>
            <w:r w:rsidRPr="00B23721">
              <w:rPr>
                <w:rFonts w:ascii="Arial Narrow" w:hAnsi="Arial Narrow"/>
                <w:sz w:val="20"/>
              </w:rPr>
              <w:t>3 (2)</w:t>
            </w:r>
          </w:p>
        </w:tc>
        <w:tc>
          <w:tcPr>
            <w:tcW w:w="783" w:type="pct"/>
          </w:tcPr>
          <w:p w:rsidR="00BA25DE" w:rsidRPr="00B23721" w:rsidRDefault="00BA25DE" w:rsidP="00FF0995">
            <w:pPr>
              <w:jc w:val="center"/>
              <w:rPr>
                <w:rFonts w:ascii="Arial Narrow" w:hAnsi="Arial Narrow"/>
                <w:sz w:val="20"/>
              </w:rPr>
            </w:pPr>
            <w:r w:rsidRPr="00B23721">
              <w:rPr>
                <w:rFonts w:ascii="Arial Narrow" w:hAnsi="Arial Narrow"/>
                <w:sz w:val="20"/>
              </w:rPr>
              <w:t>28 (22)</w:t>
            </w:r>
          </w:p>
        </w:tc>
        <w:tc>
          <w:tcPr>
            <w:tcW w:w="1097" w:type="pct"/>
          </w:tcPr>
          <w:p w:rsidR="00BA25DE" w:rsidRPr="00B23721" w:rsidRDefault="00BA25DE" w:rsidP="00FF0995">
            <w:pPr>
              <w:jc w:val="center"/>
              <w:rPr>
                <w:rFonts w:ascii="Arial Narrow" w:hAnsi="Arial Narrow"/>
                <w:b/>
                <w:sz w:val="20"/>
              </w:rPr>
            </w:pPr>
            <w:r w:rsidRPr="00B23721">
              <w:rPr>
                <w:rFonts w:ascii="Arial Narrow" w:hAnsi="Arial Narrow"/>
                <w:b/>
                <w:sz w:val="20"/>
              </w:rPr>
              <w:t>0.11 (0.03, 0.34)</w:t>
            </w:r>
          </w:p>
        </w:tc>
        <w:tc>
          <w:tcPr>
            <w:tcW w:w="1098" w:type="pct"/>
          </w:tcPr>
          <w:p w:rsidR="00BA25DE" w:rsidRPr="00B23721" w:rsidRDefault="00BA25DE" w:rsidP="00FF0995">
            <w:pPr>
              <w:jc w:val="center"/>
              <w:rPr>
                <w:rFonts w:ascii="Arial Narrow" w:hAnsi="Arial Narrow"/>
                <w:b/>
                <w:sz w:val="20"/>
              </w:rPr>
            </w:pPr>
            <w:r w:rsidRPr="00B23721">
              <w:rPr>
                <w:rFonts w:ascii="Arial Narrow" w:hAnsi="Arial Narrow"/>
                <w:b/>
                <w:sz w:val="20"/>
              </w:rPr>
              <w:t>-0.19 (-0.27, -0.12)</w:t>
            </w:r>
          </w:p>
        </w:tc>
      </w:tr>
      <w:tr w:rsidR="00BA25DE" w:rsidRPr="00B23721" w:rsidTr="005227F2">
        <w:tc>
          <w:tcPr>
            <w:tcW w:w="1264" w:type="pct"/>
            <w:tcBorders>
              <w:top w:val="single" w:sz="4" w:space="0" w:color="auto"/>
              <w:left w:val="single" w:sz="4" w:space="0" w:color="auto"/>
              <w:bottom w:val="single" w:sz="4" w:space="0" w:color="auto"/>
              <w:right w:val="single" w:sz="4" w:space="0" w:color="auto"/>
            </w:tcBorders>
          </w:tcPr>
          <w:p w:rsidR="00BA25DE" w:rsidRPr="00B23721" w:rsidRDefault="00BA25DE" w:rsidP="00FF0995">
            <w:pPr>
              <w:rPr>
                <w:rFonts w:ascii="Arial Narrow" w:hAnsi="Arial Narrow"/>
                <w:sz w:val="20"/>
              </w:rPr>
            </w:pPr>
            <w:r w:rsidRPr="00B23721">
              <w:rPr>
                <w:rFonts w:ascii="Arial Narrow" w:hAnsi="Arial Narrow"/>
                <w:sz w:val="20"/>
              </w:rPr>
              <w:t>Myalgia</w:t>
            </w:r>
          </w:p>
        </w:tc>
        <w:tc>
          <w:tcPr>
            <w:tcW w:w="758" w:type="pct"/>
            <w:tcBorders>
              <w:left w:val="single" w:sz="4" w:space="0" w:color="auto"/>
            </w:tcBorders>
          </w:tcPr>
          <w:p w:rsidR="00BA25DE" w:rsidRPr="00B23721" w:rsidRDefault="00BA25DE" w:rsidP="00FF0995">
            <w:pPr>
              <w:jc w:val="center"/>
              <w:rPr>
                <w:rFonts w:ascii="Arial Narrow" w:hAnsi="Arial Narrow"/>
                <w:sz w:val="20"/>
              </w:rPr>
            </w:pPr>
            <w:r w:rsidRPr="00B23721">
              <w:rPr>
                <w:rFonts w:ascii="Arial Narrow" w:hAnsi="Arial Narrow"/>
                <w:sz w:val="20"/>
              </w:rPr>
              <w:t>3 (2)</w:t>
            </w:r>
          </w:p>
        </w:tc>
        <w:tc>
          <w:tcPr>
            <w:tcW w:w="783" w:type="pct"/>
          </w:tcPr>
          <w:p w:rsidR="00BA25DE" w:rsidRPr="00B23721" w:rsidRDefault="00BA25DE" w:rsidP="00FF0995">
            <w:pPr>
              <w:jc w:val="center"/>
              <w:rPr>
                <w:rFonts w:ascii="Arial Narrow" w:hAnsi="Arial Narrow"/>
                <w:sz w:val="20"/>
              </w:rPr>
            </w:pPr>
            <w:r w:rsidRPr="00B23721">
              <w:rPr>
                <w:rFonts w:ascii="Arial Narrow" w:hAnsi="Arial Narrow"/>
                <w:sz w:val="20"/>
              </w:rPr>
              <w:t>13 (10)</w:t>
            </w:r>
          </w:p>
        </w:tc>
        <w:tc>
          <w:tcPr>
            <w:tcW w:w="1097" w:type="pct"/>
          </w:tcPr>
          <w:p w:rsidR="00BA25DE" w:rsidRPr="00B23721" w:rsidRDefault="00BA25DE" w:rsidP="00FF0995">
            <w:pPr>
              <w:jc w:val="center"/>
              <w:rPr>
                <w:rFonts w:ascii="Arial Narrow" w:hAnsi="Arial Narrow"/>
                <w:b/>
                <w:sz w:val="20"/>
              </w:rPr>
            </w:pPr>
            <w:r w:rsidRPr="00B23721">
              <w:rPr>
                <w:rFonts w:ascii="Arial Narrow" w:hAnsi="Arial Narrow"/>
                <w:b/>
                <w:sz w:val="20"/>
              </w:rPr>
              <w:t>0.23 (0.07, 0.78)</w:t>
            </w:r>
          </w:p>
        </w:tc>
        <w:tc>
          <w:tcPr>
            <w:tcW w:w="1098" w:type="pct"/>
          </w:tcPr>
          <w:p w:rsidR="00BA25DE" w:rsidRPr="00B23721" w:rsidRDefault="00BA25DE" w:rsidP="00FF0995">
            <w:pPr>
              <w:jc w:val="center"/>
              <w:rPr>
                <w:rFonts w:ascii="Arial Narrow" w:hAnsi="Arial Narrow"/>
                <w:b/>
                <w:sz w:val="20"/>
              </w:rPr>
            </w:pPr>
            <w:r w:rsidRPr="00B23721">
              <w:rPr>
                <w:rFonts w:ascii="Arial Narrow" w:hAnsi="Arial Narrow"/>
                <w:b/>
                <w:sz w:val="20"/>
              </w:rPr>
              <w:t>-0.08 (-0.14, -0.02)</w:t>
            </w:r>
          </w:p>
        </w:tc>
      </w:tr>
      <w:tr w:rsidR="00BA25DE" w:rsidRPr="00B23721" w:rsidTr="005227F2">
        <w:tc>
          <w:tcPr>
            <w:tcW w:w="1264" w:type="pct"/>
            <w:tcBorders>
              <w:top w:val="single" w:sz="4" w:space="0" w:color="auto"/>
              <w:left w:val="single" w:sz="4" w:space="0" w:color="auto"/>
              <w:bottom w:val="single" w:sz="4" w:space="0" w:color="auto"/>
              <w:right w:val="single" w:sz="4" w:space="0" w:color="auto"/>
            </w:tcBorders>
          </w:tcPr>
          <w:p w:rsidR="00BA25DE" w:rsidRPr="00B23721" w:rsidRDefault="00BA25DE" w:rsidP="00FF0995">
            <w:pPr>
              <w:rPr>
                <w:rFonts w:ascii="Arial Narrow" w:hAnsi="Arial Narrow"/>
                <w:sz w:val="20"/>
              </w:rPr>
            </w:pPr>
            <w:r w:rsidRPr="00B23721">
              <w:rPr>
                <w:rFonts w:ascii="Arial Narrow" w:hAnsi="Arial Narrow"/>
                <w:sz w:val="20"/>
              </w:rPr>
              <w:t>Neutropenia</w:t>
            </w:r>
          </w:p>
        </w:tc>
        <w:tc>
          <w:tcPr>
            <w:tcW w:w="758" w:type="pct"/>
            <w:tcBorders>
              <w:left w:val="single" w:sz="4" w:space="0" w:color="auto"/>
            </w:tcBorders>
          </w:tcPr>
          <w:p w:rsidR="00BA25DE" w:rsidRPr="00B23721" w:rsidRDefault="00BA25DE" w:rsidP="00FF0995">
            <w:pPr>
              <w:jc w:val="center"/>
              <w:rPr>
                <w:rFonts w:ascii="Arial Narrow" w:hAnsi="Arial Narrow"/>
                <w:sz w:val="20"/>
              </w:rPr>
            </w:pPr>
            <w:r w:rsidRPr="00B23721">
              <w:rPr>
                <w:rFonts w:ascii="Arial Narrow" w:hAnsi="Arial Narrow"/>
                <w:sz w:val="20"/>
              </w:rPr>
              <w:t>1 (1)</w:t>
            </w:r>
          </w:p>
        </w:tc>
        <w:tc>
          <w:tcPr>
            <w:tcW w:w="783" w:type="pct"/>
          </w:tcPr>
          <w:p w:rsidR="00BA25DE" w:rsidRPr="00B23721" w:rsidRDefault="00BA25DE" w:rsidP="00FF0995">
            <w:pPr>
              <w:jc w:val="center"/>
              <w:rPr>
                <w:rFonts w:ascii="Arial Narrow" w:hAnsi="Arial Narrow"/>
                <w:sz w:val="20"/>
              </w:rPr>
            </w:pPr>
            <w:r w:rsidRPr="00B23721">
              <w:rPr>
                <w:rFonts w:ascii="Arial Narrow" w:hAnsi="Arial Narrow"/>
                <w:sz w:val="20"/>
              </w:rPr>
              <w:t>43 (33)</w:t>
            </w:r>
          </w:p>
        </w:tc>
        <w:tc>
          <w:tcPr>
            <w:tcW w:w="1097" w:type="pct"/>
          </w:tcPr>
          <w:p w:rsidR="00BA25DE" w:rsidRPr="00B23721" w:rsidRDefault="00BA25DE" w:rsidP="00FF0995">
            <w:pPr>
              <w:jc w:val="center"/>
              <w:rPr>
                <w:rFonts w:ascii="Arial Narrow" w:hAnsi="Arial Narrow"/>
                <w:b/>
                <w:sz w:val="20"/>
              </w:rPr>
            </w:pPr>
            <w:r w:rsidRPr="00B23721">
              <w:rPr>
                <w:rFonts w:ascii="Arial Narrow" w:hAnsi="Arial Narrow"/>
                <w:b/>
                <w:sz w:val="20"/>
              </w:rPr>
              <w:t>0.02 (0.00, 0.16)</w:t>
            </w:r>
          </w:p>
        </w:tc>
        <w:tc>
          <w:tcPr>
            <w:tcW w:w="1098" w:type="pct"/>
          </w:tcPr>
          <w:p w:rsidR="00BA25DE" w:rsidRPr="00B23721" w:rsidRDefault="00BA25DE" w:rsidP="00FF0995">
            <w:pPr>
              <w:jc w:val="center"/>
              <w:rPr>
                <w:rFonts w:ascii="Arial Narrow" w:hAnsi="Arial Narrow"/>
                <w:b/>
                <w:sz w:val="20"/>
              </w:rPr>
            </w:pPr>
            <w:r w:rsidRPr="00B23721">
              <w:rPr>
                <w:rFonts w:ascii="Arial Narrow" w:hAnsi="Arial Narrow"/>
                <w:b/>
                <w:sz w:val="20"/>
              </w:rPr>
              <w:t>-0.33 (-0.41, -0.24)</w:t>
            </w:r>
          </w:p>
        </w:tc>
      </w:tr>
      <w:tr w:rsidR="00BA25DE" w:rsidRPr="00B23721" w:rsidTr="005227F2">
        <w:tc>
          <w:tcPr>
            <w:tcW w:w="1264" w:type="pct"/>
            <w:tcBorders>
              <w:top w:val="single" w:sz="4" w:space="0" w:color="auto"/>
              <w:left w:val="single" w:sz="4" w:space="0" w:color="auto"/>
              <w:bottom w:val="single" w:sz="4" w:space="0" w:color="auto"/>
              <w:right w:val="single" w:sz="4" w:space="0" w:color="auto"/>
            </w:tcBorders>
          </w:tcPr>
          <w:p w:rsidR="00BA25DE" w:rsidRPr="00B23721" w:rsidRDefault="00BA25DE" w:rsidP="00FF0995">
            <w:pPr>
              <w:rPr>
                <w:rFonts w:ascii="Arial Narrow" w:hAnsi="Arial Narrow"/>
                <w:sz w:val="20"/>
              </w:rPr>
            </w:pPr>
            <w:r w:rsidRPr="00B23721">
              <w:rPr>
                <w:rFonts w:ascii="Arial Narrow" w:hAnsi="Arial Narrow"/>
                <w:sz w:val="20"/>
              </w:rPr>
              <w:t>Peripheral neuropathy</w:t>
            </w:r>
          </w:p>
        </w:tc>
        <w:tc>
          <w:tcPr>
            <w:tcW w:w="758" w:type="pct"/>
            <w:tcBorders>
              <w:left w:val="single" w:sz="4" w:space="0" w:color="auto"/>
            </w:tcBorders>
          </w:tcPr>
          <w:p w:rsidR="00BA25DE" w:rsidRPr="00B23721" w:rsidRDefault="00BA25DE" w:rsidP="00FF0995">
            <w:pPr>
              <w:jc w:val="center"/>
              <w:rPr>
                <w:rFonts w:ascii="Arial Narrow" w:hAnsi="Arial Narrow"/>
                <w:sz w:val="20"/>
              </w:rPr>
            </w:pPr>
            <w:r w:rsidRPr="00B23721">
              <w:rPr>
                <w:rFonts w:ascii="Arial Narrow" w:hAnsi="Arial Narrow"/>
                <w:sz w:val="20"/>
              </w:rPr>
              <w:t>1 (1)</w:t>
            </w:r>
          </w:p>
        </w:tc>
        <w:tc>
          <w:tcPr>
            <w:tcW w:w="783" w:type="pct"/>
          </w:tcPr>
          <w:p w:rsidR="00BA25DE" w:rsidRPr="00B23721" w:rsidRDefault="00BA25DE" w:rsidP="00FF0995">
            <w:pPr>
              <w:jc w:val="center"/>
              <w:rPr>
                <w:rFonts w:ascii="Arial Narrow" w:hAnsi="Arial Narrow"/>
                <w:sz w:val="20"/>
              </w:rPr>
            </w:pPr>
            <w:r w:rsidRPr="00B23721">
              <w:rPr>
                <w:rFonts w:ascii="Arial Narrow" w:hAnsi="Arial Narrow"/>
                <w:sz w:val="20"/>
              </w:rPr>
              <w:t>15 (12)</w:t>
            </w:r>
          </w:p>
        </w:tc>
        <w:tc>
          <w:tcPr>
            <w:tcW w:w="1097" w:type="pct"/>
          </w:tcPr>
          <w:p w:rsidR="00BA25DE" w:rsidRPr="00B23721" w:rsidRDefault="00BA25DE" w:rsidP="00FF0995">
            <w:pPr>
              <w:jc w:val="center"/>
              <w:rPr>
                <w:rFonts w:ascii="Arial Narrow" w:hAnsi="Arial Narrow"/>
                <w:b/>
                <w:sz w:val="20"/>
              </w:rPr>
            </w:pPr>
            <w:r w:rsidRPr="00B23721">
              <w:rPr>
                <w:rFonts w:ascii="Arial Narrow" w:hAnsi="Arial Narrow"/>
                <w:b/>
                <w:sz w:val="20"/>
              </w:rPr>
              <w:t>0.07 (0.01, 0.49)</w:t>
            </w:r>
          </w:p>
        </w:tc>
        <w:tc>
          <w:tcPr>
            <w:tcW w:w="1098" w:type="pct"/>
          </w:tcPr>
          <w:p w:rsidR="00BA25DE" w:rsidRPr="00B23721" w:rsidRDefault="00BA25DE" w:rsidP="00FF0995">
            <w:pPr>
              <w:jc w:val="center"/>
              <w:rPr>
                <w:rFonts w:ascii="Arial Narrow" w:hAnsi="Arial Narrow"/>
                <w:b/>
                <w:sz w:val="20"/>
              </w:rPr>
            </w:pPr>
            <w:r w:rsidRPr="00B23721">
              <w:rPr>
                <w:rFonts w:ascii="Arial Narrow" w:hAnsi="Arial Narrow"/>
                <w:b/>
                <w:sz w:val="20"/>
              </w:rPr>
              <w:t>-0.11 (-0.17, -0.05)</w:t>
            </w:r>
          </w:p>
        </w:tc>
      </w:tr>
      <w:tr w:rsidR="00BA25DE" w:rsidRPr="00B23721" w:rsidTr="005227F2">
        <w:tc>
          <w:tcPr>
            <w:tcW w:w="1264" w:type="pct"/>
            <w:tcBorders>
              <w:top w:val="single" w:sz="4" w:space="0" w:color="auto"/>
              <w:left w:val="single" w:sz="4" w:space="0" w:color="auto"/>
              <w:bottom w:val="single" w:sz="4" w:space="0" w:color="auto"/>
              <w:right w:val="single" w:sz="4" w:space="0" w:color="auto"/>
            </w:tcBorders>
          </w:tcPr>
          <w:p w:rsidR="00BA25DE" w:rsidRPr="00B23721" w:rsidRDefault="00BA25DE" w:rsidP="00FF0995">
            <w:pPr>
              <w:rPr>
                <w:rFonts w:ascii="Arial Narrow" w:hAnsi="Arial Narrow"/>
                <w:sz w:val="20"/>
              </w:rPr>
            </w:pPr>
            <w:r w:rsidRPr="00B23721">
              <w:rPr>
                <w:rFonts w:ascii="Arial Narrow" w:hAnsi="Arial Narrow"/>
                <w:sz w:val="20"/>
              </w:rPr>
              <w:t>Alopecia</w:t>
            </w:r>
          </w:p>
        </w:tc>
        <w:tc>
          <w:tcPr>
            <w:tcW w:w="758" w:type="pct"/>
            <w:tcBorders>
              <w:left w:val="single" w:sz="4" w:space="0" w:color="auto"/>
            </w:tcBorders>
          </w:tcPr>
          <w:p w:rsidR="00BA25DE" w:rsidRPr="00B23721" w:rsidRDefault="00BA25DE" w:rsidP="00FF0995">
            <w:pPr>
              <w:jc w:val="center"/>
              <w:rPr>
                <w:rFonts w:ascii="Arial Narrow" w:hAnsi="Arial Narrow"/>
                <w:sz w:val="20"/>
              </w:rPr>
            </w:pPr>
            <w:r w:rsidRPr="00B23721">
              <w:rPr>
                <w:rFonts w:ascii="Arial Narrow" w:hAnsi="Arial Narrow"/>
                <w:sz w:val="20"/>
              </w:rPr>
              <w:t>0</w:t>
            </w:r>
          </w:p>
        </w:tc>
        <w:tc>
          <w:tcPr>
            <w:tcW w:w="783" w:type="pct"/>
          </w:tcPr>
          <w:p w:rsidR="00BA25DE" w:rsidRPr="00B23721" w:rsidRDefault="00BA25DE" w:rsidP="00FF0995">
            <w:pPr>
              <w:jc w:val="center"/>
              <w:rPr>
                <w:rFonts w:ascii="Arial Narrow" w:hAnsi="Arial Narrow"/>
                <w:sz w:val="20"/>
              </w:rPr>
            </w:pPr>
            <w:r w:rsidRPr="00B23721">
              <w:rPr>
                <w:rFonts w:ascii="Arial Narrow" w:hAnsi="Arial Narrow"/>
                <w:sz w:val="20"/>
              </w:rPr>
              <w:t>28 (22)</w:t>
            </w:r>
          </w:p>
        </w:tc>
        <w:tc>
          <w:tcPr>
            <w:tcW w:w="1097" w:type="pct"/>
          </w:tcPr>
          <w:p w:rsidR="00BA25DE" w:rsidRPr="00B23721" w:rsidRDefault="00BA25DE" w:rsidP="00FF0995">
            <w:pPr>
              <w:jc w:val="center"/>
              <w:rPr>
                <w:rFonts w:ascii="Arial Narrow" w:hAnsi="Arial Narrow"/>
                <w:sz w:val="20"/>
              </w:rPr>
            </w:pPr>
            <w:r w:rsidRPr="00B23721">
              <w:rPr>
                <w:rFonts w:ascii="Arial Narrow" w:hAnsi="Arial Narrow"/>
                <w:sz w:val="20"/>
              </w:rPr>
              <w:t>0</w:t>
            </w:r>
          </w:p>
        </w:tc>
        <w:tc>
          <w:tcPr>
            <w:tcW w:w="1098" w:type="pct"/>
          </w:tcPr>
          <w:p w:rsidR="00BA25DE" w:rsidRPr="00B23721" w:rsidRDefault="00BA25DE" w:rsidP="00FF0995">
            <w:pPr>
              <w:jc w:val="center"/>
              <w:rPr>
                <w:rFonts w:ascii="Arial Narrow" w:hAnsi="Arial Narrow"/>
                <w:b/>
                <w:sz w:val="20"/>
              </w:rPr>
            </w:pPr>
            <w:r w:rsidRPr="00B23721">
              <w:rPr>
                <w:rFonts w:ascii="Arial Narrow" w:hAnsi="Arial Narrow"/>
                <w:b/>
                <w:sz w:val="20"/>
              </w:rPr>
              <w:t>-0.22 (-0.29, -0.15)</w:t>
            </w:r>
          </w:p>
        </w:tc>
      </w:tr>
      <w:tr w:rsidR="00BA25DE" w:rsidRPr="00B23721" w:rsidTr="005227F2">
        <w:tc>
          <w:tcPr>
            <w:tcW w:w="1264" w:type="pct"/>
            <w:tcBorders>
              <w:top w:val="single" w:sz="4" w:space="0" w:color="auto"/>
              <w:left w:val="single" w:sz="4" w:space="0" w:color="auto"/>
              <w:bottom w:val="single" w:sz="4" w:space="0" w:color="auto"/>
              <w:right w:val="single" w:sz="4" w:space="0" w:color="auto"/>
            </w:tcBorders>
          </w:tcPr>
          <w:p w:rsidR="00BA25DE" w:rsidRPr="00B23721" w:rsidRDefault="00BA25DE" w:rsidP="00FF0995">
            <w:pPr>
              <w:rPr>
                <w:rFonts w:ascii="Arial Narrow" w:hAnsi="Arial Narrow"/>
                <w:sz w:val="20"/>
              </w:rPr>
            </w:pPr>
            <w:r w:rsidRPr="00B23721">
              <w:rPr>
                <w:rFonts w:ascii="Arial Narrow" w:hAnsi="Arial Narrow"/>
                <w:sz w:val="20"/>
              </w:rPr>
              <w:t>Febrile neutropenia</w:t>
            </w:r>
          </w:p>
        </w:tc>
        <w:tc>
          <w:tcPr>
            <w:tcW w:w="758" w:type="pct"/>
            <w:tcBorders>
              <w:left w:val="single" w:sz="4" w:space="0" w:color="auto"/>
            </w:tcBorders>
          </w:tcPr>
          <w:p w:rsidR="00BA25DE" w:rsidRPr="00B23721" w:rsidRDefault="00BA25DE" w:rsidP="00FF0995">
            <w:pPr>
              <w:jc w:val="center"/>
              <w:rPr>
                <w:rFonts w:ascii="Arial Narrow" w:hAnsi="Arial Narrow"/>
                <w:sz w:val="20"/>
              </w:rPr>
            </w:pPr>
            <w:r w:rsidRPr="00B23721">
              <w:rPr>
                <w:rFonts w:ascii="Arial Narrow" w:hAnsi="Arial Narrow"/>
                <w:sz w:val="20"/>
              </w:rPr>
              <w:t>0</w:t>
            </w:r>
          </w:p>
        </w:tc>
        <w:tc>
          <w:tcPr>
            <w:tcW w:w="783" w:type="pct"/>
          </w:tcPr>
          <w:p w:rsidR="00BA25DE" w:rsidRPr="00B23721" w:rsidRDefault="00BA25DE" w:rsidP="00FF0995">
            <w:pPr>
              <w:jc w:val="center"/>
              <w:rPr>
                <w:rFonts w:ascii="Arial Narrow" w:hAnsi="Arial Narrow"/>
                <w:sz w:val="20"/>
              </w:rPr>
            </w:pPr>
            <w:r w:rsidRPr="00B23721">
              <w:rPr>
                <w:rFonts w:ascii="Arial Narrow" w:hAnsi="Arial Narrow"/>
                <w:sz w:val="20"/>
              </w:rPr>
              <w:t>14 (11)</w:t>
            </w:r>
          </w:p>
        </w:tc>
        <w:tc>
          <w:tcPr>
            <w:tcW w:w="1097" w:type="pct"/>
          </w:tcPr>
          <w:p w:rsidR="00BA25DE" w:rsidRPr="00B23721" w:rsidRDefault="00BA25DE" w:rsidP="00FF0995">
            <w:pPr>
              <w:jc w:val="center"/>
              <w:rPr>
                <w:rFonts w:ascii="Arial Narrow" w:hAnsi="Arial Narrow"/>
                <w:sz w:val="20"/>
              </w:rPr>
            </w:pPr>
            <w:r w:rsidRPr="00B23721">
              <w:rPr>
                <w:rFonts w:ascii="Arial Narrow" w:hAnsi="Arial Narrow"/>
                <w:sz w:val="20"/>
              </w:rPr>
              <w:t>0</w:t>
            </w:r>
          </w:p>
        </w:tc>
        <w:tc>
          <w:tcPr>
            <w:tcW w:w="1098" w:type="pct"/>
          </w:tcPr>
          <w:p w:rsidR="00BA25DE" w:rsidRPr="00B23721" w:rsidRDefault="00BA25DE" w:rsidP="00FF0995">
            <w:pPr>
              <w:jc w:val="center"/>
              <w:rPr>
                <w:rFonts w:ascii="Arial Narrow" w:hAnsi="Arial Narrow"/>
                <w:b/>
                <w:sz w:val="20"/>
              </w:rPr>
            </w:pPr>
            <w:r w:rsidRPr="00B23721">
              <w:rPr>
                <w:rFonts w:ascii="Arial Narrow" w:hAnsi="Arial Narrow"/>
                <w:b/>
                <w:sz w:val="20"/>
              </w:rPr>
              <w:t>-0.11 (-0.16, -0.05)</w:t>
            </w:r>
          </w:p>
        </w:tc>
      </w:tr>
    </w:tbl>
    <w:p w:rsidR="00BA25DE" w:rsidRPr="00B23721" w:rsidRDefault="00BA25DE" w:rsidP="00BA25DE">
      <w:pPr>
        <w:pStyle w:val="TableFooter"/>
        <w:ind w:left="709"/>
      </w:pPr>
      <w:r w:rsidRPr="00B23721">
        <w:t>AE = adverse event; CI = confidence interval</w:t>
      </w:r>
    </w:p>
    <w:p w:rsidR="00BA25DE" w:rsidRPr="00B23721" w:rsidRDefault="00BA25DE" w:rsidP="00BA25DE">
      <w:pPr>
        <w:pStyle w:val="TableFooter"/>
        <w:ind w:left="709"/>
      </w:pPr>
      <w:r w:rsidRPr="00B23721">
        <w:rPr>
          <w:vertAlign w:val="superscript"/>
        </w:rPr>
        <w:t>a</w:t>
      </w:r>
      <w:r w:rsidRPr="00B23721">
        <w:t xml:space="preserve"> Treatment-related deaths were due to interstitial lung disease, pulmonary haemorrhage and sepsis.</w:t>
      </w:r>
    </w:p>
    <w:p w:rsidR="00BA25DE" w:rsidRPr="00B23721" w:rsidRDefault="00BA25DE" w:rsidP="00BA25DE">
      <w:pPr>
        <w:pStyle w:val="TableFooter"/>
        <w:ind w:left="709"/>
        <w:rPr>
          <w:b/>
        </w:rPr>
      </w:pPr>
      <w:r w:rsidRPr="00B23721">
        <w:rPr>
          <w:b/>
        </w:rPr>
        <w:t>Bolded figures indicate statistically significant difference</w:t>
      </w:r>
    </w:p>
    <w:p w:rsidR="00BA25DE" w:rsidRPr="00B23721" w:rsidRDefault="00BA25DE" w:rsidP="00BA25DE">
      <w:pPr>
        <w:pStyle w:val="TableFooter"/>
        <w:ind w:left="709"/>
      </w:pPr>
      <w:r w:rsidRPr="00B23721">
        <w:t>Source: Tables 13 and 14, p24 of the re-submission</w:t>
      </w:r>
    </w:p>
    <w:p w:rsidR="00BA25DE" w:rsidRPr="00B23721" w:rsidRDefault="00BA25DE" w:rsidP="00171ABC">
      <w:pPr>
        <w:widowControl/>
        <w:rPr>
          <w:szCs w:val="22"/>
        </w:rPr>
      </w:pPr>
    </w:p>
    <w:p w:rsidR="00BA25DE" w:rsidRPr="00B23721" w:rsidRDefault="00BA25DE" w:rsidP="00BA25DE">
      <w:pPr>
        <w:pStyle w:val="ListParagraph"/>
        <w:widowControl/>
        <w:numPr>
          <w:ilvl w:val="1"/>
          <w:numId w:val="4"/>
        </w:numPr>
        <w:rPr>
          <w:bCs/>
          <w:szCs w:val="22"/>
        </w:rPr>
      </w:pPr>
      <w:r w:rsidRPr="00B23721">
        <w:rPr>
          <w:bCs/>
          <w:szCs w:val="22"/>
        </w:rPr>
        <w:t>Between the one</w:t>
      </w:r>
      <w:r w:rsidR="00171ABC" w:rsidRPr="00B23721">
        <w:rPr>
          <w:bCs/>
          <w:szCs w:val="22"/>
        </w:rPr>
        <w:t>- and two-year data cut-</w:t>
      </w:r>
      <w:r w:rsidRPr="00B23721">
        <w:rPr>
          <w:bCs/>
          <w:szCs w:val="22"/>
        </w:rPr>
        <w:t>offs, four patients discontinued nivolumab treatment: one each due to pneumonitis, colitis and increased transaminase, and one due to autoimmune hepatitis, increased alanine aminotransferase, increased aspartate aminotransferase, increased blood alkaline phosphatase, and increased blood lactate dehydrogenase. Due to these additional AEs, there was no longer any statistically significant difference between the treatment groups in the incidence of treatment-related AEs leading to discontinuation. Otherwise, the updated safety data were consistent with those presented in the previous submission.</w:t>
      </w:r>
    </w:p>
    <w:p w:rsidR="00BA25DE" w:rsidRPr="00B23721" w:rsidRDefault="00BA25DE" w:rsidP="00BA25DE">
      <w:pPr>
        <w:widowControl/>
        <w:rPr>
          <w:bCs/>
          <w:szCs w:val="22"/>
        </w:rPr>
      </w:pPr>
    </w:p>
    <w:p w:rsidR="00BA25DE" w:rsidRPr="00B23721" w:rsidRDefault="00BA25DE" w:rsidP="00BA25DE">
      <w:pPr>
        <w:pStyle w:val="ListParagraph"/>
        <w:widowControl/>
        <w:numPr>
          <w:ilvl w:val="1"/>
          <w:numId w:val="4"/>
        </w:numPr>
        <w:rPr>
          <w:bCs/>
          <w:szCs w:val="22"/>
        </w:rPr>
      </w:pPr>
      <w:r w:rsidRPr="00B23721">
        <w:rPr>
          <w:bCs/>
          <w:szCs w:val="22"/>
        </w:rPr>
        <w:t xml:space="preserve">In regard to the original submission, the </w:t>
      </w:r>
      <w:r w:rsidRPr="00B23721">
        <w:rPr>
          <w:szCs w:val="22"/>
        </w:rPr>
        <w:t>PBAC noted the more favourable AE profile of nivolumab for drug-related severe AEs (≥Grade 3), specifically Grade</w:t>
      </w:r>
      <w:r w:rsidR="00EE0363" w:rsidRPr="00B23721">
        <w:rPr>
          <w:szCs w:val="22"/>
        </w:rPr>
        <w:t xml:space="preserve"> 3-5 neutropenia, compared with</w:t>
      </w:r>
      <w:r w:rsidRPr="00B23721">
        <w:rPr>
          <w:szCs w:val="22"/>
        </w:rPr>
        <w:t xml:space="preserve"> docetaxel (paragraph 7.8, 5.06 nivolumab PSD, March 2016 PBAC Meeting).</w:t>
      </w:r>
    </w:p>
    <w:p w:rsidR="00BA25DE" w:rsidRPr="00B23721" w:rsidRDefault="00BA25DE" w:rsidP="00BA25DE">
      <w:pPr>
        <w:widowControl/>
        <w:rPr>
          <w:bCs/>
          <w:szCs w:val="22"/>
        </w:rPr>
      </w:pPr>
    </w:p>
    <w:p w:rsidR="00BA25DE" w:rsidRPr="00B23721" w:rsidRDefault="00BA25DE" w:rsidP="00BA25DE">
      <w:pPr>
        <w:pStyle w:val="ListParagraph"/>
        <w:widowControl/>
        <w:numPr>
          <w:ilvl w:val="1"/>
          <w:numId w:val="4"/>
        </w:numPr>
        <w:rPr>
          <w:szCs w:val="22"/>
        </w:rPr>
      </w:pPr>
      <w:r w:rsidRPr="00B23721">
        <w:rPr>
          <w:szCs w:val="22"/>
        </w:rPr>
        <w:lastRenderedPageBreak/>
        <w:t>The risk of serious immune-related AEs associated with nivolumab may be higher in clinical practice than in a clinical trial setting where there is likely to be a heightened awareness and recognition of immune-related AEs, resulting in early intervention before such events progress to a more severe grade.</w:t>
      </w:r>
    </w:p>
    <w:p w:rsidR="00BA25DE" w:rsidRPr="00B23721" w:rsidRDefault="00BA25DE" w:rsidP="00BA25DE">
      <w:pPr>
        <w:widowControl/>
        <w:rPr>
          <w:szCs w:val="22"/>
        </w:rPr>
      </w:pPr>
    </w:p>
    <w:p w:rsidR="00BA25DE" w:rsidRPr="00B23721" w:rsidRDefault="00BA25DE" w:rsidP="00BA25DE">
      <w:pPr>
        <w:pStyle w:val="ListParagraph"/>
        <w:widowControl/>
        <w:numPr>
          <w:ilvl w:val="1"/>
          <w:numId w:val="4"/>
        </w:numPr>
        <w:rPr>
          <w:szCs w:val="22"/>
        </w:rPr>
      </w:pPr>
      <w:r w:rsidRPr="00B23721">
        <w:t xml:space="preserve">On 12 August 2015, the nivolumab Company Core Data Sheet was updated with </w:t>
      </w:r>
      <w:r w:rsidRPr="00B23721">
        <w:rPr>
          <w:u w:val="single"/>
        </w:rPr>
        <w:t>a new warning for immune-related rash, including fatal toxic epidermal necrolysis, and encephalitis</w:t>
      </w:r>
      <w:r w:rsidRPr="00B23721">
        <w:t>, based on cases identified during routine pharmacovigilance signal detection activities. In the March 2016 PSD for nivolumab for non-squamous NSCLC, the ESC noted that the AE of fatal encephalitis is linked to nivolumab, and that a TGA condition of registration was provision of the results of the enhanced pharmacovigilance study of immune-related encephalitis, mandated by the US Food and Drug Administration (paragraph 6.18, 5.07 nivolumab PSD, March 2016 PBAC Meeting).</w:t>
      </w:r>
    </w:p>
    <w:p w:rsidR="00BA25DE" w:rsidRPr="00B23721" w:rsidRDefault="00BA25DE" w:rsidP="00BA25DE">
      <w:pPr>
        <w:rPr>
          <w:szCs w:val="22"/>
        </w:rPr>
      </w:pPr>
    </w:p>
    <w:p w:rsidR="00BA25DE" w:rsidRPr="00B23721" w:rsidRDefault="00BA25DE" w:rsidP="009905CA">
      <w:pPr>
        <w:pStyle w:val="Heading3"/>
      </w:pPr>
      <w:bookmarkStart w:id="12" w:name="_Toc461611885"/>
      <w:r w:rsidRPr="00B23721">
        <w:t>Benefits/harms</w:t>
      </w:r>
      <w:bookmarkEnd w:id="12"/>
    </w:p>
    <w:p w:rsidR="00BA25DE" w:rsidRPr="00B23721" w:rsidRDefault="00BA25DE" w:rsidP="00BA25DE">
      <w:pPr>
        <w:rPr>
          <w:szCs w:val="22"/>
        </w:rPr>
      </w:pPr>
    </w:p>
    <w:p w:rsidR="00BA25DE" w:rsidRDefault="00BA25DE" w:rsidP="00BA25DE">
      <w:pPr>
        <w:pStyle w:val="ListParagraph"/>
        <w:numPr>
          <w:ilvl w:val="1"/>
          <w:numId w:val="4"/>
        </w:numPr>
        <w:rPr>
          <w:szCs w:val="22"/>
        </w:rPr>
      </w:pPr>
      <w:r w:rsidRPr="00B23721">
        <w:rPr>
          <w:szCs w:val="22"/>
        </w:rPr>
        <w:t>As the updated results from the database lock in February 2016 were similar to the results from the previous database locks, the benefits/harms of nivolumab and docetaxel were unchanged from the evaluation of the original submission</w:t>
      </w:r>
      <w:r w:rsidR="002D79F3">
        <w:rPr>
          <w:szCs w:val="22"/>
        </w:rPr>
        <w:t>.</w:t>
      </w:r>
    </w:p>
    <w:p w:rsidR="00EC51C3" w:rsidRPr="00EC51C3" w:rsidRDefault="00EC51C3" w:rsidP="00BB496C">
      <w:pPr>
        <w:pStyle w:val="PBACheading1"/>
        <w:numPr>
          <w:ilvl w:val="0"/>
          <w:numId w:val="0"/>
        </w:numPr>
        <w:jc w:val="both"/>
        <w:rPr>
          <w:b w:val="0"/>
        </w:rPr>
      </w:pPr>
    </w:p>
    <w:p w:rsidR="00EC51C3" w:rsidRDefault="00EC51C3" w:rsidP="00BB496C">
      <w:pPr>
        <w:pStyle w:val="PBACheading1"/>
        <w:numPr>
          <w:ilvl w:val="1"/>
          <w:numId w:val="4"/>
        </w:numPr>
        <w:jc w:val="both"/>
        <w:rPr>
          <w:b w:val="0"/>
        </w:rPr>
      </w:pPr>
      <w:r w:rsidRPr="00EC51C3">
        <w:rPr>
          <w:b w:val="0"/>
        </w:rPr>
        <w:t xml:space="preserve">The following summary of benefits and harms for </w:t>
      </w:r>
      <w:r>
        <w:rPr>
          <w:b w:val="0"/>
        </w:rPr>
        <w:t>nivolumab</w:t>
      </w:r>
      <w:r w:rsidRPr="00EC51C3">
        <w:rPr>
          <w:b w:val="0"/>
        </w:rPr>
        <w:t xml:space="preserve"> versus </w:t>
      </w:r>
      <w:r>
        <w:rPr>
          <w:b w:val="0"/>
        </w:rPr>
        <w:t>docetaxel</w:t>
      </w:r>
      <w:r w:rsidRPr="00EC51C3">
        <w:rPr>
          <w:b w:val="0"/>
        </w:rPr>
        <w:t xml:space="preserve"> is reproduced from the PBAC’s </w:t>
      </w:r>
      <w:r>
        <w:rPr>
          <w:b w:val="0"/>
        </w:rPr>
        <w:t>March</w:t>
      </w:r>
      <w:r w:rsidRPr="00EC51C3">
        <w:rPr>
          <w:b w:val="0"/>
        </w:rPr>
        <w:t xml:space="preserve"> 201</w:t>
      </w:r>
      <w:r>
        <w:rPr>
          <w:b w:val="0"/>
        </w:rPr>
        <w:t>6</w:t>
      </w:r>
      <w:r w:rsidRPr="00EC51C3">
        <w:rPr>
          <w:b w:val="0"/>
        </w:rPr>
        <w:t xml:space="preserve"> consideration:</w:t>
      </w:r>
    </w:p>
    <w:p w:rsidR="008041AB" w:rsidRPr="00EC51C3" w:rsidRDefault="008041AB" w:rsidP="00BB496C">
      <w:pPr>
        <w:pStyle w:val="PBACheading1"/>
        <w:numPr>
          <w:ilvl w:val="0"/>
          <w:numId w:val="0"/>
        </w:numPr>
        <w:jc w:val="both"/>
        <w:rPr>
          <w:b w:val="0"/>
        </w:rPr>
      </w:pPr>
    </w:p>
    <w:p w:rsidR="00EC51C3" w:rsidRPr="005E6E19" w:rsidRDefault="00EC51C3" w:rsidP="00EC51C3">
      <w:pPr>
        <w:pStyle w:val="ListParagraph"/>
        <w:widowControl/>
        <w:numPr>
          <w:ilvl w:val="1"/>
          <w:numId w:val="4"/>
        </w:numPr>
      </w:pPr>
      <w:r w:rsidRPr="005E6E19">
        <w:t>On the basis of the direct evidence presented by the submission, for every 100 squamous NSCLC patients (unselected for PD-L1 expression) treated with nivolumab in comparison to docetaxel:</w:t>
      </w:r>
    </w:p>
    <w:p w:rsidR="00EC51C3" w:rsidRPr="005E6E19" w:rsidRDefault="00EC51C3" w:rsidP="00EC51C3">
      <w:pPr>
        <w:pStyle w:val="ListParagraph"/>
        <w:widowControl/>
        <w:numPr>
          <w:ilvl w:val="0"/>
          <w:numId w:val="17"/>
        </w:numPr>
      </w:pPr>
      <w:r w:rsidRPr="005E6E19">
        <w:t>Approximately 15 additional patients would be expected to be alive at 18 months. There was a 3.2 month difference in median OS time favouring patients treated with nivolumab over those treated with docetaxel;</w:t>
      </w:r>
    </w:p>
    <w:p w:rsidR="00EC51C3" w:rsidRPr="001C7ACE" w:rsidRDefault="00EC51C3" w:rsidP="00EC51C3">
      <w:pPr>
        <w:pStyle w:val="ListParagraph"/>
        <w:widowControl/>
        <w:numPr>
          <w:ilvl w:val="0"/>
          <w:numId w:val="17"/>
        </w:numPr>
      </w:pPr>
      <w:r w:rsidRPr="005E6E19">
        <w:t xml:space="preserve">Approximately 17 fewer patients would experience a drug-related Grade 3 / 4 serious AE and 29 fewer patients would experience drug-related </w:t>
      </w:r>
      <w:r w:rsidRPr="00AD51B0">
        <w:t xml:space="preserve">Grade ≥3 </w:t>
      </w:r>
      <w:r w:rsidRPr="005E6E19">
        <w:t>neutropenia</w:t>
      </w:r>
      <w:r>
        <w:t xml:space="preserve">, but 5 more patients would experience </w:t>
      </w:r>
      <w:r w:rsidRPr="00C57ED7">
        <w:t xml:space="preserve">endocrine-related </w:t>
      </w:r>
      <w:r>
        <w:t>AEs</w:t>
      </w:r>
      <w:r w:rsidRPr="00A366CD">
        <w:rPr>
          <w:i/>
        </w:rPr>
        <w:t>.</w:t>
      </w:r>
    </w:p>
    <w:p w:rsidR="00BA25DE" w:rsidRPr="00B23721" w:rsidRDefault="00BA25DE" w:rsidP="00BA25DE">
      <w:pPr>
        <w:rPr>
          <w:szCs w:val="22"/>
        </w:rPr>
      </w:pPr>
    </w:p>
    <w:p w:rsidR="00BA25DE" w:rsidRPr="00B23721" w:rsidRDefault="00BA25DE" w:rsidP="009905CA">
      <w:pPr>
        <w:pStyle w:val="Heading3"/>
      </w:pPr>
      <w:bookmarkStart w:id="13" w:name="_Toc461611886"/>
      <w:r w:rsidRPr="00B23721">
        <w:t>Clinical claim</w:t>
      </w:r>
      <w:bookmarkEnd w:id="13"/>
    </w:p>
    <w:p w:rsidR="00BA25DE" w:rsidRPr="00B23721" w:rsidRDefault="00BA25DE" w:rsidP="00BA25DE"/>
    <w:p w:rsidR="00BA25DE" w:rsidRDefault="00BA25DE" w:rsidP="00BA25DE">
      <w:pPr>
        <w:widowControl/>
        <w:numPr>
          <w:ilvl w:val="1"/>
          <w:numId w:val="4"/>
        </w:numPr>
        <w:rPr>
          <w:szCs w:val="22"/>
        </w:rPr>
      </w:pPr>
      <w:r w:rsidRPr="00B23721">
        <w:rPr>
          <w:szCs w:val="22"/>
        </w:rPr>
        <w:t xml:space="preserve">The PBAC previously accepted the claim of superior comparative effectiveness and superior comparative safety of nivolumab over docetaxel </w:t>
      </w:r>
      <w:r w:rsidRPr="00B23721">
        <w:t xml:space="preserve">for the treatment of locally advanced or metastatic squamous NSCLC </w:t>
      </w:r>
      <w:r w:rsidRPr="00B23721">
        <w:rPr>
          <w:szCs w:val="22"/>
        </w:rPr>
        <w:t>(paragraphs 7.6 and 7.8, 5.06 nivolumab PSD, March 2016 PBAC Meeting).</w:t>
      </w:r>
    </w:p>
    <w:p w:rsidR="00DB4D8A" w:rsidRDefault="00DB4D8A" w:rsidP="00DB4D8A">
      <w:pPr>
        <w:widowControl/>
        <w:rPr>
          <w:szCs w:val="22"/>
        </w:rPr>
      </w:pPr>
    </w:p>
    <w:p w:rsidR="00DB4D8A" w:rsidRPr="00DB4D8A" w:rsidRDefault="00DB4D8A" w:rsidP="00BB496C">
      <w:pPr>
        <w:pStyle w:val="ListParagraph"/>
        <w:widowControl/>
        <w:numPr>
          <w:ilvl w:val="1"/>
          <w:numId w:val="4"/>
        </w:numPr>
        <w:rPr>
          <w:bCs/>
        </w:rPr>
      </w:pPr>
      <w:r w:rsidRPr="00DB4D8A">
        <w:rPr>
          <w:bCs/>
          <w:szCs w:val="22"/>
        </w:rPr>
        <w:t>As previously, the PBAC considered that the claim of superior comparative effectiveness was reasonable.</w:t>
      </w:r>
    </w:p>
    <w:p w:rsidR="00DB4D8A" w:rsidRPr="00BB496C" w:rsidRDefault="00DB4D8A" w:rsidP="00DB4D8A">
      <w:pPr>
        <w:rPr>
          <w:bCs/>
          <w:szCs w:val="22"/>
        </w:rPr>
      </w:pPr>
    </w:p>
    <w:p w:rsidR="00DB4D8A" w:rsidRPr="00DB4D8A" w:rsidRDefault="00DB4D8A" w:rsidP="00DB4D8A">
      <w:pPr>
        <w:pStyle w:val="ListParagraph"/>
        <w:widowControl/>
        <w:numPr>
          <w:ilvl w:val="1"/>
          <w:numId w:val="4"/>
        </w:numPr>
        <w:rPr>
          <w:szCs w:val="22"/>
        </w:rPr>
      </w:pPr>
      <w:r w:rsidRPr="00DB4D8A">
        <w:rPr>
          <w:szCs w:val="22"/>
        </w:rPr>
        <w:t>As previously, the PBAC considered that the claim of superior comparative safety was reasonable.</w:t>
      </w:r>
    </w:p>
    <w:p w:rsidR="00B60939" w:rsidRPr="00B23721" w:rsidRDefault="00B60939" w:rsidP="00C425E9"/>
    <w:p w:rsidR="00B60939" w:rsidRPr="00B23721" w:rsidRDefault="00B60939" w:rsidP="009905CA">
      <w:pPr>
        <w:pStyle w:val="Heading3"/>
      </w:pPr>
      <w:bookmarkStart w:id="14" w:name="_Toc461611887"/>
      <w:r w:rsidRPr="00B23721">
        <w:t>Economic analysis</w:t>
      </w:r>
      <w:bookmarkEnd w:id="14"/>
    </w:p>
    <w:p w:rsidR="00B60939" w:rsidRPr="00B23721" w:rsidRDefault="00B60939" w:rsidP="00B60939">
      <w:pPr>
        <w:ind w:left="720" w:hanging="720"/>
        <w:rPr>
          <w:szCs w:val="22"/>
        </w:rPr>
      </w:pPr>
    </w:p>
    <w:p w:rsidR="00C82992" w:rsidRPr="00B23721" w:rsidRDefault="00C82992" w:rsidP="00C82992">
      <w:pPr>
        <w:pStyle w:val="ListParagraph"/>
        <w:widowControl/>
        <w:numPr>
          <w:ilvl w:val="1"/>
          <w:numId w:val="4"/>
        </w:numPr>
        <w:snapToGrid w:val="0"/>
        <w:rPr>
          <w:szCs w:val="22"/>
        </w:rPr>
      </w:pPr>
      <w:r w:rsidRPr="00B23721">
        <w:t xml:space="preserve">The economic evaluation was a Markov model with three health states – progression-free, post-progression and death. The model structure was unchanged </w:t>
      </w:r>
      <w:r w:rsidRPr="00B23721">
        <w:lastRenderedPageBreak/>
        <w:t>from the previous submission, apart from the time horizon being reduced to 7.5 years from 10 years. The model structure and rationale ar</w:t>
      </w:r>
      <w:r w:rsidR="00171ABC" w:rsidRPr="00B23721">
        <w:t>e presented in the table below.</w:t>
      </w:r>
    </w:p>
    <w:p w:rsidR="00C82992" w:rsidRPr="00B23721" w:rsidRDefault="00C82992" w:rsidP="00C82992">
      <w:pPr>
        <w:widowControl/>
        <w:rPr>
          <w:szCs w:val="22"/>
        </w:rPr>
      </w:pPr>
    </w:p>
    <w:p w:rsidR="00892F33" w:rsidRPr="00DB5D9A" w:rsidRDefault="00892F33" w:rsidP="00892F33">
      <w:pPr>
        <w:pStyle w:val="Caption"/>
        <w:keepNext/>
        <w:ind w:firstLine="720"/>
        <w:rPr>
          <w:rFonts w:ascii="Arial Narrow" w:hAnsi="Arial Narrow"/>
        </w:rPr>
      </w:pPr>
      <w:r w:rsidRPr="00DB5D9A">
        <w:rPr>
          <w:rFonts w:ascii="Arial Narrow" w:hAnsi="Arial Narrow"/>
        </w:rPr>
        <w:t xml:space="preserve">Table </w:t>
      </w:r>
      <w:r w:rsidR="00BB09B5" w:rsidRPr="00DB5D9A">
        <w:rPr>
          <w:rFonts w:ascii="Arial Narrow" w:hAnsi="Arial Narrow"/>
          <w:noProof/>
        </w:rPr>
        <w:t>5</w:t>
      </w:r>
      <w:r w:rsidRPr="00DB5D9A">
        <w:rPr>
          <w:rFonts w:ascii="Arial Narrow" w:hAnsi="Arial Narrow"/>
        </w:rPr>
        <w:t>: Summary of model structure and rationale</w:t>
      </w:r>
    </w:p>
    <w:tbl>
      <w:tblPr>
        <w:tblW w:w="8349"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88"/>
        <w:gridCol w:w="5661"/>
      </w:tblGrid>
      <w:tr w:rsidR="00C82992" w:rsidRPr="00B23721" w:rsidTr="00116DD1">
        <w:trPr>
          <w:trHeight w:val="240"/>
        </w:trPr>
        <w:tc>
          <w:tcPr>
            <w:tcW w:w="2688" w:type="dxa"/>
            <w:tcBorders>
              <w:top w:val="single" w:sz="4" w:space="0" w:color="auto"/>
              <w:left w:val="single" w:sz="4" w:space="0" w:color="auto"/>
              <w:bottom w:val="single" w:sz="4" w:space="0" w:color="auto"/>
              <w:right w:val="single" w:sz="4" w:space="0" w:color="auto"/>
            </w:tcBorders>
            <w:hideMark/>
          </w:tcPr>
          <w:p w:rsidR="00C82992" w:rsidRPr="00B23721" w:rsidRDefault="00C82992" w:rsidP="00116DD1">
            <w:pPr>
              <w:rPr>
                <w:rFonts w:ascii="Arial Narrow" w:hAnsi="Arial Narrow"/>
              </w:rPr>
            </w:pPr>
            <w:r w:rsidRPr="00B23721">
              <w:rPr>
                <w:rFonts w:ascii="Arial Narrow" w:hAnsi="Arial Narrow"/>
                <w:sz w:val="20"/>
              </w:rPr>
              <w:t>Time horizon</w:t>
            </w:r>
          </w:p>
        </w:tc>
        <w:tc>
          <w:tcPr>
            <w:tcW w:w="5661" w:type="dxa"/>
            <w:tcBorders>
              <w:top w:val="single" w:sz="4" w:space="0" w:color="auto"/>
              <w:left w:val="single" w:sz="4" w:space="0" w:color="auto"/>
              <w:bottom w:val="single" w:sz="4" w:space="0" w:color="auto"/>
              <w:right w:val="single" w:sz="4" w:space="0" w:color="auto"/>
            </w:tcBorders>
            <w:hideMark/>
          </w:tcPr>
          <w:p w:rsidR="00C82992" w:rsidRPr="00B23721" w:rsidRDefault="00C82992" w:rsidP="00116DD1">
            <w:pPr>
              <w:rPr>
                <w:rFonts w:ascii="Arial Narrow" w:hAnsi="Arial Narrow"/>
                <w:sz w:val="20"/>
              </w:rPr>
            </w:pPr>
            <w:r w:rsidRPr="00B23721">
              <w:rPr>
                <w:rFonts w:ascii="Arial Narrow" w:hAnsi="Arial Narrow"/>
                <w:sz w:val="20"/>
              </w:rPr>
              <w:t>7.5 years in the model base case versus 18 months in the trial</w:t>
            </w:r>
          </w:p>
        </w:tc>
      </w:tr>
      <w:tr w:rsidR="00C82992" w:rsidRPr="00B23721" w:rsidTr="00116DD1">
        <w:trPr>
          <w:trHeight w:val="196"/>
        </w:trPr>
        <w:tc>
          <w:tcPr>
            <w:tcW w:w="2688" w:type="dxa"/>
            <w:tcBorders>
              <w:top w:val="single" w:sz="4" w:space="0" w:color="auto"/>
              <w:left w:val="single" w:sz="4" w:space="0" w:color="auto"/>
              <w:bottom w:val="single" w:sz="4" w:space="0" w:color="auto"/>
              <w:right w:val="single" w:sz="4" w:space="0" w:color="auto"/>
            </w:tcBorders>
            <w:hideMark/>
          </w:tcPr>
          <w:p w:rsidR="00C82992" w:rsidRPr="00B23721" w:rsidRDefault="00C82992" w:rsidP="00116DD1">
            <w:pPr>
              <w:rPr>
                <w:rFonts w:ascii="Arial Narrow" w:hAnsi="Arial Narrow"/>
                <w:sz w:val="20"/>
              </w:rPr>
            </w:pPr>
            <w:r w:rsidRPr="00B23721">
              <w:rPr>
                <w:rFonts w:ascii="Arial Narrow" w:hAnsi="Arial Narrow"/>
                <w:sz w:val="20"/>
              </w:rPr>
              <w:t>Outcomes</w:t>
            </w:r>
          </w:p>
        </w:tc>
        <w:tc>
          <w:tcPr>
            <w:tcW w:w="5661" w:type="dxa"/>
            <w:tcBorders>
              <w:top w:val="single" w:sz="4" w:space="0" w:color="auto"/>
              <w:left w:val="single" w:sz="4" w:space="0" w:color="auto"/>
              <w:bottom w:val="single" w:sz="4" w:space="0" w:color="auto"/>
              <w:right w:val="single" w:sz="4" w:space="0" w:color="auto"/>
            </w:tcBorders>
            <w:hideMark/>
          </w:tcPr>
          <w:p w:rsidR="00C82992" w:rsidRPr="00B23721" w:rsidRDefault="00C82992" w:rsidP="00116DD1">
            <w:pPr>
              <w:rPr>
                <w:rFonts w:ascii="Arial Narrow" w:hAnsi="Arial Narrow"/>
                <w:sz w:val="20"/>
              </w:rPr>
            </w:pPr>
            <w:r w:rsidRPr="00B23721">
              <w:rPr>
                <w:rFonts w:ascii="Arial Narrow" w:hAnsi="Arial Narrow"/>
                <w:sz w:val="20"/>
              </w:rPr>
              <w:t>LYs and QALYs</w:t>
            </w:r>
          </w:p>
        </w:tc>
      </w:tr>
      <w:tr w:rsidR="00C82992" w:rsidRPr="00B23721" w:rsidTr="00116DD1">
        <w:trPr>
          <w:trHeight w:val="369"/>
        </w:trPr>
        <w:tc>
          <w:tcPr>
            <w:tcW w:w="2688" w:type="dxa"/>
            <w:tcBorders>
              <w:top w:val="single" w:sz="4" w:space="0" w:color="auto"/>
              <w:left w:val="single" w:sz="4" w:space="0" w:color="auto"/>
              <w:bottom w:val="single" w:sz="4" w:space="0" w:color="auto"/>
              <w:right w:val="single" w:sz="4" w:space="0" w:color="auto"/>
            </w:tcBorders>
            <w:hideMark/>
          </w:tcPr>
          <w:p w:rsidR="00C82992" w:rsidRPr="00B23721" w:rsidRDefault="00C82992" w:rsidP="00116DD1">
            <w:pPr>
              <w:rPr>
                <w:rFonts w:ascii="Arial Narrow" w:hAnsi="Arial Narrow"/>
                <w:sz w:val="20"/>
              </w:rPr>
            </w:pPr>
            <w:r w:rsidRPr="00B23721">
              <w:rPr>
                <w:rFonts w:ascii="Arial Narrow" w:hAnsi="Arial Narrow"/>
                <w:sz w:val="20"/>
              </w:rPr>
              <w:t>Methods used to generate results</w:t>
            </w:r>
          </w:p>
        </w:tc>
        <w:tc>
          <w:tcPr>
            <w:tcW w:w="5661" w:type="dxa"/>
            <w:tcBorders>
              <w:top w:val="single" w:sz="4" w:space="0" w:color="auto"/>
              <w:left w:val="single" w:sz="4" w:space="0" w:color="auto"/>
              <w:bottom w:val="single" w:sz="4" w:space="0" w:color="auto"/>
              <w:right w:val="single" w:sz="4" w:space="0" w:color="auto"/>
            </w:tcBorders>
            <w:hideMark/>
          </w:tcPr>
          <w:p w:rsidR="00C82992" w:rsidRPr="00B23721" w:rsidRDefault="00C82992" w:rsidP="00116DD1">
            <w:pPr>
              <w:rPr>
                <w:rFonts w:ascii="Arial Narrow" w:hAnsi="Arial Narrow"/>
                <w:sz w:val="20"/>
              </w:rPr>
            </w:pPr>
            <w:r w:rsidRPr="00B23721">
              <w:rPr>
                <w:rFonts w:ascii="Arial Narrow" w:hAnsi="Arial Narrow"/>
                <w:sz w:val="20"/>
              </w:rPr>
              <w:t>Markov model with three health states (progression-free, progressed and death). Cohort expected value analysis.</w:t>
            </w:r>
          </w:p>
        </w:tc>
      </w:tr>
      <w:tr w:rsidR="00C82992" w:rsidRPr="00B23721" w:rsidTr="00116DD1">
        <w:trPr>
          <w:trHeight w:val="225"/>
        </w:trPr>
        <w:tc>
          <w:tcPr>
            <w:tcW w:w="2688" w:type="dxa"/>
            <w:tcBorders>
              <w:top w:val="single" w:sz="4" w:space="0" w:color="auto"/>
              <w:left w:val="single" w:sz="4" w:space="0" w:color="auto"/>
              <w:bottom w:val="single" w:sz="4" w:space="0" w:color="auto"/>
              <w:right w:val="single" w:sz="4" w:space="0" w:color="auto"/>
            </w:tcBorders>
            <w:hideMark/>
          </w:tcPr>
          <w:p w:rsidR="00C82992" w:rsidRPr="00B23721" w:rsidRDefault="00C82992" w:rsidP="00116DD1">
            <w:pPr>
              <w:rPr>
                <w:rFonts w:ascii="Arial Narrow" w:hAnsi="Arial Narrow"/>
                <w:sz w:val="20"/>
              </w:rPr>
            </w:pPr>
            <w:r w:rsidRPr="00B23721">
              <w:rPr>
                <w:rFonts w:ascii="Arial Narrow" w:hAnsi="Arial Narrow"/>
                <w:sz w:val="20"/>
              </w:rPr>
              <w:t>Cycle length</w:t>
            </w:r>
          </w:p>
        </w:tc>
        <w:tc>
          <w:tcPr>
            <w:tcW w:w="5661" w:type="dxa"/>
            <w:tcBorders>
              <w:top w:val="single" w:sz="4" w:space="0" w:color="auto"/>
              <w:left w:val="single" w:sz="4" w:space="0" w:color="auto"/>
              <w:bottom w:val="single" w:sz="4" w:space="0" w:color="auto"/>
              <w:right w:val="single" w:sz="4" w:space="0" w:color="auto"/>
            </w:tcBorders>
            <w:hideMark/>
          </w:tcPr>
          <w:p w:rsidR="00C82992" w:rsidRPr="00B23721" w:rsidRDefault="00C82992" w:rsidP="00116DD1">
            <w:pPr>
              <w:rPr>
                <w:rFonts w:ascii="Arial Narrow" w:hAnsi="Arial Narrow"/>
                <w:sz w:val="20"/>
              </w:rPr>
            </w:pPr>
            <w:r w:rsidRPr="00B23721">
              <w:rPr>
                <w:rFonts w:ascii="Arial Narrow" w:hAnsi="Arial Narrow"/>
                <w:sz w:val="20"/>
              </w:rPr>
              <w:t>Three weeks</w:t>
            </w:r>
          </w:p>
        </w:tc>
      </w:tr>
      <w:tr w:rsidR="00C82992" w:rsidRPr="00B23721" w:rsidTr="00116DD1">
        <w:trPr>
          <w:trHeight w:val="237"/>
        </w:trPr>
        <w:tc>
          <w:tcPr>
            <w:tcW w:w="2688" w:type="dxa"/>
            <w:tcBorders>
              <w:top w:val="single" w:sz="4" w:space="0" w:color="auto"/>
              <w:left w:val="single" w:sz="4" w:space="0" w:color="auto"/>
              <w:bottom w:val="single" w:sz="4" w:space="0" w:color="auto"/>
              <w:right w:val="single" w:sz="4" w:space="0" w:color="auto"/>
            </w:tcBorders>
            <w:hideMark/>
          </w:tcPr>
          <w:p w:rsidR="00C82992" w:rsidRPr="00B23721" w:rsidRDefault="00C82992" w:rsidP="00116DD1">
            <w:pPr>
              <w:rPr>
                <w:rFonts w:ascii="Arial Narrow" w:hAnsi="Arial Narrow"/>
                <w:sz w:val="20"/>
              </w:rPr>
            </w:pPr>
            <w:r w:rsidRPr="00B23721">
              <w:rPr>
                <w:rFonts w:ascii="Arial Narrow" w:hAnsi="Arial Narrow"/>
                <w:sz w:val="20"/>
              </w:rPr>
              <w:t>Transition probabilities</w:t>
            </w:r>
          </w:p>
        </w:tc>
        <w:tc>
          <w:tcPr>
            <w:tcW w:w="5661" w:type="dxa"/>
            <w:tcBorders>
              <w:top w:val="single" w:sz="4" w:space="0" w:color="auto"/>
              <w:left w:val="single" w:sz="4" w:space="0" w:color="auto"/>
              <w:bottom w:val="single" w:sz="4" w:space="0" w:color="auto"/>
              <w:right w:val="single" w:sz="4" w:space="0" w:color="auto"/>
            </w:tcBorders>
            <w:hideMark/>
          </w:tcPr>
          <w:p w:rsidR="00C82992" w:rsidRPr="00B23721" w:rsidRDefault="00C82992" w:rsidP="00116DD1">
            <w:pPr>
              <w:rPr>
                <w:rFonts w:ascii="Arial Narrow" w:hAnsi="Arial Narrow"/>
                <w:sz w:val="20"/>
              </w:rPr>
            </w:pPr>
            <w:r w:rsidRPr="00B23721">
              <w:rPr>
                <w:rFonts w:ascii="Arial Narrow" w:hAnsi="Arial Narrow"/>
                <w:sz w:val="20"/>
              </w:rPr>
              <w:t>Trial-based Kaplan-Meier PFS and OS curves as well as extrapolated PFS and OS curves</w:t>
            </w:r>
          </w:p>
        </w:tc>
      </w:tr>
      <w:tr w:rsidR="00C82992" w:rsidRPr="00B23721" w:rsidTr="00116DD1">
        <w:trPr>
          <w:trHeight w:val="240"/>
        </w:trPr>
        <w:tc>
          <w:tcPr>
            <w:tcW w:w="2688" w:type="dxa"/>
            <w:tcBorders>
              <w:top w:val="single" w:sz="4" w:space="0" w:color="auto"/>
              <w:left w:val="single" w:sz="4" w:space="0" w:color="auto"/>
              <w:bottom w:val="single" w:sz="4" w:space="0" w:color="auto"/>
              <w:right w:val="single" w:sz="4" w:space="0" w:color="auto"/>
            </w:tcBorders>
            <w:hideMark/>
          </w:tcPr>
          <w:p w:rsidR="00C82992" w:rsidRPr="00B23721" w:rsidRDefault="00C82992" w:rsidP="00116DD1">
            <w:pPr>
              <w:rPr>
                <w:rFonts w:ascii="Arial Narrow" w:hAnsi="Arial Narrow"/>
                <w:sz w:val="20"/>
              </w:rPr>
            </w:pPr>
            <w:r w:rsidRPr="00B23721">
              <w:rPr>
                <w:rFonts w:ascii="Arial Narrow" w:hAnsi="Arial Narrow"/>
                <w:sz w:val="20"/>
              </w:rPr>
              <w:t>Discount rate</w:t>
            </w:r>
          </w:p>
        </w:tc>
        <w:tc>
          <w:tcPr>
            <w:tcW w:w="5661" w:type="dxa"/>
            <w:tcBorders>
              <w:top w:val="single" w:sz="4" w:space="0" w:color="auto"/>
              <w:left w:val="single" w:sz="4" w:space="0" w:color="auto"/>
              <w:bottom w:val="single" w:sz="4" w:space="0" w:color="auto"/>
              <w:right w:val="single" w:sz="4" w:space="0" w:color="auto"/>
            </w:tcBorders>
            <w:hideMark/>
          </w:tcPr>
          <w:p w:rsidR="00C82992" w:rsidRPr="00B23721" w:rsidRDefault="00C82992" w:rsidP="00116DD1">
            <w:pPr>
              <w:rPr>
                <w:rFonts w:ascii="Arial Narrow" w:hAnsi="Arial Narrow"/>
                <w:sz w:val="20"/>
              </w:rPr>
            </w:pPr>
            <w:r w:rsidRPr="00B23721">
              <w:rPr>
                <w:rFonts w:ascii="Arial Narrow" w:hAnsi="Arial Narrow"/>
                <w:sz w:val="20"/>
              </w:rPr>
              <w:t>5% per annum for costs and outcomes</w:t>
            </w:r>
          </w:p>
        </w:tc>
      </w:tr>
      <w:tr w:rsidR="00C82992" w:rsidRPr="00B23721" w:rsidTr="00116DD1">
        <w:trPr>
          <w:trHeight w:val="225"/>
        </w:trPr>
        <w:tc>
          <w:tcPr>
            <w:tcW w:w="2688" w:type="dxa"/>
            <w:tcBorders>
              <w:top w:val="single" w:sz="4" w:space="0" w:color="auto"/>
              <w:left w:val="single" w:sz="4" w:space="0" w:color="auto"/>
              <w:bottom w:val="single" w:sz="4" w:space="0" w:color="auto"/>
              <w:right w:val="single" w:sz="4" w:space="0" w:color="auto"/>
            </w:tcBorders>
            <w:hideMark/>
          </w:tcPr>
          <w:p w:rsidR="00C82992" w:rsidRPr="00B23721" w:rsidRDefault="00C82992" w:rsidP="00116DD1">
            <w:pPr>
              <w:rPr>
                <w:rFonts w:ascii="Arial Narrow" w:hAnsi="Arial Narrow"/>
                <w:sz w:val="20"/>
              </w:rPr>
            </w:pPr>
            <w:r w:rsidRPr="00B23721">
              <w:rPr>
                <w:rFonts w:ascii="Arial Narrow" w:hAnsi="Arial Narrow"/>
                <w:sz w:val="20"/>
              </w:rPr>
              <w:t>Software package</w:t>
            </w:r>
          </w:p>
        </w:tc>
        <w:tc>
          <w:tcPr>
            <w:tcW w:w="5661" w:type="dxa"/>
            <w:tcBorders>
              <w:top w:val="single" w:sz="4" w:space="0" w:color="auto"/>
              <w:left w:val="single" w:sz="4" w:space="0" w:color="auto"/>
              <w:bottom w:val="single" w:sz="4" w:space="0" w:color="auto"/>
              <w:right w:val="single" w:sz="4" w:space="0" w:color="auto"/>
            </w:tcBorders>
            <w:hideMark/>
          </w:tcPr>
          <w:p w:rsidR="00C82992" w:rsidRPr="00B23721" w:rsidRDefault="00C82992" w:rsidP="00116DD1">
            <w:pPr>
              <w:rPr>
                <w:rFonts w:ascii="Arial Narrow" w:hAnsi="Arial Narrow"/>
                <w:sz w:val="20"/>
              </w:rPr>
            </w:pPr>
            <w:r w:rsidRPr="00B23721">
              <w:rPr>
                <w:rFonts w:ascii="Arial Narrow" w:hAnsi="Arial Narrow"/>
                <w:sz w:val="20"/>
              </w:rPr>
              <w:t>Excel 2010</w:t>
            </w:r>
          </w:p>
        </w:tc>
      </w:tr>
    </w:tbl>
    <w:p w:rsidR="00C82992" w:rsidRPr="00B23721" w:rsidRDefault="00C82992" w:rsidP="00C82992">
      <w:pPr>
        <w:ind w:left="720"/>
        <w:rPr>
          <w:rFonts w:ascii="Arial Narrow" w:hAnsi="Arial Narrow"/>
          <w:sz w:val="18"/>
        </w:rPr>
      </w:pPr>
      <w:r w:rsidRPr="00B23721">
        <w:rPr>
          <w:rFonts w:ascii="Arial Narrow" w:hAnsi="Arial Narrow"/>
          <w:sz w:val="18"/>
        </w:rPr>
        <w:t>LYs = life years; OS = overall survival; PFS = progression-free survival; QALYs = quality-adjusted life years</w:t>
      </w:r>
    </w:p>
    <w:p w:rsidR="00C82992" w:rsidRPr="00B23721" w:rsidRDefault="00C82992" w:rsidP="00C82992">
      <w:pPr>
        <w:ind w:left="720"/>
        <w:rPr>
          <w:rFonts w:ascii="Arial Narrow" w:hAnsi="Arial Narrow"/>
          <w:sz w:val="18"/>
        </w:rPr>
      </w:pPr>
      <w:r w:rsidRPr="00B23721">
        <w:rPr>
          <w:rFonts w:ascii="Arial Narrow" w:hAnsi="Arial Narrow"/>
          <w:sz w:val="18"/>
        </w:rPr>
        <w:t>Source: Table compiled during the evaluation</w:t>
      </w:r>
    </w:p>
    <w:p w:rsidR="00316B9C" w:rsidRPr="00B23721" w:rsidRDefault="00316B9C">
      <w:pPr>
        <w:widowControl/>
        <w:jc w:val="left"/>
      </w:pPr>
    </w:p>
    <w:p w:rsidR="00C82992" w:rsidRPr="00B23721" w:rsidRDefault="00C82992" w:rsidP="00C82992">
      <w:pPr>
        <w:pStyle w:val="ListParagraph"/>
        <w:widowControl/>
        <w:numPr>
          <w:ilvl w:val="1"/>
          <w:numId w:val="4"/>
        </w:numPr>
        <w:snapToGrid w:val="0"/>
        <w:rPr>
          <w:szCs w:val="22"/>
        </w:rPr>
      </w:pPr>
      <w:r w:rsidRPr="00B23721">
        <w:t>The key drivers of the model are summarised below.</w:t>
      </w:r>
    </w:p>
    <w:p w:rsidR="00C82992" w:rsidRPr="00B23721" w:rsidRDefault="00C82992" w:rsidP="00C82992">
      <w:pPr>
        <w:widowControl/>
        <w:rPr>
          <w:szCs w:val="22"/>
        </w:rPr>
      </w:pPr>
    </w:p>
    <w:p w:rsidR="00892F33" w:rsidRPr="00DB5D9A" w:rsidRDefault="00892F33" w:rsidP="00892F33">
      <w:pPr>
        <w:pStyle w:val="Caption"/>
        <w:keepNext/>
        <w:ind w:firstLine="720"/>
        <w:rPr>
          <w:rFonts w:ascii="Arial Narrow" w:hAnsi="Arial Narrow"/>
        </w:rPr>
      </w:pPr>
      <w:r w:rsidRPr="00DB5D9A">
        <w:rPr>
          <w:rFonts w:ascii="Arial Narrow" w:hAnsi="Arial Narrow"/>
        </w:rPr>
        <w:t xml:space="preserve">Table </w:t>
      </w:r>
      <w:r w:rsidR="00BB09B5" w:rsidRPr="00DB5D9A">
        <w:rPr>
          <w:rFonts w:ascii="Arial Narrow" w:hAnsi="Arial Narrow"/>
        </w:rPr>
        <w:t>6</w:t>
      </w:r>
      <w:r w:rsidRPr="00DB5D9A">
        <w:rPr>
          <w:rFonts w:ascii="Arial Narrow" w:hAnsi="Arial Narrow"/>
        </w:rPr>
        <w:t>: Key drivers of the model</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8"/>
        <w:gridCol w:w="3827"/>
        <w:gridCol w:w="2268"/>
      </w:tblGrid>
      <w:tr w:rsidR="00881872" w:rsidRPr="00B23721" w:rsidTr="00881872">
        <w:trPr>
          <w:tblHeader/>
        </w:trPr>
        <w:tc>
          <w:tcPr>
            <w:tcW w:w="1356" w:type="pct"/>
            <w:shd w:val="clear" w:color="auto" w:fill="auto"/>
            <w:vAlign w:val="center"/>
          </w:tcPr>
          <w:p w:rsidR="00881872" w:rsidRPr="00B23721" w:rsidRDefault="00881872" w:rsidP="00881872">
            <w:pPr>
              <w:jc w:val="left"/>
              <w:rPr>
                <w:rFonts w:ascii="Arial Narrow" w:hAnsi="Arial Narrow"/>
                <w:b/>
                <w:sz w:val="20"/>
              </w:rPr>
            </w:pPr>
            <w:r w:rsidRPr="00B23721">
              <w:rPr>
                <w:rFonts w:ascii="Arial Narrow" w:hAnsi="Arial Narrow"/>
                <w:b/>
                <w:sz w:val="20"/>
              </w:rPr>
              <w:t>Description</w:t>
            </w:r>
          </w:p>
        </w:tc>
        <w:tc>
          <w:tcPr>
            <w:tcW w:w="2288" w:type="pct"/>
            <w:shd w:val="clear" w:color="auto" w:fill="auto"/>
            <w:vAlign w:val="center"/>
          </w:tcPr>
          <w:p w:rsidR="00881872" w:rsidRPr="00B23721" w:rsidRDefault="00881872" w:rsidP="00881872">
            <w:pPr>
              <w:jc w:val="center"/>
              <w:rPr>
                <w:rFonts w:ascii="Arial Narrow" w:hAnsi="Arial Narrow"/>
                <w:b/>
                <w:sz w:val="20"/>
              </w:rPr>
            </w:pPr>
            <w:r w:rsidRPr="00B23721">
              <w:rPr>
                <w:rFonts w:ascii="Arial Narrow" w:hAnsi="Arial Narrow"/>
                <w:b/>
                <w:sz w:val="20"/>
              </w:rPr>
              <w:t>Method/Value</w:t>
            </w:r>
          </w:p>
        </w:tc>
        <w:tc>
          <w:tcPr>
            <w:tcW w:w="1356" w:type="pct"/>
            <w:shd w:val="clear" w:color="auto" w:fill="auto"/>
            <w:vAlign w:val="center"/>
          </w:tcPr>
          <w:p w:rsidR="00881872" w:rsidRPr="00B23721" w:rsidRDefault="00881872" w:rsidP="00881872">
            <w:pPr>
              <w:jc w:val="center"/>
              <w:rPr>
                <w:rFonts w:ascii="Arial Narrow" w:hAnsi="Arial Narrow"/>
                <w:b/>
                <w:sz w:val="20"/>
              </w:rPr>
            </w:pPr>
            <w:r w:rsidRPr="00B23721">
              <w:rPr>
                <w:rFonts w:ascii="Arial Narrow" w:hAnsi="Arial Narrow"/>
                <w:b/>
                <w:sz w:val="20"/>
              </w:rPr>
              <w:t>Impact</w:t>
            </w:r>
          </w:p>
        </w:tc>
      </w:tr>
      <w:tr w:rsidR="00881872" w:rsidRPr="00B23721" w:rsidTr="00881872">
        <w:tc>
          <w:tcPr>
            <w:tcW w:w="1356" w:type="pct"/>
            <w:shd w:val="clear" w:color="auto" w:fill="auto"/>
            <w:vAlign w:val="center"/>
          </w:tcPr>
          <w:p w:rsidR="00881872" w:rsidRPr="00B23721" w:rsidRDefault="00881872" w:rsidP="00881872">
            <w:pPr>
              <w:jc w:val="left"/>
              <w:rPr>
                <w:rFonts w:ascii="Arial Narrow" w:hAnsi="Arial Narrow"/>
                <w:sz w:val="20"/>
              </w:rPr>
            </w:pPr>
            <w:r w:rsidRPr="00B23721">
              <w:rPr>
                <w:rFonts w:ascii="Arial Narrow" w:hAnsi="Arial Narrow"/>
                <w:sz w:val="20"/>
              </w:rPr>
              <w:t>Time point of extrapolation</w:t>
            </w:r>
            <w:r w:rsidRPr="00B23721">
              <w:rPr>
                <w:rFonts w:ascii="Arial Narrow" w:hAnsi="Arial Narrow"/>
                <w:sz w:val="20"/>
              </w:rPr>
              <w:tab/>
            </w:r>
          </w:p>
        </w:tc>
        <w:tc>
          <w:tcPr>
            <w:tcW w:w="2288" w:type="pct"/>
            <w:shd w:val="clear" w:color="auto" w:fill="auto"/>
            <w:vAlign w:val="center"/>
          </w:tcPr>
          <w:p w:rsidR="00881872" w:rsidRPr="00B23721" w:rsidRDefault="00881872" w:rsidP="002D7DFB">
            <w:pPr>
              <w:jc w:val="left"/>
              <w:rPr>
                <w:rFonts w:ascii="Arial Narrow" w:hAnsi="Arial Narrow"/>
                <w:sz w:val="20"/>
              </w:rPr>
            </w:pPr>
            <w:r w:rsidRPr="00B23721">
              <w:rPr>
                <w:rFonts w:ascii="Arial Narrow" w:hAnsi="Arial Narrow"/>
                <w:sz w:val="20"/>
              </w:rPr>
              <w:t xml:space="preserve">Median time to </w:t>
            </w:r>
            <w:r w:rsidR="002D7DFB" w:rsidRPr="00B23721">
              <w:rPr>
                <w:rFonts w:ascii="Arial Narrow" w:hAnsi="Arial Narrow"/>
                <w:sz w:val="20"/>
              </w:rPr>
              <w:t>censoring</w:t>
            </w:r>
          </w:p>
        </w:tc>
        <w:tc>
          <w:tcPr>
            <w:tcW w:w="1356" w:type="pct"/>
            <w:shd w:val="clear" w:color="auto" w:fill="auto"/>
            <w:vAlign w:val="center"/>
          </w:tcPr>
          <w:p w:rsidR="00881872" w:rsidRPr="00B23721" w:rsidRDefault="00881872" w:rsidP="00881872">
            <w:pPr>
              <w:jc w:val="center"/>
              <w:rPr>
                <w:rFonts w:ascii="Arial Narrow" w:hAnsi="Arial Narrow"/>
                <w:sz w:val="20"/>
              </w:rPr>
            </w:pPr>
            <w:r w:rsidRPr="00B23721">
              <w:rPr>
                <w:rFonts w:ascii="Arial Narrow" w:hAnsi="Arial Narrow"/>
                <w:sz w:val="20"/>
              </w:rPr>
              <w:t>Moderate, favours nivolumab</w:t>
            </w:r>
          </w:p>
        </w:tc>
      </w:tr>
      <w:tr w:rsidR="00881872" w:rsidRPr="00B23721" w:rsidTr="00881872">
        <w:tc>
          <w:tcPr>
            <w:tcW w:w="1356" w:type="pct"/>
            <w:shd w:val="clear" w:color="auto" w:fill="auto"/>
            <w:vAlign w:val="center"/>
          </w:tcPr>
          <w:p w:rsidR="00881872" w:rsidRPr="00B23721" w:rsidRDefault="00881872" w:rsidP="00881872">
            <w:pPr>
              <w:jc w:val="left"/>
              <w:rPr>
                <w:rFonts w:ascii="Arial Narrow" w:hAnsi="Arial Narrow"/>
                <w:sz w:val="20"/>
              </w:rPr>
            </w:pPr>
            <w:r w:rsidRPr="00B23721">
              <w:rPr>
                <w:rFonts w:ascii="Arial Narrow" w:hAnsi="Arial Narrow"/>
                <w:sz w:val="20"/>
              </w:rPr>
              <w:t>Method of extrapolation</w:t>
            </w:r>
          </w:p>
        </w:tc>
        <w:tc>
          <w:tcPr>
            <w:tcW w:w="2288" w:type="pct"/>
            <w:shd w:val="clear" w:color="auto" w:fill="auto"/>
            <w:vAlign w:val="center"/>
          </w:tcPr>
          <w:p w:rsidR="00881872" w:rsidRPr="00B23721" w:rsidRDefault="00881872" w:rsidP="00881872">
            <w:pPr>
              <w:jc w:val="left"/>
              <w:rPr>
                <w:rFonts w:ascii="Arial Narrow" w:hAnsi="Arial Narrow"/>
                <w:sz w:val="20"/>
              </w:rPr>
            </w:pPr>
            <w:r w:rsidRPr="00B23721">
              <w:rPr>
                <w:rFonts w:ascii="Arial Narrow" w:hAnsi="Arial Narrow"/>
                <w:sz w:val="20"/>
              </w:rPr>
              <w:t>Log-logistic distribution for PFS and OS in both arms, assuming continued treatment effect</w:t>
            </w:r>
            <w:r w:rsidRPr="00B23721">
              <w:t xml:space="preserve"> </w:t>
            </w:r>
            <w:r w:rsidRPr="00B23721">
              <w:rPr>
                <w:rFonts w:ascii="Arial Narrow" w:hAnsi="Arial Narrow"/>
                <w:sz w:val="20"/>
              </w:rPr>
              <w:t>until Year 5, with convergence of survival curves occurring from Year 5 to Year 7.5</w:t>
            </w:r>
          </w:p>
        </w:tc>
        <w:tc>
          <w:tcPr>
            <w:tcW w:w="1356" w:type="pct"/>
            <w:shd w:val="clear" w:color="auto" w:fill="auto"/>
            <w:vAlign w:val="center"/>
          </w:tcPr>
          <w:p w:rsidR="00881872" w:rsidRPr="00B23721" w:rsidRDefault="00881872" w:rsidP="00881872">
            <w:pPr>
              <w:jc w:val="center"/>
              <w:rPr>
                <w:rFonts w:ascii="Arial Narrow" w:hAnsi="Arial Narrow"/>
                <w:sz w:val="20"/>
              </w:rPr>
            </w:pPr>
            <w:r w:rsidRPr="00B23721">
              <w:rPr>
                <w:rFonts w:ascii="Arial Narrow" w:hAnsi="Arial Narrow"/>
                <w:sz w:val="20"/>
              </w:rPr>
              <w:t>Moderate, favours nivolumab</w:t>
            </w:r>
          </w:p>
        </w:tc>
      </w:tr>
      <w:tr w:rsidR="00881872" w:rsidRPr="00B23721" w:rsidTr="00881872">
        <w:tc>
          <w:tcPr>
            <w:tcW w:w="1356" w:type="pct"/>
            <w:shd w:val="clear" w:color="auto" w:fill="auto"/>
            <w:vAlign w:val="center"/>
          </w:tcPr>
          <w:p w:rsidR="00881872" w:rsidRPr="00B23721" w:rsidRDefault="00881872" w:rsidP="00881872">
            <w:pPr>
              <w:jc w:val="left"/>
              <w:rPr>
                <w:rFonts w:ascii="Arial Narrow" w:hAnsi="Arial Narrow"/>
                <w:sz w:val="20"/>
              </w:rPr>
            </w:pPr>
            <w:r w:rsidRPr="00B23721">
              <w:rPr>
                <w:rFonts w:ascii="Arial Narrow" w:hAnsi="Arial Narrow"/>
                <w:sz w:val="20"/>
              </w:rPr>
              <w:t>Time horizon</w:t>
            </w:r>
          </w:p>
        </w:tc>
        <w:tc>
          <w:tcPr>
            <w:tcW w:w="2288" w:type="pct"/>
            <w:shd w:val="clear" w:color="auto" w:fill="auto"/>
            <w:vAlign w:val="center"/>
          </w:tcPr>
          <w:p w:rsidR="00881872" w:rsidRPr="00B23721" w:rsidRDefault="00881872" w:rsidP="00881872">
            <w:pPr>
              <w:jc w:val="left"/>
              <w:rPr>
                <w:rFonts w:ascii="Arial Narrow" w:hAnsi="Arial Narrow"/>
                <w:sz w:val="20"/>
              </w:rPr>
            </w:pPr>
            <w:r w:rsidRPr="00B23721">
              <w:rPr>
                <w:rFonts w:ascii="Arial Narrow" w:hAnsi="Arial Narrow"/>
                <w:sz w:val="20"/>
              </w:rPr>
              <w:t>7.5 years; assumed from 18 month trial duration</w:t>
            </w:r>
          </w:p>
        </w:tc>
        <w:tc>
          <w:tcPr>
            <w:tcW w:w="1356" w:type="pct"/>
            <w:shd w:val="clear" w:color="auto" w:fill="auto"/>
            <w:vAlign w:val="center"/>
          </w:tcPr>
          <w:p w:rsidR="00881872" w:rsidRPr="00B23721" w:rsidRDefault="00881872" w:rsidP="00881872">
            <w:pPr>
              <w:jc w:val="center"/>
              <w:rPr>
                <w:rFonts w:ascii="Arial Narrow" w:hAnsi="Arial Narrow"/>
                <w:sz w:val="20"/>
              </w:rPr>
            </w:pPr>
            <w:r w:rsidRPr="00B23721">
              <w:rPr>
                <w:rFonts w:ascii="Arial Narrow" w:hAnsi="Arial Narrow"/>
                <w:sz w:val="20"/>
              </w:rPr>
              <w:t>Moderate, favours nivolumab</w:t>
            </w:r>
          </w:p>
        </w:tc>
      </w:tr>
      <w:tr w:rsidR="00881872" w:rsidRPr="00B23721" w:rsidTr="00881872">
        <w:tc>
          <w:tcPr>
            <w:tcW w:w="1356" w:type="pct"/>
            <w:shd w:val="clear" w:color="auto" w:fill="auto"/>
            <w:vAlign w:val="center"/>
          </w:tcPr>
          <w:p w:rsidR="00881872" w:rsidRPr="00B23721" w:rsidRDefault="00881872" w:rsidP="00881872">
            <w:pPr>
              <w:jc w:val="left"/>
              <w:rPr>
                <w:rFonts w:ascii="Arial Narrow" w:hAnsi="Arial Narrow"/>
                <w:sz w:val="20"/>
              </w:rPr>
            </w:pPr>
            <w:r w:rsidRPr="00B23721">
              <w:rPr>
                <w:rFonts w:ascii="Arial Narrow" w:hAnsi="Arial Narrow"/>
                <w:sz w:val="20"/>
              </w:rPr>
              <w:t>Ongoing disease management costs for pre-progression disease</w:t>
            </w:r>
          </w:p>
        </w:tc>
        <w:tc>
          <w:tcPr>
            <w:tcW w:w="2288" w:type="pct"/>
            <w:shd w:val="clear" w:color="auto" w:fill="auto"/>
            <w:vAlign w:val="center"/>
          </w:tcPr>
          <w:p w:rsidR="00881872" w:rsidRPr="00B23721" w:rsidRDefault="00881872" w:rsidP="00881872">
            <w:pPr>
              <w:jc w:val="left"/>
              <w:rPr>
                <w:rFonts w:ascii="Arial Narrow" w:hAnsi="Arial Narrow"/>
                <w:sz w:val="20"/>
              </w:rPr>
            </w:pPr>
            <w:r w:rsidRPr="00B23721">
              <w:rPr>
                <w:rFonts w:ascii="Arial Narrow" w:hAnsi="Arial Narrow"/>
                <w:sz w:val="20"/>
              </w:rPr>
              <w:t>The re-submission assumed that during the pre-progression period, patients treated with nivolumab would require 60% of the disease management costs of those treated with docetaxel, based on a survey of the sponsor’s Advisory Board members.</w:t>
            </w:r>
          </w:p>
        </w:tc>
        <w:tc>
          <w:tcPr>
            <w:tcW w:w="1356" w:type="pct"/>
            <w:shd w:val="clear" w:color="auto" w:fill="auto"/>
            <w:vAlign w:val="center"/>
          </w:tcPr>
          <w:p w:rsidR="00881872" w:rsidRPr="00B23721" w:rsidRDefault="00881872" w:rsidP="00881872">
            <w:pPr>
              <w:jc w:val="center"/>
              <w:rPr>
                <w:rFonts w:ascii="Arial Narrow" w:hAnsi="Arial Narrow"/>
                <w:sz w:val="20"/>
              </w:rPr>
            </w:pPr>
            <w:r w:rsidRPr="00B23721">
              <w:rPr>
                <w:rFonts w:ascii="Arial Narrow" w:hAnsi="Arial Narrow"/>
                <w:sz w:val="20"/>
              </w:rPr>
              <w:t>Moderate, favours nivolumab</w:t>
            </w:r>
          </w:p>
        </w:tc>
      </w:tr>
      <w:tr w:rsidR="00881872" w:rsidRPr="00B23721" w:rsidTr="00881872">
        <w:tc>
          <w:tcPr>
            <w:tcW w:w="1356" w:type="pct"/>
            <w:shd w:val="clear" w:color="auto" w:fill="auto"/>
            <w:vAlign w:val="center"/>
          </w:tcPr>
          <w:p w:rsidR="00881872" w:rsidRPr="00B23721" w:rsidRDefault="00881872" w:rsidP="00881872">
            <w:pPr>
              <w:jc w:val="left"/>
              <w:rPr>
                <w:rFonts w:ascii="Arial Narrow" w:hAnsi="Arial Narrow"/>
                <w:sz w:val="20"/>
              </w:rPr>
            </w:pPr>
            <w:r w:rsidRPr="00B23721">
              <w:rPr>
                <w:rFonts w:ascii="Arial Narrow" w:hAnsi="Arial Narrow"/>
                <w:sz w:val="20"/>
              </w:rPr>
              <w:t>Utility value</w:t>
            </w:r>
          </w:p>
        </w:tc>
        <w:tc>
          <w:tcPr>
            <w:tcW w:w="2288" w:type="pct"/>
            <w:shd w:val="clear" w:color="auto" w:fill="auto"/>
            <w:vAlign w:val="center"/>
          </w:tcPr>
          <w:p w:rsidR="00881872" w:rsidRPr="00B23721" w:rsidRDefault="00881872" w:rsidP="00881872">
            <w:pPr>
              <w:jc w:val="left"/>
              <w:rPr>
                <w:rFonts w:ascii="Arial Narrow" w:hAnsi="Arial Narrow"/>
                <w:sz w:val="20"/>
              </w:rPr>
            </w:pPr>
            <w:r w:rsidRPr="00B23721">
              <w:rPr>
                <w:rFonts w:ascii="Arial Narrow" w:hAnsi="Arial Narrow"/>
                <w:sz w:val="20"/>
              </w:rPr>
              <w:t>CA209-017 trial-based utility data</w:t>
            </w:r>
          </w:p>
        </w:tc>
        <w:tc>
          <w:tcPr>
            <w:tcW w:w="1356" w:type="pct"/>
            <w:shd w:val="clear" w:color="auto" w:fill="auto"/>
            <w:vAlign w:val="center"/>
          </w:tcPr>
          <w:p w:rsidR="00881872" w:rsidRPr="00B23721" w:rsidRDefault="00881872" w:rsidP="00881872">
            <w:pPr>
              <w:jc w:val="center"/>
              <w:rPr>
                <w:rFonts w:ascii="Arial Narrow" w:hAnsi="Arial Narrow"/>
                <w:sz w:val="20"/>
              </w:rPr>
            </w:pPr>
            <w:r w:rsidRPr="00B23721">
              <w:rPr>
                <w:rFonts w:ascii="Arial Narrow" w:hAnsi="Arial Narrow"/>
                <w:sz w:val="20"/>
              </w:rPr>
              <w:t>Low, favours nivolumab</w:t>
            </w:r>
          </w:p>
        </w:tc>
      </w:tr>
      <w:tr w:rsidR="00881872" w:rsidRPr="00B23721" w:rsidTr="00881872">
        <w:tc>
          <w:tcPr>
            <w:tcW w:w="1356" w:type="pct"/>
            <w:shd w:val="clear" w:color="auto" w:fill="auto"/>
            <w:vAlign w:val="center"/>
          </w:tcPr>
          <w:p w:rsidR="00881872" w:rsidRPr="00B23721" w:rsidRDefault="00881872" w:rsidP="00881872">
            <w:pPr>
              <w:jc w:val="left"/>
              <w:rPr>
                <w:rFonts w:ascii="Arial Narrow" w:hAnsi="Arial Narrow"/>
                <w:sz w:val="20"/>
              </w:rPr>
            </w:pPr>
            <w:r w:rsidRPr="00B23721">
              <w:rPr>
                <w:rFonts w:ascii="Arial Narrow" w:hAnsi="Arial Narrow"/>
                <w:sz w:val="20"/>
              </w:rPr>
              <w:t>Duration of nivolumab treatment</w:t>
            </w:r>
          </w:p>
        </w:tc>
        <w:tc>
          <w:tcPr>
            <w:tcW w:w="2288" w:type="pct"/>
            <w:shd w:val="clear" w:color="auto" w:fill="auto"/>
            <w:vAlign w:val="center"/>
          </w:tcPr>
          <w:p w:rsidR="00881872" w:rsidRPr="00B23721" w:rsidRDefault="00881872" w:rsidP="00881872">
            <w:pPr>
              <w:jc w:val="left"/>
              <w:rPr>
                <w:rFonts w:ascii="Arial Narrow" w:hAnsi="Arial Narrow"/>
                <w:sz w:val="20"/>
              </w:rPr>
            </w:pPr>
            <w:r w:rsidRPr="00B23721">
              <w:rPr>
                <w:rFonts w:ascii="Arial Narrow" w:hAnsi="Arial Narrow"/>
                <w:sz w:val="20"/>
              </w:rPr>
              <w:t>CA209-017 mean trial-based treatment duration – i.e. truncated with respect to resource use</w:t>
            </w:r>
          </w:p>
        </w:tc>
        <w:tc>
          <w:tcPr>
            <w:tcW w:w="1356" w:type="pct"/>
            <w:shd w:val="clear" w:color="auto" w:fill="auto"/>
            <w:vAlign w:val="center"/>
          </w:tcPr>
          <w:p w:rsidR="00881872" w:rsidRPr="00B23721" w:rsidRDefault="00881872" w:rsidP="00881872">
            <w:pPr>
              <w:jc w:val="center"/>
              <w:rPr>
                <w:rFonts w:ascii="Arial Narrow" w:hAnsi="Arial Narrow"/>
                <w:sz w:val="20"/>
              </w:rPr>
            </w:pPr>
            <w:r w:rsidRPr="00B23721">
              <w:rPr>
                <w:rFonts w:ascii="Arial Narrow" w:hAnsi="Arial Narrow"/>
                <w:sz w:val="20"/>
              </w:rPr>
              <w:t>Low, favours nivolumab</w:t>
            </w:r>
          </w:p>
        </w:tc>
      </w:tr>
    </w:tbl>
    <w:p w:rsidR="00881872" w:rsidRPr="00B23721" w:rsidRDefault="00881872" w:rsidP="00881872">
      <w:pPr>
        <w:pStyle w:val="TableFooter"/>
        <w:ind w:firstLine="720"/>
      </w:pPr>
      <w:r w:rsidRPr="00B23721">
        <w:t>OS=overall survival; PFS=progression-free survival</w:t>
      </w:r>
    </w:p>
    <w:p w:rsidR="00881872" w:rsidRPr="00B23721" w:rsidRDefault="00881872" w:rsidP="00881872">
      <w:pPr>
        <w:pStyle w:val="TableFooter"/>
        <w:ind w:firstLine="720"/>
      </w:pPr>
      <w:r w:rsidRPr="00B23721">
        <w:t>Source: compiled during the evaluation.</w:t>
      </w:r>
    </w:p>
    <w:p w:rsidR="008E1BBE" w:rsidRPr="00B23721" w:rsidRDefault="008E1BBE" w:rsidP="00171ABC">
      <w:pPr>
        <w:widowControl/>
        <w:snapToGrid w:val="0"/>
        <w:rPr>
          <w:szCs w:val="22"/>
        </w:rPr>
      </w:pPr>
    </w:p>
    <w:p w:rsidR="00E914E8" w:rsidRPr="00B23721" w:rsidRDefault="00E914E8" w:rsidP="00AC3393">
      <w:pPr>
        <w:pStyle w:val="ListParagraph"/>
        <w:widowControl/>
        <w:numPr>
          <w:ilvl w:val="1"/>
          <w:numId w:val="4"/>
        </w:numPr>
        <w:snapToGrid w:val="0"/>
        <w:rPr>
          <w:szCs w:val="22"/>
        </w:rPr>
      </w:pPr>
      <w:r w:rsidRPr="00B23721">
        <w:rPr>
          <w:szCs w:val="22"/>
        </w:rPr>
        <w:t>Although the updated survival results from the February 2016 database lock in CA209-017 (24</w:t>
      </w:r>
      <w:r w:rsidR="002E742D" w:rsidRPr="00B23721">
        <w:rPr>
          <w:szCs w:val="22"/>
        </w:rPr>
        <w:t xml:space="preserve"> </w:t>
      </w:r>
      <w:r w:rsidRPr="00B23721">
        <w:rPr>
          <w:szCs w:val="22"/>
        </w:rPr>
        <w:t>month</w:t>
      </w:r>
      <w:r w:rsidR="002E742D" w:rsidRPr="00B23721">
        <w:rPr>
          <w:szCs w:val="22"/>
        </w:rPr>
        <w:t>s</w:t>
      </w:r>
      <w:r w:rsidRPr="00B23721">
        <w:rPr>
          <w:szCs w:val="22"/>
        </w:rPr>
        <w:t xml:space="preserve"> minimum follow-up) were provided in the re-submission, they were not used in the revised economic evaluation. Instead, the survival data from an earlier database lock (August 2015) were applied to the model, unchanged from the economic evaluation in the original submission</w:t>
      </w:r>
      <w:r w:rsidRPr="00405347">
        <w:rPr>
          <w:szCs w:val="22"/>
        </w:rPr>
        <w:t>.</w:t>
      </w:r>
      <w:r w:rsidR="0036133F" w:rsidRPr="00405347">
        <w:rPr>
          <w:szCs w:val="22"/>
        </w:rPr>
        <w:t xml:space="preserve"> The PSCR </w:t>
      </w:r>
      <w:r w:rsidR="00DB1CCC" w:rsidRPr="00405347">
        <w:rPr>
          <w:szCs w:val="22"/>
        </w:rPr>
        <w:t>(p</w:t>
      </w:r>
      <w:r w:rsidR="003A3A2E" w:rsidRPr="00405347">
        <w:rPr>
          <w:szCs w:val="22"/>
        </w:rPr>
        <w:t>.</w:t>
      </w:r>
      <w:r w:rsidR="00DB1CCC" w:rsidRPr="00405347">
        <w:rPr>
          <w:szCs w:val="22"/>
        </w:rPr>
        <w:t xml:space="preserve">4) </w:t>
      </w:r>
      <w:r w:rsidR="0036133F" w:rsidRPr="00405347">
        <w:rPr>
          <w:szCs w:val="22"/>
        </w:rPr>
        <w:t xml:space="preserve">provided </w:t>
      </w:r>
      <w:r w:rsidR="00630342" w:rsidRPr="00405347">
        <w:rPr>
          <w:szCs w:val="22"/>
        </w:rPr>
        <w:t>the results of the</w:t>
      </w:r>
      <w:r w:rsidR="0036133F" w:rsidRPr="00405347">
        <w:rPr>
          <w:szCs w:val="22"/>
        </w:rPr>
        <w:t xml:space="preserve"> </w:t>
      </w:r>
      <w:r w:rsidR="00630342" w:rsidRPr="00405347">
        <w:rPr>
          <w:szCs w:val="22"/>
        </w:rPr>
        <w:t>modelled</w:t>
      </w:r>
      <w:r w:rsidR="0036133F" w:rsidRPr="00405347">
        <w:rPr>
          <w:szCs w:val="22"/>
        </w:rPr>
        <w:t xml:space="preserve"> economic evaluatio</w:t>
      </w:r>
      <w:r w:rsidR="00AC3393" w:rsidRPr="00405347">
        <w:rPr>
          <w:szCs w:val="22"/>
        </w:rPr>
        <w:t>n using the</w:t>
      </w:r>
      <w:r w:rsidR="00630342" w:rsidRPr="00405347">
        <w:rPr>
          <w:szCs w:val="22"/>
        </w:rPr>
        <w:t xml:space="preserve"> updated trial data at t</w:t>
      </w:r>
      <w:r w:rsidR="00AC3393" w:rsidRPr="00405347">
        <w:rPr>
          <w:szCs w:val="22"/>
        </w:rPr>
        <w:t>he February 2016 database lock</w:t>
      </w:r>
      <w:r w:rsidR="00630342" w:rsidRPr="00405347">
        <w:rPr>
          <w:szCs w:val="22"/>
        </w:rPr>
        <w:t>.</w:t>
      </w:r>
      <w:r w:rsidR="00AC3393" w:rsidRPr="00405347">
        <w:rPr>
          <w:szCs w:val="22"/>
        </w:rPr>
        <w:t xml:space="preserve"> The ESC noted that using survival data from the extended follow-up database lock had minimal effect on the ICER</w:t>
      </w:r>
      <w:r w:rsidR="002D79F3" w:rsidRPr="00405347">
        <w:rPr>
          <w:szCs w:val="22"/>
        </w:rPr>
        <w:t xml:space="preserve"> when the log-logistic extrapolation was applied, but noted that PSCR did not use these extended data to </w:t>
      </w:r>
      <w:r w:rsidR="00DC4DA7" w:rsidRPr="00405347">
        <w:rPr>
          <w:szCs w:val="22"/>
        </w:rPr>
        <w:t xml:space="preserve">either </w:t>
      </w:r>
      <w:r w:rsidR="002D79F3" w:rsidRPr="00405347">
        <w:rPr>
          <w:szCs w:val="22"/>
        </w:rPr>
        <w:t>re-examine the basis for selecting between the log-logistic and Weibull based extrapolations, or present the Weibull-based ICER with extended data</w:t>
      </w:r>
      <w:r w:rsidR="00AC3393" w:rsidRPr="00405347">
        <w:rPr>
          <w:szCs w:val="22"/>
        </w:rPr>
        <w:t>.</w:t>
      </w:r>
    </w:p>
    <w:p w:rsidR="00E914E8" w:rsidRPr="00B23721" w:rsidRDefault="00E914E8" w:rsidP="00E914E8">
      <w:pPr>
        <w:widowControl/>
        <w:snapToGrid w:val="0"/>
        <w:rPr>
          <w:szCs w:val="22"/>
        </w:rPr>
      </w:pPr>
    </w:p>
    <w:p w:rsidR="00C82992" w:rsidRDefault="00017151" w:rsidP="0082336A">
      <w:pPr>
        <w:pStyle w:val="ListParagraph"/>
        <w:widowControl/>
        <w:numPr>
          <w:ilvl w:val="1"/>
          <w:numId w:val="4"/>
        </w:numPr>
        <w:snapToGrid w:val="0"/>
        <w:rPr>
          <w:szCs w:val="22"/>
        </w:rPr>
      </w:pPr>
      <w:r w:rsidRPr="00B23721">
        <w:rPr>
          <w:szCs w:val="22"/>
        </w:rPr>
        <w:t xml:space="preserve">As </w:t>
      </w:r>
      <w:r w:rsidR="00CF7259" w:rsidRPr="00B23721">
        <w:rPr>
          <w:szCs w:val="22"/>
        </w:rPr>
        <w:t xml:space="preserve">in </w:t>
      </w:r>
      <w:r w:rsidR="00C82992" w:rsidRPr="00B23721">
        <w:rPr>
          <w:szCs w:val="22"/>
        </w:rPr>
        <w:t xml:space="preserve">the original submission, the re-submission used three methods to derive the time point from which to extrapolate the Kaplan-Meier OS and PFS curves for the comparative arms. In the base case of the model, the re-submission used median time to </w:t>
      </w:r>
      <w:r w:rsidR="002D7DFB" w:rsidRPr="00B23721">
        <w:rPr>
          <w:szCs w:val="22"/>
        </w:rPr>
        <w:t>censoring</w:t>
      </w:r>
      <w:r w:rsidR="00C82992" w:rsidRPr="00B23721">
        <w:rPr>
          <w:szCs w:val="22"/>
        </w:rPr>
        <w:t xml:space="preserve"> based on the reverse Kaplan-Meier methodology </w:t>
      </w:r>
      <w:r w:rsidR="0082336A" w:rsidRPr="00B23721">
        <w:rPr>
          <w:szCs w:val="22"/>
        </w:rPr>
        <w:t xml:space="preserve">(in which </w:t>
      </w:r>
      <w:r w:rsidR="0082336A" w:rsidRPr="00B23721">
        <w:rPr>
          <w:szCs w:val="22"/>
        </w:rPr>
        <w:lastRenderedPageBreak/>
        <w:t xml:space="preserve">censoring was an endpoint and death was considered as a censored observation </w:t>
      </w:r>
      <w:r w:rsidR="00C82992" w:rsidRPr="00B23721">
        <w:rPr>
          <w:szCs w:val="22"/>
        </w:rPr>
        <w:t>(Schemper and Smith 1996, provided in the re-submission)</w:t>
      </w:r>
      <w:r w:rsidR="0082336A" w:rsidRPr="00B23721">
        <w:rPr>
          <w:szCs w:val="22"/>
        </w:rPr>
        <w:t>)</w:t>
      </w:r>
      <w:r w:rsidR="00C82992" w:rsidRPr="00B23721">
        <w:rPr>
          <w:szCs w:val="22"/>
        </w:rPr>
        <w:t xml:space="preserve">. Median duration of follow-up </w:t>
      </w:r>
      <w:r w:rsidR="0082336A" w:rsidRPr="00B23721">
        <w:rPr>
          <w:szCs w:val="22"/>
        </w:rPr>
        <w:t>(i</w:t>
      </w:r>
      <w:r w:rsidR="00AC3393">
        <w:rPr>
          <w:szCs w:val="22"/>
        </w:rPr>
        <w:t>.</w:t>
      </w:r>
      <w:r w:rsidR="0082336A" w:rsidRPr="00B23721">
        <w:rPr>
          <w:szCs w:val="22"/>
        </w:rPr>
        <w:t>e</w:t>
      </w:r>
      <w:r w:rsidR="00AC3393">
        <w:rPr>
          <w:szCs w:val="22"/>
        </w:rPr>
        <w:t>.</w:t>
      </w:r>
      <w:r w:rsidR="0082336A" w:rsidRPr="00B23721">
        <w:rPr>
          <w:szCs w:val="22"/>
        </w:rPr>
        <w:t xml:space="preserve"> median time trial subjects were observed in CA209-017) </w:t>
      </w:r>
      <w:r w:rsidR="00C82992" w:rsidRPr="00B23721">
        <w:rPr>
          <w:szCs w:val="22"/>
        </w:rPr>
        <w:t>and the end of available Kaplan-Meier curves were used in sensitivity analyses.</w:t>
      </w:r>
    </w:p>
    <w:p w:rsidR="00B02364" w:rsidRPr="00BB496C" w:rsidRDefault="00B02364" w:rsidP="00B02364">
      <w:pPr>
        <w:rPr>
          <w:szCs w:val="22"/>
        </w:rPr>
      </w:pPr>
    </w:p>
    <w:p w:rsidR="00B02364" w:rsidRPr="00B02364" w:rsidRDefault="00B02364" w:rsidP="0082336A">
      <w:pPr>
        <w:pStyle w:val="ListParagraph"/>
        <w:widowControl/>
        <w:numPr>
          <w:ilvl w:val="1"/>
          <w:numId w:val="4"/>
        </w:numPr>
        <w:snapToGrid w:val="0"/>
        <w:rPr>
          <w:szCs w:val="22"/>
        </w:rPr>
      </w:pPr>
      <w:r w:rsidRPr="00B02364">
        <w:rPr>
          <w:szCs w:val="22"/>
        </w:rPr>
        <w:t>The re-submission assumed that, after the point of extrapolation, the PFS and OS curves would follow the chosen parametric function continually until Year 5, with convergence of survival curves occurring from 5 years to the end of the time horizon at 7.5 years. Th</w:t>
      </w:r>
      <w:r w:rsidR="00BB496C">
        <w:rPr>
          <w:szCs w:val="22"/>
        </w:rPr>
        <w:t xml:space="preserve">e </w:t>
      </w:r>
      <w:r w:rsidR="00055C7E">
        <w:rPr>
          <w:szCs w:val="22"/>
        </w:rPr>
        <w:t>ES</w:t>
      </w:r>
      <w:r w:rsidR="00BB496C">
        <w:rPr>
          <w:szCs w:val="22"/>
        </w:rPr>
        <w:t>C considered that th</w:t>
      </w:r>
      <w:r w:rsidRPr="00B02364">
        <w:rPr>
          <w:szCs w:val="22"/>
        </w:rPr>
        <w:t xml:space="preserve">is assumption </w:t>
      </w:r>
      <w:r w:rsidR="00BB496C">
        <w:rPr>
          <w:szCs w:val="22"/>
        </w:rPr>
        <w:t>w</w:t>
      </w:r>
      <w:r w:rsidRPr="00B02364">
        <w:rPr>
          <w:szCs w:val="22"/>
        </w:rPr>
        <w:t>as not adequately justified given the absence of robust longer-term survival data beyond 2 years for the proposed PBS population.</w:t>
      </w:r>
    </w:p>
    <w:p w:rsidR="00C82992" w:rsidRPr="00B23721" w:rsidRDefault="00C82992" w:rsidP="00C82992">
      <w:pPr>
        <w:widowControl/>
        <w:rPr>
          <w:szCs w:val="22"/>
        </w:rPr>
      </w:pPr>
    </w:p>
    <w:p w:rsidR="0055608E" w:rsidRPr="00405347" w:rsidRDefault="002E742D" w:rsidP="0055608E">
      <w:pPr>
        <w:pStyle w:val="ListParagraph"/>
        <w:widowControl/>
        <w:numPr>
          <w:ilvl w:val="1"/>
          <w:numId w:val="4"/>
        </w:numPr>
        <w:snapToGrid w:val="0"/>
        <w:rPr>
          <w:szCs w:val="22"/>
        </w:rPr>
      </w:pPr>
      <w:r w:rsidRPr="00B23721">
        <w:rPr>
          <w:szCs w:val="22"/>
        </w:rPr>
        <w:t>A</w:t>
      </w:r>
      <w:r w:rsidR="003B1209" w:rsidRPr="00B23721">
        <w:rPr>
          <w:szCs w:val="22"/>
        </w:rPr>
        <w:t xml:space="preserve">s </w:t>
      </w:r>
      <w:r w:rsidRPr="00B23721">
        <w:rPr>
          <w:szCs w:val="22"/>
        </w:rPr>
        <w:t xml:space="preserve">in </w:t>
      </w:r>
      <w:r w:rsidR="003B1209" w:rsidRPr="00B23721">
        <w:rPr>
          <w:szCs w:val="22"/>
        </w:rPr>
        <w:t xml:space="preserve">the original submission, the re-submission </w:t>
      </w:r>
      <w:r w:rsidR="003B1209" w:rsidRPr="00B23721">
        <w:t>chose log-logistic parametric distributions for extrapolation of both OS and PFS in both arms.</w:t>
      </w:r>
      <w:r w:rsidR="003B1209" w:rsidRPr="00B23721">
        <w:rPr>
          <w:szCs w:val="22"/>
        </w:rPr>
        <w:t xml:space="preserve"> At the March 2016 PBAC meeting, the Committee</w:t>
      </w:r>
      <w:r w:rsidR="003B1209" w:rsidRPr="00B23721">
        <w:t xml:space="preserve"> noted the concern raised by the Commentary that the extrapolation using log-logistic models was more optimistic than that using Weibull models in predicting OS and PFS for both treatment arms. The ESC stated that the use of Weibull </w:t>
      </w:r>
      <w:r w:rsidR="003B1209" w:rsidRPr="00405347">
        <w:t>function for extrapolation would have been more conservative (</w:t>
      </w:r>
      <w:r w:rsidR="003B1209" w:rsidRPr="00405347">
        <w:rPr>
          <w:lang w:eastAsia="ja-JP"/>
        </w:rPr>
        <w:t>paragraph 6.24, 5.06 nivolumab PSD, March 2016 PBAC Meeting)</w:t>
      </w:r>
      <w:r w:rsidR="003B1209" w:rsidRPr="00405347">
        <w:t>.</w:t>
      </w:r>
      <w:r w:rsidR="0055608E" w:rsidRPr="00405347">
        <w:t xml:space="preserve"> The PSCR (p.2) asserted </w:t>
      </w:r>
      <w:r w:rsidR="0055608E" w:rsidRPr="00405347">
        <w:rPr>
          <w:szCs w:val="22"/>
        </w:rPr>
        <w:t>that the log-logistic method of extrapolation is a more appropriate method of long-term extrapolation for immunotherapy agents than the Weibull distributions, due to the following reasons:</w:t>
      </w:r>
    </w:p>
    <w:p w:rsidR="003B1209" w:rsidRPr="00405347" w:rsidRDefault="0055608E" w:rsidP="0055608E">
      <w:pPr>
        <w:pStyle w:val="ListParagraph"/>
        <w:widowControl/>
        <w:numPr>
          <w:ilvl w:val="0"/>
          <w:numId w:val="32"/>
        </w:numPr>
        <w:snapToGrid w:val="0"/>
        <w:rPr>
          <w:szCs w:val="22"/>
        </w:rPr>
      </w:pPr>
      <w:r w:rsidRPr="00405347">
        <w:rPr>
          <w:szCs w:val="22"/>
        </w:rPr>
        <w:t>visual inspection of the curves indicate that log-logistic curves are of better fit than the Weibull curves. The ESC disagreed with this observation</w:t>
      </w:r>
      <w:r w:rsidR="004443B6" w:rsidRPr="00405347">
        <w:rPr>
          <w:szCs w:val="22"/>
        </w:rPr>
        <w:t>, especially with</w:t>
      </w:r>
      <w:r w:rsidR="002B0668" w:rsidRPr="00405347">
        <w:rPr>
          <w:szCs w:val="22"/>
        </w:rPr>
        <w:t xml:space="preserve"> regard to the OS curves</w:t>
      </w:r>
      <w:r w:rsidR="00DB1CCC" w:rsidRPr="00405347">
        <w:rPr>
          <w:szCs w:val="22"/>
        </w:rPr>
        <w:t xml:space="preserve"> (see Figure 2) and noted that a similar graph of curves for the extended follow-up to the February 2016 database lock had not been presented</w:t>
      </w:r>
      <w:r w:rsidRPr="00405347">
        <w:rPr>
          <w:szCs w:val="22"/>
        </w:rPr>
        <w:t>.</w:t>
      </w:r>
    </w:p>
    <w:p w:rsidR="0055608E" w:rsidRPr="00405347" w:rsidRDefault="002157B3" w:rsidP="0055608E">
      <w:pPr>
        <w:pStyle w:val="ListParagraph"/>
        <w:widowControl/>
        <w:numPr>
          <w:ilvl w:val="0"/>
          <w:numId w:val="32"/>
        </w:numPr>
        <w:snapToGrid w:val="0"/>
        <w:rPr>
          <w:szCs w:val="22"/>
        </w:rPr>
      </w:pPr>
      <w:r w:rsidRPr="00405347">
        <w:rPr>
          <w:szCs w:val="22"/>
        </w:rPr>
        <w:t>t</w:t>
      </w:r>
      <w:r w:rsidR="0055608E" w:rsidRPr="00405347">
        <w:rPr>
          <w:szCs w:val="22"/>
        </w:rPr>
        <w:t xml:space="preserve">he AIC for the log-logistic curves indicate that they are more appropriate to use than Weibull curves for both nivolumab and docetaxel. </w:t>
      </w:r>
      <w:r w:rsidR="009F19B1" w:rsidRPr="00405347">
        <w:rPr>
          <w:szCs w:val="22"/>
        </w:rPr>
        <w:t xml:space="preserve">The ESC noted that the reported AICs </w:t>
      </w:r>
      <w:r w:rsidR="009B43CC" w:rsidRPr="00405347">
        <w:rPr>
          <w:szCs w:val="22"/>
        </w:rPr>
        <w:t>could not be located</w:t>
      </w:r>
      <w:r w:rsidR="009F19B1" w:rsidRPr="00405347">
        <w:rPr>
          <w:szCs w:val="22"/>
        </w:rPr>
        <w:t xml:space="preserve"> in the </w:t>
      </w:r>
      <w:r w:rsidR="009B43CC" w:rsidRPr="00405347">
        <w:rPr>
          <w:szCs w:val="22"/>
        </w:rPr>
        <w:t>re</w:t>
      </w:r>
      <w:r w:rsidR="009F19B1" w:rsidRPr="00405347">
        <w:rPr>
          <w:szCs w:val="22"/>
        </w:rPr>
        <w:t>submission</w:t>
      </w:r>
      <w:r w:rsidR="00DB1CCC" w:rsidRPr="00405347">
        <w:rPr>
          <w:szCs w:val="22"/>
        </w:rPr>
        <w:t xml:space="preserve"> and were also not reported for the extended follow-up to the February 2016 database lock.</w:t>
      </w:r>
    </w:p>
    <w:p w:rsidR="00E3360D" w:rsidRPr="00405347" w:rsidRDefault="00533BA1" w:rsidP="0055608E">
      <w:pPr>
        <w:pStyle w:val="ListParagraph"/>
        <w:widowControl/>
        <w:numPr>
          <w:ilvl w:val="0"/>
          <w:numId w:val="32"/>
        </w:numPr>
        <w:snapToGrid w:val="0"/>
        <w:rPr>
          <w:szCs w:val="22"/>
        </w:rPr>
      </w:pPr>
      <w:r w:rsidRPr="00405347">
        <w:rPr>
          <w:szCs w:val="22"/>
        </w:rPr>
        <w:t>l</w:t>
      </w:r>
      <w:r w:rsidR="00E3360D" w:rsidRPr="00405347">
        <w:rPr>
          <w:szCs w:val="22"/>
        </w:rPr>
        <w:t>ong</w:t>
      </w:r>
      <w:r w:rsidRPr="00405347">
        <w:rPr>
          <w:szCs w:val="22"/>
        </w:rPr>
        <w:t>-</w:t>
      </w:r>
      <w:r w:rsidR="00E3360D" w:rsidRPr="00405347">
        <w:rPr>
          <w:szCs w:val="22"/>
        </w:rPr>
        <w:t>term data available for OS in CA209-017 and CA209-003 is better represented by the log-logistic curves than Weibull curves.</w:t>
      </w:r>
    </w:p>
    <w:p w:rsidR="002F18B9" w:rsidRPr="00405347" w:rsidRDefault="002157B3" w:rsidP="0055608E">
      <w:pPr>
        <w:pStyle w:val="ListParagraph"/>
        <w:widowControl/>
        <w:numPr>
          <w:ilvl w:val="0"/>
          <w:numId w:val="32"/>
        </w:numPr>
        <w:snapToGrid w:val="0"/>
        <w:rPr>
          <w:szCs w:val="22"/>
        </w:rPr>
      </w:pPr>
      <w:r w:rsidRPr="00405347">
        <w:rPr>
          <w:szCs w:val="22"/>
        </w:rPr>
        <w:t>t</w:t>
      </w:r>
      <w:r w:rsidR="002F18B9" w:rsidRPr="00405347">
        <w:rPr>
          <w:szCs w:val="22"/>
        </w:rPr>
        <w:t>he Weibull distribution does not allow for non-zero hazards, contrary to the sharp initial decline observed for immune-oncology agents.</w:t>
      </w:r>
      <w:r w:rsidR="00DB1CCC" w:rsidRPr="00405347">
        <w:rPr>
          <w:szCs w:val="22"/>
        </w:rPr>
        <w:t xml:space="preserve"> The ESC considered that the purpose of adopting a curve of best fit against the available evidence is to project these curves beyond the available evidence to inform the extrapolation. Accordingly </w:t>
      </w:r>
      <w:r w:rsidR="003A3A2E" w:rsidRPr="00405347">
        <w:rPr>
          <w:szCs w:val="22"/>
        </w:rPr>
        <w:t xml:space="preserve">less </w:t>
      </w:r>
      <w:r w:rsidR="00DB1CCC" w:rsidRPr="00405347">
        <w:rPr>
          <w:szCs w:val="22"/>
        </w:rPr>
        <w:t xml:space="preserve">weight should be given to </w:t>
      </w:r>
      <w:r w:rsidR="003A3A2E" w:rsidRPr="00405347">
        <w:rPr>
          <w:szCs w:val="22"/>
        </w:rPr>
        <w:t xml:space="preserve">the early shape of the curve representing </w:t>
      </w:r>
      <w:r w:rsidR="00DB1CCC" w:rsidRPr="00405347">
        <w:rPr>
          <w:szCs w:val="22"/>
        </w:rPr>
        <w:t xml:space="preserve">the </w:t>
      </w:r>
      <w:r w:rsidR="003A3A2E" w:rsidRPr="00405347">
        <w:rPr>
          <w:szCs w:val="22"/>
        </w:rPr>
        <w:t>sharp initial decline.</w:t>
      </w:r>
    </w:p>
    <w:p w:rsidR="00714C8A" w:rsidRPr="00405347" w:rsidRDefault="003A3A2E" w:rsidP="00715FA6">
      <w:pPr>
        <w:ind w:left="720"/>
        <w:rPr>
          <w:szCs w:val="22"/>
        </w:rPr>
      </w:pPr>
      <w:r w:rsidRPr="00405347">
        <w:rPr>
          <w:szCs w:val="22"/>
        </w:rPr>
        <w:t>Overall, t</w:t>
      </w:r>
      <w:r w:rsidR="00714C8A" w:rsidRPr="00405347">
        <w:rPr>
          <w:szCs w:val="22"/>
        </w:rPr>
        <w:t>he ESC maintained its previous view that the Weibull model function would be the preferred method of extrapolation</w:t>
      </w:r>
      <w:r w:rsidR="00686EC8" w:rsidRPr="00405347">
        <w:rPr>
          <w:szCs w:val="22"/>
        </w:rPr>
        <w:t xml:space="preserve"> for both treatment arms</w:t>
      </w:r>
      <w:r w:rsidR="00714C8A" w:rsidRPr="00405347">
        <w:rPr>
          <w:szCs w:val="22"/>
        </w:rPr>
        <w:t>.</w:t>
      </w:r>
    </w:p>
    <w:p w:rsidR="00895F2F" w:rsidRPr="003A3A2E" w:rsidRDefault="00895F2F" w:rsidP="003A3A2E">
      <w:pPr>
        <w:rPr>
          <w:szCs w:val="22"/>
        </w:rPr>
      </w:pPr>
    </w:p>
    <w:p w:rsidR="00200C14" w:rsidRDefault="00200C14">
      <w:pPr>
        <w:widowControl/>
        <w:jc w:val="left"/>
        <w:rPr>
          <w:rFonts w:ascii="Arial Narrow" w:hAnsi="Arial Narrow"/>
          <w:b/>
          <w:sz w:val="20"/>
          <w:szCs w:val="22"/>
        </w:rPr>
      </w:pPr>
      <w:r>
        <w:rPr>
          <w:rFonts w:ascii="Arial Narrow" w:hAnsi="Arial Narrow"/>
          <w:b/>
          <w:sz w:val="20"/>
          <w:szCs w:val="22"/>
        </w:rPr>
        <w:br w:type="page"/>
      </w:r>
    </w:p>
    <w:p w:rsidR="00895F2F" w:rsidRPr="00405347" w:rsidRDefault="00895F2F" w:rsidP="00715FA6">
      <w:pPr>
        <w:ind w:left="720"/>
        <w:rPr>
          <w:rFonts w:ascii="Arial Narrow" w:hAnsi="Arial Narrow"/>
          <w:b/>
          <w:sz w:val="20"/>
          <w:szCs w:val="22"/>
        </w:rPr>
      </w:pPr>
      <w:r w:rsidRPr="00405347">
        <w:rPr>
          <w:rFonts w:ascii="Arial Narrow" w:hAnsi="Arial Narrow"/>
          <w:b/>
          <w:sz w:val="20"/>
          <w:szCs w:val="22"/>
        </w:rPr>
        <w:lastRenderedPageBreak/>
        <w:t>Figure 2: Overall survival extrapolation models</w:t>
      </w:r>
    </w:p>
    <w:p w:rsidR="00895F2F" w:rsidRPr="002C66FF" w:rsidRDefault="00895F2F" w:rsidP="00895F2F">
      <w:pPr>
        <w:ind w:left="709"/>
      </w:pPr>
      <w:r w:rsidRPr="002C66FF">
        <w:rPr>
          <w:noProof/>
          <w:lang w:eastAsia="en-AU"/>
        </w:rPr>
        <w:drawing>
          <wp:inline distT="0" distB="0" distL="0" distR="0" wp14:anchorId="7B0BA011" wp14:editId="0808B6B9">
            <wp:extent cx="5041900" cy="3371850"/>
            <wp:effectExtent l="0" t="0" r="6350" b="0"/>
            <wp:docPr id="10" name="Picture 10" descr="Figure 2: Overall survival extrapolation models" title="Figure 2: Overall survival extrapolation 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0" cy="3371850"/>
                    </a:xfrm>
                    <a:prstGeom prst="rect">
                      <a:avLst/>
                    </a:prstGeom>
                    <a:noFill/>
                  </pic:spPr>
                </pic:pic>
              </a:graphicData>
            </a:graphic>
          </wp:inline>
        </w:drawing>
      </w:r>
    </w:p>
    <w:p w:rsidR="00895F2F" w:rsidRPr="00405347" w:rsidRDefault="00895F2F" w:rsidP="00895F2F">
      <w:pPr>
        <w:ind w:firstLine="709"/>
        <w:rPr>
          <w:rFonts w:ascii="Arial Narrow" w:hAnsi="Arial Narrow"/>
          <w:sz w:val="18"/>
        </w:rPr>
      </w:pPr>
      <w:r w:rsidRPr="00405347">
        <w:rPr>
          <w:rFonts w:ascii="Arial Narrow" w:hAnsi="Arial Narrow"/>
          <w:sz w:val="18"/>
        </w:rPr>
        <w:t>IPD = individual patient data</w:t>
      </w:r>
    </w:p>
    <w:p w:rsidR="00895F2F" w:rsidRPr="00405347" w:rsidRDefault="00895F2F" w:rsidP="00895F2F">
      <w:pPr>
        <w:ind w:firstLine="709"/>
        <w:rPr>
          <w:rFonts w:ascii="Arial Narrow" w:hAnsi="Arial Narrow"/>
          <w:sz w:val="18"/>
        </w:rPr>
      </w:pPr>
      <w:r w:rsidRPr="00405347">
        <w:rPr>
          <w:rFonts w:ascii="Arial Narrow" w:hAnsi="Arial Narrow"/>
          <w:sz w:val="18"/>
        </w:rPr>
        <w:t>Note: IPD from trial CA209-017 at the August 2015 database lock (18 months minimum follow-up)</w:t>
      </w:r>
    </w:p>
    <w:p w:rsidR="00895F2F" w:rsidRPr="00405347" w:rsidRDefault="00895F2F" w:rsidP="00471344">
      <w:pPr>
        <w:ind w:firstLine="709"/>
        <w:rPr>
          <w:rFonts w:ascii="Arial Narrow" w:hAnsi="Arial Narrow"/>
          <w:sz w:val="18"/>
        </w:rPr>
      </w:pPr>
      <w:r w:rsidRPr="00405347">
        <w:rPr>
          <w:rFonts w:ascii="Arial Narrow" w:hAnsi="Arial Narrow"/>
          <w:sz w:val="18"/>
        </w:rPr>
        <w:t>Source: Graph constructed during the evaluation (Figure C.2.2.1 of the Commentary)</w:t>
      </w:r>
    </w:p>
    <w:p w:rsidR="00C82992" w:rsidRPr="00B23721" w:rsidRDefault="00C82992" w:rsidP="00C82992">
      <w:pPr>
        <w:rPr>
          <w:szCs w:val="22"/>
        </w:rPr>
      </w:pPr>
    </w:p>
    <w:p w:rsidR="00C82992" w:rsidRPr="008A1E82" w:rsidRDefault="00C82992" w:rsidP="00C82992">
      <w:pPr>
        <w:pStyle w:val="ListParagraph"/>
        <w:numPr>
          <w:ilvl w:val="1"/>
          <w:numId w:val="4"/>
        </w:numPr>
        <w:snapToGrid w:val="0"/>
        <w:ind w:right="56"/>
      </w:pPr>
      <w:r w:rsidRPr="00B23721">
        <w:t xml:space="preserve">A time horizon of 7.5 years was used in the base case of the model, in comparison with a 10-year time horizon in the original submission. The PBAC considered that a 5-year time horizon was </w:t>
      </w:r>
      <w:r w:rsidR="00667D1B" w:rsidRPr="00B23721">
        <w:t xml:space="preserve">more </w:t>
      </w:r>
      <w:r w:rsidR="00667D1B" w:rsidRPr="00405347">
        <w:t>appropriate (paragraph 7.9, 5.</w:t>
      </w:r>
      <w:r w:rsidR="001D48CF" w:rsidRPr="00405347">
        <w:t>0</w:t>
      </w:r>
      <w:r w:rsidR="00667D1B" w:rsidRPr="00405347">
        <w:t>6</w:t>
      </w:r>
      <w:r w:rsidRPr="00405347">
        <w:t xml:space="preserve"> nivolumab PSD, March 2016 PBAC meeting).</w:t>
      </w:r>
      <w:r w:rsidR="00B6339D" w:rsidRPr="00405347">
        <w:t xml:space="preserve"> The PSCR (p</w:t>
      </w:r>
      <w:r w:rsidR="003A3A2E" w:rsidRPr="00405347">
        <w:t>.</w:t>
      </w:r>
      <w:r w:rsidR="00D1574C" w:rsidRPr="00405347">
        <w:t>2</w:t>
      </w:r>
      <w:r w:rsidR="003A3A2E" w:rsidRPr="00405347">
        <w:t>,3</w:t>
      </w:r>
      <w:r w:rsidR="00D1574C" w:rsidRPr="00405347">
        <w:t xml:space="preserve">) </w:t>
      </w:r>
      <w:r w:rsidR="00FF3057" w:rsidRPr="00405347">
        <w:t xml:space="preserve">argued that </w:t>
      </w:r>
      <w:r w:rsidR="00654596" w:rsidRPr="00405347">
        <w:t>the data provided in the resubmission support</w:t>
      </w:r>
      <w:r w:rsidR="00890B89" w:rsidRPr="00405347">
        <w:t>ed</w:t>
      </w:r>
      <w:r w:rsidR="00654596" w:rsidRPr="00405347">
        <w:t xml:space="preserve"> use of a longer time horizon and that the resubmission </w:t>
      </w:r>
      <w:r w:rsidR="003A3A2E" w:rsidRPr="00405347">
        <w:t>“</w:t>
      </w:r>
      <w:r w:rsidR="00654596" w:rsidRPr="00405347">
        <w:t xml:space="preserve">had already reduced the time horizon from 10 years to 7.5 </w:t>
      </w:r>
      <w:r w:rsidR="003A3A2E" w:rsidRPr="00405347">
        <w:t>with convergence in an attempt to meet the PBAC halfway”</w:t>
      </w:r>
      <w:r w:rsidR="00654596" w:rsidRPr="00405347">
        <w:t xml:space="preserve">. </w:t>
      </w:r>
      <w:r w:rsidR="00185979" w:rsidRPr="00405347">
        <w:t>A</w:t>
      </w:r>
      <w:r w:rsidR="007E24FB" w:rsidRPr="00405347">
        <w:t>t</w:t>
      </w:r>
      <w:r w:rsidR="00116652" w:rsidRPr="00405347">
        <w:t xml:space="preserve"> its March 2016 meeting, the PBAC noted that the age of the trial population may not be representative of the </w:t>
      </w:r>
      <w:r w:rsidR="007E24FB" w:rsidRPr="00405347">
        <w:t xml:space="preserve">eligible </w:t>
      </w:r>
      <w:r w:rsidR="00116652" w:rsidRPr="00405347">
        <w:t>Australian population,</w:t>
      </w:r>
      <w:r w:rsidR="007E24FB" w:rsidRPr="00405347">
        <w:t xml:space="preserve"> which was likely to be older</w:t>
      </w:r>
      <w:r w:rsidR="00ED2F3C" w:rsidRPr="00405347">
        <w:t xml:space="preserve">, and therefore the extent of overall survival gain would be less (see Figure </w:t>
      </w:r>
      <w:r w:rsidR="00547A39" w:rsidRPr="00405347">
        <w:t>3</w:t>
      </w:r>
      <w:r w:rsidR="00ED2F3C" w:rsidRPr="00405347">
        <w:t>)</w:t>
      </w:r>
      <w:r w:rsidR="00185979" w:rsidRPr="00405347">
        <w:t>. T</w:t>
      </w:r>
      <w:r w:rsidR="006A1941" w:rsidRPr="00405347">
        <w:t>he ESC</w:t>
      </w:r>
      <w:r w:rsidR="00185979" w:rsidRPr="00405347">
        <w:t xml:space="preserve"> considered that this would also suggest</w:t>
      </w:r>
      <w:r w:rsidR="006A1941" w:rsidRPr="00405347">
        <w:t xml:space="preserve"> that 5 years was a more appropriate time horizon.</w:t>
      </w:r>
    </w:p>
    <w:p w:rsidR="003568EF" w:rsidRDefault="003568EF" w:rsidP="008A1E82"/>
    <w:p w:rsidR="003568EF" w:rsidRPr="00405347" w:rsidRDefault="00A4462E" w:rsidP="00130CB7">
      <w:pPr>
        <w:ind w:firstLine="720"/>
        <w:rPr>
          <w:rFonts w:ascii="Arial Narrow" w:hAnsi="Arial Narrow"/>
          <w:b/>
          <w:sz w:val="20"/>
          <w:szCs w:val="22"/>
        </w:rPr>
      </w:pPr>
      <w:r>
        <w:rPr>
          <w:noProof/>
          <w:snapToGrid/>
          <w:lang w:eastAsia="en-AU"/>
        </w:rPr>
        <w:t>QALY</w:t>
      </w:r>
      <w:r w:rsidR="00ED2F3C" w:rsidRPr="00405347">
        <w:rPr>
          <w:rFonts w:ascii="Arial Narrow" w:hAnsi="Arial Narrow"/>
          <w:b/>
          <w:sz w:val="20"/>
          <w:szCs w:val="22"/>
        </w:rPr>
        <w:t xml:space="preserve">Figure </w:t>
      </w:r>
      <w:r w:rsidR="00547A39" w:rsidRPr="00405347">
        <w:rPr>
          <w:rFonts w:ascii="Arial Narrow" w:hAnsi="Arial Narrow"/>
          <w:b/>
          <w:sz w:val="20"/>
          <w:szCs w:val="22"/>
        </w:rPr>
        <w:t>3</w:t>
      </w:r>
      <w:r w:rsidR="00ED2F3C" w:rsidRPr="00405347">
        <w:rPr>
          <w:rFonts w:ascii="Arial Narrow" w:hAnsi="Arial Narrow"/>
          <w:b/>
          <w:sz w:val="20"/>
          <w:szCs w:val="22"/>
        </w:rPr>
        <w:t>: Results of prespecified subgroup analyses of CA209-017, including age</w:t>
      </w:r>
    </w:p>
    <w:p w:rsidR="003568EF" w:rsidRDefault="003568EF" w:rsidP="008A1E82"/>
    <w:p w:rsidR="00547A39" w:rsidRPr="00405347" w:rsidRDefault="00547A39" w:rsidP="00130CB7">
      <w:pPr>
        <w:ind w:firstLine="720"/>
      </w:pPr>
      <w:r w:rsidRPr="00405347">
        <w:rPr>
          <w:rFonts w:ascii="Arial Narrow" w:hAnsi="Arial Narrow"/>
          <w:sz w:val="18"/>
        </w:rPr>
        <w:t xml:space="preserve">Source: Figure S2 </w:t>
      </w:r>
      <w:r w:rsidR="00387216" w:rsidRPr="00405347">
        <w:rPr>
          <w:rFonts w:ascii="Arial Narrow" w:hAnsi="Arial Narrow"/>
          <w:sz w:val="18"/>
        </w:rPr>
        <w:t xml:space="preserve">of </w:t>
      </w:r>
      <w:r w:rsidR="00DC4DA7" w:rsidRPr="00405347">
        <w:rPr>
          <w:rFonts w:ascii="Arial Narrow" w:hAnsi="Arial Narrow"/>
          <w:sz w:val="18"/>
        </w:rPr>
        <w:t>S</w:t>
      </w:r>
      <w:r w:rsidRPr="00405347">
        <w:rPr>
          <w:rFonts w:ascii="Arial Narrow" w:hAnsi="Arial Narrow"/>
          <w:sz w:val="18"/>
        </w:rPr>
        <w:t>upplement</w:t>
      </w:r>
      <w:r w:rsidR="00DC4DA7" w:rsidRPr="00405347">
        <w:rPr>
          <w:rFonts w:ascii="Arial Narrow" w:hAnsi="Arial Narrow"/>
          <w:sz w:val="18"/>
        </w:rPr>
        <w:t>ary Appendix</w:t>
      </w:r>
      <w:r w:rsidRPr="00405347">
        <w:rPr>
          <w:rFonts w:ascii="Arial Narrow" w:hAnsi="Arial Narrow"/>
          <w:sz w:val="18"/>
        </w:rPr>
        <w:t xml:space="preserve"> to: Brahmer J, et al. N Engl J Med 2015;373:123-35.</w:t>
      </w:r>
    </w:p>
    <w:p w:rsidR="00547A39" w:rsidRDefault="00547A39" w:rsidP="008A1E82"/>
    <w:p w:rsidR="00654596" w:rsidRPr="00405347" w:rsidRDefault="00654596" w:rsidP="00C82992">
      <w:pPr>
        <w:pStyle w:val="ListParagraph"/>
        <w:numPr>
          <w:ilvl w:val="1"/>
          <w:numId w:val="4"/>
        </w:numPr>
        <w:snapToGrid w:val="0"/>
        <w:ind w:right="56"/>
      </w:pPr>
      <w:r w:rsidRPr="00405347">
        <w:t xml:space="preserve">The ESC advised that if </w:t>
      </w:r>
      <w:r w:rsidR="00890B89" w:rsidRPr="00405347">
        <w:t>the</w:t>
      </w:r>
      <w:r w:rsidRPr="00405347">
        <w:t xml:space="preserve"> Weibull extrapolation was used, it would likely mitigate some of the issues regarding the time horizon as the</w:t>
      </w:r>
      <w:r w:rsidR="003A3A2E" w:rsidRPr="00405347">
        <w:t>se</w:t>
      </w:r>
      <w:r w:rsidRPr="00405347">
        <w:t xml:space="preserve"> curves converge at around 5 years.</w:t>
      </w:r>
    </w:p>
    <w:p w:rsidR="008A1E82" w:rsidRPr="00B23721" w:rsidRDefault="008A1E82" w:rsidP="008A1E82">
      <w:pPr>
        <w:rPr>
          <w:szCs w:val="22"/>
        </w:rPr>
      </w:pPr>
    </w:p>
    <w:p w:rsidR="008A1E82" w:rsidRPr="00B23721" w:rsidRDefault="008A1E82" w:rsidP="008A1E82">
      <w:pPr>
        <w:pStyle w:val="ListParagraph"/>
        <w:widowControl/>
        <w:numPr>
          <w:ilvl w:val="1"/>
          <w:numId w:val="4"/>
        </w:numPr>
        <w:snapToGrid w:val="0"/>
        <w:rPr>
          <w:szCs w:val="22"/>
        </w:rPr>
      </w:pPr>
      <w:r w:rsidRPr="00B23721">
        <w:t xml:space="preserve">The re-submission updated the average duration of therapy for nivolumab, which was </w:t>
      </w:r>
      <w:r w:rsidR="00BF699F">
        <w:rPr>
          <w:noProof/>
          <w:color w:val="000000"/>
          <w:highlight w:val="black"/>
        </w:rPr>
        <w:t>'''''''''''''</w:t>
      </w:r>
      <w:r w:rsidRPr="00B23721">
        <w:t xml:space="preserve"> infusions, based on the 2-year minimum follow-up data of CA209-017. At the 2-year analysis in CA209-017, 8% (10/131) of subjects were continuing nivolumab treatment, compared with 0% (0/129) in the docetaxel arm. Given that the model extrapolated health outcomes beyond the trial period, the treatment duration for nivolumab should have been extrapolated correspondingly. Using trial-based (i.e. </w:t>
      </w:r>
      <w:r w:rsidRPr="00B23721">
        <w:lastRenderedPageBreak/>
        <w:t>truncated) treatment durations underestimated the costs of nivolumab, but not of docetaxel, and biased the results of economic evaluatio</w:t>
      </w:r>
      <w:r w:rsidRPr="00405347">
        <w:t>n in favour of nivolumab.</w:t>
      </w:r>
      <w:r w:rsidR="00715FA6" w:rsidRPr="00405347">
        <w:t xml:space="preserve"> The ESC considered, as previously, that if the model extrapolates health outcomes to the end of the time horizon, then it should also extrapolate the corresponding costs of treatment linked to those health outcomes.</w:t>
      </w:r>
    </w:p>
    <w:p w:rsidR="00C82992" w:rsidRPr="00B23721" w:rsidRDefault="00C82992" w:rsidP="00C82992"/>
    <w:p w:rsidR="00C82992" w:rsidRPr="00B23721" w:rsidRDefault="00C84A57" w:rsidP="001E6421">
      <w:pPr>
        <w:pStyle w:val="ListParagraph"/>
        <w:numPr>
          <w:ilvl w:val="1"/>
          <w:numId w:val="4"/>
        </w:numPr>
        <w:snapToGrid w:val="0"/>
        <w:ind w:right="56"/>
      </w:pPr>
      <w:r w:rsidRPr="00B23721">
        <w:t xml:space="preserve">The re-submission assumed that patients treated with nivolumab would require 60% of the health care resources of those treated with docetaxel, based on opinion from eight members of the sponsor’s Advisory Board. The representativeness of the expert opinion was uncertain. </w:t>
      </w:r>
      <w:r w:rsidR="00AB064F" w:rsidRPr="00B23721">
        <w:t>T</w:t>
      </w:r>
      <w:r w:rsidRPr="00B23721">
        <w:t xml:space="preserve">he cost reduction associated with pre-progression disease management in the nivolumab arm compared with the docetaxel arm </w:t>
      </w:r>
      <w:r w:rsidR="00AB064F" w:rsidRPr="00B23721">
        <w:t>was likely to be</w:t>
      </w:r>
      <w:r w:rsidRPr="00B23721">
        <w:t xml:space="preserve"> overestimated (favouring nivolumab). The previous submission assumed that patients treated with nivolumab would require 80% of the health care resources of those treated with docetaxel. The </w:t>
      </w:r>
      <w:r w:rsidR="001E6421" w:rsidRPr="00B23721">
        <w:t>PBAC noted that relying on only one clinician’s opinion in deciding the pre-progression resource use in the nivolumab arm was inappropriate and favoured nivolumab</w:t>
      </w:r>
      <w:r w:rsidRPr="00B23721">
        <w:t xml:space="preserve"> (paragraph 6.27, 5.06 nivolumab PSD, March 2016 PBAC meeting</w:t>
      </w:r>
      <w:r w:rsidRPr="00405347">
        <w:t>).</w:t>
      </w:r>
      <w:r w:rsidR="001E1250" w:rsidRPr="00405347">
        <w:t xml:space="preserve"> The PSCR (p.3) asserted that the Advisory Board is a representative sample of clinicians and this assumption is reasonable</w:t>
      </w:r>
      <w:r w:rsidR="008A540E" w:rsidRPr="00405347">
        <w:t>, however t</w:t>
      </w:r>
      <w:r w:rsidR="001E1250" w:rsidRPr="00405347">
        <w:t xml:space="preserve">he ESC </w:t>
      </w:r>
      <w:r w:rsidR="008A540E" w:rsidRPr="00405347">
        <w:t>did not agree that this was</w:t>
      </w:r>
      <w:r w:rsidR="00423B4E" w:rsidRPr="00405347">
        <w:t xml:space="preserve"> adequately justified</w:t>
      </w:r>
      <w:r w:rsidR="008A540E" w:rsidRPr="00405347">
        <w:t xml:space="preserve">. Further, the ESC </w:t>
      </w:r>
      <w:r w:rsidR="00934DFE" w:rsidRPr="00405347">
        <w:t>considered</w:t>
      </w:r>
      <w:r w:rsidR="00423B4E" w:rsidRPr="00405347">
        <w:t xml:space="preserve"> that not all pre-progression costs related to adverse events</w:t>
      </w:r>
      <w:r w:rsidR="008A540E" w:rsidRPr="00405347">
        <w:t xml:space="preserve"> and that it was </w:t>
      </w:r>
      <w:r w:rsidR="00934DFE" w:rsidRPr="00405347">
        <w:t xml:space="preserve">therefore </w:t>
      </w:r>
      <w:r w:rsidR="008A540E" w:rsidRPr="00405347">
        <w:t xml:space="preserve">inappropriate to assume that the other health resource costs would reduce by the same </w:t>
      </w:r>
      <w:r w:rsidR="00934DFE" w:rsidRPr="00405347">
        <w:t>proportion</w:t>
      </w:r>
      <w:r w:rsidR="008A540E" w:rsidRPr="00405347">
        <w:t xml:space="preserve"> as the costs for management of adverse events</w:t>
      </w:r>
      <w:r w:rsidR="00423B4E" w:rsidRPr="00405347">
        <w:t>.</w:t>
      </w:r>
    </w:p>
    <w:p w:rsidR="000D2E22" w:rsidRPr="00B23721" w:rsidRDefault="000D2E22" w:rsidP="000D2E22"/>
    <w:p w:rsidR="000D2E22" w:rsidRPr="00B23721" w:rsidRDefault="000D2E22" w:rsidP="000D2E22">
      <w:pPr>
        <w:pStyle w:val="ListParagraph"/>
        <w:numPr>
          <w:ilvl w:val="1"/>
          <w:numId w:val="4"/>
        </w:numPr>
      </w:pPr>
      <w:r w:rsidRPr="00B23721">
        <w:t xml:space="preserve">Utilities applied in the revised economic model </w:t>
      </w:r>
      <w:r w:rsidR="002F59ED" w:rsidRPr="00B23721">
        <w:t xml:space="preserve">were derived from CA209-017 and </w:t>
      </w:r>
      <w:r w:rsidRPr="00B23721">
        <w:t>remained unchanged from the previous submission. At the March 2016 meeting, the PBAC noted that the sample of respondents to the European quality of life 5-dimensions 3-levels (EQ-5D-3L) questionnaires was small, especially at the later stages of the trial. The effect of a healthier cohort providing quality of life data (and sicker patients not responding) may be present and the utility values, particularly for progressive disease, may be overestimated.</w:t>
      </w:r>
    </w:p>
    <w:p w:rsidR="00C82992" w:rsidRPr="00B23721" w:rsidRDefault="00C82992" w:rsidP="00C82992">
      <w:pPr>
        <w:widowControl/>
        <w:rPr>
          <w:szCs w:val="22"/>
        </w:rPr>
      </w:pPr>
    </w:p>
    <w:p w:rsidR="00C82992" w:rsidRPr="00B23721" w:rsidRDefault="005C3102" w:rsidP="00C82992">
      <w:pPr>
        <w:pStyle w:val="ListParagraph"/>
        <w:widowControl/>
        <w:numPr>
          <w:ilvl w:val="1"/>
          <w:numId w:val="4"/>
        </w:numPr>
        <w:snapToGrid w:val="0"/>
        <w:rPr>
          <w:szCs w:val="22"/>
        </w:rPr>
      </w:pPr>
      <w:r w:rsidRPr="00B23721">
        <w:rPr>
          <w:szCs w:val="22"/>
        </w:rPr>
        <w:t xml:space="preserve">The results of the economic evaluation were revised during the evaluation, by incorporating </w:t>
      </w:r>
      <w:r w:rsidR="00231248">
        <w:rPr>
          <w:szCs w:val="22"/>
        </w:rPr>
        <w:t xml:space="preserve">the updated </w:t>
      </w:r>
      <w:r w:rsidRPr="00B23721">
        <w:rPr>
          <w:szCs w:val="22"/>
        </w:rPr>
        <w:t xml:space="preserve">Efficient Funding of Chemotherapy (EFC) fees. </w:t>
      </w:r>
      <w:r w:rsidR="00C82992" w:rsidRPr="00B23721">
        <w:t>The revised results of economic evaluation are summarised below.</w:t>
      </w:r>
    </w:p>
    <w:p w:rsidR="0079219B" w:rsidRPr="00B23721" w:rsidRDefault="0079219B">
      <w:pPr>
        <w:widowControl/>
        <w:jc w:val="left"/>
        <w:rPr>
          <w:b/>
          <w:sz w:val="20"/>
          <w:szCs w:val="16"/>
        </w:rPr>
      </w:pPr>
    </w:p>
    <w:p w:rsidR="00892F33" w:rsidRDefault="00892F33" w:rsidP="001B23CD">
      <w:pPr>
        <w:pStyle w:val="Caption"/>
        <w:keepNext/>
        <w:ind w:firstLine="720"/>
      </w:pPr>
      <w:r w:rsidRPr="009E7552">
        <w:rPr>
          <w:rFonts w:ascii="Arial Narrow" w:hAnsi="Arial Narrow"/>
        </w:rPr>
        <w:t xml:space="preserve">Table </w:t>
      </w:r>
      <w:r w:rsidR="00BB09B5" w:rsidRPr="009E7552">
        <w:rPr>
          <w:rFonts w:ascii="Arial Narrow" w:hAnsi="Arial Narrow"/>
        </w:rPr>
        <w:t>7</w:t>
      </w:r>
      <w:r w:rsidRPr="009E7552">
        <w:rPr>
          <w:rFonts w:ascii="Arial Narrow" w:hAnsi="Arial Narrow"/>
        </w:rPr>
        <w:t>: Revised results of economic evaluation</w:t>
      </w:r>
      <w:r w:rsidRPr="00892F33">
        <w:rPr>
          <w:vertAlign w:val="superscript"/>
        </w:rPr>
        <w:t>a</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75"/>
        <w:gridCol w:w="1980"/>
        <w:gridCol w:w="1984"/>
        <w:gridCol w:w="2124"/>
      </w:tblGrid>
      <w:tr w:rsidR="00701010" w:rsidRPr="00B23721" w:rsidTr="00701010">
        <w:tc>
          <w:tcPr>
            <w:tcW w:w="1360" w:type="pct"/>
            <w:tcBorders>
              <w:top w:val="single" w:sz="4" w:space="0" w:color="auto"/>
              <w:left w:val="single" w:sz="4" w:space="0" w:color="auto"/>
              <w:bottom w:val="single" w:sz="4" w:space="0" w:color="auto"/>
              <w:right w:val="single" w:sz="4" w:space="0" w:color="auto"/>
            </w:tcBorders>
            <w:vAlign w:val="center"/>
          </w:tcPr>
          <w:p w:rsidR="00701010" w:rsidRPr="00B23721" w:rsidRDefault="00701010" w:rsidP="00B04E96">
            <w:pPr>
              <w:jc w:val="left"/>
              <w:rPr>
                <w:rFonts w:ascii="Arial Narrow" w:hAnsi="Arial Narrow" w:cs="Times New Roman"/>
              </w:rPr>
            </w:pPr>
          </w:p>
        </w:tc>
        <w:tc>
          <w:tcPr>
            <w:tcW w:w="1184" w:type="pct"/>
            <w:tcBorders>
              <w:top w:val="single" w:sz="4" w:space="0" w:color="auto"/>
              <w:left w:val="single" w:sz="4" w:space="0" w:color="auto"/>
              <w:bottom w:val="single" w:sz="4" w:space="0" w:color="auto"/>
              <w:right w:val="single" w:sz="4" w:space="0" w:color="auto"/>
            </w:tcBorders>
            <w:hideMark/>
          </w:tcPr>
          <w:p w:rsidR="00701010" w:rsidRPr="00B23721" w:rsidRDefault="00701010" w:rsidP="00B04E96">
            <w:pPr>
              <w:jc w:val="center"/>
              <w:rPr>
                <w:rFonts w:ascii="Arial Narrow" w:hAnsi="Arial Narrow" w:cs="Times New Roman"/>
                <w:b/>
                <w:sz w:val="20"/>
              </w:rPr>
            </w:pPr>
            <w:r w:rsidRPr="00B23721">
              <w:rPr>
                <w:rFonts w:ascii="Arial Narrow" w:hAnsi="Arial Narrow" w:cs="Times New Roman"/>
                <w:b/>
                <w:sz w:val="20"/>
              </w:rPr>
              <w:t>Nivolumab</w:t>
            </w:r>
          </w:p>
        </w:tc>
        <w:tc>
          <w:tcPr>
            <w:tcW w:w="1186" w:type="pct"/>
            <w:tcBorders>
              <w:top w:val="single" w:sz="4" w:space="0" w:color="auto"/>
              <w:left w:val="single" w:sz="4" w:space="0" w:color="auto"/>
              <w:bottom w:val="single" w:sz="4" w:space="0" w:color="auto"/>
              <w:right w:val="single" w:sz="4" w:space="0" w:color="auto"/>
            </w:tcBorders>
            <w:vAlign w:val="center"/>
            <w:hideMark/>
          </w:tcPr>
          <w:p w:rsidR="00701010" w:rsidRPr="00B23721" w:rsidRDefault="00701010" w:rsidP="00B04E96">
            <w:pPr>
              <w:jc w:val="center"/>
              <w:rPr>
                <w:rFonts w:ascii="Arial Narrow" w:hAnsi="Arial Narrow" w:cs="Times New Roman"/>
                <w:b/>
                <w:sz w:val="20"/>
              </w:rPr>
            </w:pPr>
            <w:r w:rsidRPr="00B23721">
              <w:rPr>
                <w:rFonts w:ascii="Arial Narrow" w:hAnsi="Arial Narrow" w:cs="Times New Roman"/>
                <w:b/>
                <w:sz w:val="20"/>
              </w:rPr>
              <w:t>Docetaxel</w:t>
            </w:r>
          </w:p>
        </w:tc>
        <w:tc>
          <w:tcPr>
            <w:tcW w:w="1270" w:type="pct"/>
            <w:tcBorders>
              <w:top w:val="single" w:sz="4" w:space="0" w:color="auto"/>
              <w:left w:val="single" w:sz="4" w:space="0" w:color="auto"/>
              <w:bottom w:val="single" w:sz="4" w:space="0" w:color="auto"/>
              <w:right w:val="single" w:sz="4" w:space="0" w:color="auto"/>
            </w:tcBorders>
            <w:hideMark/>
          </w:tcPr>
          <w:p w:rsidR="00701010" w:rsidRPr="00B23721" w:rsidRDefault="00701010" w:rsidP="00B04E96">
            <w:pPr>
              <w:jc w:val="center"/>
              <w:rPr>
                <w:rFonts w:ascii="Arial Narrow" w:hAnsi="Arial Narrow" w:cs="Times New Roman"/>
                <w:b/>
                <w:sz w:val="20"/>
              </w:rPr>
            </w:pPr>
            <w:r w:rsidRPr="00B23721">
              <w:rPr>
                <w:rFonts w:ascii="Arial Narrow" w:hAnsi="Arial Narrow" w:cs="Times New Roman"/>
                <w:b/>
                <w:sz w:val="20"/>
              </w:rPr>
              <w:t>Increment</w:t>
            </w:r>
          </w:p>
        </w:tc>
      </w:tr>
      <w:tr w:rsidR="00701010" w:rsidRPr="00B23721" w:rsidTr="00701010">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01010" w:rsidRPr="00B23721" w:rsidRDefault="00701010" w:rsidP="00B04E96">
            <w:pPr>
              <w:rPr>
                <w:rFonts w:ascii="Arial Narrow" w:hAnsi="Arial Narrow"/>
                <w:b/>
                <w:bCs/>
                <w:sz w:val="20"/>
              </w:rPr>
            </w:pPr>
            <w:r w:rsidRPr="00B23721">
              <w:rPr>
                <w:rFonts w:ascii="Arial Narrow" w:hAnsi="Arial Narrow"/>
                <w:b/>
                <w:bCs/>
                <w:sz w:val="20"/>
              </w:rPr>
              <w:t>Economic evaluation within trial duration</w:t>
            </w:r>
            <w:r w:rsidRPr="00B23721">
              <w:rPr>
                <w:rFonts w:ascii="Arial Narrow" w:hAnsi="Arial Narrow"/>
                <w:b/>
                <w:bCs/>
                <w:sz w:val="20"/>
                <w:vertAlign w:val="superscript"/>
              </w:rPr>
              <w:t>b</w:t>
            </w:r>
          </w:p>
        </w:tc>
      </w:tr>
      <w:tr w:rsidR="00701010" w:rsidRPr="00B23721" w:rsidTr="00701010">
        <w:tc>
          <w:tcPr>
            <w:tcW w:w="1360" w:type="pct"/>
            <w:tcBorders>
              <w:top w:val="single" w:sz="4" w:space="0" w:color="auto"/>
              <w:left w:val="single" w:sz="4" w:space="0" w:color="auto"/>
              <w:bottom w:val="single" w:sz="4" w:space="0" w:color="auto"/>
              <w:right w:val="single" w:sz="4" w:space="0" w:color="auto"/>
            </w:tcBorders>
            <w:vAlign w:val="center"/>
            <w:hideMark/>
          </w:tcPr>
          <w:p w:rsidR="00701010" w:rsidRPr="00B23721" w:rsidRDefault="00701010" w:rsidP="00B04E96">
            <w:pPr>
              <w:jc w:val="left"/>
              <w:rPr>
                <w:rFonts w:ascii="Arial Narrow" w:hAnsi="Arial Narrow" w:cs="Times New Roman"/>
                <w:sz w:val="20"/>
              </w:rPr>
            </w:pPr>
            <w:r w:rsidRPr="00B23721">
              <w:rPr>
                <w:rFonts w:ascii="Arial Narrow" w:hAnsi="Arial Narrow" w:cs="Times New Roman"/>
                <w:sz w:val="20"/>
              </w:rPr>
              <w:t>Costs</w:t>
            </w:r>
          </w:p>
        </w:tc>
        <w:tc>
          <w:tcPr>
            <w:tcW w:w="1184" w:type="pct"/>
            <w:tcBorders>
              <w:top w:val="single" w:sz="4" w:space="0" w:color="auto"/>
              <w:left w:val="single" w:sz="4" w:space="0" w:color="auto"/>
              <w:bottom w:val="single" w:sz="4" w:space="0" w:color="auto"/>
              <w:right w:val="single" w:sz="4" w:space="0" w:color="auto"/>
            </w:tcBorders>
            <w:shd w:val="clear" w:color="auto" w:fill="FFFFFF"/>
            <w:vAlign w:val="bottom"/>
          </w:tcPr>
          <w:p w:rsidR="00701010" w:rsidRPr="00B23721" w:rsidRDefault="00701010" w:rsidP="00B04E96">
            <w:pPr>
              <w:widowControl/>
              <w:jc w:val="right"/>
              <w:rPr>
                <w:rFonts w:ascii="Arial Narrow" w:hAnsi="Arial Narrow"/>
                <w:bCs/>
                <w:sz w:val="20"/>
              </w:rPr>
            </w:pPr>
            <w:r w:rsidRPr="00B23721">
              <w:rPr>
                <w:rFonts w:ascii="Arial Narrow" w:hAnsi="Arial Narrow"/>
                <w:bCs/>
                <w:sz w:val="20"/>
              </w:rPr>
              <w:t>$</w:t>
            </w:r>
            <w:r w:rsidR="00BF699F">
              <w:rPr>
                <w:rFonts w:ascii="Arial Narrow" w:hAnsi="Arial Narrow"/>
                <w:bCs/>
                <w:noProof/>
                <w:color w:val="000000"/>
                <w:sz w:val="20"/>
                <w:highlight w:val="black"/>
              </w:rPr>
              <w:t>'''''''''''''''</w:t>
            </w:r>
          </w:p>
        </w:tc>
        <w:tc>
          <w:tcPr>
            <w:tcW w:w="1186" w:type="pct"/>
            <w:tcBorders>
              <w:top w:val="single" w:sz="4" w:space="0" w:color="auto"/>
              <w:left w:val="nil"/>
              <w:bottom w:val="single" w:sz="4" w:space="0" w:color="auto"/>
              <w:right w:val="single" w:sz="4" w:space="0" w:color="auto"/>
            </w:tcBorders>
            <w:shd w:val="clear" w:color="auto" w:fill="FFFFFF"/>
            <w:vAlign w:val="bottom"/>
          </w:tcPr>
          <w:p w:rsidR="00701010" w:rsidRPr="00B23721" w:rsidRDefault="00701010" w:rsidP="00B04E96">
            <w:pPr>
              <w:jc w:val="right"/>
              <w:rPr>
                <w:rFonts w:ascii="Arial Narrow" w:hAnsi="Arial Narrow"/>
                <w:bCs/>
                <w:sz w:val="20"/>
              </w:rPr>
            </w:pPr>
            <w:r w:rsidRPr="00B23721">
              <w:rPr>
                <w:rFonts w:ascii="Arial Narrow" w:hAnsi="Arial Narrow"/>
                <w:bCs/>
                <w:sz w:val="20"/>
              </w:rPr>
              <w:t>$</w:t>
            </w:r>
            <w:r w:rsidR="00BF699F">
              <w:rPr>
                <w:rFonts w:ascii="Arial Narrow" w:hAnsi="Arial Narrow"/>
                <w:bCs/>
                <w:noProof/>
                <w:color w:val="000000"/>
                <w:sz w:val="20"/>
                <w:highlight w:val="black"/>
              </w:rPr>
              <w:t>'''''''''''''''''</w:t>
            </w:r>
          </w:p>
        </w:tc>
        <w:tc>
          <w:tcPr>
            <w:tcW w:w="1270" w:type="pct"/>
            <w:tcBorders>
              <w:top w:val="single" w:sz="4" w:space="0" w:color="auto"/>
              <w:left w:val="nil"/>
              <w:bottom w:val="single" w:sz="4" w:space="0" w:color="auto"/>
              <w:right w:val="single" w:sz="4" w:space="0" w:color="auto"/>
            </w:tcBorders>
            <w:shd w:val="clear" w:color="auto" w:fill="FFFFFF"/>
            <w:vAlign w:val="bottom"/>
          </w:tcPr>
          <w:p w:rsidR="00701010" w:rsidRPr="00B23721" w:rsidRDefault="00701010" w:rsidP="00B04E96">
            <w:pPr>
              <w:jc w:val="right"/>
              <w:rPr>
                <w:rFonts w:ascii="Arial Narrow" w:hAnsi="Arial Narrow"/>
                <w:bCs/>
                <w:sz w:val="20"/>
              </w:rPr>
            </w:pPr>
            <w:r w:rsidRPr="00B23721">
              <w:rPr>
                <w:rFonts w:ascii="Arial Narrow" w:hAnsi="Arial Narrow"/>
                <w:bCs/>
                <w:sz w:val="20"/>
              </w:rPr>
              <w:t>$</w:t>
            </w:r>
            <w:r w:rsidR="00BF699F">
              <w:rPr>
                <w:rFonts w:ascii="Arial Narrow" w:hAnsi="Arial Narrow"/>
                <w:bCs/>
                <w:noProof/>
                <w:color w:val="000000"/>
                <w:sz w:val="20"/>
                <w:highlight w:val="black"/>
              </w:rPr>
              <w:t>'''''''''''''''''</w:t>
            </w:r>
          </w:p>
        </w:tc>
      </w:tr>
      <w:tr w:rsidR="00701010" w:rsidRPr="00B23721" w:rsidTr="00701010">
        <w:tc>
          <w:tcPr>
            <w:tcW w:w="1360" w:type="pct"/>
            <w:tcBorders>
              <w:top w:val="single" w:sz="4" w:space="0" w:color="auto"/>
              <w:left w:val="single" w:sz="4" w:space="0" w:color="auto"/>
              <w:bottom w:val="single" w:sz="4" w:space="0" w:color="auto"/>
              <w:right w:val="single" w:sz="4" w:space="0" w:color="auto"/>
            </w:tcBorders>
            <w:vAlign w:val="center"/>
            <w:hideMark/>
          </w:tcPr>
          <w:p w:rsidR="00701010" w:rsidRPr="00B23721" w:rsidRDefault="00701010" w:rsidP="00B04E96">
            <w:pPr>
              <w:jc w:val="left"/>
              <w:rPr>
                <w:rFonts w:ascii="Arial Narrow" w:hAnsi="Arial Narrow" w:cs="Times New Roman"/>
                <w:sz w:val="20"/>
              </w:rPr>
            </w:pPr>
            <w:r w:rsidRPr="00B23721">
              <w:rPr>
                <w:rFonts w:ascii="Arial Narrow" w:hAnsi="Arial Narrow" w:cs="Times New Roman"/>
                <w:sz w:val="20"/>
              </w:rPr>
              <w:t>LYs</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bottom"/>
          </w:tcPr>
          <w:p w:rsidR="00701010" w:rsidRPr="00B23721" w:rsidRDefault="00701010" w:rsidP="00B04E96">
            <w:pPr>
              <w:jc w:val="center"/>
              <w:rPr>
                <w:rFonts w:ascii="Arial Narrow" w:hAnsi="Arial Narrow"/>
                <w:bCs/>
                <w:sz w:val="20"/>
              </w:rPr>
            </w:pPr>
            <w:r w:rsidRPr="00B23721">
              <w:rPr>
                <w:rFonts w:ascii="Arial Narrow" w:hAnsi="Arial Narrow"/>
                <w:bCs/>
                <w:sz w:val="20"/>
              </w:rPr>
              <w:t xml:space="preserve">1.118 </w:t>
            </w:r>
          </w:p>
        </w:tc>
        <w:tc>
          <w:tcPr>
            <w:tcW w:w="1186" w:type="pct"/>
            <w:tcBorders>
              <w:top w:val="single" w:sz="4" w:space="0" w:color="auto"/>
              <w:left w:val="nil"/>
              <w:bottom w:val="single" w:sz="4" w:space="0" w:color="auto"/>
              <w:right w:val="single" w:sz="4" w:space="0" w:color="auto"/>
            </w:tcBorders>
            <w:shd w:val="clear" w:color="auto" w:fill="auto"/>
            <w:vAlign w:val="bottom"/>
          </w:tcPr>
          <w:p w:rsidR="00701010" w:rsidRPr="00B23721" w:rsidRDefault="00701010" w:rsidP="00B04E96">
            <w:pPr>
              <w:jc w:val="center"/>
              <w:rPr>
                <w:rFonts w:ascii="Arial Narrow" w:hAnsi="Arial Narrow"/>
                <w:bCs/>
                <w:sz w:val="20"/>
              </w:rPr>
            </w:pPr>
            <w:r w:rsidRPr="00B23721">
              <w:rPr>
                <w:rFonts w:ascii="Arial Narrow" w:hAnsi="Arial Narrow"/>
                <w:bCs/>
                <w:sz w:val="20"/>
              </w:rPr>
              <w:t xml:space="preserve">0.730 </w:t>
            </w:r>
          </w:p>
        </w:tc>
        <w:tc>
          <w:tcPr>
            <w:tcW w:w="1270" w:type="pct"/>
            <w:tcBorders>
              <w:top w:val="single" w:sz="4" w:space="0" w:color="auto"/>
              <w:left w:val="nil"/>
              <w:bottom w:val="single" w:sz="4" w:space="0" w:color="auto"/>
              <w:right w:val="single" w:sz="4" w:space="0" w:color="auto"/>
            </w:tcBorders>
            <w:shd w:val="clear" w:color="auto" w:fill="auto"/>
            <w:vAlign w:val="bottom"/>
          </w:tcPr>
          <w:p w:rsidR="00701010" w:rsidRPr="00B23721" w:rsidRDefault="00701010" w:rsidP="00B04E96">
            <w:pPr>
              <w:jc w:val="center"/>
              <w:rPr>
                <w:rFonts w:ascii="Arial Narrow" w:hAnsi="Arial Narrow"/>
                <w:bCs/>
                <w:sz w:val="20"/>
              </w:rPr>
            </w:pPr>
            <w:r w:rsidRPr="00B23721">
              <w:rPr>
                <w:rFonts w:ascii="Arial Narrow" w:hAnsi="Arial Narrow"/>
                <w:bCs/>
                <w:sz w:val="20"/>
              </w:rPr>
              <w:t xml:space="preserve">0.388 </w:t>
            </w:r>
          </w:p>
        </w:tc>
      </w:tr>
      <w:tr w:rsidR="00701010" w:rsidRPr="00B23721" w:rsidTr="00701010">
        <w:tc>
          <w:tcPr>
            <w:tcW w:w="1360" w:type="pct"/>
            <w:tcBorders>
              <w:top w:val="single" w:sz="4" w:space="0" w:color="auto"/>
              <w:left w:val="single" w:sz="4" w:space="0" w:color="auto"/>
              <w:bottom w:val="single" w:sz="4" w:space="0" w:color="auto"/>
              <w:right w:val="single" w:sz="4" w:space="0" w:color="auto"/>
            </w:tcBorders>
            <w:vAlign w:val="center"/>
            <w:hideMark/>
          </w:tcPr>
          <w:p w:rsidR="00701010" w:rsidRPr="00B23721" w:rsidRDefault="00701010" w:rsidP="00B04E96">
            <w:pPr>
              <w:jc w:val="left"/>
              <w:rPr>
                <w:rFonts w:ascii="Arial Narrow" w:hAnsi="Arial Narrow" w:cs="Times New Roman"/>
                <w:sz w:val="20"/>
              </w:rPr>
            </w:pPr>
            <w:r w:rsidRPr="00B23721">
              <w:rPr>
                <w:rFonts w:ascii="Arial Narrow" w:hAnsi="Arial Narrow" w:cs="Times New Roman"/>
                <w:sz w:val="20"/>
              </w:rPr>
              <w:t>QALYs</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bottom"/>
          </w:tcPr>
          <w:p w:rsidR="00701010" w:rsidRPr="00B23721" w:rsidRDefault="00701010" w:rsidP="00B04E96">
            <w:pPr>
              <w:jc w:val="center"/>
              <w:rPr>
                <w:rFonts w:ascii="Arial Narrow" w:hAnsi="Arial Narrow"/>
                <w:bCs/>
                <w:sz w:val="20"/>
              </w:rPr>
            </w:pPr>
            <w:r w:rsidRPr="00B23721">
              <w:rPr>
                <w:rFonts w:ascii="Arial Narrow" w:hAnsi="Arial Narrow"/>
                <w:bCs/>
                <w:sz w:val="20"/>
              </w:rPr>
              <w:t xml:space="preserve">0.832 </w:t>
            </w:r>
          </w:p>
        </w:tc>
        <w:tc>
          <w:tcPr>
            <w:tcW w:w="1186" w:type="pct"/>
            <w:tcBorders>
              <w:top w:val="single" w:sz="4" w:space="0" w:color="auto"/>
              <w:left w:val="nil"/>
              <w:bottom w:val="single" w:sz="4" w:space="0" w:color="auto"/>
              <w:right w:val="single" w:sz="4" w:space="0" w:color="auto"/>
            </w:tcBorders>
            <w:shd w:val="clear" w:color="auto" w:fill="auto"/>
            <w:vAlign w:val="bottom"/>
          </w:tcPr>
          <w:p w:rsidR="00701010" w:rsidRPr="00B23721" w:rsidRDefault="00701010" w:rsidP="00B04E96">
            <w:pPr>
              <w:jc w:val="center"/>
              <w:rPr>
                <w:rFonts w:ascii="Arial Narrow" w:hAnsi="Arial Narrow"/>
                <w:bCs/>
                <w:sz w:val="20"/>
              </w:rPr>
            </w:pPr>
            <w:r w:rsidRPr="00B23721">
              <w:rPr>
                <w:rFonts w:ascii="Arial Narrow" w:hAnsi="Arial Narrow"/>
                <w:bCs/>
                <w:sz w:val="20"/>
              </w:rPr>
              <w:t xml:space="preserve">0.501 </w:t>
            </w:r>
          </w:p>
        </w:tc>
        <w:tc>
          <w:tcPr>
            <w:tcW w:w="1270" w:type="pct"/>
            <w:tcBorders>
              <w:top w:val="single" w:sz="4" w:space="0" w:color="auto"/>
              <w:left w:val="nil"/>
              <w:bottom w:val="single" w:sz="4" w:space="0" w:color="auto"/>
              <w:right w:val="single" w:sz="4" w:space="0" w:color="auto"/>
            </w:tcBorders>
            <w:shd w:val="clear" w:color="auto" w:fill="auto"/>
            <w:vAlign w:val="bottom"/>
          </w:tcPr>
          <w:p w:rsidR="00701010" w:rsidRPr="00B23721" w:rsidRDefault="00701010" w:rsidP="00B04E96">
            <w:pPr>
              <w:jc w:val="center"/>
              <w:rPr>
                <w:rFonts w:ascii="Arial Narrow" w:hAnsi="Arial Narrow"/>
                <w:bCs/>
                <w:sz w:val="20"/>
              </w:rPr>
            </w:pPr>
            <w:r w:rsidRPr="00B23721">
              <w:rPr>
                <w:rFonts w:ascii="Arial Narrow" w:hAnsi="Arial Narrow"/>
                <w:bCs/>
                <w:sz w:val="20"/>
              </w:rPr>
              <w:t xml:space="preserve">0.331 </w:t>
            </w:r>
          </w:p>
        </w:tc>
      </w:tr>
      <w:tr w:rsidR="00701010" w:rsidRPr="00B23721" w:rsidTr="00701010">
        <w:tc>
          <w:tcPr>
            <w:tcW w:w="3730" w:type="pct"/>
            <w:gridSpan w:val="3"/>
            <w:tcBorders>
              <w:top w:val="single" w:sz="4" w:space="0" w:color="auto"/>
              <w:left w:val="single" w:sz="4" w:space="0" w:color="auto"/>
              <w:bottom w:val="single" w:sz="4" w:space="0" w:color="auto"/>
              <w:right w:val="single" w:sz="4" w:space="0" w:color="auto"/>
            </w:tcBorders>
            <w:vAlign w:val="center"/>
            <w:hideMark/>
          </w:tcPr>
          <w:p w:rsidR="00701010" w:rsidRPr="00B23721" w:rsidRDefault="00701010" w:rsidP="00B04E96">
            <w:pPr>
              <w:jc w:val="left"/>
              <w:rPr>
                <w:rFonts w:ascii="Arial Narrow" w:hAnsi="Arial Narrow" w:cs="Times New Roman"/>
                <w:b/>
                <w:sz w:val="20"/>
              </w:rPr>
            </w:pPr>
            <w:r w:rsidRPr="00B23721">
              <w:rPr>
                <w:rFonts w:ascii="Arial Narrow" w:hAnsi="Arial Narrow" w:cs="Times New Roman"/>
                <w:b/>
                <w:sz w:val="20"/>
              </w:rPr>
              <w:t>Incremental cost/LY gained</w:t>
            </w:r>
          </w:p>
        </w:tc>
        <w:tc>
          <w:tcPr>
            <w:tcW w:w="1270" w:type="pct"/>
            <w:tcBorders>
              <w:top w:val="single" w:sz="4" w:space="0" w:color="auto"/>
              <w:left w:val="single" w:sz="4" w:space="0" w:color="auto"/>
              <w:bottom w:val="single" w:sz="4" w:space="0" w:color="auto"/>
              <w:right w:val="single" w:sz="4" w:space="0" w:color="auto"/>
            </w:tcBorders>
          </w:tcPr>
          <w:p w:rsidR="00701010" w:rsidRPr="00B23721" w:rsidRDefault="00701010" w:rsidP="00B04E96">
            <w:pPr>
              <w:jc w:val="right"/>
              <w:rPr>
                <w:rFonts w:ascii="Arial Narrow" w:hAnsi="Arial Narrow" w:cs="Times New Roman"/>
                <w:b/>
                <w:sz w:val="20"/>
              </w:rPr>
            </w:pPr>
            <w:r w:rsidRPr="00B23721">
              <w:rPr>
                <w:rFonts w:ascii="Arial Narrow" w:hAnsi="Arial Narrow" w:cs="Times New Roman"/>
                <w:b/>
                <w:sz w:val="20"/>
              </w:rPr>
              <w:t>$</w:t>
            </w:r>
            <w:r w:rsidR="00BF699F">
              <w:rPr>
                <w:rFonts w:ascii="Arial Narrow" w:hAnsi="Arial Narrow" w:cs="Times New Roman"/>
                <w:b/>
                <w:noProof/>
                <w:color w:val="000000"/>
                <w:sz w:val="20"/>
                <w:highlight w:val="black"/>
              </w:rPr>
              <w:t>'''''''''''''''</w:t>
            </w:r>
          </w:p>
        </w:tc>
      </w:tr>
      <w:tr w:rsidR="00701010" w:rsidRPr="00B23721" w:rsidTr="00701010">
        <w:tc>
          <w:tcPr>
            <w:tcW w:w="3730" w:type="pct"/>
            <w:gridSpan w:val="3"/>
            <w:tcBorders>
              <w:top w:val="single" w:sz="4" w:space="0" w:color="auto"/>
              <w:left w:val="single" w:sz="4" w:space="0" w:color="auto"/>
              <w:bottom w:val="single" w:sz="4" w:space="0" w:color="auto"/>
              <w:right w:val="single" w:sz="4" w:space="0" w:color="auto"/>
            </w:tcBorders>
            <w:vAlign w:val="center"/>
            <w:hideMark/>
          </w:tcPr>
          <w:p w:rsidR="00701010" w:rsidRPr="00B23721" w:rsidRDefault="00701010" w:rsidP="00B04E96">
            <w:pPr>
              <w:jc w:val="left"/>
              <w:rPr>
                <w:rFonts w:ascii="Arial Narrow" w:hAnsi="Arial Narrow" w:cs="Times New Roman"/>
                <w:b/>
                <w:sz w:val="20"/>
              </w:rPr>
            </w:pPr>
            <w:r w:rsidRPr="00B23721">
              <w:rPr>
                <w:rFonts w:ascii="Arial Narrow" w:hAnsi="Arial Narrow" w:cs="Times New Roman"/>
                <w:b/>
                <w:sz w:val="20"/>
              </w:rPr>
              <w:t>Incremental cost/QALY gained</w:t>
            </w:r>
          </w:p>
        </w:tc>
        <w:tc>
          <w:tcPr>
            <w:tcW w:w="1270" w:type="pct"/>
            <w:tcBorders>
              <w:top w:val="single" w:sz="4" w:space="0" w:color="auto"/>
              <w:left w:val="single" w:sz="4" w:space="0" w:color="auto"/>
              <w:bottom w:val="single" w:sz="4" w:space="0" w:color="auto"/>
              <w:right w:val="single" w:sz="4" w:space="0" w:color="auto"/>
            </w:tcBorders>
          </w:tcPr>
          <w:p w:rsidR="00701010" w:rsidRPr="00B23721" w:rsidRDefault="00701010" w:rsidP="00B04E96">
            <w:pPr>
              <w:jc w:val="right"/>
              <w:rPr>
                <w:rFonts w:ascii="Arial Narrow" w:hAnsi="Arial Narrow" w:cs="Times New Roman"/>
                <w:b/>
                <w:sz w:val="20"/>
              </w:rPr>
            </w:pPr>
            <w:r w:rsidRPr="00B23721">
              <w:rPr>
                <w:rFonts w:ascii="Arial Narrow" w:hAnsi="Arial Narrow" w:cs="Times New Roman"/>
                <w:b/>
                <w:sz w:val="20"/>
              </w:rPr>
              <w:t>$</w:t>
            </w:r>
            <w:r w:rsidR="00BF699F">
              <w:rPr>
                <w:rFonts w:ascii="Arial Narrow" w:hAnsi="Arial Narrow" w:cs="Times New Roman"/>
                <w:b/>
                <w:noProof/>
                <w:color w:val="000000"/>
                <w:sz w:val="20"/>
                <w:highlight w:val="black"/>
              </w:rPr>
              <w:t>'''''''''''''''</w:t>
            </w:r>
          </w:p>
        </w:tc>
      </w:tr>
      <w:tr w:rsidR="00701010" w:rsidRPr="00B23721" w:rsidTr="00701010">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01010" w:rsidRPr="00B23721" w:rsidRDefault="00701010" w:rsidP="00B04E96">
            <w:pPr>
              <w:rPr>
                <w:rFonts w:ascii="Arial Narrow" w:hAnsi="Arial Narrow"/>
                <w:b/>
                <w:bCs/>
                <w:sz w:val="20"/>
              </w:rPr>
            </w:pPr>
            <w:r w:rsidRPr="00B23721">
              <w:rPr>
                <w:rFonts w:ascii="Arial Narrow" w:hAnsi="Arial Narrow"/>
                <w:b/>
                <w:bCs/>
                <w:sz w:val="20"/>
              </w:rPr>
              <w:t>Modelled economic evaluation (extrapolation to 7.5 years)</w:t>
            </w:r>
          </w:p>
        </w:tc>
      </w:tr>
      <w:tr w:rsidR="00701010" w:rsidRPr="00B23721" w:rsidTr="00701010">
        <w:tc>
          <w:tcPr>
            <w:tcW w:w="1360" w:type="pct"/>
            <w:tcBorders>
              <w:top w:val="single" w:sz="4" w:space="0" w:color="auto"/>
              <w:left w:val="single" w:sz="4" w:space="0" w:color="auto"/>
              <w:bottom w:val="single" w:sz="4" w:space="0" w:color="auto"/>
              <w:right w:val="single" w:sz="4" w:space="0" w:color="auto"/>
            </w:tcBorders>
            <w:vAlign w:val="center"/>
          </w:tcPr>
          <w:p w:rsidR="00701010" w:rsidRPr="00B23721" w:rsidRDefault="00701010" w:rsidP="00B04E96">
            <w:pPr>
              <w:jc w:val="left"/>
              <w:rPr>
                <w:rFonts w:ascii="Arial Narrow" w:hAnsi="Arial Narrow" w:cs="Times New Roman"/>
                <w:sz w:val="20"/>
              </w:rPr>
            </w:pPr>
            <w:r w:rsidRPr="00B23721">
              <w:rPr>
                <w:rFonts w:ascii="Arial Narrow" w:hAnsi="Arial Narrow" w:cs="Times New Roman"/>
                <w:sz w:val="20"/>
              </w:rPr>
              <w:t>Costs</w:t>
            </w:r>
          </w:p>
        </w:tc>
        <w:tc>
          <w:tcPr>
            <w:tcW w:w="1184" w:type="pct"/>
            <w:tcBorders>
              <w:top w:val="single" w:sz="4" w:space="0" w:color="auto"/>
              <w:left w:val="single" w:sz="4" w:space="0" w:color="auto"/>
              <w:bottom w:val="single" w:sz="4" w:space="0" w:color="auto"/>
              <w:right w:val="single" w:sz="4" w:space="0" w:color="auto"/>
            </w:tcBorders>
            <w:shd w:val="clear" w:color="auto" w:fill="FFFFFF"/>
            <w:vAlign w:val="bottom"/>
          </w:tcPr>
          <w:p w:rsidR="00701010" w:rsidRPr="00B23721" w:rsidRDefault="00701010" w:rsidP="00B04E96">
            <w:pPr>
              <w:jc w:val="right"/>
              <w:rPr>
                <w:rFonts w:ascii="Arial Narrow" w:hAnsi="Arial Narrow"/>
                <w:bCs/>
                <w:sz w:val="20"/>
              </w:rPr>
            </w:pPr>
            <w:r w:rsidRPr="00B23721">
              <w:rPr>
                <w:rFonts w:ascii="Arial Narrow" w:hAnsi="Arial Narrow"/>
                <w:bCs/>
                <w:sz w:val="20"/>
              </w:rPr>
              <w:t>$</w:t>
            </w:r>
            <w:r w:rsidR="00BF699F">
              <w:rPr>
                <w:rFonts w:ascii="Arial Narrow" w:hAnsi="Arial Narrow"/>
                <w:bCs/>
                <w:noProof/>
                <w:color w:val="000000"/>
                <w:sz w:val="20"/>
                <w:highlight w:val="black"/>
              </w:rPr>
              <w:t>'''''''''''''''</w:t>
            </w:r>
          </w:p>
        </w:tc>
        <w:tc>
          <w:tcPr>
            <w:tcW w:w="1186" w:type="pct"/>
            <w:tcBorders>
              <w:top w:val="single" w:sz="4" w:space="0" w:color="auto"/>
              <w:left w:val="nil"/>
              <w:bottom w:val="single" w:sz="4" w:space="0" w:color="auto"/>
              <w:right w:val="single" w:sz="4" w:space="0" w:color="auto"/>
            </w:tcBorders>
            <w:shd w:val="clear" w:color="auto" w:fill="FFFFFF"/>
          </w:tcPr>
          <w:p w:rsidR="00701010" w:rsidRPr="00B23721" w:rsidRDefault="00701010" w:rsidP="00B04E96">
            <w:pPr>
              <w:jc w:val="right"/>
              <w:rPr>
                <w:rFonts w:ascii="Arial Narrow" w:hAnsi="Arial Narrow"/>
                <w:bCs/>
                <w:sz w:val="20"/>
              </w:rPr>
            </w:pPr>
            <w:r w:rsidRPr="00B23721">
              <w:rPr>
                <w:rFonts w:ascii="Arial Narrow" w:hAnsi="Arial Narrow"/>
                <w:bCs/>
                <w:sz w:val="20"/>
              </w:rPr>
              <w:t>$</w:t>
            </w:r>
            <w:r w:rsidR="00BF699F">
              <w:rPr>
                <w:rFonts w:ascii="Arial Narrow" w:hAnsi="Arial Narrow"/>
                <w:bCs/>
                <w:noProof/>
                <w:color w:val="000000"/>
                <w:sz w:val="20"/>
                <w:highlight w:val="black"/>
              </w:rPr>
              <w:t>'''''''''''''''''</w:t>
            </w:r>
          </w:p>
        </w:tc>
        <w:tc>
          <w:tcPr>
            <w:tcW w:w="1270" w:type="pct"/>
            <w:tcBorders>
              <w:top w:val="single" w:sz="4" w:space="0" w:color="auto"/>
              <w:left w:val="nil"/>
              <w:bottom w:val="single" w:sz="4" w:space="0" w:color="auto"/>
              <w:right w:val="single" w:sz="4" w:space="0" w:color="auto"/>
            </w:tcBorders>
            <w:shd w:val="clear" w:color="auto" w:fill="FFFFFF"/>
          </w:tcPr>
          <w:p w:rsidR="00701010" w:rsidRPr="00B23721" w:rsidRDefault="00701010" w:rsidP="00B04E96">
            <w:pPr>
              <w:jc w:val="right"/>
              <w:rPr>
                <w:rFonts w:ascii="Arial Narrow" w:hAnsi="Arial Narrow"/>
                <w:bCs/>
                <w:sz w:val="20"/>
              </w:rPr>
            </w:pPr>
            <w:r w:rsidRPr="00B23721">
              <w:rPr>
                <w:rFonts w:ascii="Arial Narrow" w:hAnsi="Arial Narrow"/>
                <w:bCs/>
                <w:sz w:val="20"/>
              </w:rPr>
              <w:t>$</w:t>
            </w:r>
            <w:r w:rsidR="00BF699F">
              <w:rPr>
                <w:rFonts w:ascii="Arial Narrow" w:hAnsi="Arial Narrow"/>
                <w:bCs/>
                <w:noProof/>
                <w:color w:val="000000"/>
                <w:sz w:val="20"/>
                <w:highlight w:val="black"/>
              </w:rPr>
              <w:t>''''''''''''''''</w:t>
            </w:r>
          </w:p>
        </w:tc>
      </w:tr>
      <w:tr w:rsidR="00701010" w:rsidRPr="00B23721" w:rsidTr="00701010">
        <w:tc>
          <w:tcPr>
            <w:tcW w:w="1360" w:type="pct"/>
            <w:tcBorders>
              <w:top w:val="single" w:sz="4" w:space="0" w:color="auto"/>
              <w:left w:val="single" w:sz="4" w:space="0" w:color="auto"/>
              <w:bottom w:val="single" w:sz="4" w:space="0" w:color="auto"/>
              <w:right w:val="single" w:sz="4" w:space="0" w:color="auto"/>
            </w:tcBorders>
            <w:vAlign w:val="center"/>
          </w:tcPr>
          <w:p w:rsidR="00701010" w:rsidRPr="00B23721" w:rsidRDefault="00701010" w:rsidP="00B04E96">
            <w:pPr>
              <w:jc w:val="left"/>
              <w:rPr>
                <w:rFonts w:ascii="Arial Narrow" w:hAnsi="Arial Narrow" w:cs="Times New Roman"/>
                <w:sz w:val="20"/>
              </w:rPr>
            </w:pPr>
            <w:r w:rsidRPr="00B23721">
              <w:rPr>
                <w:rFonts w:ascii="Arial Narrow" w:hAnsi="Arial Narrow" w:cs="Times New Roman"/>
                <w:sz w:val="20"/>
              </w:rPr>
              <w:t>LYs</w:t>
            </w:r>
          </w:p>
        </w:tc>
        <w:tc>
          <w:tcPr>
            <w:tcW w:w="1184" w:type="pct"/>
            <w:tcBorders>
              <w:top w:val="single" w:sz="4" w:space="0" w:color="auto"/>
              <w:left w:val="single" w:sz="4" w:space="0" w:color="auto"/>
              <w:bottom w:val="single" w:sz="4" w:space="0" w:color="auto"/>
              <w:right w:val="single" w:sz="4" w:space="0" w:color="auto"/>
            </w:tcBorders>
            <w:shd w:val="clear" w:color="auto" w:fill="FFFFFF"/>
            <w:vAlign w:val="bottom"/>
          </w:tcPr>
          <w:p w:rsidR="00701010" w:rsidRPr="00B23721" w:rsidRDefault="00701010" w:rsidP="00B04E96">
            <w:pPr>
              <w:jc w:val="center"/>
              <w:rPr>
                <w:rFonts w:ascii="Arial Narrow" w:hAnsi="Arial Narrow"/>
                <w:bCs/>
                <w:sz w:val="20"/>
              </w:rPr>
            </w:pPr>
            <w:r w:rsidRPr="00B23721">
              <w:rPr>
                <w:rFonts w:ascii="Arial Narrow" w:hAnsi="Arial Narrow"/>
                <w:bCs/>
                <w:sz w:val="20"/>
              </w:rPr>
              <w:t>1.615</w:t>
            </w:r>
          </w:p>
        </w:tc>
        <w:tc>
          <w:tcPr>
            <w:tcW w:w="1186" w:type="pct"/>
            <w:tcBorders>
              <w:top w:val="single" w:sz="4" w:space="0" w:color="auto"/>
              <w:left w:val="nil"/>
              <w:bottom w:val="single" w:sz="4" w:space="0" w:color="auto"/>
              <w:right w:val="single" w:sz="4" w:space="0" w:color="auto"/>
            </w:tcBorders>
            <w:shd w:val="clear" w:color="auto" w:fill="FFFFFF"/>
          </w:tcPr>
          <w:p w:rsidR="00701010" w:rsidRPr="00B23721" w:rsidRDefault="00701010" w:rsidP="00B04E96">
            <w:pPr>
              <w:jc w:val="center"/>
              <w:rPr>
                <w:rFonts w:ascii="Arial Narrow" w:hAnsi="Arial Narrow"/>
                <w:bCs/>
                <w:sz w:val="20"/>
              </w:rPr>
            </w:pPr>
            <w:r w:rsidRPr="00B23721">
              <w:rPr>
                <w:rFonts w:ascii="Arial Narrow" w:hAnsi="Arial Narrow"/>
                <w:bCs/>
                <w:sz w:val="20"/>
              </w:rPr>
              <w:t>0.950</w:t>
            </w:r>
          </w:p>
        </w:tc>
        <w:tc>
          <w:tcPr>
            <w:tcW w:w="1270" w:type="pct"/>
            <w:tcBorders>
              <w:top w:val="single" w:sz="4" w:space="0" w:color="auto"/>
              <w:left w:val="nil"/>
              <w:bottom w:val="single" w:sz="4" w:space="0" w:color="auto"/>
              <w:right w:val="single" w:sz="4" w:space="0" w:color="auto"/>
            </w:tcBorders>
          </w:tcPr>
          <w:p w:rsidR="00701010" w:rsidRPr="00B23721" w:rsidRDefault="00701010" w:rsidP="00B04E96">
            <w:pPr>
              <w:jc w:val="center"/>
              <w:rPr>
                <w:rFonts w:ascii="Arial Narrow" w:hAnsi="Arial Narrow"/>
                <w:bCs/>
                <w:sz w:val="20"/>
              </w:rPr>
            </w:pPr>
            <w:r w:rsidRPr="00B23721">
              <w:rPr>
                <w:rFonts w:ascii="Arial Narrow" w:hAnsi="Arial Narrow"/>
                <w:bCs/>
                <w:sz w:val="20"/>
              </w:rPr>
              <w:t>0.665</w:t>
            </w:r>
          </w:p>
        </w:tc>
      </w:tr>
      <w:tr w:rsidR="00701010" w:rsidRPr="00B23721" w:rsidTr="00701010">
        <w:tc>
          <w:tcPr>
            <w:tcW w:w="1360" w:type="pct"/>
            <w:tcBorders>
              <w:top w:val="single" w:sz="4" w:space="0" w:color="auto"/>
              <w:left w:val="single" w:sz="4" w:space="0" w:color="auto"/>
              <w:bottom w:val="single" w:sz="4" w:space="0" w:color="auto"/>
              <w:right w:val="single" w:sz="4" w:space="0" w:color="auto"/>
            </w:tcBorders>
            <w:vAlign w:val="center"/>
          </w:tcPr>
          <w:p w:rsidR="00701010" w:rsidRPr="00B23721" w:rsidRDefault="00701010" w:rsidP="00B04E96">
            <w:pPr>
              <w:jc w:val="left"/>
              <w:rPr>
                <w:rFonts w:ascii="Arial Narrow" w:hAnsi="Arial Narrow" w:cs="Times New Roman"/>
                <w:sz w:val="20"/>
              </w:rPr>
            </w:pPr>
            <w:r w:rsidRPr="00B23721">
              <w:rPr>
                <w:rFonts w:ascii="Arial Narrow" w:hAnsi="Arial Narrow" w:cs="Times New Roman"/>
                <w:sz w:val="20"/>
              </w:rPr>
              <w:t>QALYs</w:t>
            </w:r>
          </w:p>
        </w:tc>
        <w:tc>
          <w:tcPr>
            <w:tcW w:w="1184" w:type="pct"/>
            <w:tcBorders>
              <w:top w:val="single" w:sz="4" w:space="0" w:color="auto"/>
              <w:left w:val="single" w:sz="4" w:space="0" w:color="auto"/>
              <w:bottom w:val="single" w:sz="4" w:space="0" w:color="auto"/>
              <w:right w:val="single" w:sz="4" w:space="0" w:color="auto"/>
            </w:tcBorders>
            <w:shd w:val="clear" w:color="auto" w:fill="FFFFFF"/>
            <w:vAlign w:val="bottom"/>
          </w:tcPr>
          <w:p w:rsidR="00701010" w:rsidRPr="00B23721" w:rsidRDefault="00701010" w:rsidP="00B04E96">
            <w:pPr>
              <w:jc w:val="center"/>
              <w:rPr>
                <w:rFonts w:ascii="Arial Narrow" w:hAnsi="Arial Narrow"/>
                <w:bCs/>
                <w:sz w:val="20"/>
              </w:rPr>
            </w:pPr>
            <w:r w:rsidRPr="00B23721">
              <w:rPr>
                <w:rFonts w:ascii="Arial Narrow" w:hAnsi="Arial Narrow"/>
                <w:bCs/>
                <w:sz w:val="20"/>
              </w:rPr>
              <w:t>1.190</w:t>
            </w:r>
          </w:p>
        </w:tc>
        <w:tc>
          <w:tcPr>
            <w:tcW w:w="1186" w:type="pct"/>
            <w:tcBorders>
              <w:top w:val="single" w:sz="4" w:space="0" w:color="auto"/>
              <w:left w:val="nil"/>
              <w:bottom w:val="single" w:sz="4" w:space="0" w:color="auto"/>
              <w:right w:val="single" w:sz="4" w:space="0" w:color="auto"/>
            </w:tcBorders>
            <w:shd w:val="clear" w:color="auto" w:fill="FFFFFF"/>
          </w:tcPr>
          <w:p w:rsidR="00701010" w:rsidRPr="00B23721" w:rsidRDefault="00701010" w:rsidP="00B04E96">
            <w:pPr>
              <w:jc w:val="center"/>
              <w:rPr>
                <w:rFonts w:ascii="Arial Narrow" w:hAnsi="Arial Narrow"/>
                <w:bCs/>
                <w:sz w:val="20"/>
              </w:rPr>
            </w:pPr>
            <w:r w:rsidRPr="00B23721">
              <w:rPr>
                <w:rFonts w:ascii="Arial Narrow" w:hAnsi="Arial Narrow"/>
                <w:bCs/>
                <w:sz w:val="20"/>
              </w:rPr>
              <w:t>0.646</w:t>
            </w:r>
          </w:p>
        </w:tc>
        <w:tc>
          <w:tcPr>
            <w:tcW w:w="1270" w:type="pct"/>
            <w:tcBorders>
              <w:top w:val="single" w:sz="4" w:space="0" w:color="auto"/>
              <w:left w:val="nil"/>
              <w:bottom w:val="single" w:sz="4" w:space="0" w:color="auto"/>
              <w:right w:val="single" w:sz="4" w:space="0" w:color="auto"/>
            </w:tcBorders>
          </w:tcPr>
          <w:p w:rsidR="00701010" w:rsidRPr="00B23721" w:rsidRDefault="00701010" w:rsidP="00B04E96">
            <w:pPr>
              <w:jc w:val="center"/>
              <w:rPr>
                <w:rFonts w:ascii="Arial Narrow" w:hAnsi="Arial Narrow"/>
                <w:bCs/>
                <w:sz w:val="20"/>
              </w:rPr>
            </w:pPr>
            <w:r w:rsidRPr="00B23721">
              <w:rPr>
                <w:rFonts w:ascii="Arial Narrow" w:hAnsi="Arial Narrow"/>
                <w:bCs/>
                <w:sz w:val="20"/>
              </w:rPr>
              <w:t>0.543</w:t>
            </w:r>
          </w:p>
        </w:tc>
      </w:tr>
      <w:tr w:rsidR="00701010" w:rsidRPr="00B23721" w:rsidTr="00701010">
        <w:tc>
          <w:tcPr>
            <w:tcW w:w="3730" w:type="pct"/>
            <w:gridSpan w:val="3"/>
            <w:tcBorders>
              <w:top w:val="single" w:sz="4" w:space="0" w:color="auto"/>
              <w:left w:val="single" w:sz="4" w:space="0" w:color="auto"/>
              <w:bottom w:val="single" w:sz="4" w:space="0" w:color="auto"/>
              <w:right w:val="single" w:sz="4" w:space="0" w:color="auto"/>
            </w:tcBorders>
            <w:vAlign w:val="center"/>
            <w:hideMark/>
          </w:tcPr>
          <w:p w:rsidR="00701010" w:rsidRPr="00B23721" w:rsidRDefault="00701010" w:rsidP="00B04E96">
            <w:pPr>
              <w:jc w:val="left"/>
              <w:rPr>
                <w:rFonts w:ascii="Arial Narrow" w:hAnsi="Arial Narrow" w:cs="Times New Roman"/>
                <w:sz w:val="20"/>
              </w:rPr>
            </w:pPr>
            <w:r w:rsidRPr="00B23721">
              <w:rPr>
                <w:rFonts w:ascii="Arial Narrow" w:hAnsi="Arial Narrow" w:cs="Times New Roman"/>
                <w:b/>
                <w:sz w:val="20"/>
              </w:rPr>
              <w:t>Incremental cost/LY gained</w:t>
            </w:r>
          </w:p>
        </w:tc>
        <w:tc>
          <w:tcPr>
            <w:tcW w:w="1270" w:type="pct"/>
            <w:tcBorders>
              <w:top w:val="single" w:sz="4" w:space="0" w:color="auto"/>
              <w:left w:val="single" w:sz="4" w:space="0" w:color="auto"/>
              <w:bottom w:val="single" w:sz="4" w:space="0" w:color="auto"/>
              <w:right w:val="single" w:sz="4" w:space="0" w:color="auto"/>
            </w:tcBorders>
          </w:tcPr>
          <w:p w:rsidR="00701010" w:rsidRPr="00B23721" w:rsidRDefault="00701010" w:rsidP="00B04E96">
            <w:pPr>
              <w:jc w:val="right"/>
              <w:rPr>
                <w:rFonts w:ascii="Arial Narrow" w:hAnsi="Arial Narrow" w:cs="Times New Roman"/>
                <w:b/>
                <w:sz w:val="20"/>
              </w:rPr>
            </w:pPr>
            <w:r w:rsidRPr="00B23721">
              <w:rPr>
                <w:rFonts w:ascii="Arial Narrow" w:hAnsi="Arial Narrow" w:cs="Times New Roman"/>
                <w:b/>
                <w:sz w:val="20"/>
              </w:rPr>
              <w:t>$</w:t>
            </w:r>
            <w:r w:rsidR="00BF699F">
              <w:rPr>
                <w:rFonts w:ascii="Arial Narrow" w:hAnsi="Arial Narrow" w:cs="Times New Roman"/>
                <w:b/>
                <w:noProof/>
                <w:color w:val="000000"/>
                <w:sz w:val="20"/>
                <w:highlight w:val="black"/>
              </w:rPr>
              <w:t>''''''''''''</w:t>
            </w:r>
          </w:p>
        </w:tc>
      </w:tr>
      <w:tr w:rsidR="00701010" w:rsidRPr="00B23721" w:rsidTr="00701010">
        <w:tc>
          <w:tcPr>
            <w:tcW w:w="3730" w:type="pct"/>
            <w:gridSpan w:val="3"/>
            <w:tcBorders>
              <w:top w:val="single" w:sz="4" w:space="0" w:color="auto"/>
              <w:left w:val="single" w:sz="4" w:space="0" w:color="auto"/>
              <w:bottom w:val="single" w:sz="4" w:space="0" w:color="auto"/>
              <w:right w:val="single" w:sz="4" w:space="0" w:color="auto"/>
            </w:tcBorders>
            <w:vAlign w:val="center"/>
            <w:hideMark/>
          </w:tcPr>
          <w:p w:rsidR="00701010" w:rsidRPr="00B23721" w:rsidRDefault="00701010" w:rsidP="00B04E96">
            <w:pPr>
              <w:jc w:val="left"/>
              <w:rPr>
                <w:rFonts w:ascii="Arial Narrow" w:hAnsi="Arial Narrow" w:cs="Times New Roman"/>
                <w:b/>
                <w:sz w:val="20"/>
              </w:rPr>
            </w:pPr>
            <w:r w:rsidRPr="00B23721">
              <w:rPr>
                <w:rFonts w:ascii="Arial Narrow" w:hAnsi="Arial Narrow" w:cs="Times New Roman"/>
                <w:b/>
                <w:sz w:val="20"/>
              </w:rPr>
              <w:t>Incremental cost/QALY gained</w:t>
            </w:r>
          </w:p>
        </w:tc>
        <w:tc>
          <w:tcPr>
            <w:tcW w:w="1270" w:type="pct"/>
            <w:tcBorders>
              <w:top w:val="single" w:sz="4" w:space="0" w:color="auto"/>
              <w:left w:val="single" w:sz="4" w:space="0" w:color="auto"/>
              <w:bottom w:val="single" w:sz="4" w:space="0" w:color="auto"/>
              <w:right w:val="single" w:sz="4" w:space="0" w:color="auto"/>
            </w:tcBorders>
          </w:tcPr>
          <w:p w:rsidR="00701010" w:rsidRPr="00B23721" w:rsidRDefault="00701010" w:rsidP="00B04E96">
            <w:pPr>
              <w:jc w:val="right"/>
              <w:rPr>
                <w:rFonts w:ascii="Arial Narrow" w:hAnsi="Arial Narrow" w:cs="Times New Roman"/>
                <w:b/>
                <w:sz w:val="20"/>
              </w:rPr>
            </w:pPr>
            <w:r w:rsidRPr="00B23721">
              <w:rPr>
                <w:rFonts w:ascii="Arial Narrow" w:hAnsi="Arial Narrow" w:cs="Times New Roman"/>
                <w:b/>
                <w:sz w:val="20"/>
              </w:rPr>
              <w:t>$</w:t>
            </w:r>
            <w:r w:rsidR="00BF699F">
              <w:rPr>
                <w:rFonts w:ascii="Arial Narrow" w:hAnsi="Arial Narrow" w:cs="Times New Roman"/>
                <w:b/>
                <w:noProof/>
                <w:color w:val="000000"/>
                <w:sz w:val="20"/>
                <w:highlight w:val="black"/>
              </w:rPr>
              <w:t>'''''''''''''</w:t>
            </w:r>
          </w:p>
        </w:tc>
      </w:tr>
    </w:tbl>
    <w:p w:rsidR="00701010" w:rsidRPr="00B23721" w:rsidRDefault="00701010" w:rsidP="001D48CF">
      <w:pPr>
        <w:ind w:left="720"/>
        <w:rPr>
          <w:rFonts w:ascii="Arial Narrow" w:hAnsi="Arial Narrow"/>
          <w:sz w:val="18"/>
        </w:rPr>
      </w:pPr>
      <w:r w:rsidRPr="00B23721">
        <w:rPr>
          <w:rFonts w:ascii="Arial Narrow" w:hAnsi="Arial Narrow"/>
          <w:sz w:val="18"/>
        </w:rPr>
        <w:t>LY = life year; QALY = quality-adjusted life year</w:t>
      </w:r>
    </w:p>
    <w:p w:rsidR="00701010" w:rsidRPr="00B23721" w:rsidRDefault="00701010" w:rsidP="001D48CF">
      <w:pPr>
        <w:ind w:left="720"/>
        <w:rPr>
          <w:rFonts w:ascii="Arial Narrow" w:hAnsi="Arial Narrow"/>
          <w:sz w:val="18"/>
        </w:rPr>
      </w:pPr>
      <w:r w:rsidRPr="00B23721">
        <w:rPr>
          <w:rFonts w:ascii="Arial Narrow" w:hAnsi="Arial Narrow"/>
          <w:sz w:val="18"/>
          <w:vertAlign w:val="superscript"/>
        </w:rPr>
        <w:t>a</w:t>
      </w:r>
      <w:r w:rsidRPr="00B23721">
        <w:rPr>
          <w:rFonts w:ascii="Arial Narrow" w:hAnsi="Arial Narrow"/>
          <w:sz w:val="18"/>
        </w:rPr>
        <w:t xml:space="preserve"> Results of economic evaluation were revised by taking into account the </w:t>
      </w:r>
      <w:r w:rsidR="000F1BDC" w:rsidRPr="00B23721">
        <w:rPr>
          <w:rFonts w:ascii="Arial Narrow" w:hAnsi="Arial Narrow"/>
          <w:sz w:val="18"/>
        </w:rPr>
        <w:t>E</w:t>
      </w:r>
      <w:r w:rsidR="0066264E" w:rsidRPr="00B23721">
        <w:rPr>
          <w:rFonts w:ascii="Arial Narrow" w:hAnsi="Arial Narrow"/>
          <w:sz w:val="18"/>
        </w:rPr>
        <w:t xml:space="preserve">fficient </w:t>
      </w:r>
      <w:r w:rsidR="000F1BDC" w:rsidRPr="00B23721">
        <w:rPr>
          <w:rFonts w:ascii="Arial Narrow" w:hAnsi="Arial Narrow"/>
          <w:sz w:val="18"/>
        </w:rPr>
        <w:t>Funding of C</w:t>
      </w:r>
      <w:r w:rsidR="0066264E" w:rsidRPr="00B23721">
        <w:rPr>
          <w:rFonts w:ascii="Arial Narrow" w:hAnsi="Arial Narrow"/>
          <w:sz w:val="18"/>
        </w:rPr>
        <w:t xml:space="preserve">hemotherapy </w:t>
      </w:r>
      <w:r w:rsidRPr="00B23721">
        <w:rPr>
          <w:rFonts w:ascii="Arial Narrow" w:hAnsi="Arial Narrow"/>
          <w:sz w:val="18"/>
        </w:rPr>
        <w:t>fees.</w:t>
      </w:r>
    </w:p>
    <w:p w:rsidR="00701010" w:rsidRPr="00B23721" w:rsidRDefault="00701010" w:rsidP="001D48CF">
      <w:pPr>
        <w:ind w:left="720"/>
        <w:rPr>
          <w:rFonts w:ascii="Arial Narrow" w:hAnsi="Arial Narrow"/>
          <w:sz w:val="18"/>
        </w:rPr>
      </w:pPr>
      <w:r w:rsidRPr="00B23721">
        <w:rPr>
          <w:rFonts w:ascii="Arial Narrow" w:hAnsi="Arial Narrow"/>
          <w:sz w:val="18"/>
          <w:vertAlign w:val="superscript"/>
        </w:rPr>
        <w:t xml:space="preserve">b </w:t>
      </w:r>
      <w:r w:rsidRPr="00B23721">
        <w:rPr>
          <w:rFonts w:ascii="Arial Narrow" w:hAnsi="Arial Narrow"/>
          <w:sz w:val="18"/>
        </w:rPr>
        <w:t xml:space="preserve">No extrapolation but quality of life data and the cost of disease management (both pre- and post-progression) have been </w:t>
      </w:r>
      <w:r w:rsidRPr="00B23721">
        <w:rPr>
          <w:rFonts w:ascii="Arial Narrow" w:hAnsi="Arial Narrow"/>
          <w:sz w:val="18"/>
        </w:rPr>
        <w:lastRenderedPageBreak/>
        <w:t>included.</w:t>
      </w:r>
    </w:p>
    <w:p w:rsidR="00701010" w:rsidRPr="00B23721" w:rsidRDefault="00701010" w:rsidP="001D48CF">
      <w:pPr>
        <w:ind w:left="720"/>
        <w:rPr>
          <w:rFonts w:ascii="Arial Narrow" w:hAnsi="Arial Narrow"/>
          <w:sz w:val="18"/>
        </w:rPr>
      </w:pPr>
      <w:r w:rsidRPr="00B23721">
        <w:rPr>
          <w:rFonts w:ascii="Arial Narrow" w:hAnsi="Arial Narrow"/>
          <w:sz w:val="18"/>
        </w:rPr>
        <w:t xml:space="preserve">Source: Results of economic evaluation re-calculated during the evaluation </w:t>
      </w:r>
    </w:p>
    <w:p w:rsidR="00251A2D" w:rsidRDefault="00251A2D" w:rsidP="00C82992"/>
    <w:p w:rsidR="00200C14" w:rsidRDefault="00200C14" w:rsidP="009F58BE">
      <w:pPr>
        <w:ind w:left="720"/>
      </w:pPr>
      <w:r>
        <w:t>The redacted table above shows that</w:t>
      </w:r>
      <w:r w:rsidR="009F58BE">
        <w:t xml:space="preserve"> the</w:t>
      </w:r>
      <w:r>
        <w:t xml:space="preserve"> </w:t>
      </w:r>
      <w:r w:rsidR="003F1164">
        <w:t xml:space="preserve">incremental cost </w:t>
      </w:r>
      <w:r w:rsidR="009F58BE">
        <w:t xml:space="preserve">of nivolumab vs docetaxel for the trial duration was $105,000 - $200,000 per </w:t>
      </w:r>
      <w:r w:rsidR="0007108D">
        <w:t>life year (</w:t>
      </w:r>
      <w:r w:rsidR="009F58BE">
        <w:t>LY</w:t>
      </w:r>
      <w:r w:rsidR="0007108D">
        <w:t>)</w:t>
      </w:r>
      <w:r w:rsidR="009F58BE">
        <w:t xml:space="preserve"> gained and $105,000 - $200,000 per </w:t>
      </w:r>
      <w:r w:rsidR="0007108D" w:rsidRPr="00B23721">
        <w:rPr>
          <w:szCs w:val="22"/>
        </w:rPr>
        <w:t>quality-adjusted life year</w:t>
      </w:r>
      <w:r w:rsidR="0007108D">
        <w:rPr>
          <w:szCs w:val="22"/>
        </w:rPr>
        <w:t xml:space="preserve"> (</w:t>
      </w:r>
      <w:r w:rsidR="009F58BE">
        <w:t>QALY</w:t>
      </w:r>
      <w:r w:rsidR="0007108D">
        <w:t>)</w:t>
      </w:r>
      <w:r w:rsidR="009F58BE">
        <w:t xml:space="preserve"> gained, and when extrapolated to 7.5 years, was </w:t>
      </w:r>
      <w:r>
        <w:t>$75,000 - $105,000 per LY gained and $75,000 - $105,000 per QALY gained.</w:t>
      </w:r>
    </w:p>
    <w:p w:rsidR="00200C14" w:rsidRPr="00B23721" w:rsidRDefault="00200C14" w:rsidP="00C82992"/>
    <w:p w:rsidR="001D48CF" w:rsidRDefault="001D48CF" w:rsidP="001D48CF">
      <w:pPr>
        <w:pStyle w:val="ListParagraph"/>
        <w:widowControl/>
        <w:numPr>
          <w:ilvl w:val="1"/>
          <w:numId w:val="4"/>
        </w:numPr>
        <w:snapToGrid w:val="0"/>
        <w:rPr>
          <w:szCs w:val="22"/>
        </w:rPr>
      </w:pPr>
      <w:r w:rsidRPr="00B23721">
        <w:rPr>
          <w:szCs w:val="22"/>
        </w:rPr>
        <w:t xml:space="preserve">The extrapolation of trial survival data had the most effect on the results of economic evaluation. </w:t>
      </w:r>
      <w:r w:rsidR="00404F7A" w:rsidRPr="00B23721">
        <w:rPr>
          <w:szCs w:val="22"/>
        </w:rPr>
        <w:t>I</w:t>
      </w:r>
      <w:r w:rsidRPr="00B23721">
        <w:rPr>
          <w:szCs w:val="22"/>
        </w:rPr>
        <w:t xml:space="preserve">ncremental life years and quality-adjusted life years increased by </w:t>
      </w:r>
      <w:r w:rsidR="00404F7A" w:rsidRPr="00B23721">
        <w:rPr>
          <w:szCs w:val="22"/>
        </w:rPr>
        <w:t>64%-71%</w:t>
      </w:r>
      <w:r w:rsidRPr="00B23721">
        <w:rPr>
          <w:szCs w:val="22"/>
        </w:rPr>
        <w:t xml:space="preserve">, from the trial observation to the modelled estimates; whereas the incremental costs increased to a lesser extent. The incremental cost-effectiveness ratio (ICER) for nivolumab versus docetaxel </w:t>
      </w:r>
      <w:r w:rsidR="00404F7A" w:rsidRPr="00B23721">
        <w:rPr>
          <w:szCs w:val="22"/>
        </w:rPr>
        <w:t>reduced by almost one-third</w:t>
      </w:r>
      <w:r w:rsidRPr="00B23721">
        <w:rPr>
          <w:szCs w:val="22"/>
        </w:rPr>
        <w:t xml:space="preserve"> when trial results were extrapolated to 7.5 years.</w:t>
      </w:r>
    </w:p>
    <w:p w:rsidR="000029D7" w:rsidRPr="000029D7" w:rsidRDefault="000029D7" w:rsidP="000029D7">
      <w:pPr>
        <w:widowControl/>
        <w:snapToGrid w:val="0"/>
        <w:rPr>
          <w:szCs w:val="22"/>
        </w:rPr>
      </w:pPr>
    </w:p>
    <w:p w:rsidR="000029D7" w:rsidRDefault="000029D7" w:rsidP="000029D7">
      <w:pPr>
        <w:pStyle w:val="ListParagraph"/>
        <w:widowControl/>
        <w:numPr>
          <w:ilvl w:val="1"/>
          <w:numId w:val="4"/>
        </w:numPr>
        <w:snapToGrid w:val="0"/>
      </w:pPr>
      <w:r>
        <w:t>The Pre-PBAC Response explored the effect of a</w:t>
      </w:r>
      <w:r w:rsidR="00811D2A">
        <w:t>n RSA</w:t>
      </w:r>
      <w:r>
        <w:t xml:space="preserve"> </w:t>
      </w:r>
      <w:r w:rsidR="00726B84">
        <w:t xml:space="preserve">in which the calculation of the annual expenditure caps limits the cost </w:t>
      </w:r>
      <w:r w:rsidR="00865C87">
        <w:t xml:space="preserve">of nivolumab </w:t>
      </w:r>
      <w:r w:rsidR="00726B84">
        <w:t xml:space="preserve">per patient </w:t>
      </w:r>
      <w:r w:rsidR="00DE2B96">
        <w:t xml:space="preserve">to that </w:t>
      </w:r>
      <w:r w:rsidR="00865C87">
        <w:t>resulting from</w:t>
      </w:r>
      <w:r>
        <w:t xml:space="preserve"> </w:t>
      </w:r>
      <w:r w:rsidR="00BF699F">
        <w:rPr>
          <w:noProof/>
          <w:color w:val="000000"/>
          <w:highlight w:val="black"/>
        </w:rPr>
        <w:t>''''''</w:t>
      </w:r>
      <w:r>
        <w:t xml:space="preserve"> administrations, resulting in an ICER of </w:t>
      </w:r>
      <w:r w:rsidR="002D101D">
        <w:t>$45,000/QALY - $75,000/QALY</w:t>
      </w:r>
      <w:r>
        <w:t>.</w:t>
      </w:r>
    </w:p>
    <w:p w:rsidR="00C82992" w:rsidRPr="00B23721" w:rsidRDefault="00C82992" w:rsidP="00C82992">
      <w:pPr>
        <w:widowControl/>
        <w:rPr>
          <w:szCs w:val="22"/>
        </w:rPr>
      </w:pPr>
    </w:p>
    <w:p w:rsidR="0081417B" w:rsidRDefault="0081417B">
      <w:pPr>
        <w:widowControl/>
        <w:jc w:val="left"/>
        <w:rPr>
          <w:rFonts w:ascii="Arial Narrow" w:hAnsi="Arial Narrow"/>
          <w:b/>
          <w:bCs/>
          <w:sz w:val="20"/>
        </w:rPr>
      </w:pPr>
      <w:r>
        <w:rPr>
          <w:rFonts w:ascii="Arial Narrow" w:hAnsi="Arial Narrow"/>
        </w:rPr>
        <w:br w:type="page"/>
      </w:r>
    </w:p>
    <w:p w:rsidR="00164BF1" w:rsidRPr="009E7552" w:rsidRDefault="00164BF1" w:rsidP="009E7552">
      <w:pPr>
        <w:pStyle w:val="Caption"/>
        <w:keepNext/>
        <w:ind w:firstLine="709"/>
        <w:rPr>
          <w:rFonts w:ascii="Arial Narrow" w:hAnsi="Arial Narrow"/>
        </w:rPr>
      </w:pPr>
      <w:r w:rsidRPr="009E7552">
        <w:rPr>
          <w:rFonts w:ascii="Arial Narrow" w:hAnsi="Arial Narrow"/>
        </w:rPr>
        <w:lastRenderedPageBreak/>
        <w:t xml:space="preserve">Table </w:t>
      </w:r>
      <w:r w:rsidR="00BB09B5" w:rsidRPr="009E7552">
        <w:rPr>
          <w:rFonts w:ascii="Arial Narrow" w:hAnsi="Arial Narrow"/>
        </w:rPr>
        <w:t>8</w:t>
      </w:r>
      <w:r w:rsidRPr="009E7552">
        <w:rPr>
          <w:rFonts w:ascii="Arial Narrow" w:hAnsi="Arial Narrow"/>
        </w:rPr>
        <w:t>: Results of key sensitivity analyses</w:t>
      </w:r>
    </w:p>
    <w:tbl>
      <w:tblPr>
        <w:tblStyle w:val="TableGrid"/>
        <w:tblW w:w="8454" w:type="dxa"/>
        <w:tblInd w:w="726" w:type="dxa"/>
        <w:tblLayout w:type="fixed"/>
        <w:tblLook w:val="04A0" w:firstRow="1" w:lastRow="0" w:firstColumn="1" w:lastColumn="0" w:noHBand="0" w:noVBand="1"/>
        <w:tblCaption w:val="Results of key sensitivity analyses"/>
      </w:tblPr>
      <w:tblGrid>
        <w:gridCol w:w="1934"/>
        <w:gridCol w:w="4536"/>
        <w:gridCol w:w="992"/>
        <w:gridCol w:w="992"/>
      </w:tblGrid>
      <w:tr w:rsidR="00DB7C4E" w:rsidRPr="00B23721" w:rsidTr="006F2DA2">
        <w:trPr>
          <w:tblHeader/>
        </w:trPr>
        <w:tc>
          <w:tcPr>
            <w:tcW w:w="1934" w:type="dxa"/>
          </w:tcPr>
          <w:p w:rsidR="00DB7C4E" w:rsidRPr="00B23721" w:rsidRDefault="00DB7C4E" w:rsidP="00B04E96">
            <w:pPr>
              <w:jc w:val="center"/>
              <w:rPr>
                <w:rFonts w:ascii="Arial Narrow" w:hAnsi="Arial Narrow"/>
                <w:b/>
                <w:sz w:val="20"/>
              </w:rPr>
            </w:pPr>
            <w:r w:rsidRPr="00B23721">
              <w:rPr>
                <w:rFonts w:ascii="Arial Narrow" w:hAnsi="Arial Narrow"/>
                <w:b/>
                <w:sz w:val="20"/>
              </w:rPr>
              <w:t>Label</w:t>
            </w:r>
          </w:p>
        </w:tc>
        <w:tc>
          <w:tcPr>
            <w:tcW w:w="4536" w:type="dxa"/>
          </w:tcPr>
          <w:p w:rsidR="00DB7C4E" w:rsidRPr="00B23721" w:rsidRDefault="00DB7C4E" w:rsidP="00B04E96">
            <w:pPr>
              <w:jc w:val="center"/>
              <w:rPr>
                <w:rFonts w:ascii="Arial Narrow" w:hAnsi="Arial Narrow"/>
                <w:b/>
                <w:sz w:val="20"/>
              </w:rPr>
            </w:pPr>
            <w:r w:rsidRPr="00B23721">
              <w:rPr>
                <w:rFonts w:ascii="Arial Narrow" w:hAnsi="Arial Narrow"/>
                <w:b/>
                <w:sz w:val="20"/>
              </w:rPr>
              <w:t>Model parameter</w:t>
            </w:r>
          </w:p>
        </w:tc>
        <w:tc>
          <w:tcPr>
            <w:tcW w:w="992" w:type="dxa"/>
          </w:tcPr>
          <w:p w:rsidR="00DB7C4E" w:rsidRPr="00B23721" w:rsidRDefault="00DB7C4E" w:rsidP="00B04E96">
            <w:pPr>
              <w:jc w:val="center"/>
              <w:rPr>
                <w:rFonts w:ascii="Arial Narrow" w:hAnsi="Arial Narrow"/>
                <w:b/>
                <w:sz w:val="20"/>
              </w:rPr>
            </w:pPr>
            <w:r w:rsidRPr="00B23721">
              <w:rPr>
                <w:rFonts w:ascii="Arial Narrow" w:hAnsi="Arial Narrow"/>
                <w:b/>
                <w:sz w:val="20"/>
              </w:rPr>
              <w:t>$/LY</w:t>
            </w:r>
          </w:p>
        </w:tc>
        <w:tc>
          <w:tcPr>
            <w:tcW w:w="992" w:type="dxa"/>
          </w:tcPr>
          <w:p w:rsidR="00DB7C4E" w:rsidRPr="00B23721" w:rsidRDefault="00DB7C4E" w:rsidP="00B04E96">
            <w:pPr>
              <w:jc w:val="center"/>
              <w:rPr>
                <w:rFonts w:ascii="Arial Narrow" w:hAnsi="Arial Narrow"/>
                <w:b/>
                <w:sz w:val="20"/>
              </w:rPr>
            </w:pPr>
            <w:r w:rsidRPr="00B23721">
              <w:rPr>
                <w:rFonts w:ascii="Arial Narrow" w:hAnsi="Arial Narrow"/>
                <w:b/>
                <w:sz w:val="20"/>
              </w:rPr>
              <w:t>$/QALY</w:t>
            </w:r>
          </w:p>
        </w:tc>
      </w:tr>
      <w:tr w:rsidR="00DB7C4E" w:rsidRPr="00B23721" w:rsidTr="006F2DA2">
        <w:tc>
          <w:tcPr>
            <w:tcW w:w="1934" w:type="dxa"/>
          </w:tcPr>
          <w:p w:rsidR="00DB7C4E" w:rsidRPr="00B23721" w:rsidRDefault="00DB7C4E" w:rsidP="005668F6">
            <w:pPr>
              <w:rPr>
                <w:rFonts w:ascii="Arial Narrow" w:hAnsi="Arial Narrow"/>
                <w:b/>
                <w:sz w:val="20"/>
              </w:rPr>
            </w:pPr>
            <w:r w:rsidRPr="00B23721">
              <w:rPr>
                <w:rFonts w:ascii="Arial Narrow" w:hAnsi="Arial Narrow"/>
                <w:b/>
                <w:sz w:val="20"/>
              </w:rPr>
              <w:t>Base case</w:t>
            </w:r>
          </w:p>
        </w:tc>
        <w:tc>
          <w:tcPr>
            <w:tcW w:w="4536" w:type="dxa"/>
          </w:tcPr>
          <w:p w:rsidR="00DB7C4E" w:rsidRPr="00B23721" w:rsidRDefault="00DB7C4E" w:rsidP="005668F6">
            <w:pPr>
              <w:rPr>
                <w:rFonts w:ascii="Arial Narrow" w:hAnsi="Arial Narrow"/>
                <w:b/>
                <w:sz w:val="20"/>
              </w:rPr>
            </w:pPr>
            <w:r w:rsidRPr="00B23721">
              <w:rPr>
                <w:rFonts w:ascii="Arial Narrow" w:hAnsi="Arial Narrow"/>
                <w:b/>
                <w:sz w:val="20"/>
              </w:rPr>
              <w:t>Base case</w:t>
            </w:r>
          </w:p>
        </w:tc>
        <w:tc>
          <w:tcPr>
            <w:tcW w:w="992" w:type="dxa"/>
            <w:vAlign w:val="center"/>
          </w:tcPr>
          <w:p w:rsidR="00DB7C4E" w:rsidRPr="00B23721" w:rsidRDefault="00DB7C4E" w:rsidP="005668F6">
            <w:pPr>
              <w:jc w:val="right"/>
              <w:rPr>
                <w:rFonts w:ascii="Arial Narrow" w:hAnsi="Arial Narrow"/>
                <w:b/>
                <w:sz w:val="20"/>
              </w:rPr>
            </w:pPr>
            <w:r w:rsidRPr="00B23721">
              <w:rPr>
                <w:rFonts w:ascii="Arial Narrow" w:hAnsi="Arial Narrow"/>
                <w:color w:val="000000"/>
                <w:sz w:val="20"/>
              </w:rPr>
              <w:t>$</w:t>
            </w:r>
            <w:r w:rsidR="00BF699F">
              <w:rPr>
                <w:rFonts w:ascii="Arial Narrow" w:hAnsi="Arial Narrow"/>
                <w:b/>
                <w:noProof/>
                <w:color w:val="000000"/>
                <w:sz w:val="20"/>
                <w:highlight w:val="black"/>
              </w:rPr>
              <w:t>'''''''''''''''</w:t>
            </w:r>
          </w:p>
        </w:tc>
        <w:tc>
          <w:tcPr>
            <w:tcW w:w="992" w:type="dxa"/>
            <w:vAlign w:val="center"/>
          </w:tcPr>
          <w:p w:rsidR="00DB7C4E" w:rsidRPr="00B23721" w:rsidRDefault="00DB7C4E" w:rsidP="005668F6">
            <w:pPr>
              <w:jc w:val="right"/>
              <w:rPr>
                <w:rFonts w:ascii="Arial Narrow" w:hAnsi="Arial Narrow"/>
                <w:b/>
                <w:sz w:val="20"/>
              </w:rPr>
            </w:pPr>
            <w:r w:rsidRPr="00B23721">
              <w:rPr>
                <w:rFonts w:ascii="Arial Narrow" w:hAnsi="Arial Narrow"/>
                <w:color w:val="000000"/>
                <w:sz w:val="20"/>
              </w:rPr>
              <w:t>$</w:t>
            </w:r>
            <w:r w:rsidR="00BF699F">
              <w:rPr>
                <w:rFonts w:ascii="Arial Narrow" w:hAnsi="Arial Narrow"/>
                <w:b/>
                <w:noProof/>
                <w:color w:val="000000"/>
                <w:sz w:val="20"/>
                <w:highlight w:val="black"/>
              </w:rPr>
              <w:t>'''''''''''''''</w:t>
            </w:r>
          </w:p>
        </w:tc>
      </w:tr>
      <w:tr w:rsidR="00DB7C4E" w:rsidRPr="00B23721" w:rsidTr="006F2DA2">
        <w:tc>
          <w:tcPr>
            <w:tcW w:w="1934" w:type="dxa"/>
            <w:vMerge w:val="restart"/>
          </w:tcPr>
          <w:p w:rsidR="00DB7C4E" w:rsidRPr="00B23721" w:rsidRDefault="00DB7C4E" w:rsidP="005668F6">
            <w:pPr>
              <w:jc w:val="left"/>
              <w:rPr>
                <w:rFonts w:ascii="Arial Narrow" w:hAnsi="Arial Narrow"/>
                <w:sz w:val="20"/>
              </w:rPr>
            </w:pPr>
            <w:r w:rsidRPr="00B23721">
              <w:rPr>
                <w:rFonts w:ascii="Arial Narrow" w:hAnsi="Arial Narrow"/>
                <w:sz w:val="20"/>
              </w:rPr>
              <w:t>SA.1:</w:t>
            </w:r>
            <w:r w:rsidRPr="00B23721">
              <w:rPr>
                <w:rFonts w:ascii="Arial Narrow" w:hAnsi="Arial Narrow" w:cs="Times New Roman"/>
                <w:sz w:val="20"/>
              </w:rPr>
              <w:t xml:space="preserve"> OS and PFS</w:t>
            </w:r>
          </w:p>
        </w:tc>
        <w:tc>
          <w:tcPr>
            <w:tcW w:w="4536" w:type="dxa"/>
          </w:tcPr>
          <w:p w:rsidR="00DB7C4E" w:rsidRPr="00B23721" w:rsidRDefault="00DB7C4E" w:rsidP="005668F6">
            <w:pPr>
              <w:widowControl/>
              <w:jc w:val="left"/>
              <w:rPr>
                <w:rFonts w:ascii="Arial Narrow" w:hAnsi="Arial Narrow"/>
                <w:sz w:val="20"/>
              </w:rPr>
            </w:pPr>
            <w:r w:rsidRPr="00B23721">
              <w:rPr>
                <w:rFonts w:ascii="Arial Narrow" w:eastAsia="Calibri" w:hAnsi="Arial Narrow" w:cs="Times New Roman"/>
                <w:sz w:val="20"/>
              </w:rPr>
              <w:t>Lower confidence limits</w:t>
            </w:r>
          </w:p>
        </w:tc>
        <w:tc>
          <w:tcPr>
            <w:tcW w:w="992" w:type="dxa"/>
            <w:vAlign w:val="center"/>
          </w:tcPr>
          <w:p w:rsidR="00DB7C4E" w:rsidRPr="00B23721" w:rsidRDefault="00DB7C4E" w:rsidP="005668F6">
            <w:pPr>
              <w:jc w:val="right"/>
              <w:rPr>
                <w:rFonts w:ascii="Arial Narrow" w:hAnsi="Arial Narrow"/>
                <w:sz w:val="20"/>
              </w:rPr>
            </w:pPr>
            <w:r w:rsidRPr="00B23721">
              <w:rPr>
                <w:rFonts w:ascii="Arial Narrow" w:hAnsi="Arial Narrow"/>
                <w:color w:val="000000"/>
                <w:sz w:val="20"/>
              </w:rPr>
              <w:t>$</w:t>
            </w:r>
            <w:r w:rsidR="00BF699F">
              <w:rPr>
                <w:rFonts w:ascii="Arial Narrow" w:hAnsi="Arial Narrow"/>
                <w:noProof/>
                <w:color w:val="000000"/>
                <w:sz w:val="20"/>
                <w:highlight w:val="black"/>
              </w:rPr>
              <w:t>'''''''''''''''''</w:t>
            </w:r>
          </w:p>
        </w:tc>
        <w:tc>
          <w:tcPr>
            <w:tcW w:w="992" w:type="dxa"/>
            <w:vAlign w:val="center"/>
          </w:tcPr>
          <w:p w:rsidR="00DB7C4E" w:rsidRPr="00B23721" w:rsidRDefault="00DB7C4E" w:rsidP="005668F6">
            <w:pPr>
              <w:jc w:val="right"/>
              <w:rPr>
                <w:rFonts w:ascii="Arial Narrow" w:hAnsi="Arial Narrow"/>
                <w:sz w:val="20"/>
              </w:rPr>
            </w:pPr>
            <w:r w:rsidRPr="00B23721">
              <w:rPr>
                <w:rFonts w:ascii="Arial Narrow" w:hAnsi="Arial Narrow"/>
                <w:color w:val="000000"/>
                <w:sz w:val="20"/>
              </w:rPr>
              <w:t>$</w:t>
            </w:r>
            <w:r w:rsidR="00BF699F">
              <w:rPr>
                <w:rFonts w:ascii="Arial Narrow" w:hAnsi="Arial Narrow"/>
                <w:noProof/>
                <w:color w:val="000000"/>
                <w:sz w:val="20"/>
                <w:highlight w:val="black"/>
              </w:rPr>
              <w:t>'''''''''''''''''''''</w:t>
            </w:r>
          </w:p>
        </w:tc>
      </w:tr>
      <w:tr w:rsidR="00DB7C4E" w:rsidRPr="00B23721" w:rsidTr="006F2DA2">
        <w:tc>
          <w:tcPr>
            <w:tcW w:w="1934" w:type="dxa"/>
            <w:vMerge/>
          </w:tcPr>
          <w:p w:rsidR="00DB7C4E" w:rsidRPr="00B23721" w:rsidRDefault="00DB7C4E" w:rsidP="005668F6">
            <w:pPr>
              <w:jc w:val="left"/>
              <w:rPr>
                <w:rFonts w:ascii="Arial Narrow" w:hAnsi="Arial Narrow"/>
                <w:sz w:val="20"/>
              </w:rPr>
            </w:pPr>
          </w:p>
        </w:tc>
        <w:tc>
          <w:tcPr>
            <w:tcW w:w="4536" w:type="dxa"/>
          </w:tcPr>
          <w:p w:rsidR="00DB7C4E" w:rsidRPr="00B23721" w:rsidRDefault="00DB7C4E" w:rsidP="005668F6">
            <w:pPr>
              <w:widowControl/>
              <w:jc w:val="left"/>
              <w:rPr>
                <w:rFonts w:ascii="Arial Narrow" w:eastAsia="Calibri" w:hAnsi="Arial Narrow" w:cs="Times New Roman"/>
                <w:sz w:val="20"/>
              </w:rPr>
            </w:pPr>
            <w:r w:rsidRPr="00B23721">
              <w:rPr>
                <w:rFonts w:ascii="Arial Narrow" w:eastAsia="Calibri" w:hAnsi="Arial Narrow" w:cs="Times New Roman"/>
                <w:sz w:val="20"/>
              </w:rPr>
              <w:t>Upper confidence limits</w:t>
            </w:r>
          </w:p>
        </w:tc>
        <w:tc>
          <w:tcPr>
            <w:tcW w:w="992" w:type="dxa"/>
            <w:vAlign w:val="center"/>
          </w:tcPr>
          <w:p w:rsidR="00DB7C4E" w:rsidRPr="00B23721" w:rsidRDefault="00DB7C4E" w:rsidP="005668F6">
            <w:pPr>
              <w:jc w:val="right"/>
              <w:rPr>
                <w:rFonts w:ascii="Arial Narrow" w:hAnsi="Arial Narrow"/>
                <w:sz w:val="20"/>
              </w:rPr>
            </w:pPr>
            <w:r w:rsidRPr="00B23721">
              <w:rPr>
                <w:rFonts w:ascii="Arial Narrow" w:hAnsi="Arial Narrow"/>
                <w:color w:val="000000"/>
                <w:sz w:val="20"/>
              </w:rPr>
              <w:t>$</w:t>
            </w:r>
            <w:r w:rsidR="00BF699F">
              <w:rPr>
                <w:rFonts w:ascii="Arial Narrow" w:hAnsi="Arial Narrow"/>
                <w:noProof/>
                <w:color w:val="000000"/>
                <w:sz w:val="20"/>
                <w:highlight w:val="black"/>
              </w:rPr>
              <w:t>'''''''''''''''</w:t>
            </w:r>
          </w:p>
        </w:tc>
        <w:tc>
          <w:tcPr>
            <w:tcW w:w="992" w:type="dxa"/>
            <w:vAlign w:val="center"/>
          </w:tcPr>
          <w:p w:rsidR="00DB7C4E" w:rsidRPr="00B23721" w:rsidRDefault="00DB7C4E" w:rsidP="005668F6">
            <w:pPr>
              <w:jc w:val="right"/>
              <w:rPr>
                <w:rFonts w:ascii="Arial Narrow" w:hAnsi="Arial Narrow"/>
                <w:sz w:val="20"/>
              </w:rPr>
            </w:pPr>
            <w:r w:rsidRPr="00B23721">
              <w:rPr>
                <w:rFonts w:ascii="Arial Narrow" w:hAnsi="Arial Narrow"/>
                <w:color w:val="000000"/>
                <w:sz w:val="20"/>
              </w:rPr>
              <w:t>$</w:t>
            </w:r>
            <w:r w:rsidR="00BF699F">
              <w:rPr>
                <w:rFonts w:ascii="Arial Narrow" w:hAnsi="Arial Narrow"/>
                <w:noProof/>
                <w:color w:val="000000"/>
                <w:sz w:val="20"/>
                <w:highlight w:val="black"/>
              </w:rPr>
              <w:t>''''''''''''''''</w:t>
            </w:r>
          </w:p>
        </w:tc>
      </w:tr>
      <w:tr w:rsidR="009F6BE2" w:rsidRPr="00B23721" w:rsidTr="006F2DA2">
        <w:tc>
          <w:tcPr>
            <w:tcW w:w="1934" w:type="dxa"/>
            <w:vMerge w:val="restart"/>
          </w:tcPr>
          <w:p w:rsidR="009F6BE2" w:rsidRPr="00B23721" w:rsidRDefault="009F6BE2" w:rsidP="005668F6">
            <w:pPr>
              <w:jc w:val="left"/>
              <w:rPr>
                <w:rFonts w:ascii="Arial Narrow" w:hAnsi="Arial Narrow"/>
                <w:sz w:val="20"/>
              </w:rPr>
            </w:pPr>
            <w:r w:rsidRPr="00B23721">
              <w:rPr>
                <w:rFonts w:ascii="Arial Narrow" w:hAnsi="Arial Narrow"/>
                <w:sz w:val="20"/>
              </w:rPr>
              <w:t>SA.2: Point of extrapolation</w:t>
            </w:r>
          </w:p>
        </w:tc>
        <w:tc>
          <w:tcPr>
            <w:tcW w:w="4536" w:type="dxa"/>
          </w:tcPr>
          <w:p w:rsidR="009F6BE2" w:rsidRPr="00B23721" w:rsidRDefault="009F6BE2" w:rsidP="005668F6">
            <w:pPr>
              <w:rPr>
                <w:rFonts w:ascii="Arial Narrow" w:hAnsi="Arial Narrow"/>
                <w:sz w:val="20"/>
              </w:rPr>
            </w:pPr>
            <w:r w:rsidRPr="00B23721">
              <w:rPr>
                <w:rFonts w:ascii="Arial Narrow" w:hAnsi="Arial Narrow"/>
                <w:sz w:val="20"/>
              </w:rPr>
              <w:t>Median duration of follow-up</w:t>
            </w:r>
          </w:p>
        </w:tc>
        <w:tc>
          <w:tcPr>
            <w:tcW w:w="992" w:type="dxa"/>
          </w:tcPr>
          <w:p w:rsidR="009F6BE2" w:rsidRPr="00B23721" w:rsidRDefault="009F6BE2" w:rsidP="005668F6">
            <w:pPr>
              <w:jc w:val="right"/>
              <w:rPr>
                <w:rFonts w:ascii="Arial Narrow" w:hAnsi="Arial Narrow"/>
                <w:sz w:val="20"/>
              </w:rPr>
            </w:pPr>
            <w:r w:rsidRPr="00B23721">
              <w:rPr>
                <w:rFonts w:ascii="Arial Narrow" w:hAnsi="Arial Narrow"/>
                <w:color w:val="000000"/>
                <w:sz w:val="20"/>
              </w:rPr>
              <w:t>$</w:t>
            </w:r>
            <w:r w:rsidR="00BF699F">
              <w:rPr>
                <w:rFonts w:ascii="Arial Narrow" w:hAnsi="Arial Narrow"/>
                <w:noProof/>
                <w:color w:val="000000"/>
                <w:sz w:val="20"/>
                <w:highlight w:val="black"/>
              </w:rPr>
              <w:t>''''''''''''''''''</w:t>
            </w:r>
          </w:p>
        </w:tc>
        <w:tc>
          <w:tcPr>
            <w:tcW w:w="992" w:type="dxa"/>
          </w:tcPr>
          <w:p w:rsidR="009F6BE2" w:rsidRPr="00B23721" w:rsidRDefault="009F6BE2" w:rsidP="005668F6">
            <w:pPr>
              <w:jc w:val="right"/>
              <w:rPr>
                <w:rFonts w:ascii="Arial Narrow" w:hAnsi="Arial Narrow"/>
                <w:sz w:val="20"/>
              </w:rPr>
            </w:pPr>
            <w:r w:rsidRPr="00B23721">
              <w:rPr>
                <w:rFonts w:ascii="Arial Narrow" w:hAnsi="Arial Narrow"/>
                <w:color w:val="000000"/>
                <w:sz w:val="20"/>
              </w:rPr>
              <w:t>$</w:t>
            </w:r>
            <w:r w:rsidR="00BF699F">
              <w:rPr>
                <w:rFonts w:ascii="Arial Narrow" w:hAnsi="Arial Narrow"/>
                <w:noProof/>
                <w:color w:val="000000"/>
                <w:sz w:val="20"/>
                <w:highlight w:val="black"/>
              </w:rPr>
              <w:t>'''''''''''''''''''''</w:t>
            </w:r>
          </w:p>
        </w:tc>
      </w:tr>
      <w:tr w:rsidR="009F6BE2" w:rsidRPr="00B23721" w:rsidTr="006F2DA2">
        <w:tc>
          <w:tcPr>
            <w:tcW w:w="1934" w:type="dxa"/>
            <w:vMerge/>
          </w:tcPr>
          <w:p w:rsidR="009F6BE2" w:rsidRPr="00B23721" w:rsidRDefault="009F6BE2" w:rsidP="005668F6">
            <w:pPr>
              <w:jc w:val="left"/>
              <w:rPr>
                <w:rFonts w:ascii="Arial Narrow" w:hAnsi="Arial Narrow"/>
                <w:sz w:val="20"/>
              </w:rPr>
            </w:pPr>
          </w:p>
        </w:tc>
        <w:tc>
          <w:tcPr>
            <w:tcW w:w="4536" w:type="dxa"/>
          </w:tcPr>
          <w:p w:rsidR="009F6BE2" w:rsidRPr="00B23721" w:rsidRDefault="009F6BE2" w:rsidP="005668F6">
            <w:pPr>
              <w:rPr>
                <w:rFonts w:ascii="Arial Narrow" w:hAnsi="Arial Narrow"/>
                <w:sz w:val="20"/>
              </w:rPr>
            </w:pPr>
            <w:r w:rsidRPr="00B23721">
              <w:rPr>
                <w:rFonts w:ascii="Arial Narrow" w:hAnsi="Arial Narrow"/>
                <w:sz w:val="20"/>
              </w:rPr>
              <w:t>End of available data</w:t>
            </w:r>
          </w:p>
        </w:tc>
        <w:tc>
          <w:tcPr>
            <w:tcW w:w="992" w:type="dxa"/>
            <w:vAlign w:val="center"/>
          </w:tcPr>
          <w:p w:rsidR="009F6BE2" w:rsidRPr="00B23721" w:rsidRDefault="009F6BE2" w:rsidP="005668F6">
            <w:pPr>
              <w:jc w:val="right"/>
              <w:rPr>
                <w:rFonts w:ascii="Arial Narrow" w:hAnsi="Arial Narrow"/>
                <w:color w:val="000000"/>
                <w:sz w:val="20"/>
              </w:rPr>
            </w:pPr>
            <w:r w:rsidRPr="00B23721">
              <w:rPr>
                <w:rFonts w:ascii="Arial Narrow" w:hAnsi="Arial Narrow"/>
                <w:color w:val="000000"/>
                <w:sz w:val="20"/>
              </w:rPr>
              <w:t>$</w:t>
            </w:r>
            <w:r w:rsidR="00BF699F">
              <w:rPr>
                <w:rFonts w:ascii="Arial Narrow" w:hAnsi="Arial Narrow"/>
                <w:noProof/>
                <w:color w:val="000000"/>
                <w:sz w:val="20"/>
                <w:highlight w:val="black"/>
              </w:rPr>
              <w:t>''''''''''''''''</w:t>
            </w:r>
          </w:p>
        </w:tc>
        <w:tc>
          <w:tcPr>
            <w:tcW w:w="992" w:type="dxa"/>
            <w:vAlign w:val="center"/>
          </w:tcPr>
          <w:p w:rsidR="009F6BE2" w:rsidRPr="00B23721" w:rsidRDefault="009F6BE2" w:rsidP="005668F6">
            <w:pPr>
              <w:jc w:val="right"/>
              <w:rPr>
                <w:rFonts w:ascii="Arial Narrow" w:hAnsi="Arial Narrow"/>
                <w:color w:val="000000"/>
                <w:sz w:val="20"/>
              </w:rPr>
            </w:pPr>
            <w:r w:rsidRPr="00B23721">
              <w:rPr>
                <w:rFonts w:ascii="Arial Narrow" w:hAnsi="Arial Narrow"/>
                <w:color w:val="000000"/>
                <w:sz w:val="20"/>
              </w:rPr>
              <w:t>$</w:t>
            </w:r>
            <w:r w:rsidR="00BF699F">
              <w:rPr>
                <w:rFonts w:ascii="Arial Narrow" w:hAnsi="Arial Narrow"/>
                <w:noProof/>
                <w:color w:val="000000"/>
                <w:sz w:val="20"/>
                <w:highlight w:val="black"/>
              </w:rPr>
              <w:t>''''''''''''''''</w:t>
            </w:r>
          </w:p>
        </w:tc>
      </w:tr>
      <w:tr w:rsidR="009F6BE2" w:rsidRPr="00B23721" w:rsidTr="006F2DA2">
        <w:tc>
          <w:tcPr>
            <w:tcW w:w="1934" w:type="dxa"/>
            <w:vMerge w:val="restart"/>
          </w:tcPr>
          <w:p w:rsidR="009F6BE2" w:rsidRPr="00B23721" w:rsidRDefault="009F6BE2" w:rsidP="005668F6">
            <w:pPr>
              <w:jc w:val="left"/>
              <w:rPr>
                <w:rFonts w:ascii="Arial Narrow" w:hAnsi="Arial Narrow"/>
                <w:sz w:val="20"/>
              </w:rPr>
            </w:pPr>
            <w:r w:rsidRPr="00B23721">
              <w:rPr>
                <w:rFonts w:ascii="Arial Narrow" w:hAnsi="Arial Narrow"/>
                <w:sz w:val="20"/>
              </w:rPr>
              <w:t>SA.3: Method of extrapolation</w:t>
            </w:r>
          </w:p>
        </w:tc>
        <w:tc>
          <w:tcPr>
            <w:tcW w:w="4536" w:type="dxa"/>
          </w:tcPr>
          <w:p w:rsidR="009F6BE2" w:rsidRPr="00B23721" w:rsidRDefault="009F6BE2" w:rsidP="005668F6">
            <w:pPr>
              <w:rPr>
                <w:rFonts w:ascii="Arial Narrow" w:hAnsi="Arial Narrow"/>
                <w:sz w:val="20"/>
              </w:rPr>
            </w:pPr>
            <w:r w:rsidRPr="00B23721">
              <w:rPr>
                <w:rFonts w:ascii="Arial Narrow" w:eastAsia="Calibri" w:hAnsi="Arial Narrow" w:cs="Times New Roman"/>
                <w:sz w:val="20"/>
              </w:rPr>
              <w:t>Log-logistic for nivolumab and Weibull for docetaxel</w:t>
            </w:r>
          </w:p>
        </w:tc>
        <w:tc>
          <w:tcPr>
            <w:tcW w:w="992" w:type="dxa"/>
            <w:vAlign w:val="center"/>
          </w:tcPr>
          <w:p w:rsidR="009F6BE2" w:rsidRPr="00B23721" w:rsidRDefault="009F6BE2" w:rsidP="005668F6">
            <w:pPr>
              <w:jc w:val="right"/>
              <w:rPr>
                <w:rFonts w:ascii="Arial Narrow" w:hAnsi="Arial Narrow"/>
                <w:sz w:val="20"/>
              </w:rPr>
            </w:pPr>
            <w:r w:rsidRPr="00B23721">
              <w:rPr>
                <w:rFonts w:ascii="Arial Narrow" w:hAnsi="Arial Narrow"/>
                <w:color w:val="000000"/>
                <w:sz w:val="20"/>
              </w:rPr>
              <w:t>$</w:t>
            </w:r>
            <w:r w:rsidR="00BF699F">
              <w:rPr>
                <w:rFonts w:ascii="Arial Narrow" w:hAnsi="Arial Narrow"/>
                <w:noProof/>
                <w:color w:val="000000"/>
                <w:sz w:val="20"/>
                <w:highlight w:val="black"/>
              </w:rPr>
              <w:t>''''''''''''''''</w:t>
            </w:r>
          </w:p>
        </w:tc>
        <w:tc>
          <w:tcPr>
            <w:tcW w:w="992" w:type="dxa"/>
            <w:vAlign w:val="center"/>
          </w:tcPr>
          <w:p w:rsidR="009F6BE2" w:rsidRPr="00B23721" w:rsidRDefault="009F6BE2" w:rsidP="005668F6">
            <w:pPr>
              <w:jc w:val="right"/>
              <w:rPr>
                <w:rFonts w:ascii="Arial Narrow" w:hAnsi="Arial Narrow"/>
                <w:sz w:val="20"/>
              </w:rPr>
            </w:pPr>
            <w:r w:rsidRPr="00B23721">
              <w:rPr>
                <w:rFonts w:ascii="Arial Narrow" w:hAnsi="Arial Narrow"/>
                <w:color w:val="000000"/>
                <w:sz w:val="20"/>
              </w:rPr>
              <w:t>$</w:t>
            </w:r>
            <w:r w:rsidR="00BF699F">
              <w:rPr>
                <w:rFonts w:ascii="Arial Narrow" w:hAnsi="Arial Narrow"/>
                <w:noProof/>
                <w:color w:val="000000"/>
                <w:sz w:val="20"/>
                <w:highlight w:val="black"/>
              </w:rPr>
              <w:t>'''''''''''''''</w:t>
            </w:r>
          </w:p>
        </w:tc>
      </w:tr>
      <w:tr w:rsidR="009F6BE2" w:rsidRPr="00B23721" w:rsidTr="006F2DA2">
        <w:tc>
          <w:tcPr>
            <w:tcW w:w="1934" w:type="dxa"/>
            <w:vMerge/>
          </w:tcPr>
          <w:p w:rsidR="009F6BE2" w:rsidRPr="00B23721" w:rsidRDefault="009F6BE2" w:rsidP="005668F6">
            <w:pPr>
              <w:jc w:val="left"/>
              <w:rPr>
                <w:rFonts w:ascii="Arial Narrow" w:hAnsi="Arial Narrow"/>
                <w:sz w:val="20"/>
              </w:rPr>
            </w:pPr>
          </w:p>
        </w:tc>
        <w:tc>
          <w:tcPr>
            <w:tcW w:w="4536" w:type="dxa"/>
          </w:tcPr>
          <w:p w:rsidR="009F6BE2" w:rsidRPr="00B23721" w:rsidRDefault="009F6BE2" w:rsidP="005668F6">
            <w:pPr>
              <w:rPr>
                <w:rFonts w:ascii="Arial Narrow" w:hAnsi="Arial Narrow"/>
                <w:sz w:val="20"/>
              </w:rPr>
            </w:pPr>
            <w:r w:rsidRPr="00B23721">
              <w:rPr>
                <w:rFonts w:ascii="Arial Narrow" w:eastAsia="Calibri" w:hAnsi="Arial Narrow" w:cs="Times New Roman"/>
                <w:sz w:val="20"/>
              </w:rPr>
              <w:t>Weibull for both PFS and OS in both arms</w:t>
            </w:r>
            <w:r w:rsidRPr="00B23721">
              <w:rPr>
                <w:rFonts w:ascii="Arial Narrow" w:hAnsi="Arial Narrow" w:cs="Times New Roman"/>
                <w:sz w:val="20"/>
                <w:vertAlign w:val="superscript"/>
              </w:rPr>
              <w:t>a</w:t>
            </w:r>
          </w:p>
        </w:tc>
        <w:tc>
          <w:tcPr>
            <w:tcW w:w="992" w:type="dxa"/>
          </w:tcPr>
          <w:p w:rsidR="009F6BE2" w:rsidRPr="00B23721" w:rsidRDefault="009F6BE2" w:rsidP="005668F6">
            <w:pPr>
              <w:jc w:val="right"/>
              <w:rPr>
                <w:rFonts w:ascii="Arial Narrow" w:hAnsi="Arial Narrow"/>
                <w:color w:val="000000"/>
                <w:sz w:val="20"/>
              </w:rPr>
            </w:pPr>
            <w:r w:rsidRPr="00B23721">
              <w:rPr>
                <w:rFonts w:ascii="Arial Narrow" w:hAnsi="Arial Narrow"/>
                <w:color w:val="000000"/>
                <w:sz w:val="20"/>
              </w:rPr>
              <w:t>$</w:t>
            </w:r>
            <w:r w:rsidR="00BF699F">
              <w:rPr>
                <w:rFonts w:ascii="Arial Narrow" w:hAnsi="Arial Narrow"/>
                <w:noProof/>
                <w:color w:val="000000"/>
                <w:sz w:val="20"/>
                <w:highlight w:val="black"/>
              </w:rPr>
              <w:t>'''''''''''''''''</w:t>
            </w:r>
          </w:p>
        </w:tc>
        <w:tc>
          <w:tcPr>
            <w:tcW w:w="992" w:type="dxa"/>
          </w:tcPr>
          <w:p w:rsidR="009F6BE2" w:rsidRPr="00B23721" w:rsidRDefault="009F6BE2" w:rsidP="005668F6">
            <w:pPr>
              <w:jc w:val="right"/>
              <w:rPr>
                <w:rFonts w:ascii="Arial Narrow" w:hAnsi="Arial Narrow"/>
                <w:color w:val="000000"/>
                <w:sz w:val="20"/>
              </w:rPr>
            </w:pPr>
            <w:r w:rsidRPr="00B23721">
              <w:rPr>
                <w:rFonts w:ascii="Arial Narrow" w:hAnsi="Arial Narrow"/>
                <w:color w:val="000000"/>
                <w:sz w:val="20"/>
              </w:rPr>
              <w:t>$</w:t>
            </w:r>
            <w:r w:rsidR="00BF699F">
              <w:rPr>
                <w:rFonts w:ascii="Arial Narrow" w:hAnsi="Arial Narrow"/>
                <w:noProof/>
                <w:color w:val="000000"/>
                <w:sz w:val="20"/>
                <w:highlight w:val="black"/>
              </w:rPr>
              <w:t>''''''''''''''''''''</w:t>
            </w:r>
          </w:p>
        </w:tc>
      </w:tr>
      <w:tr w:rsidR="009F6BE2" w:rsidRPr="00B23721" w:rsidTr="006F2DA2">
        <w:tc>
          <w:tcPr>
            <w:tcW w:w="1934" w:type="dxa"/>
            <w:vMerge w:val="restart"/>
          </w:tcPr>
          <w:p w:rsidR="009F6BE2" w:rsidRPr="00B23721" w:rsidRDefault="0026719C" w:rsidP="005668F6">
            <w:pPr>
              <w:jc w:val="left"/>
              <w:rPr>
                <w:rFonts w:ascii="Arial Narrow" w:hAnsi="Arial Narrow"/>
                <w:sz w:val="20"/>
              </w:rPr>
            </w:pPr>
            <w:r w:rsidRPr="00B23721">
              <w:rPr>
                <w:rFonts w:ascii="Arial Narrow" w:hAnsi="Arial Narrow"/>
                <w:sz w:val="20"/>
              </w:rPr>
              <w:t>SA.4</w:t>
            </w:r>
            <w:r w:rsidR="009F6BE2" w:rsidRPr="00B23721">
              <w:rPr>
                <w:rFonts w:ascii="Arial Narrow" w:hAnsi="Arial Narrow"/>
                <w:sz w:val="20"/>
              </w:rPr>
              <w:t>: Time horizon</w:t>
            </w:r>
          </w:p>
        </w:tc>
        <w:tc>
          <w:tcPr>
            <w:tcW w:w="4536" w:type="dxa"/>
          </w:tcPr>
          <w:p w:rsidR="009F6BE2" w:rsidRPr="00B23721" w:rsidRDefault="009F6BE2" w:rsidP="005668F6">
            <w:pPr>
              <w:rPr>
                <w:rFonts w:ascii="Arial Narrow" w:hAnsi="Arial Narrow"/>
                <w:sz w:val="20"/>
              </w:rPr>
            </w:pPr>
            <w:r w:rsidRPr="00B23721">
              <w:rPr>
                <w:rFonts w:ascii="Arial Narrow" w:hAnsi="Arial Narrow"/>
                <w:sz w:val="20"/>
              </w:rPr>
              <w:t>5 years</w:t>
            </w:r>
          </w:p>
        </w:tc>
        <w:tc>
          <w:tcPr>
            <w:tcW w:w="992" w:type="dxa"/>
            <w:vAlign w:val="center"/>
          </w:tcPr>
          <w:p w:rsidR="009F6BE2" w:rsidRPr="00B23721" w:rsidRDefault="009F6BE2" w:rsidP="005668F6">
            <w:pPr>
              <w:jc w:val="right"/>
              <w:rPr>
                <w:rFonts w:ascii="Arial Narrow" w:hAnsi="Arial Narrow"/>
                <w:sz w:val="20"/>
              </w:rPr>
            </w:pPr>
            <w:r w:rsidRPr="00B23721">
              <w:rPr>
                <w:rFonts w:ascii="Arial Narrow" w:hAnsi="Arial Narrow"/>
                <w:color w:val="000000"/>
                <w:sz w:val="20"/>
              </w:rPr>
              <w:t>$</w:t>
            </w:r>
            <w:r w:rsidR="00BF699F">
              <w:rPr>
                <w:rFonts w:ascii="Arial Narrow" w:hAnsi="Arial Narrow"/>
                <w:noProof/>
                <w:color w:val="000000"/>
                <w:sz w:val="20"/>
                <w:highlight w:val="black"/>
              </w:rPr>
              <w:t>''''''''''''''''</w:t>
            </w:r>
          </w:p>
        </w:tc>
        <w:tc>
          <w:tcPr>
            <w:tcW w:w="992" w:type="dxa"/>
            <w:vAlign w:val="center"/>
          </w:tcPr>
          <w:p w:rsidR="009F6BE2" w:rsidRPr="00B23721" w:rsidRDefault="009F6BE2" w:rsidP="005668F6">
            <w:pPr>
              <w:jc w:val="right"/>
              <w:rPr>
                <w:rFonts w:ascii="Arial Narrow" w:hAnsi="Arial Narrow"/>
                <w:sz w:val="20"/>
              </w:rPr>
            </w:pPr>
            <w:r w:rsidRPr="00B23721">
              <w:rPr>
                <w:rFonts w:ascii="Arial Narrow" w:hAnsi="Arial Narrow"/>
                <w:color w:val="000000"/>
                <w:sz w:val="20"/>
              </w:rPr>
              <w:t>$</w:t>
            </w:r>
            <w:r w:rsidR="00BF699F">
              <w:rPr>
                <w:rFonts w:ascii="Arial Narrow" w:hAnsi="Arial Narrow"/>
                <w:noProof/>
                <w:color w:val="000000"/>
                <w:sz w:val="20"/>
                <w:highlight w:val="black"/>
              </w:rPr>
              <w:t>''''''''''''''''''</w:t>
            </w:r>
          </w:p>
        </w:tc>
      </w:tr>
      <w:tr w:rsidR="009F6BE2" w:rsidRPr="00B23721" w:rsidTr="006F2DA2">
        <w:tc>
          <w:tcPr>
            <w:tcW w:w="1934" w:type="dxa"/>
            <w:vMerge/>
          </w:tcPr>
          <w:p w:rsidR="009F6BE2" w:rsidRPr="00B23721" w:rsidRDefault="009F6BE2" w:rsidP="005668F6">
            <w:pPr>
              <w:jc w:val="left"/>
              <w:rPr>
                <w:rFonts w:ascii="Arial Narrow" w:hAnsi="Arial Narrow"/>
                <w:sz w:val="20"/>
              </w:rPr>
            </w:pPr>
          </w:p>
        </w:tc>
        <w:tc>
          <w:tcPr>
            <w:tcW w:w="4536" w:type="dxa"/>
          </w:tcPr>
          <w:p w:rsidR="009F6BE2" w:rsidRPr="00B23721" w:rsidRDefault="009F6BE2" w:rsidP="005668F6">
            <w:pPr>
              <w:rPr>
                <w:rFonts w:ascii="Arial Narrow" w:hAnsi="Arial Narrow"/>
                <w:sz w:val="20"/>
              </w:rPr>
            </w:pPr>
            <w:r w:rsidRPr="00B23721">
              <w:rPr>
                <w:rFonts w:ascii="Arial Narrow" w:hAnsi="Arial Narrow"/>
                <w:sz w:val="20"/>
              </w:rPr>
              <w:t>3 years</w:t>
            </w:r>
          </w:p>
        </w:tc>
        <w:tc>
          <w:tcPr>
            <w:tcW w:w="992" w:type="dxa"/>
            <w:vAlign w:val="center"/>
          </w:tcPr>
          <w:p w:rsidR="009F6BE2" w:rsidRPr="00B23721" w:rsidRDefault="009F6BE2" w:rsidP="005668F6">
            <w:pPr>
              <w:jc w:val="right"/>
              <w:rPr>
                <w:rFonts w:ascii="Arial Narrow" w:hAnsi="Arial Narrow"/>
                <w:sz w:val="20"/>
              </w:rPr>
            </w:pPr>
            <w:r w:rsidRPr="00B23721">
              <w:rPr>
                <w:rFonts w:ascii="Arial Narrow" w:hAnsi="Arial Narrow" w:cs="Times New Roman"/>
                <w:sz w:val="20"/>
              </w:rPr>
              <w:t>$</w:t>
            </w:r>
            <w:r w:rsidR="00BF699F">
              <w:rPr>
                <w:rFonts w:ascii="Arial Narrow" w:hAnsi="Arial Narrow" w:cs="Times New Roman"/>
                <w:noProof/>
                <w:color w:val="000000"/>
                <w:sz w:val="20"/>
                <w:highlight w:val="black"/>
              </w:rPr>
              <w:t>''''''''''''''''''''</w:t>
            </w:r>
          </w:p>
        </w:tc>
        <w:tc>
          <w:tcPr>
            <w:tcW w:w="992" w:type="dxa"/>
            <w:vAlign w:val="center"/>
          </w:tcPr>
          <w:p w:rsidR="009F6BE2" w:rsidRPr="00B23721" w:rsidRDefault="009F6BE2" w:rsidP="005668F6">
            <w:pPr>
              <w:jc w:val="right"/>
              <w:rPr>
                <w:rFonts w:ascii="Arial Narrow" w:hAnsi="Arial Narrow"/>
                <w:sz w:val="20"/>
              </w:rPr>
            </w:pPr>
            <w:r w:rsidRPr="00B23721">
              <w:rPr>
                <w:rFonts w:ascii="Arial Narrow" w:hAnsi="Arial Narrow" w:cs="Times New Roman"/>
                <w:sz w:val="20"/>
              </w:rPr>
              <w:t>$</w:t>
            </w:r>
            <w:r w:rsidR="00BF699F">
              <w:rPr>
                <w:rFonts w:ascii="Arial Narrow" w:hAnsi="Arial Narrow" w:cs="Times New Roman"/>
                <w:noProof/>
                <w:color w:val="000000"/>
                <w:sz w:val="20"/>
                <w:highlight w:val="black"/>
              </w:rPr>
              <w:t>'''''''''''''''''''''</w:t>
            </w:r>
          </w:p>
        </w:tc>
      </w:tr>
      <w:tr w:rsidR="00052D18" w:rsidRPr="00B23721" w:rsidTr="006F2DA2">
        <w:tc>
          <w:tcPr>
            <w:tcW w:w="1934" w:type="dxa"/>
            <w:vMerge w:val="restart"/>
          </w:tcPr>
          <w:p w:rsidR="00052D18" w:rsidRPr="00B23721" w:rsidRDefault="0026719C" w:rsidP="005668F6">
            <w:pPr>
              <w:jc w:val="left"/>
              <w:rPr>
                <w:rFonts w:ascii="Arial Narrow" w:hAnsi="Arial Narrow"/>
                <w:sz w:val="20"/>
              </w:rPr>
            </w:pPr>
            <w:r w:rsidRPr="00B23721">
              <w:rPr>
                <w:rFonts w:ascii="Arial Narrow" w:hAnsi="Arial Narrow"/>
                <w:sz w:val="20"/>
              </w:rPr>
              <w:t>SA.5</w:t>
            </w:r>
            <w:r w:rsidR="00052D18" w:rsidRPr="00B23721">
              <w:rPr>
                <w:rFonts w:ascii="Arial Narrow" w:hAnsi="Arial Narrow"/>
                <w:sz w:val="20"/>
              </w:rPr>
              <w:t>. Utility values</w:t>
            </w:r>
          </w:p>
        </w:tc>
        <w:tc>
          <w:tcPr>
            <w:tcW w:w="4536" w:type="dxa"/>
          </w:tcPr>
          <w:p w:rsidR="00052D18" w:rsidRPr="00B23721" w:rsidRDefault="00052D18" w:rsidP="005668F6">
            <w:pPr>
              <w:rPr>
                <w:rFonts w:ascii="Arial Narrow" w:hAnsi="Arial Narrow"/>
                <w:sz w:val="20"/>
              </w:rPr>
            </w:pPr>
            <w:r w:rsidRPr="00B23721">
              <w:rPr>
                <w:rFonts w:ascii="Arial Narrow" w:eastAsia="Calibri" w:hAnsi="Arial Narrow" w:cs="Times New Roman"/>
                <w:sz w:val="20"/>
              </w:rPr>
              <w:t>Respective nivolumab and docetaxel utility values</w:t>
            </w:r>
            <w:r w:rsidRPr="00B23721">
              <w:rPr>
                <w:rFonts w:ascii="Arial Narrow" w:eastAsia="Calibri" w:hAnsi="Arial Narrow" w:cs="Times New Roman"/>
                <w:sz w:val="20"/>
                <w:vertAlign w:val="superscript"/>
              </w:rPr>
              <w:t>b</w:t>
            </w:r>
          </w:p>
        </w:tc>
        <w:tc>
          <w:tcPr>
            <w:tcW w:w="992" w:type="dxa"/>
            <w:vAlign w:val="center"/>
          </w:tcPr>
          <w:p w:rsidR="00052D18" w:rsidRPr="00B23721" w:rsidRDefault="00052D18" w:rsidP="005668F6">
            <w:pPr>
              <w:jc w:val="right"/>
              <w:rPr>
                <w:rFonts w:ascii="Arial Narrow" w:hAnsi="Arial Narrow" w:cs="Times New Roman"/>
                <w:sz w:val="20"/>
              </w:rPr>
            </w:pPr>
            <w:r w:rsidRPr="00B23721">
              <w:rPr>
                <w:rFonts w:ascii="Arial Narrow" w:hAnsi="Arial Narrow"/>
                <w:color w:val="000000"/>
                <w:sz w:val="20"/>
              </w:rPr>
              <w:t>$</w:t>
            </w:r>
            <w:r w:rsidR="00BF699F">
              <w:rPr>
                <w:rFonts w:ascii="Arial Narrow" w:hAnsi="Arial Narrow"/>
                <w:noProof/>
                <w:color w:val="000000"/>
                <w:sz w:val="20"/>
                <w:highlight w:val="black"/>
              </w:rPr>
              <w:t>''''''''''''''''</w:t>
            </w:r>
          </w:p>
        </w:tc>
        <w:tc>
          <w:tcPr>
            <w:tcW w:w="992" w:type="dxa"/>
            <w:vAlign w:val="center"/>
          </w:tcPr>
          <w:p w:rsidR="00052D18" w:rsidRPr="00B23721" w:rsidRDefault="00052D18" w:rsidP="005668F6">
            <w:pPr>
              <w:jc w:val="right"/>
              <w:rPr>
                <w:rFonts w:ascii="Arial Narrow" w:hAnsi="Arial Narrow" w:cs="Times New Roman"/>
                <w:sz w:val="20"/>
              </w:rPr>
            </w:pPr>
            <w:r w:rsidRPr="00B23721">
              <w:rPr>
                <w:rFonts w:ascii="Arial Narrow" w:hAnsi="Arial Narrow"/>
                <w:color w:val="000000"/>
                <w:sz w:val="20"/>
              </w:rPr>
              <w:t>$</w:t>
            </w:r>
            <w:r w:rsidR="00BF699F">
              <w:rPr>
                <w:rFonts w:ascii="Arial Narrow" w:hAnsi="Arial Narrow"/>
                <w:noProof/>
                <w:color w:val="000000"/>
                <w:sz w:val="20"/>
                <w:highlight w:val="black"/>
              </w:rPr>
              <w:t>'''''''''''''''</w:t>
            </w:r>
          </w:p>
        </w:tc>
      </w:tr>
      <w:tr w:rsidR="00052D18" w:rsidRPr="00B23721" w:rsidTr="006F2DA2">
        <w:tc>
          <w:tcPr>
            <w:tcW w:w="1934" w:type="dxa"/>
            <w:vMerge/>
          </w:tcPr>
          <w:p w:rsidR="00052D18" w:rsidRPr="00B23721" w:rsidRDefault="00052D18" w:rsidP="005668F6">
            <w:pPr>
              <w:jc w:val="left"/>
              <w:rPr>
                <w:rFonts w:ascii="Arial Narrow" w:hAnsi="Arial Narrow"/>
                <w:sz w:val="20"/>
              </w:rPr>
            </w:pPr>
          </w:p>
        </w:tc>
        <w:tc>
          <w:tcPr>
            <w:tcW w:w="4536" w:type="dxa"/>
          </w:tcPr>
          <w:p w:rsidR="00052D18" w:rsidRPr="00B23721" w:rsidRDefault="00052D18" w:rsidP="005668F6">
            <w:pPr>
              <w:rPr>
                <w:rFonts w:ascii="Arial Narrow" w:hAnsi="Arial Narrow"/>
                <w:sz w:val="20"/>
              </w:rPr>
            </w:pPr>
            <w:r w:rsidRPr="00B23721">
              <w:rPr>
                <w:rFonts w:ascii="Arial Narrow" w:eastAsia="Calibri" w:hAnsi="Arial Narrow" w:cs="Times New Roman"/>
                <w:sz w:val="20"/>
              </w:rPr>
              <w:t>Overall utility values in both arms</w:t>
            </w:r>
          </w:p>
        </w:tc>
        <w:tc>
          <w:tcPr>
            <w:tcW w:w="992" w:type="dxa"/>
            <w:vAlign w:val="center"/>
          </w:tcPr>
          <w:p w:rsidR="00052D18" w:rsidRPr="00B23721" w:rsidRDefault="00052D18" w:rsidP="005668F6">
            <w:pPr>
              <w:jc w:val="right"/>
              <w:rPr>
                <w:rFonts w:ascii="Arial Narrow" w:hAnsi="Arial Narrow" w:cs="Times New Roman"/>
                <w:sz w:val="20"/>
              </w:rPr>
            </w:pPr>
            <w:r w:rsidRPr="00B23721">
              <w:rPr>
                <w:rFonts w:ascii="Arial Narrow" w:hAnsi="Arial Narrow"/>
                <w:color w:val="000000"/>
                <w:sz w:val="20"/>
              </w:rPr>
              <w:t>$</w:t>
            </w:r>
            <w:r w:rsidR="00BF699F">
              <w:rPr>
                <w:rFonts w:ascii="Arial Narrow" w:hAnsi="Arial Narrow"/>
                <w:noProof/>
                <w:color w:val="000000"/>
                <w:sz w:val="20"/>
                <w:highlight w:val="black"/>
              </w:rPr>
              <w:t>''''''''''''''''''</w:t>
            </w:r>
          </w:p>
        </w:tc>
        <w:tc>
          <w:tcPr>
            <w:tcW w:w="992" w:type="dxa"/>
            <w:vAlign w:val="center"/>
          </w:tcPr>
          <w:p w:rsidR="00052D18" w:rsidRPr="00B23721" w:rsidRDefault="00052D18" w:rsidP="005668F6">
            <w:pPr>
              <w:jc w:val="right"/>
              <w:rPr>
                <w:rFonts w:ascii="Arial Narrow" w:hAnsi="Arial Narrow" w:cs="Times New Roman"/>
                <w:sz w:val="20"/>
              </w:rPr>
            </w:pPr>
            <w:r w:rsidRPr="00B23721">
              <w:rPr>
                <w:rFonts w:ascii="Arial Narrow" w:hAnsi="Arial Narrow"/>
                <w:color w:val="000000"/>
                <w:sz w:val="20"/>
              </w:rPr>
              <w:t>$</w:t>
            </w:r>
            <w:r w:rsidR="00BF699F">
              <w:rPr>
                <w:rFonts w:ascii="Arial Narrow" w:hAnsi="Arial Narrow"/>
                <w:noProof/>
                <w:color w:val="000000"/>
                <w:sz w:val="20"/>
                <w:highlight w:val="black"/>
              </w:rPr>
              <w:t>'''''''''''''''''''''</w:t>
            </w:r>
          </w:p>
        </w:tc>
      </w:tr>
      <w:tr w:rsidR="00052D18" w:rsidRPr="00B23721" w:rsidTr="006F2DA2">
        <w:tc>
          <w:tcPr>
            <w:tcW w:w="1934" w:type="dxa"/>
            <w:vMerge/>
          </w:tcPr>
          <w:p w:rsidR="00052D18" w:rsidRPr="00B23721" w:rsidRDefault="00052D18" w:rsidP="005668F6">
            <w:pPr>
              <w:jc w:val="left"/>
              <w:rPr>
                <w:rFonts w:ascii="Arial Narrow" w:hAnsi="Arial Narrow"/>
                <w:sz w:val="20"/>
              </w:rPr>
            </w:pPr>
          </w:p>
        </w:tc>
        <w:tc>
          <w:tcPr>
            <w:tcW w:w="4536" w:type="dxa"/>
          </w:tcPr>
          <w:p w:rsidR="00052D18" w:rsidRPr="00B23721" w:rsidRDefault="00052D18" w:rsidP="005668F6">
            <w:pPr>
              <w:rPr>
                <w:rFonts w:ascii="Arial Narrow" w:hAnsi="Arial Narrow"/>
                <w:sz w:val="20"/>
              </w:rPr>
            </w:pPr>
            <w:r w:rsidRPr="00B23721">
              <w:rPr>
                <w:rFonts w:ascii="Arial Narrow" w:eastAsia="Calibri" w:hAnsi="Arial Narrow" w:cs="Times New Roman"/>
                <w:sz w:val="20"/>
              </w:rPr>
              <w:t>Utility for progressive disease assumed to be 0.59 in both arms</w:t>
            </w:r>
            <w:r w:rsidRPr="00B23721">
              <w:rPr>
                <w:rFonts w:ascii="Arial Narrow" w:eastAsia="Calibri" w:hAnsi="Arial Narrow" w:cs="Times New Roman"/>
                <w:sz w:val="20"/>
                <w:vertAlign w:val="superscript"/>
              </w:rPr>
              <w:t>a</w:t>
            </w:r>
            <w:r w:rsidR="0026719C" w:rsidRPr="00B23721">
              <w:rPr>
                <w:rFonts w:ascii="Arial Narrow" w:eastAsia="Calibri" w:hAnsi="Arial Narrow" w:cs="Times New Roman"/>
                <w:sz w:val="20"/>
                <w:vertAlign w:val="superscript"/>
              </w:rPr>
              <w:t>,c</w:t>
            </w:r>
          </w:p>
        </w:tc>
        <w:tc>
          <w:tcPr>
            <w:tcW w:w="992" w:type="dxa"/>
            <w:vAlign w:val="center"/>
          </w:tcPr>
          <w:p w:rsidR="00052D18" w:rsidRPr="00B23721" w:rsidRDefault="00052D18" w:rsidP="005668F6">
            <w:pPr>
              <w:jc w:val="right"/>
              <w:rPr>
                <w:rFonts w:ascii="Arial Narrow" w:hAnsi="Arial Narrow" w:cs="Times New Roman"/>
                <w:sz w:val="20"/>
              </w:rPr>
            </w:pPr>
            <w:r w:rsidRPr="00B23721">
              <w:rPr>
                <w:rFonts w:ascii="Arial Narrow" w:hAnsi="Arial Narrow"/>
                <w:color w:val="000000"/>
                <w:sz w:val="20"/>
              </w:rPr>
              <w:t>$</w:t>
            </w:r>
            <w:r w:rsidR="00BF699F">
              <w:rPr>
                <w:rFonts w:ascii="Arial Narrow" w:hAnsi="Arial Narrow"/>
                <w:noProof/>
                <w:color w:val="000000"/>
                <w:sz w:val="20"/>
                <w:highlight w:val="black"/>
              </w:rPr>
              <w:t>''''''''''''''''</w:t>
            </w:r>
          </w:p>
        </w:tc>
        <w:tc>
          <w:tcPr>
            <w:tcW w:w="992" w:type="dxa"/>
            <w:vAlign w:val="center"/>
          </w:tcPr>
          <w:p w:rsidR="00052D18" w:rsidRPr="00B23721" w:rsidRDefault="00052D18" w:rsidP="005668F6">
            <w:pPr>
              <w:jc w:val="right"/>
              <w:rPr>
                <w:rFonts w:ascii="Arial Narrow" w:hAnsi="Arial Narrow" w:cs="Times New Roman"/>
                <w:sz w:val="20"/>
              </w:rPr>
            </w:pPr>
            <w:r w:rsidRPr="00B23721">
              <w:rPr>
                <w:rFonts w:ascii="Arial Narrow" w:hAnsi="Arial Narrow"/>
                <w:color w:val="000000"/>
                <w:sz w:val="20"/>
              </w:rPr>
              <w:t>$</w:t>
            </w:r>
            <w:r w:rsidR="00BF699F">
              <w:rPr>
                <w:rFonts w:ascii="Arial Narrow" w:hAnsi="Arial Narrow"/>
                <w:noProof/>
                <w:color w:val="000000"/>
                <w:sz w:val="20"/>
                <w:highlight w:val="black"/>
              </w:rPr>
              <w:t>''''''''''''''''</w:t>
            </w:r>
          </w:p>
        </w:tc>
      </w:tr>
      <w:tr w:rsidR="00052D18" w:rsidRPr="00B23721" w:rsidTr="006F2DA2">
        <w:tc>
          <w:tcPr>
            <w:tcW w:w="1934" w:type="dxa"/>
          </w:tcPr>
          <w:p w:rsidR="00052D18" w:rsidRPr="00B23721" w:rsidRDefault="0026719C" w:rsidP="005668F6">
            <w:pPr>
              <w:jc w:val="left"/>
              <w:rPr>
                <w:rFonts w:ascii="Arial Narrow" w:hAnsi="Arial Narrow"/>
                <w:sz w:val="20"/>
              </w:rPr>
            </w:pPr>
            <w:r w:rsidRPr="00B23721">
              <w:rPr>
                <w:rFonts w:ascii="Arial Narrow" w:hAnsi="Arial Narrow"/>
                <w:sz w:val="20"/>
              </w:rPr>
              <w:t>SA.6</w:t>
            </w:r>
            <w:r w:rsidR="00052D18" w:rsidRPr="00B23721">
              <w:rPr>
                <w:rFonts w:ascii="Arial Narrow" w:hAnsi="Arial Narrow"/>
                <w:sz w:val="20"/>
              </w:rPr>
              <w:t>: Nivolumab treatment duration</w:t>
            </w:r>
          </w:p>
        </w:tc>
        <w:tc>
          <w:tcPr>
            <w:tcW w:w="4536" w:type="dxa"/>
            <w:tcBorders>
              <w:top w:val="nil"/>
              <w:left w:val="single" w:sz="4" w:space="0" w:color="auto"/>
              <w:bottom w:val="nil"/>
              <w:right w:val="single" w:sz="4" w:space="0" w:color="auto"/>
            </w:tcBorders>
            <w:vAlign w:val="center"/>
          </w:tcPr>
          <w:p w:rsidR="00052D18" w:rsidRPr="00B23721" w:rsidRDefault="00052D18" w:rsidP="005668F6">
            <w:pPr>
              <w:jc w:val="left"/>
              <w:rPr>
                <w:rFonts w:ascii="Arial Narrow" w:hAnsi="Arial Narrow"/>
                <w:sz w:val="20"/>
              </w:rPr>
            </w:pPr>
            <w:r w:rsidRPr="00B23721">
              <w:rPr>
                <w:rFonts w:ascii="Arial Narrow" w:eastAsia="Calibri" w:hAnsi="Arial Narrow" w:cs="Times New Roman"/>
                <w:sz w:val="20"/>
              </w:rPr>
              <w:t xml:space="preserve">Nivolumab treatment duration of </w:t>
            </w:r>
            <w:r w:rsidR="00BF699F">
              <w:rPr>
                <w:rFonts w:ascii="Arial Narrow" w:eastAsia="Calibri" w:hAnsi="Arial Narrow" w:cs="Times New Roman"/>
                <w:noProof/>
                <w:color w:val="000000"/>
                <w:sz w:val="20"/>
                <w:highlight w:val="black"/>
              </w:rPr>
              <w:t>'''''''''''''</w:t>
            </w:r>
            <w:r w:rsidRPr="00B23721">
              <w:rPr>
                <w:rFonts w:ascii="Arial Narrow" w:eastAsia="Calibri" w:hAnsi="Arial Narrow" w:cs="Times New Roman"/>
                <w:sz w:val="20"/>
                <w:vertAlign w:val="superscript"/>
              </w:rPr>
              <w:t>a,</w:t>
            </w:r>
            <w:r w:rsidR="0026719C" w:rsidRPr="00B23721">
              <w:rPr>
                <w:rFonts w:ascii="Arial Narrow" w:eastAsia="Calibri" w:hAnsi="Arial Narrow" w:cs="Times New Roman"/>
                <w:sz w:val="20"/>
                <w:vertAlign w:val="superscript"/>
              </w:rPr>
              <w:t>d</w:t>
            </w:r>
          </w:p>
        </w:tc>
        <w:tc>
          <w:tcPr>
            <w:tcW w:w="992" w:type="dxa"/>
            <w:tcBorders>
              <w:top w:val="nil"/>
              <w:left w:val="single" w:sz="4" w:space="0" w:color="auto"/>
              <w:bottom w:val="nil"/>
              <w:right w:val="single" w:sz="4" w:space="0" w:color="auto"/>
            </w:tcBorders>
            <w:shd w:val="clear" w:color="auto" w:fill="auto"/>
            <w:vAlign w:val="center"/>
          </w:tcPr>
          <w:p w:rsidR="00052D18" w:rsidRPr="00B23721" w:rsidRDefault="00052D18" w:rsidP="005668F6">
            <w:pPr>
              <w:jc w:val="right"/>
              <w:rPr>
                <w:rFonts w:ascii="Arial Narrow" w:hAnsi="Arial Narrow"/>
                <w:sz w:val="20"/>
              </w:rPr>
            </w:pPr>
            <w:r w:rsidRPr="00B23721">
              <w:rPr>
                <w:rFonts w:ascii="Arial Narrow" w:hAnsi="Arial Narrow"/>
                <w:color w:val="000000"/>
                <w:sz w:val="20"/>
              </w:rPr>
              <w:t>$</w:t>
            </w:r>
            <w:r w:rsidR="00BF699F">
              <w:rPr>
                <w:rFonts w:ascii="Arial Narrow" w:hAnsi="Arial Narrow"/>
                <w:noProof/>
                <w:color w:val="000000"/>
                <w:sz w:val="20"/>
                <w:highlight w:val="black"/>
              </w:rPr>
              <w:t>'''''''''''''''</w:t>
            </w:r>
          </w:p>
        </w:tc>
        <w:tc>
          <w:tcPr>
            <w:tcW w:w="992" w:type="dxa"/>
            <w:tcBorders>
              <w:top w:val="nil"/>
              <w:left w:val="single" w:sz="4" w:space="0" w:color="auto"/>
              <w:bottom w:val="nil"/>
              <w:right w:val="single" w:sz="4" w:space="0" w:color="auto"/>
            </w:tcBorders>
            <w:shd w:val="clear" w:color="auto" w:fill="auto"/>
            <w:vAlign w:val="center"/>
          </w:tcPr>
          <w:p w:rsidR="00052D18" w:rsidRPr="00B23721" w:rsidRDefault="00052D18" w:rsidP="005668F6">
            <w:pPr>
              <w:jc w:val="right"/>
              <w:rPr>
                <w:rFonts w:ascii="Arial Narrow" w:hAnsi="Arial Narrow"/>
                <w:sz w:val="20"/>
              </w:rPr>
            </w:pPr>
            <w:r w:rsidRPr="00B23721">
              <w:rPr>
                <w:rFonts w:ascii="Arial Narrow" w:hAnsi="Arial Narrow"/>
                <w:color w:val="000000"/>
                <w:sz w:val="20"/>
              </w:rPr>
              <w:t>$</w:t>
            </w:r>
            <w:r w:rsidR="00BF699F">
              <w:rPr>
                <w:rFonts w:ascii="Arial Narrow" w:hAnsi="Arial Narrow"/>
                <w:noProof/>
                <w:color w:val="000000"/>
                <w:sz w:val="20"/>
                <w:highlight w:val="black"/>
              </w:rPr>
              <w:t>'''''''''''''''''</w:t>
            </w:r>
          </w:p>
        </w:tc>
      </w:tr>
      <w:tr w:rsidR="00052D18" w:rsidRPr="00B23721" w:rsidTr="006F2DA2">
        <w:tc>
          <w:tcPr>
            <w:tcW w:w="1934" w:type="dxa"/>
            <w:vMerge w:val="restart"/>
          </w:tcPr>
          <w:p w:rsidR="00052D18" w:rsidRPr="00B23721" w:rsidRDefault="00052D18" w:rsidP="005668F6">
            <w:pPr>
              <w:jc w:val="left"/>
              <w:rPr>
                <w:rFonts w:ascii="Arial Narrow" w:hAnsi="Arial Narrow"/>
                <w:sz w:val="20"/>
              </w:rPr>
            </w:pPr>
            <w:r w:rsidRPr="00B23721">
              <w:rPr>
                <w:rFonts w:ascii="Arial Narrow" w:hAnsi="Arial Narrow"/>
                <w:sz w:val="20"/>
              </w:rPr>
              <w:t>SA.7: Pre-progression disease management costs</w:t>
            </w:r>
          </w:p>
        </w:tc>
        <w:tc>
          <w:tcPr>
            <w:tcW w:w="4536" w:type="dxa"/>
          </w:tcPr>
          <w:p w:rsidR="00052D18" w:rsidRPr="00B23721" w:rsidRDefault="00052D18" w:rsidP="005668F6">
            <w:pPr>
              <w:rPr>
                <w:rFonts w:ascii="Arial Narrow" w:hAnsi="Arial Narrow"/>
                <w:sz w:val="20"/>
              </w:rPr>
            </w:pPr>
            <w:r w:rsidRPr="00B23721">
              <w:rPr>
                <w:rFonts w:ascii="Arial Narrow" w:eastAsia="Calibri" w:hAnsi="Arial Narrow" w:cs="Times New Roman"/>
                <w:sz w:val="20"/>
              </w:rPr>
              <w:t>Equal pre-progression costs in the two treatment arms</w:t>
            </w:r>
          </w:p>
        </w:tc>
        <w:tc>
          <w:tcPr>
            <w:tcW w:w="992" w:type="dxa"/>
            <w:vAlign w:val="center"/>
          </w:tcPr>
          <w:p w:rsidR="00052D18" w:rsidRPr="00B23721" w:rsidRDefault="00052D18" w:rsidP="005668F6">
            <w:pPr>
              <w:jc w:val="right"/>
              <w:rPr>
                <w:rFonts w:ascii="Arial Narrow" w:hAnsi="Arial Narrow"/>
                <w:sz w:val="20"/>
              </w:rPr>
            </w:pPr>
            <w:r w:rsidRPr="00B23721">
              <w:rPr>
                <w:rFonts w:ascii="Arial Narrow" w:hAnsi="Arial Narrow"/>
                <w:color w:val="000000"/>
                <w:sz w:val="20"/>
              </w:rPr>
              <w:t>$</w:t>
            </w:r>
            <w:r w:rsidR="00BF699F">
              <w:rPr>
                <w:rFonts w:ascii="Arial Narrow" w:hAnsi="Arial Narrow"/>
                <w:noProof/>
                <w:color w:val="000000"/>
                <w:sz w:val="20"/>
                <w:highlight w:val="black"/>
              </w:rPr>
              <w:t>''''''''''''''''</w:t>
            </w:r>
          </w:p>
        </w:tc>
        <w:tc>
          <w:tcPr>
            <w:tcW w:w="992" w:type="dxa"/>
            <w:vAlign w:val="center"/>
          </w:tcPr>
          <w:p w:rsidR="00052D18" w:rsidRPr="00B23721" w:rsidRDefault="00052D18" w:rsidP="005668F6">
            <w:pPr>
              <w:jc w:val="right"/>
              <w:rPr>
                <w:rFonts w:ascii="Arial Narrow" w:hAnsi="Arial Narrow"/>
                <w:sz w:val="20"/>
              </w:rPr>
            </w:pPr>
            <w:r w:rsidRPr="00B23721">
              <w:rPr>
                <w:rFonts w:ascii="Arial Narrow" w:hAnsi="Arial Narrow"/>
                <w:color w:val="000000"/>
                <w:sz w:val="20"/>
              </w:rPr>
              <w:t>$</w:t>
            </w:r>
            <w:r w:rsidR="00BF699F">
              <w:rPr>
                <w:rFonts w:ascii="Arial Narrow" w:hAnsi="Arial Narrow"/>
                <w:noProof/>
                <w:color w:val="000000"/>
                <w:sz w:val="20"/>
                <w:highlight w:val="black"/>
              </w:rPr>
              <w:t>''''''''''''''''''''</w:t>
            </w:r>
          </w:p>
        </w:tc>
      </w:tr>
      <w:tr w:rsidR="00052D18" w:rsidRPr="00B23721" w:rsidTr="006F2DA2">
        <w:tc>
          <w:tcPr>
            <w:tcW w:w="1934" w:type="dxa"/>
            <w:vMerge/>
          </w:tcPr>
          <w:p w:rsidR="00052D18" w:rsidRPr="00B23721" w:rsidRDefault="00052D18" w:rsidP="005668F6">
            <w:pPr>
              <w:jc w:val="left"/>
              <w:rPr>
                <w:rFonts w:ascii="Arial Narrow" w:hAnsi="Arial Narrow"/>
                <w:sz w:val="20"/>
              </w:rPr>
            </w:pPr>
          </w:p>
        </w:tc>
        <w:tc>
          <w:tcPr>
            <w:tcW w:w="4536" w:type="dxa"/>
          </w:tcPr>
          <w:p w:rsidR="00052D18" w:rsidRPr="00B23721" w:rsidRDefault="00052D18" w:rsidP="005668F6">
            <w:pPr>
              <w:rPr>
                <w:rFonts w:ascii="Arial Narrow" w:hAnsi="Arial Narrow"/>
                <w:sz w:val="20"/>
              </w:rPr>
            </w:pPr>
            <w:r w:rsidRPr="00B23721">
              <w:rPr>
                <w:rFonts w:ascii="Arial Narrow" w:eastAsia="Calibri" w:hAnsi="Arial Narrow" w:cs="Times New Roman"/>
                <w:sz w:val="20"/>
              </w:rPr>
              <w:t>Nivolumab pre-progression costs 20% less than the comparator arm</w:t>
            </w:r>
            <w:r w:rsidRPr="00B23721">
              <w:rPr>
                <w:rFonts w:ascii="Arial Narrow" w:eastAsia="Calibri" w:hAnsi="Arial Narrow" w:cs="Times New Roman"/>
                <w:sz w:val="20"/>
                <w:vertAlign w:val="superscript"/>
              </w:rPr>
              <w:t>a</w:t>
            </w:r>
          </w:p>
        </w:tc>
        <w:tc>
          <w:tcPr>
            <w:tcW w:w="992" w:type="dxa"/>
            <w:vAlign w:val="center"/>
          </w:tcPr>
          <w:p w:rsidR="00052D18" w:rsidRPr="00B23721" w:rsidRDefault="00052D18" w:rsidP="005668F6">
            <w:pPr>
              <w:jc w:val="right"/>
              <w:rPr>
                <w:rFonts w:ascii="Arial Narrow" w:hAnsi="Arial Narrow"/>
                <w:sz w:val="20"/>
              </w:rPr>
            </w:pPr>
            <w:r w:rsidRPr="00B23721">
              <w:rPr>
                <w:rFonts w:ascii="Arial Narrow" w:hAnsi="Arial Narrow"/>
                <w:color w:val="000000"/>
                <w:sz w:val="20"/>
              </w:rPr>
              <w:t>$</w:t>
            </w:r>
            <w:r w:rsidR="00BF699F">
              <w:rPr>
                <w:rFonts w:ascii="Arial Narrow" w:hAnsi="Arial Narrow"/>
                <w:noProof/>
                <w:color w:val="000000"/>
                <w:sz w:val="20"/>
                <w:highlight w:val="black"/>
              </w:rPr>
              <w:t>''''''''''''''''</w:t>
            </w:r>
          </w:p>
        </w:tc>
        <w:tc>
          <w:tcPr>
            <w:tcW w:w="992" w:type="dxa"/>
            <w:vAlign w:val="center"/>
          </w:tcPr>
          <w:p w:rsidR="00052D18" w:rsidRPr="00B23721" w:rsidRDefault="00052D18" w:rsidP="005668F6">
            <w:pPr>
              <w:jc w:val="right"/>
              <w:rPr>
                <w:rFonts w:ascii="Arial Narrow" w:hAnsi="Arial Narrow"/>
                <w:sz w:val="20"/>
              </w:rPr>
            </w:pPr>
            <w:r w:rsidRPr="00B23721">
              <w:rPr>
                <w:rFonts w:ascii="Arial Narrow" w:hAnsi="Arial Narrow"/>
                <w:color w:val="000000"/>
                <w:sz w:val="20"/>
              </w:rPr>
              <w:t>$</w:t>
            </w:r>
            <w:r w:rsidR="00BF699F">
              <w:rPr>
                <w:rFonts w:ascii="Arial Narrow" w:hAnsi="Arial Narrow"/>
                <w:noProof/>
                <w:color w:val="000000"/>
                <w:sz w:val="20"/>
                <w:highlight w:val="black"/>
              </w:rPr>
              <w:t>''''''''''''''''''</w:t>
            </w:r>
          </w:p>
        </w:tc>
      </w:tr>
      <w:tr w:rsidR="00052D18" w:rsidRPr="00B23721" w:rsidTr="006F2DA2">
        <w:tc>
          <w:tcPr>
            <w:tcW w:w="1934" w:type="dxa"/>
          </w:tcPr>
          <w:p w:rsidR="00052D18" w:rsidRPr="00B23721" w:rsidRDefault="00052D18" w:rsidP="005668F6">
            <w:pPr>
              <w:jc w:val="left"/>
              <w:rPr>
                <w:rFonts w:ascii="Arial Narrow" w:hAnsi="Arial Narrow"/>
                <w:sz w:val="20"/>
                <w:highlight w:val="yellow"/>
              </w:rPr>
            </w:pPr>
            <w:r w:rsidRPr="00B23721">
              <w:rPr>
                <w:rFonts w:ascii="Arial Narrow" w:hAnsi="Arial Narrow" w:cs="Times New Roman"/>
                <w:sz w:val="20"/>
              </w:rPr>
              <w:t>SA.3+SA.</w:t>
            </w:r>
            <w:r w:rsidR="005668F6" w:rsidRPr="00B23721">
              <w:rPr>
                <w:rFonts w:ascii="Arial Narrow" w:hAnsi="Arial Narrow" w:cs="Times New Roman"/>
                <w:sz w:val="20"/>
              </w:rPr>
              <w:t>4</w:t>
            </w:r>
          </w:p>
        </w:tc>
        <w:tc>
          <w:tcPr>
            <w:tcW w:w="4536" w:type="dxa"/>
          </w:tcPr>
          <w:p w:rsidR="00052D18" w:rsidRPr="00B23721" w:rsidRDefault="00052D18" w:rsidP="005668F6">
            <w:pPr>
              <w:rPr>
                <w:rFonts w:ascii="Arial Narrow" w:eastAsia="Calibri" w:hAnsi="Arial Narrow" w:cs="Times New Roman"/>
                <w:sz w:val="20"/>
                <w:highlight w:val="yellow"/>
              </w:rPr>
            </w:pPr>
            <w:r w:rsidRPr="00B23721">
              <w:rPr>
                <w:rFonts w:ascii="Arial Narrow" w:eastAsia="Calibri" w:hAnsi="Arial Narrow" w:cs="Times New Roman"/>
                <w:sz w:val="20"/>
              </w:rPr>
              <w:t>Extrapolation using Weibull model for PFS and OS in both arms + time horizon of 5 years</w:t>
            </w:r>
            <w:r w:rsidRPr="00B23721">
              <w:rPr>
                <w:rFonts w:ascii="Arial Narrow" w:eastAsia="Calibri" w:hAnsi="Arial Narrow" w:cs="Times New Roman"/>
                <w:sz w:val="20"/>
                <w:vertAlign w:val="superscript"/>
              </w:rPr>
              <w:t>a</w:t>
            </w:r>
          </w:p>
        </w:tc>
        <w:tc>
          <w:tcPr>
            <w:tcW w:w="992" w:type="dxa"/>
            <w:vAlign w:val="center"/>
          </w:tcPr>
          <w:p w:rsidR="00052D18" w:rsidRPr="00B23721" w:rsidRDefault="00052D18" w:rsidP="005668F6">
            <w:pPr>
              <w:jc w:val="right"/>
              <w:rPr>
                <w:rFonts w:ascii="Arial Narrow" w:hAnsi="Arial Narrow"/>
                <w:color w:val="000000"/>
                <w:sz w:val="20"/>
                <w:highlight w:val="yellow"/>
              </w:rPr>
            </w:pPr>
            <w:r w:rsidRPr="00B23721">
              <w:rPr>
                <w:rFonts w:ascii="Arial Narrow" w:hAnsi="Arial Narrow"/>
                <w:color w:val="000000"/>
                <w:sz w:val="20"/>
              </w:rPr>
              <w:t>$</w:t>
            </w:r>
            <w:r w:rsidR="00BF699F">
              <w:rPr>
                <w:rFonts w:ascii="Arial Narrow" w:hAnsi="Arial Narrow"/>
                <w:noProof/>
                <w:color w:val="000000"/>
                <w:sz w:val="20"/>
                <w:highlight w:val="black"/>
              </w:rPr>
              <w:t>'''''''''''''''''</w:t>
            </w:r>
          </w:p>
        </w:tc>
        <w:tc>
          <w:tcPr>
            <w:tcW w:w="992" w:type="dxa"/>
            <w:vAlign w:val="center"/>
          </w:tcPr>
          <w:p w:rsidR="00052D18" w:rsidRPr="00B23721" w:rsidRDefault="00052D18" w:rsidP="005668F6">
            <w:pPr>
              <w:jc w:val="right"/>
              <w:rPr>
                <w:rFonts w:ascii="Arial Narrow" w:hAnsi="Arial Narrow"/>
                <w:color w:val="000000"/>
                <w:sz w:val="20"/>
                <w:highlight w:val="yellow"/>
              </w:rPr>
            </w:pPr>
            <w:r w:rsidRPr="00B23721">
              <w:rPr>
                <w:rFonts w:ascii="Arial Narrow" w:hAnsi="Arial Narrow"/>
                <w:color w:val="000000"/>
                <w:sz w:val="20"/>
              </w:rPr>
              <w:t>$</w:t>
            </w:r>
            <w:r w:rsidR="00BF699F">
              <w:rPr>
                <w:rFonts w:ascii="Arial Narrow" w:hAnsi="Arial Narrow"/>
                <w:noProof/>
                <w:color w:val="000000"/>
                <w:sz w:val="20"/>
                <w:highlight w:val="black"/>
              </w:rPr>
              <w:t>'''''''''''''''''''''</w:t>
            </w:r>
          </w:p>
        </w:tc>
      </w:tr>
      <w:tr w:rsidR="00052D18" w:rsidRPr="00B23721" w:rsidTr="006F2DA2">
        <w:tc>
          <w:tcPr>
            <w:tcW w:w="1934" w:type="dxa"/>
          </w:tcPr>
          <w:p w:rsidR="00052D18" w:rsidRPr="00B23721" w:rsidRDefault="00052D18" w:rsidP="005668F6">
            <w:pPr>
              <w:jc w:val="left"/>
              <w:rPr>
                <w:rFonts w:ascii="Arial Narrow" w:hAnsi="Arial Narrow"/>
                <w:sz w:val="20"/>
                <w:highlight w:val="yellow"/>
              </w:rPr>
            </w:pPr>
            <w:r w:rsidRPr="00B23721">
              <w:rPr>
                <w:rFonts w:ascii="Arial Narrow" w:hAnsi="Arial Narrow" w:cs="Times New Roman"/>
                <w:sz w:val="20"/>
              </w:rPr>
              <w:t>SA.3+SA.5+SA.7</w:t>
            </w:r>
          </w:p>
        </w:tc>
        <w:tc>
          <w:tcPr>
            <w:tcW w:w="4536" w:type="dxa"/>
          </w:tcPr>
          <w:p w:rsidR="00052D18" w:rsidRPr="00B23721" w:rsidRDefault="00052D18" w:rsidP="005668F6">
            <w:pPr>
              <w:rPr>
                <w:rFonts w:ascii="Arial Narrow" w:eastAsia="Calibri" w:hAnsi="Arial Narrow" w:cs="Times New Roman"/>
                <w:sz w:val="20"/>
                <w:highlight w:val="yellow"/>
              </w:rPr>
            </w:pPr>
            <w:r w:rsidRPr="00B23721">
              <w:rPr>
                <w:rFonts w:ascii="Arial Narrow" w:eastAsia="Calibri" w:hAnsi="Arial Narrow" w:cs="Times New Roman"/>
                <w:sz w:val="20"/>
              </w:rPr>
              <w:t>Extrapolation using Weibull model for PFS and OS in both arms + time horizon of 5 years + equal pre-progression disease management cost between the two arms</w:t>
            </w:r>
            <w:r w:rsidRPr="00B23721">
              <w:rPr>
                <w:rFonts w:ascii="Arial Narrow" w:eastAsia="Calibri" w:hAnsi="Arial Narrow" w:cs="Times New Roman"/>
                <w:sz w:val="20"/>
                <w:vertAlign w:val="superscript"/>
              </w:rPr>
              <w:t>a</w:t>
            </w:r>
          </w:p>
        </w:tc>
        <w:tc>
          <w:tcPr>
            <w:tcW w:w="992" w:type="dxa"/>
            <w:vAlign w:val="center"/>
          </w:tcPr>
          <w:p w:rsidR="00052D18" w:rsidRPr="00B23721" w:rsidRDefault="00052D18" w:rsidP="005668F6">
            <w:pPr>
              <w:jc w:val="right"/>
              <w:rPr>
                <w:rFonts w:ascii="Arial Narrow" w:hAnsi="Arial Narrow"/>
                <w:color w:val="000000"/>
                <w:sz w:val="20"/>
                <w:highlight w:val="yellow"/>
              </w:rPr>
            </w:pPr>
            <w:r w:rsidRPr="00B23721">
              <w:rPr>
                <w:rFonts w:ascii="Arial Narrow" w:hAnsi="Arial Narrow"/>
                <w:color w:val="000000"/>
                <w:sz w:val="20"/>
              </w:rPr>
              <w:t>$</w:t>
            </w:r>
            <w:r w:rsidR="00BF699F">
              <w:rPr>
                <w:rFonts w:ascii="Arial Narrow" w:hAnsi="Arial Narrow"/>
                <w:noProof/>
                <w:color w:val="000000"/>
                <w:sz w:val="20"/>
                <w:highlight w:val="black"/>
              </w:rPr>
              <w:t>''''''''''''''''''</w:t>
            </w:r>
          </w:p>
        </w:tc>
        <w:tc>
          <w:tcPr>
            <w:tcW w:w="992" w:type="dxa"/>
            <w:vAlign w:val="center"/>
          </w:tcPr>
          <w:p w:rsidR="00052D18" w:rsidRPr="00B23721" w:rsidRDefault="00052D18" w:rsidP="005668F6">
            <w:pPr>
              <w:jc w:val="right"/>
              <w:rPr>
                <w:rFonts w:ascii="Arial Narrow" w:hAnsi="Arial Narrow"/>
                <w:color w:val="000000"/>
                <w:sz w:val="20"/>
                <w:highlight w:val="yellow"/>
              </w:rPr>
            </w:pPr>
            <w:r w:rsidRPr="00B23721">
              <w:rPr>
                <w:rFonts w:ascii="Arial Narrow" w:hAnsi="Arial Narrow"/>
                <w:color w:val="000000"/>
                <w:sz w:val="20"/>
              </w:rPr>
              <w:t>$</w:t>
            </w:r>
            <w:r w:rsidR="00BF699F">
              <w:rPr>
                <w:rFonts w:ascii="Arial Narrow" w:hAnsi="Arial Narrow"/>
                <w:noProof/>
                <w:color w:val="000000"/>
                <w:sz w:val="20"/>
                <w:highlight w:val="black"/>
              </w:rPr>
              <w:t>''''''''''''''''''</w:t>
            </w:r>
          </w:p>
        </w:tc>
      </w:tr>
      <w:tr w:rsidR="00DB0311" w:rsidRPr="00276821" w:rsidTr="006F2DA2">
        <w:tc>
          <w:tcPr>
            <w:tcW w:w="8454" w:type="dxa"/>
            <w:gridSpan w:val="4"/>
            <w:vAlign w:val="center"/>
          </w:tcPr>
          <w:p w:rsidR="00DB0311" w:rsidRPr="000029D7" w:rsidRDefault="00DB0311" w:rsidP="00DE2B96">
            <w:pPr>
              <w:jc w:val="left"/>
              <w:rPr>
                <w:rFonts w:ascii="Arial Narrow" w:hAnsi="Arial Narrow"/>
                <w:b/>
                <w:color w:val="000000"/>
                <w:sz w:val="20"/>
                <w:highlight w:val="yellow"/>
              </w:rPr>
            </w:pPr>
            <w:r w:rsidRPr="009F0DCD">
              <w:rPr>
                <w:rFonts w:ascii="Arial Narrow" w:hAnsi="Arial Narrow"/>
                <w:b/>
                <w:color w:val="000000"/>
                <w:sz w:val="20"/>
              </w:rPr>
              <w:t xml:space="preserve">Reanalyses using a </w:t>
            </w:r>
            <w:r>
              <w:rPr>
                <w:rFonts w:ascii="Arial Narrow" w:hAnsi="Arial Narrow"/>
                <w:b/>
                <w:color w:val="000000"/>
                <w:sz w:val="20"/>
              </w:rPr>
              <w:t xml:space="preserve">cost of </w:t>
            </w:r>
            <w:r w:rsidRPr="009F0DCD">
              <w:rPr>
                <w:rFonts w:ascii="Arial Narrow" w:hAnsi="Arial Narrow"/>
                <w:b/>
                <w:color w:val="000000"/>
                <w:sz w:val="20"/>
              </w:rPr>
              <w:t xml:space="preserve">nivolumab </w:t>
            </w:r>
            <w:r>
              <w:rPr>
                <w:rFonts w:ascii="Arial Narrow" w:hAnsi="Arial Narrow"/>
                <w:b/>
                <w:color w:val="000000"/>
                <w:sz w:val="20"/>
              </w:rPr>
              <w:t>per patient</w:t>
            </w:r>
            <w:r w:rsidRPr="009F0DCD">
              <w:rPr>
                <w:rFonts w:ascii="Arial Narrow" w:hAnsi="Arial Narrow"/>
                <w:b/>
                <w:color w:val="000000"/>
                <w:sz w:val="20"/>
              </w:rPr>
              <w:t xml:space="preserve"> of $</w:t>
            </w:r>
            <w:r w:rsidR="00BF699F">
              <w:rPr>
                <w:rFonts w:ascii="Arial Narrow" w:hAnsi="Arial Narrow"/>
                <w:b/>
                <w:noProof/>
                <w:color w:val="000000"/>
                <w:sz w:val="20"/>
                <w:highlight w:val="black"/>
              </w:rPr>
              <w:t>'''''''''''''''''''''</w:t>
            </w:r>
            <w:r w:rsidRPr="009F0DCD">
              <w:rPr>
                <w:rFonts w:ascii="Arial Narrow" w:hAnsi="Arial Narrow"/>
                <w:b/>
                <w:color w:val="000000"/>
                <w:sz w:val="20"/>
              </w:rPr>
              <w:t>*</w:t>
            </w:r>
          </w:p>
        </w:tc>
      </w:tr>
      <w:tr w:rsidR="00DB0311" w:rsidRPr="00C64265" w:rsidTr="006F2DA2">
        <w:tc>
          <w:tcPr>
            <w:tcW w:w="1934" w:type="dxa"/>
          </w:tcPr>
          <w:p w:rsidR="00DB0311" w:rsidRPr="000029D7" w:rsidRDefault="00DB0311" w:rsidP="00316260">
            <w:pPr>
              <w:rPr>
                <w:rFonts w:ascii="Arial Narrow" w:hAnsi="Arial Narrow"/>
                <w:sz w:val="20"/>
              </w:rPr>
            </w:pPr>
            <w:r w:rsidRPr="000029D7">
              <w:rPr>
                <w:rFonts w:ascii="Arial Narrow" w:hAnsi="Arial Narrow"/>
                <w:sz w:val="20"/>
              </w:rPr>
              <w:t>Base case</w:t>
            </w:r>
          </w:p>
        </w:tc>
        <w:tc>
          <w:tcPr>
            <w:tcW w:w="4536" w:type="dxa"/>
          </w:tcPr>
          <w:p w:rsidR="00DB0311" w:rsidRPr="000029D7" w:rsidRDefault="00DB0311" w:rsidP="00316260">
            <w:pPr>
              <w:rPr>
                <w:rFonts w:ascii="Arial Narrow" w:hAnsi="Arial Narrow"/>
                <w:sz w:val="20"/>
              </w:rPr>
            </w:pPr>
            <w:r w:rsidRPr="000029D7">
              <w:rPr>
                <w:rFonts w:ascii="Arial Narrow" w:hAnsi="Arial Narrow"/>
                <w:sz w:val="20"/>
              </w:rPr>
              <w:t>Base case</w:t>
            </w:r>
          </w:p>
        </w:tc>
        <w:tc>
          <w:tcPr>
            <w:tcW w:w="992" w:type="dxa"/>
            <w:vAlign w:val="center"/>
          </w:tcPr>
          <w:p w:rsidR="00DB0311" w:rsidRPr="000029D7" w:rsidRDefault="00DB0311" w:rsidP="00316260">
            <w:pPr>
              <w:jc w:val="right"/>
              <w:rPr>
                <w:rFonts w:ascii="Arial Narrow" w:hAnsi="Arial Narrow"/>
                <w:sz w:val="20"/>
              </w:rPr>
            </w:pPr>
            <w:r w:rsidRPr="000029D7">
              <w:rPr>
                <w:rFonts w:ascii="Arial Narrow" w:hAnsi="Arial Narrow"/>
                <w:color w:val="000000"/>
                <w:sz w:val="20"/>
              </w:rPr>
              <w:t>$</w:t>
            </w:r>
            <w:r w:rsidR="00BF699F">
              <w:rPr>
                <w:rFonts w:ascii="Arial Narrow" w:hAnsi="Arial Narrow"/>
                <w:noProof/>
                <w:color w:val="000000"/>
                <w:sz w:val="20"/>
                <w:highlight w:val="black"/>
              </w:rPr>
              <w:t>'''''''''''''''</w:t>
            </w:r>
          </w:p>
        </w:tc>
        <w:tc>
          <w:tcPr>
            <w:tcW w:w="992" w:type="dxa"/>
            <w:vAlign w:val="center"/>
          </w:tcPr>
          <w:p w:rsidR="00DB0311" w:rsidRPr="000029D7" w:rsidRDefault="00DB0311" w:rsidP="00316260">
            <w:pPr>
              <w:jc w:val="right"/>
              <w:rPr>
                <w:rFonts w:ascii="Arial Narrow" w:hAnsi="Arial Narrow"/>
                <w:sz w:val="20"/>
              </w:rPr>
            </w:pPr>
            <w:r w:rsidRPr="000029D7">
              <w:rPr>
                <w:rFonts w:ascii="Arial Narrow" w:hAnsi="Arial Narrow"/>
                <w:color w:val="000000"/>
                <w:sz w:val="20"/>
              </w:rPr>
              <w:t>$</w:t>
            </w:r>
            <w:r w:rsidR="00BF699F">
              <w:rPr>
                <w:rFonts w:ascii="Arial Narrow" w:hAnsi="Arial Narrow"/>
                <w:noProof/>
                <w:color w:val="000000"/>
                <w:sz w:val="20"/>
                <w:highlight w:val="black"/>
              </w:rPr>
              <w:t>''''''''''''''''</w:t>
            </w:r>
          </w:p>
        </w:tc>
      </w:tr>
      <w:tr w:rsidR="00DB0311" w:rsidRPr="00C64265" w:rsidTr="006F2DA2">
        <w:tc>
          <w:tcPr>
            <w:tcW w:w="1934" w:type="dxa"/>
            <w:vMerge w:val="restart"/>
          </w:tcPr>
          <w:p w:rsidR="00DB0311" w:rsidRPr="000029D7" w:rsidRDefault="00DB0311" w:rsidP="00316260">
            <w:pPr>
              <w:jc w:val="left"/>
              <w:rPr>
                <w:rFonts w:ascii="Arial Narrow" w:hAnsi="Arial Narrow"/>
                <w:sz w:val="20"/>
              </w:rPr>
            </w:pPr>
            <w:r w:rsidRPr="000029D7">
              <w:rPr>
                <w:rFonts w:ascii="Arial Narrow" w:hAnsi="Arial Narrow"/>
                <w:sz w:val="20"/>
              </w:rPr>
              <w:t>SA.3: Method of extrapolation</w:t>
            </w:r>
          </w:p>
        </w:tc>
        <w:tc>
          <w:tcPr>
            <w:tcW w:w="4536" w:type="dxa"/>
          </w:tcPr>
          <w:p w:rsidR="00DB0311" w:rsidRPr="000029D7" w:rsidRDefault="00DB0311" w:rsidP="00316260">
            <w:pPr>
              <w:rPr>
                <w:rFonts w:ascii="Arial Narrow" w:hAnsi="Arial Narrow"/>
                <w:sz w:val="20"/>
              </w:rPr>
            </w:pPr>
            <w:r w:rsidRPr="000029D7">
              <w:rPr>
                <w:rFonts w:ascii="Arial Narrow" w:eastAsia="Calibri" w:hAnsi="Arial Narrow" w:cs="Times New Roman"/>
                <w:sz w:val="20"/>
              </w:rPr>
              <w:t>Log-logistic for nivolumab and Weibull for docetaxel</w:t>
            </w:r>
          </w:p>
        </w:tc>
        <w:tc>
          <w:tcPr>
            <w:tcW w:w="992" w:type="dxa"/>
            <w:vAlign w:val="center"/>
          </w:tcPr>
          <w:p w:rsidR="00DB0311" w:rsidRPr="000029D7" w:rsidRDefault="00DB0311" w:rsidP="00316260">
            <w:pPr>
              <w:jc w:val="right"/>
              <w:rPr>
                <w:rFonts w:ascii="Arial Narrow" w:hAnsi="Arial Narrow"/>
                <w:sz w:val="20"/>
              </w:rPr>
            </w:pPr>
            <w:r w:rsidRPr="000029D7">
              <w:rPr>
                <w:rFonts w:ascii="Arial Narrow" w:hAnsi="Arial Narrow"/>
                <w:color w:val="000000"/>
                <w:sz w:val="20"/>
              </w:rPr>
              <w:t>$</w:t>
            </w:r>
            <w:r w:rsidR="00BF699F">
              <w:rPr>
                <w:rFonts w:ascii="Arial Narrow" w:hAnsi="Arial Narrow"/>
                <w:noProof/>
                <w:color w:val="000000"/>
                <w:sz w:val="20"/>
                <w:highlight w:val="black"/>
              </w:rPr>
              <w:t>''''''''''''''''</w:t>
            </w:r>
          </w:p>
        </w:tc>
        <w:tc>
          <w:tcPr>
            <w:tcW w:w="992" w:type="dxa"/>
            <w:vAlign w:val="center"/>
          </w:tcPr>
          <w:p w:rsidR="00DB0311" w:rsidRPr="000029D7" w:rsidRDefault="00DB0311" w:rsidP="00316260">
            <w:pPr>
              <w:jc w:val="right"/>
              <w:rPr>
                <w:rFonts w:ascii="Arial Narrow" w:hAnsi="Arial Narrow"/>
                <w:sz w:val="20"/>
              </w:rPr>
            </w:pPr>
            <w:r w:rsidRPr="000029D7">
              <w:rPr>
                <w:rFonts w:ascii="Arial Narrow" w:hAnsi="Arial Narrow"/>
                <w:color w:val="000000"/>
                <w:sz w:val="20"/>
              </w:rPr>
              <w:t>$</w:t>
            </w:r>
            <w:r w:rsidR="00BF699F">
              <w:rPr>
                <w:rFonts w:ascii="Arial Narrow" w:hAnsi="Arial Narrow"/>
                <w:noProof/>
                <w:color w:val="000000"/>
                <w:sz w:val="20"/>
                <w:highlight w:val="black"/>
              </w:rPr>
              <w:t>''''''''''''''''</w:t>
            </w:r>
          </w:p>
        </w:tc>
      </w:tr>
      <w:tr w:rsidR="00DB0311" w:rsidRPr="00C64265" w:rsidTr="006F2DA2">
        <w:tc>
          <w:tcPr>
            <w:tcW w:w="1934" w:type="dxa"/>
            <w:vMerge/>
          </w:tcPr>
          <w:p w:rsidR="00DB0311" w:rsidRPr="00A67A3F" w:rsidRDefault="00DB0311" w:rsidP="00316260">
            <w:pPr>
              <w:jc w:val="left"/>
              <w:rPr>
                <w:rFonts w:ascii="Arial Narrow" w:hAnsi="Arial Narrow"/>
                <w:sz w:val="20"/>
              </w:rPr>
            </w:pPr>
          </w:p>
        </w:tc>
        <w:tc>
          <w:tcPr>
            <w:tcW w:w="4536" w:type="dxa"/>
          </w:tcPr>
          <w:p w:rsidR="00DB0311" w:rsidRPr="000029D7" w:rsidRDefault="00DB0311" w:rsidP="00316260">
            <w:pPr>
              <w:rPr>
                <w:rFonts w:ascii="Arial Narrow" w:hAnsi="Arial Narrow"/>
                <w:sz w:val="20"/>
              </w:rPr>
            </w:pPr>
            <w:r w:rsidRPr="000029D7">
              <w:rPr>
                <w:rFonts w:ascii="Arial Narrow" w:eastAsia="Calibri" w:hAnsi="Arial Narrow" w:cs="Times New Roman"/>
                <w:sz w:val="20"/>
              </w:rPr>
              <w:t>Weibull for both PFS and OS in both arms</w:t>
            </w:r>
            <w:r w:rsidRPr="000029D7">
              <w:rPr>
                <w:rFonts w:ascii="Arial Narrow" w:hAnsi="Arial Narrow" w:cs="Times New Roman"/>
                <w:sz w:val="20"/>
                <w:vertAlign w:val="superscript"/>
              </w:rPr>
              <w:t>a</w:t>
            </w:r>
          </w:p>
        </w:tc>
        <w:tc>
          <w:tcPr>
            <w:tcW w:w="992" w:type="dxa"/>
          </w:tcPr>
          <w:p w:rsidR="00DB0311" w:rsidRPr="000029D7" w:rsidRDefault="00DB0311" w:rsidP="00316260">
            <w:pPr>
              <w:jc w:val="right"/>
              <w:rPr>
                <w:rFonts w:ascii="Arial Narrow" w:hAnsi="Arial Narrow"/>
                <w:color w:val="000000"/>
                <w:sz w:val="20"/>
              </w:rPr>
            </w:pPr>
            <w:r w:rsidRPr="000029D7">
              <w:rPr>
                <w:rFonts w:ascii="Arial Narrow" w:hAnsi="Arial Narrow"/>
                <w:color w:val="000000"/>
                <w:sz w:val="20"/>
              </w:rPr>
              <w:t>$</w:t>
            </w:r>
            <w:r w:rsidR="00BF699F">
              <w:rPr>
                <w:rFonts w:ascii="Arial Narrow" w:hAnsi="Arial Narrow"/>
                <w:noProof/>
                <w:color w:val="000000"/>
                <w:sz w:val="20"/>
                <w:highlight w:val="black"/>
              </w:rPr>
              <w:t>''''''''''''''''</w:t>
            </w:r>
          </w:p>
        </w:tc>
        <w:tc>
          <w:tcPr>
            <w:tcW w:w="992" w:type="dxa"/>
          </w:tcPr>
          <w:p w:rsidR="00DB0311" w:rsidRPr="000029D7" w:rsidRDefault="00DB0311" w:rsidP="00316260">
            <w:pPr>
              <w:jc w:val="right"/>
              <w:rPr>
                <w:rFonts w:ascii="Arial Narrow" w:hAnsi="Arial Narrow"/>
                <w:color w:val="000000"/>
                <w:sz w:val="20"/>
              </w:rPr>
            </w:pPr>
            <w:r w:rsidRPr="000029D7">
              <w:rPr>
                <w:rFonts w:ascii="Arial Narrow" w:hAnsi="Arial Narrow"/>
                <w:color w:val="000000"/>
                <w:sz w:val="20"/>
              </w:rPr>
              <w:t>$</w:t>
            </w:r>
            <w:r w:rsidR="00BF699F">
              <w:rPr>
                <w:rFonts w:ascii="Arial Narrow" w:hAnsi="Arial Narrow"/>
                <w:noProof/>
                <w:color w:val="000000"/>
                <w:sz w:val="20"/>
                <w:highlight w:val="black"/>
              </w:rPr>
              <w:t>'''''''''''''''</w:t>
            </w:r>
          </w:p>
        </w:tc>
      </w:tr>
      <w:tr w:rsidR="00DB0311" w:rsidRPr="00C64265" w:rsidTr="006F2DA2">
        <w:tc>
          <w:tcPr>
            <w:tcW w:w="1934" w:type="dxa"/>
            <w:vMerge w:val="restart"/>
          </w:tcPr>
          <w:p w:rsidR="00DB0311" w:rsidRPr="000029D7" w:rsidRDefault="00DB0311" w:rsidP="00316260">
            <w:pPr>
              <w:jc w:val="left"/>
              <w:rPr>
                <w:rFonts w:ascii="Arial Narrow" w:hAnsi="Arial Narrow"/>
                <w:sz w:val="20"/>
              </w:rPr>
            </w:pPr>
            <w:r w:rsidRPr="000029D7">
              <w:rPr>
                <w:rFonts w:ascii="Arial Narrow" w:hAnsi="Arial Narrow"/>
                <w:sz w:val="20"/>
              </w:rPr>
              <w:t>SA.4: Time horizon</w:t>
            </w:r>
          </w:p>
        </w:tc>
        <w:tc>
          <w:tcPr>
            <w:tcW w:w="4536" w:type="dxa"/>
          </w:tcPr>
          <w:p w:rsidR="00DB0311" w:rsidRPr="000029D7" w:rsidRDefault="00DB0311" w:rsidP="00316260">
            <w:pPr>
              <w:rPr>
                <w:rFonts w:ascii="Arial Narrow" w:hAnsi="Arial Narrow"/>
                <w:sz w:val="20"/>
              </w:rPr>
            </w:pPr>
            <w:r w:rsidRPr="000029D7">
              <w:rPr>
                <w:rFonts w:ascii="Arial Narrow" w:hAnsi="Arial Narrow"/>
                <w:sz w:val="20"/>
              </w:rPr>
              <w:t>5 years</w:t>
            </w:r>
          </w:p>
        </w:tc>
        <w:tc>
          <w:tcPr>
            <w:tcW w:w="992" w:type="dxa"/>
            <w:vAlign w:val="center"/>
          </w:tcPr>
          <w:p w:rsidR="00DB0311" w:rsidRPr="000029D7" w:rsidRDefault="00DB0311" w:rsidP="00316260">
            <w:pPr>
              <w:jc w:val="right"/>
              <w:rPr>
                <w:rFonts w:ascii="Arial Narrow" w:hAnsi="Arial Narrow"/>
                <w:sz w:val="20"/>
              </w:rPr>
            </w:pPr>
            <w:r w:rsidRPr="000029D7">
              <w:rPr>
                <w:rFonts w:ascii="Arial Narrow" w:hAnsi="Arial Narrow"/>
                <w:color w:val="000000"/>
                <w:sz w:val="20"/>
              </w:rPr>
              <w:t>$</w:t>
            </w:r>
            <w:r w:rsidR="00BF699F">
              <w:rPr>
                <w:rFonts w:ascii="Arial Narrow" w:hAnsi="Arial Narrow"/>
                <w:noProof/>
                <w:color w:val="000000"/>
                <w:sz w:val="20"/>
                <w:highlight w:val="black"/>
              </w:rPr>
              <w:t>'''''''''''''''''</w:t>
            </w:r>
          </w:p>
        </w:tc>
        <w:tc>
          <w:tcPr>
            <w:tcW w:w="992" w:type="dxa"/>
            <w:vAlign w:val="center"/>
          </w:tcPr>
          <w:p w:rsidR="00DB0311" w:rsidRPr="000029D7" w:rsidRDefault="00DB0311" w:rsidP="00316260">
            <w:pPr>
              <w:jc w:val="right"/>
              <w:rPr>
                <w:rFonts w:ascii="Arial Narrow" w:hAnsi="Arial Narrow"/>
                <w:sz w:val="20"/>
              </w:rPr>
            </w:pPr>
            <w:r w:rsidRPr="000029D7">
              <w:rPr>
                <w:rFonts w:ascii="Arial Narrow" w:hAnsi="Arial Narrow"/>
                <w:color w:val="000000"/>
                <w:sz w:val="20"/>
              </w:rPr>
              <w:t>$</w:t>
            </w:r>
            <w:r w:rsidR="00BF699F">
              <w:rPr>
                <w:rFonts w:ascii="Arial Narrow" w:hAnsi="Arial Narrow"/>
                <w:noProof/>
                <w:color w:val="000000"/>
                <w:sz w:val="20"/>
                <w:highlight w:val="black"/>
              </w:rPr>
              <w:t>''''''''''''''''</w:t>
            </w:r>
          </w:p>
        </w:tc>
      </w:tr>
      <w:tr w:rsidR="00DB0311" w:rsidRPr="003F65EB" w:rsidTr="006F2DA2">
        <w:tc>
          <w:tcPr>
            <w:tcW w:w="1934" w:type="dxa"/>
            <w:vMerge/>
          </w:tcPr>
          <w:p w:rsidR="00DB0311" w:rsidRPr="00A67A3F" w:rsidRDefault="00DB0311" w:rsidP="00316260">
            <w:pPr>
              <w:jc w:val="left"/>
              <w:rPr>
                <w:rFonts w:ascii="Arial Narrow" w:hAnsi="Arial Narrow"/>
                <w:sz w:val="20"/>
              </w:rPr>
            </w:pPr>
          </w:p>
        </w:tc>
        <w:tc>
          <w:tcPr>
            <w:tcW w:w="4536" w:type="dxa"/>
          </w:tcPr>
          <w:p w:rsidR="00DB0311" w:rsidRPr="000029D7" w:rsidRDefault="00DB0311" w:rsidP="00316260">
            <w:pPr>
              <w:rPr>
                <w:rFonts w:ascii="Arial Narrow" w:hAnsi="Arial Narrow"/>
                <w:sz w:val="20"/>
              </w:rPr>
            </w:pPr>
            <w:r w:rsidRPr="000029D7">
              <w:rPr>
                <w:rFonts w:ascii="Arial Narrow" w:hAnsi="Arial Narrow"/>
                <w:sz w:val="20"/>
              </w:rPr>
              <w:t>3 years</w:t>
            </w:r>
          </w:p>
        </w:tc>
        <w:tc>
          <w:tcPr>
            <w:tcW w:w="992" w:type="dxa"/>
            <w:vAlign w:val="center"/>
          </w:tcPr>
          <w:p w:rsidR="00DB0311" w:rsidRPr="000029D7" w:rsidRDefault="00DB0311" w:rsidP="00316260">
            <w:pPr>
              <w:jc w:val="right"/>
              <w:rPr>
                <w:rFonts w:ascii="Arial Narrow" w:hAnsi="Arial Narrow"/>
                <w:sz w:val="20"/>
              </w:rPr>
            </w:pPr>
            <w:r w:rsidRPr="000029D7">
              <w:rPr>
                <w:rFonts w:ascii="Arial Narrow" w:hAnsi="Arial Narrow" w:cs="Times New Roman"/>
                <w:sz w:val="20"/>
              </w:rPr>
              <w:t>$</w:t>
            </w:r>
            <w:r w:rsidR="00BF699F">
              <w:rPr>
                <w:rFonts w:ascii="Arial Narrow" w:hAnsi="Arial Narrow" w:cs="Times New Roman"/>
                <w:noProof/>
                <w:color w:val="000000"/>
                <w:sz w:val="20"/>
                <w:highlight w:val="black"/>
              </w:rPr>
              <w:t>''''''''''''''''</w:t>
            </w:r>
          </w:p>
        </w:tc>
        <w:tc>
          <w:tcPr>
            <w:tcW w:w="992" w:type="dxa"/>
            <w:vAlign w:val="center"/>
          </w:tcPr>
          <w:p w:rsidR="00DB0311" w:rsidRPr="000029D7" w:rsidRDefault="00DB0311" w:rsidP="00316260">
            <w:pPr>
              <w:jc w:val="right"/>
              <w:rPr>
                <w:rFonts w:ascii="Arial Narrow" w:hAnsi="Arial Narrow"/>
                <w:sz w:val="20"/>
              </w:rPr>
            </w:pPr>
            <w:r w:rsidRPr="000029D7">
              <w:rPr>
                <w:rFonts w:ascii="Arial Narrow" w:hAnsi="Arial Narrow" w:cs="Times New Roman"/>
                <w:sz w:val="20"/>
              </w:rPr>
              <w:t>$</w:t>
            </w:r>
            <w:r w:rsidR="00BF699F">
              <w:rPr>
                <w:rFonts w:ascii="Arial Narrow" w:hAnsi="Arial Narrow" w:cs="Times New Roman"/>
                <w:noProof/>
                <w:color w:val="000000"/>
                <w:sz w:val="20"/>
                <w:highlight w:val="black"/>
              </w:rPr>
              <w:t>''''''''''''''''</w:t>
            </w:r>
          </w:p>
        </w:tc>
      </w:tr>
      <w:tr w:rsidR="00DB0311" w:rsidRPr="002615C3" w:rsidTr="006F2DA2">
        <w:tc>
          <w:tcPr>
            <w:tcW w:w="1934" w:type="dxa"/>
          </w:tcPr>
          <w:p w:rsidR="00DB0311" w:rsidRPr="000029D7" w:rsidRDefault="00DB0311" w:rsidP="00316260">
            <w:pPr>
              <w:jc w:val="left"/>
              <w:rPr>
                <w:rFonts w:ascii="Arial Narrow" w:hAnsi="Arial Narrow"/>
                <w:sz w:val="20"/>
                <w:highlight w:val="yellow"/>
              </w:rPr>
            </w:pPr>
            <w:r w:rsidRPr="000029D7">
              <w:rPr>
                <w:rFonts w:ascii="Arial Narrow" w:hAnsi="Arial Narrow" w:cs="Times New Roman"/>
                <w:sz w:val="20"/>
              </w:rPr>
              <w:t>SA.3+SA.5+SA.7</w:t>
            </w:r>
          </w:p>
        </w:tc>
        <w:tc>
          <w:tcPr>
            <w:tcW w:w="4536" w:type="dxa"/>
          </w:tcPr>
          <w:p w:rsidR="00DB0311" w:rsidRPr="000029D7" w:rsidRDefault="00DB0311" w:rsidP="00316260">
            <w:pPr>
              <w:rPr>
                <w:rFonts w:ascii="Arial Narrow" w:eastAsia="Calibri" w:hAnsi="Arial Narrow" w:cs="Times New Roman"/>
                <w:sz w:val="20"/>
                <w:highlight w:val="yellow"/>
              </w:rPr>
            </w:pPr>
            <w:r w:rsidRPr="000029D7">
              <w:rPr>
                <w:rFonts w:ascii="Arial Narrow" w:eastAsia="Calibri" w:hAnsi="Arial Narrow" w:cs="Times New Roman"/>
                <w:sz w:val="20"/>
              </w:rPr>
              <w:t>Extrapolation using Weibull model for PFS and OS in both arms + time horizon of 5 years + equal pre-progression disease management cost between the two arms</w:t>
            </w:r>
            <w:r w:rsidRPr="000029D7">
              <w:rPr>
                <w:rFonts w:ascii="Arial Narrow" w:eastAsia="Calibri" w:hAnsi="Arial Narrow" w:cs="Times New Roman"/>
                <w:sz w:val="20"/>
                <w:vertAlign w:val="superscript"/>
              </w:rPr>
              <w:t>a</w:t>
            </w:r>
          </w:p>
        </w:tc>
        <w:tc>
          <w:tcPr>
            <w:tcW w:w="992" w:type="dxa"/>
            <w:vAlign w:val="center"/>
          </w:tcPr>
          <w:p w:rsidR="00DB0311" w:rsidRPr="000029D7" w:rsidRDefault="00DB0311" w:rsidP="00316260">
            <w:pPr>
              <w:jc w:val="right"/>
              <w:rPr>
                <w:rFonts w:ascii="Arial Narrow" w:hAnsi="Arial Narrow"/>
                <w:color w:val="000000"/>
                <w:sz w:val="20"/>
              </w:rPr>
            </w:pPr>
            <w:r w:rsidRPr="000029D7">
              <w:rPr>
                <w:rFonts w:ascii="Arial Narrow" w:hAnsi="Arial Narrow"/>
                <w:color w:val="000000"/>
                <w:sz w:val="20"/>
              </w:rPr>
              <w:t>$</w:t>
            </w:r>
            <w:r w:rsidR="00BF699F">
              <w:rPr>
                <w:rFonts w:ascii="Arial Narrow" w:hAnsi="Arial Narrow"/>
                <w:noProof/>
                <w:color w:val="000000"/>
                <w:sz w:val="20"/>
                <w:highlight w:val="black"/>
              </w:rPr>
              <w:t>'''''''''''''''</w:t>
            </w:r>
          </w:p>
        </w:tc>
        <w:tc>
          <w:tcPr>
            <w:tcW w:w="992" w:type="dxa"/>
            <w:vAlign w:val="center"/>
          </w:tcPr>
          <w:p w:rsidR="00DB0311" w:rsidRPr="000029D7" w:rsidRDefault="00DB0311" w:rsidP="00316260">
            <w:pPr>
              <w:jc w:val="right"/>
              <w:rPr>
                <w:rFonts w:ascii="Arial Narrow" w:hAnsi="Arial Narrow"/>
                <w:color w:val="000000"/>
                <w:sz w:val="20"/>
              </w:rPr>
            </w:pPr>
            <w:r w:rsidRPr="000029D7">
              <w:rPr>
                <w:rFonts w:ascii="Arial Narrow" w:hAnsi="Arial Narrow"/>
                <w:color w:val="000000"/>
                <w:sz w:val="20"/>
              </w:rPr>
              <w:t>$</w:t>
            </w:r>
            <w:r w:rsidR="00BF699F">
              <w:rPr>
                <w:rFonts w:ascii="Arial Narrow" w:hAnsi="Arial Narrow"/>
                <w:noProof/>
                <w:color w:val="000000"/>
                <w:sz w:val="20"/>
                <w:highlight w:val="black"/>
              </w:rPr>
              <w:t>''''''''''''''''''''</w:t>
            </w:r>
          </w:p>
        </w:tc>
      </w:tr>
    </w:tbl>
    <w:p w:rsidR="009F6BE2" w:rsidRPr="00B23721" w:rsidRDefault="0066264E" w:rsidP="009F6BE2">
      <w:pPr>
        <w:ind w:left="709"/>
        <w:rPr>
          <w:rFonts w:ascii="Arial Narrow" w:hAnsi="Arial Narrow"/>
          <w:sz w:val="18"/>
        </w:rPr>
      </w:pPr>
      <w:r w:rsidRPr="00B23721">
        <w:rPr>
          <w:rFonts w:ascii="Arial Narrow" w:hAnsi="Arial Narrow"/>
          <w:sz w:val="18"/>
        </w:rPr>
        <w:t xml:space="preserve">SA = sensitivity analysis; </w:t>
      </w:r>
      <w:r w:rsidR="009F6BE2" w:rsidRPr="00B23721">
        <w:rPr>
          <w:rFonts w:ascii="Arial Narrow" w:hAnsi="Arial Narrow"/>
          <w:sz w:val="18"/>
        </w:rPr>
        <w:t>LY = life year; OS = overall survival; PFS = progression-free survival; QALY = quality-adjusted life year</w:t>
      </w:r>
    </w:p>
    <w:p w:rsidR="009F6BE2" w:rsidRPr="00B23721" w:rsidRDefault="009F6BE2" w:rsidP="008D5592">
      <w:pPr>
        <w:ind w:left="709"/>
        <w:rPr>
          <w:rFonts w:ascii="Arial Narrow" w:hAnsi="Arial Narrow"/>
          <w:sz w:val="18"/>
        </w:rPr>
      </w:pPr>
      <w:r w:rsidRPr="00B23721">
        <w:rPr>
          <w:rFonts w:ascii="Arial Narrow" w:hAnsi="Arial Narrow"/>
          <w:sz w:val="18"/>
          <w:vertAlign w:val="superscript"/>
        </w:rPr>
        <w:t>a</w:t>
      </w:r>
      <w:r w:rsidRPr="00B23721">
        <w:rPr>
          <w:rFonts w:ascii="Arial Narrow" w:hAnsi="Arial Narrow"/>
          <w:sz w:val="18"/>
        </w:rPr>
        <w:t xml:space="preserve"> Additional sensitivity analyses performed during the evaluation</w:t>
      </w:r>
      <w:r w:rsidR="00865C87">
        <w:rPr>
          <w:rFonts w:ascii="Arial Narrow" w:hAnsi="Arial Narrow"/>
          <w:sz w:val="18"/>
        </w:rPr>
        <w:t xml:space="preserve"> (or following the Pre-PBAC Response)</w:t>
      </w:r>
    </w:p>
    <w:p w:rsidR="00052D18" w:rsidRPr="00B23721" w:rsidRDefault="00052D18" w:rsidP="008D5592">
      <w:pPr>
        <w:ind w:left="709"/>
        <w:rPr>
          <w:rFonts w:ascii="Arial Narrow" w:hAnsi="Arial Narrow"/>
          <w:sz w:val="18"/>
        </w:rPr>
      </w:pPr>
      <w:r w:rsidRPr="00B23721">
        <w:rPr>
          <w:rFonts w:ascii="Arial Narrow" w:hAnsi="Arial Narrow"/>
          <w:sz w:val="18"/>
          <w:vertAlign w:val="superscript"/>
        </w:rPr>
        <w:t>b</w:t>
      </w:r>
      <w:r w:rsidRPr="00B23721">
        <w:rPr>
          <w:rFonts w:ascii="Arial Narrow" w:hAnsi="Arial Narrow"/>
          <w:sz w:val="18"/>
        </w:rPr>
        <w:t xml:space="preserve"> The observed utility for progressive disease in the nivolumab arm in CA209-017 was lower than that in the docetaxel arm. The original submission argued that it seemed implausible that patients in the nivolumab treatment arm should have a lower progressive disease utility value. Therefore, the observed utility value for progressive disease in the docetaxel treatment arm was applied to both treatment arms in the base case.</w:t>
      </w:r>
    </w:p>
    <w:p w:rsidR="0026719C" w:rsidRPr="00B23721" w:rsidRDefault="00052D18" w:rsidP="0026719C">
      <w:pPr>
        <w:pStyle w:val="TableFooter"/>
        <w:ind w:left="720"/>
      </w:pPr>
      <w:r w:rsidRPr="00B23721">
        <w:rPr>
          <w:vertAlign w:val="superscript"/>
        </w:rPr>
        <w:t>c</w:t>
      </w:r>
      <w:r w:rsidRPr="00B23721">
        <w:t xml:space="preserve"> </w:t>
      </w:r>
      <w:r w:rsidR="0026719C" w:rsidRPr="00B23721">
        <w:t>Based on utility value for the progressive disease from Chouaid et al (2013)</w:t>
      </w:r>
      <w:r w:rsidR="0026719C" w:rsidRPr="00B23721">
        <w:rPr>
          <w:rStyle w:val="FootnoteReference"/>
        </w:rPr>
        <w:footnoteReference w:id="4"/>
      </w:r>
      <w:r w:rsidR="0026719C" w:rsidRPr="00B23721">
        <w:t xml:space="preserve">. When considering erlotinib in March 2014, the PBAC stated that utilities from Chouaid (2013) were more representative estimates (7.03 erlotinib </w:t>
      </w:r>
      <w:r w:rsidR="008062A4" w:rsidRPr="00B23721">
        <w:t>public summary document</w:t>
      </w:r>
      <w:r w:rsidR="0026719C" w:rsidRPr="00B23721">
        <w:t>, March 2014 PBAC meeting).</w:t>
      </w:r>
    </w:p>
    <w:p w:rsidR="00052D18" w:rsidRDefault="0026719C" w:rsidP="008D5592">
      <w:pPr>
        <w:ind w:left="709"/>
        <w:rPr>
          <w:rFonts w:ascii="Arial Narrow" w:hAnsi="Arial Narrow"/>
          <w:sz w:val="18"/>
        </w:rPr>
      </w:pPr>
      <w:r w:rsidRPr="00B23721">
        <w:rPr>
          <w:rFonts w:ascii="Arial Narrow" w:hAnsi="Arial Narrow"/>
          <w:sz w:val="18"/>
          <w:vertAlign w:val="superscript"/>
        </w:rPr>
        <w:t>d</w:t>
      </w:r>
      <w:r w:rsidRPr="00B23721">
        <w:rPr>
          <w:rFonts w:ascii="Arial Narrow" w:hAnsi="Arial Narrow"/>
          <w:sz w:val="18"/>
        </w:rPr>
        <w:t xml:space="preserve"> </w:t>
      </w:r>
      <w:r w:rsidR="00052D18" w:rsidRPr="00B23721">
        <w:rPr>
          <w:rFonts w:ascii="Arial Narrow" w:hAnsi="Arial Narrow"/>
          <w:sz w:val="18"/>
        </w:rPr>
        <w:t>Arbitrary assumption: one infusion more than the base case (</w:t>
      </w:r>
      <w:r w:rsidR="00BF699F">
        <w:rPr>
          <w:rFonts w:ascii="Arial Narrow" w:hAnsi="Arial Narrow"/>
          <w:noProof/>
          <w:color w:val="000000"/>
          <w:sz w:val="18"/>
          <w:highlight w:val="black"/>
        </w:rPr>
        <w:t>'''''''''''''</w:t>
      </w:r>
      <w:r w:rsidR="00052D18" w:rsidRPr="00B23721">
        <w:rPr>
          <w:rFonts w:ascii="Arial Narrow" w:hAnsi="Arial Narrow"/>
          <w:sz w:val="18"/>
        </w:rPr>
        <w:t>)</w:t>
      </w:r>
    </w:p>
    <w:p w:rsidR="000029D7" w:rsidRPr="000029D7" w:rsidRDefault="000029D7" w:rsidP="000029D7">
      <w:pPr>
        <w:ind w:left="709"/>
        <w:rPr>
          <w:rFonts w:ascii="Arial Narrow" w:hAnsi="Arial Narrow"/>
          <w:sz w:val="18"/>
        </w:rPr>
      </w:pPr>
      <w:r w:rsidRPr="000029D7">
        <w:rPr>
          <w:rFonts w:ascii="Arial Narrow" w:hAnsi="Arial Narrow"/>
          <w:sz w:val="18"/>
        </w:rPr>
        <w:t xml:space="preserve">* </w:t>
      </w:r>
      <w:r w:rsidR="00DE2B96">
        <w:rPr>
          <w:rFonts w:ascii="Arial Narrow" w:hAnsi="Arial Narrow"/>
          <w:sz w:val="18"/>
        </w:rPr>
        <w:t xml:space="preserve">Cost per patient </w:t>
      </w:r>
      <w:r w:rsidRPr="000029D7">
        <w:rPr>
          <w:rFonts w:ascii="Arial Narrow" w:hAnsi="Arial Narrow"/>
          <w:sz w:val="18"/>
        </w:rPr>
        <w:t xml:space="preserve">of nivolumab </w:t>
      </w:r>
      <w:r w:rsidR="00DE2B96">
        <w:rPr>
          <w:rFonts w:ascii="Arial Narrow" w:hAnsi="Arial Narrow"/>
          <w:sz w:val="18"/>
        </w:rPr>
        <w:t xml:space="preserve">limited </w:t>
      </w:r>
      <w:r w:rsidR="00053AEE">
        <w:rPr>
          <w:rFonts w:ascii="Arial Narrow" w:hAnsi="Arial Narrow"/>
          <w:sz w:val="18"/>
        </w:rPr>
        <w:t xml:space="preserve">to </w:t>
      </w:r>
      <w:r w:rsidRPr="000029D7">
        <w:rPr>
          <w:rFonts w:ascii="Arial Narrow" w:hAnsi="Arial Narrow"/>
          <w:sz w:val="18"/>
        </w:rPr>
        <w:t>$</w:t>
      </w:r>
      <w:r w:rsidR="00BF699F">
        <w:rPr>
          <w:rFonts w:ascii="Arial Narrow" w:hAnsi="Arial Narrow"/>
          <w:noProof/>
          <w:color w:val="000000"/>
          <w:sz w:val="18"/>
          <w:highlight w:val="black"/>
        </w:rPr>
        <w:t>''''''''''''''''''''''</w:t>
      </w:r>
      <w:r w:rsidR="00053AEE" w:rsidRPr="00053AEE">
        <w:rPr>
          <w:rFonts w:ascii="Arial Narrow" w:hAnsi="Arial Narrow"/>
          <w:sz w:val="18"/>
        </w:rPr>
        <w:t xml:space="preserve"> </w:t>
      </w:r>
      <w:r w:rsidR="00053AEE">
        <w:rPr>
          <w:rFonts w:ascii="Arial Narrow" w:hAnsi="Arial Narrow"/>
          <w:sz w:val="18"/>
        </w:rPr>
        <w:t>as proposed in the Pre-PBAC Response</w:t>
      </w:r>
      <w:r w:rsidRPr="000029D7">
        <w:rPr>
          <w:rFonts w:ascii="Arial Narrow" w:hAnsi="Arial Narrow"/>
          <w:sz w:val="18"/>
        </w:rPr>
        <w:t xml:space="preserve">, based </w:t>
      </w:r>
      <w:r w:rsidRPr="00A5622D">
        <w:rPr>
          <w:rFonts w:ascii="Arial Narrow" w:hAnsi="Arial Narrow"/>
          <w:sz w:val="18"/>
        </w:rPr>
        <w:t xml:space="preserve">on </w:t>
      </w:r>
      <w:r w:rsidR="00604A47">
        <w:rPr>
          <w:rFonts w:ascii="Arial Narrow" w:hAnsi="Arial Narrow"/>
          <w:noProof/>
          <w:color w:val="000000"/>
          <w:sz w:val="18"/>
          <w:highlight w:val="black"/>
        </w:rPr>
        <w:t>'''''''</w:t>
      </w:r>
      <w:r w:rsidRPr="00A5622D">
        <w:rPr>
          <w:rFonts w:ascii="Arial Narrow" w:hAnsi="Arial Narrow"/>
          <w:sz w:val="18"/>
        </w:rPr>
        <w:t xml:space="preserve"> administrations (</w:t>
      </w:r>
      <w:r w:rsidR="00604A47">
        <w:rPr>
          <w:rFonts w:ascii="Arial Narrow" w:hAnsi="Arial Narrow"/>
          <w:noProof/>
          <w:color w:val="000000"/>
          <w:sz w:val="18"/>
          <w:highlight w:val="black"/>
        </w:rPr>
        <w:t>''''''</w:t>
      </w:r>
      <w:r w:rsidRPr="000029D7">
        <w:rPr>
          <w:rFonts w:ascii="Arial Narrow" w:hAnsi="Arial Narrow"/>
          <w:sz w:val="18"/>
        </w:rPr>
        <w:t xml:space="preserve"> weeks of treatment), assuming that the average patient requires 2 x 100 mg vials and 1 x 40 mg vial of nivolumab.</w:t>
      </w:r>
    </w:p>
    <w:p w:rsidR="008D5592" w:rsidRPr="00B23721" w:rsidRDefault="008D5592" w:rsidP="008D5592">
      <w:pPr>
        <w:ind w:left="709"/>
        <w:rPr>
          <w:rFonts w:ascii="Arial Narrow" w:hAnsi="Arial Narrow"/>
          <w:sz w:val="18"/>
        </w:rPr>
      </w:pPr>
      <w:r w:rsidRPr="00B23721">
        <w:rPr>
          <w:rFonts w:ascii="Arial Narrow" w:hAnsi="Arial Narrow"/>
          <w:sz w:val="18"/>
        </w:rPr>
        <w:t xml:space="preserve">Source: Table compiled during the evaluation. The base case analysis and the sensitivity analyses were conducted after incorporating the updated </w:t>
      </w:r>
      <w:r w:rsidR="000F1BDC" w:rsidRPr="00B23721">
        <w:rPr>
          <w:rFonts w:ascii="Arial Narrow" w:hAnsi="Arial Narrow"/>
          <w:sz w:val="18"/>
        </w:rPr>
        <w:t>Efficient F</w:t>
      </w:r>
      <w:r w:rsidR="00325AE8" w:rsidRPr="00B23721">
        <w:rPr>
          <w:rFonts w:ascii="Arial Narrow" w:hAnsi="Arial Narrow"/>
          <w:sz w:val="18"/>
        </w:rPr>
        <w:t xml:space="preserve">unding of </w:t>
      </w:r>
      <w:r w:rsidR="000F1BDC" w:rsidRPr="00B23721">
        <w:rPr>
          <w:rFonts w:ascii="Arial Narrow" w:hAnsi="Arial Narrow"/>
          <w:sz w:val="18"/>
        </w:rPr>
        <w:t>C</w:t>
      </w:r>
      <w:r w:rsidR="00325AE8" w:rsidRPr="00B23721">
        <w:rPr>
          <w:rFonts w:ascii="Arial Narrow" w:hAnsi="Arial Narrow"/>
          <w:sz w:val="18"/>
        </w:rPr>
        <w:t xml:space="preserve">hemotherapy </w:t>
      </w:r>
      <w:r w:rsidRPr="00B23721">
        <w:rPr>
          <w:rFonts w:ascii="Arial Narrow" w:hAnsi="Arial Narrow"/>
          <w:sz w:val="18"/>
        </w:rPr>
        <w:t>fees.</w:t>
      </w:r>
    </w:p>
    <w:p w:rsidR="00C82992" w:rsidRPr="00B23721" w:rsidRDefault="00C82992" w:rsidP="00C82992">
      <w:pPr>
        <w:widowControl/>
        <w:rPr>
          <w:szCs w:val="22"/>
        </w:rPr>
      </w:pPr>
    </w:p>
    <w:p w:rsidR="001D48CF" w:rsidRPr="00B23721" w:rsidRDefault="001D48CF" w:rsidP="001D48CF">
      <w:pPr>
        <w:pStyle w:val="ListParagraph"/>
        <w:widowControl/>
        <w:numPr>
          <w:ilvl w:val="1"/>
          <w:numId w:val="4"/>
        </w:numPr>
        <w:snapToGrid w:val="0"/>
        <w:rPr>
          <w:szCs w:val="22"/>
        </w:rPr>
      </w:pPr>
      <w:r w:rsidRPr="00B23721">
        <w:rPr>
          <w:szCs w:val="22"/>
        </w:rPr>
        <w:t xml:space="preserve">Results of sensitivity analyses indicated that the model was moderately sensitive to the treatment effect of nivolumab compared with docetaxel in terms of 95% </w:t>
      </w:r>
      <w:r w:rsidRPr="00B23721">
        <w:rPr>
          <w:szCs w:val="22"/>
        </w:rPr>
        <w:lastRenderedPageBreak/>
        <w:t>confidence intervals for PFS and OS, the method of extrapolation, the point of extrapolation and the assumption that the pre-progression disease management cost in the nivolumab arm w</w:t>
      </w:r>
      <w:r w:rsidR="008062A4" w:rsidRPr="00B23721">
        <w:rPr>
          <w:szCs w:val="22"/>
        </w:rPr>
        <w:t>as</w:t>
      </w:r>
      <w:r w:rsidRPr="00B23721">
        <w:rPr>
          <w:szCs w:val="22"/>
        </w:rPr>
        <w:t xml:space="preserve"> 40% lower than th</w:t>
      </w:r>
      <w:r w:rsidR="008062A4" w:rsidRPr="00B23721">
        <w:rPr>
          <w:szCs w:val="22"/>
        </w:rPr>
        <w:t>at</w:t>
      </w:r>
      <w:r w:rsidRPr="00B23721">
        <w:rPr>
          <w:szCs w:val="22"/>
        </w:rPr>
        <w:t xml:space="preserve"> in the docetaxel arm.</w:t>
      </w:r>
    </w:p>
    <w:p w:rsidR="001D48CF" w:rsidRPr="00B23721" w:rsidRDefault="001D48CF" w:rsidP="001D48CF">
      <w:pPr>
        <w:widowControl/>
        <w:snapToGrid w:val="0"/>
        <w:rPr>
          <w:szCs w:val="22"/>
        </w:rPr>
      </w:pPr>
    </w:p>
    <w:p w:rsidR="005C3102" w:rsidRPr="00B23721" w:rsidRDefault="005668F6" w:rsidP="005668F6">
      <w:pPr>
        <w:pStyle w:val="ListParagraph"/>
        <w:widowControl/>
        <w:numPr>
          <w:ilvl w:val="1"/>
          <w:numId w:val="4"/>
        </w:numPr>
        <w:snapToGrid w:val="0"/>
        <w:rPr>
          <w:szCs w:val="22"/>
        </w:rPr>
      </w:pPr>
      <w:r w:rsidRPr="00B23721">
        <w:rPr>
          <w:szCs w:val="22"/>
        </w:rPr>
        <w:t xml:space="preserve">The time horizon of the economic model was longer than the PBAC recommendation (7.5-year vs 5-year time horizon). </w:t>
      </w:r>
      <w:r w:rsidR="005C3102" w:rsidRPr="00B23721">
        <w:rPr>
          <w:szCs w:val="22"/>
        </w:rPr>
        <w:t xml:space="preserve">Sensitivity analyses also showed that the ICER result would change substantially if the time horizon varied between 1.5 years (around the shortest median time to </w:t>
      </w:r>
      <w:r w:rsidR="002D7DFB" w:rsidRPr="00B23721">
        <w:rPr>
          <w:szCs w:val="22"/>
        </w:rPr>
        <w:t>censoring</w:t>
      </w:r>
      <w:r w:rsidR="005C3102" w:rsidRPr="00B23721">
        <w:rPr>
          <w:szCs w:val="22"/>
        </w:rPr>
        <w:t xml:space="preserve"> for PFS and OS in the two treatment arms) and 4 years. Later on, the economic model was less sensitive to the change in time horizon: the ICER would increase by 6% (from </w:t>
      </w:r>
      <w:r w:rsidR="009242C0">
        <w:rPr>
          <w:szCs w:val="22"/>
        </w:rPr>
        <w:t xml:space="preserve">$75,000/QALY - $105,000/QALY </w:t>
      </w:r>
      <w:r w:rsidR="005C3102" w:rsidRPr="00B23721">
        <w:rPr>
          <w:szCs w:val="22"/>
        </w:rPr>
        <w:t xml:space="preserve">to </w:t>
      </w:r>
      <w:r w:rsidR="009242C0">
        <w:rPr>
          <w:szCs w:val="22"/>
        </w:rPr>
        <w:t>$75,000/QALY - $105,000/QALY</w:t>
      </w:r>
      <w:r w:rsidR="005C3102" w:rsidRPr="00B23721">
        <w:rPr>
          <w:szCs w:val="22"/>
        </w:rPr>
        <w:t>) if a time horizon of 5 years wa</w:t>
      </w:r>
      <w:r w:rsidR="00AB6FDA" w:rsidRPr="00B23721">
        <w:rPr>
          <w:szCs w:val="22"/>
        </w:rPr>
        <w:t>s used</w:t>
      </w:r>
      <w:r w:rsidR="00083433" w:rsidRPr="00B23721">
        <w:rPr>
          <w:szCs w:val="22"/>
        </w:rPr>
        <w:t xml:space="preserve">, </w:t>
      </w:r>
      <w:r w:rsidR="00881872" w:rsidRPr="00B23721">
        <w:rPr>
          <w:szCs w:val="22"/>
        </w:rPr>
        <w:t xml:space="preserve">compared with </w:t>
      </w:r>
      <w:r w:rsidR="006617E9" w:rsidRPr="00B23721">
        <w:rPr>
          <w:szCs w:val="22"/>
        </w:rPr>
        <w:t>a 7.5-year time horizon in the base case</w:t>
      </w:r>
      <w:r w:rsidR="002E742D" w:rsidRPr="00B23721">
        <w:rPr>
          <w:szCs w:val="22"/>
        </w:rPr>
        <w:t>.</w:t>
      </w:r>
    </w:p>
    <w:p w:rsidR="005C3102" w:rsidRPr="00B23721" w:rsidRDefault="005C3102" w:rsidP="005C3102">
      <w:pPr>
        <w:widowControl/>
        <w:snapToGrid w:val="0"/>
        <w:rPr>
          <w:szCs w:val="22"/>
        </w:rPr>
      </w:pPr>
    </w:p>
    <w:p w:rsidR="00C82992" w:rsidRDefault="00C14BAA" w:rsidP="004F7A6F">
      <w:pPr>
        <w:pStyle w:val="ListParagraph"/>
        <w:widowControl/>
        <w:numPr>
          <w:ilvl w:val="1"/>
          <w:numId w:val="4"/>
        </w:numPr>
        <w:snapToGrid w:val="0"/>
        <w:rPr>
          <w:szCs w:val="22"/>
        </w:rPr>
      </w:pPr>
      <w:r w:rsidRPr="00405347">
        <w:rPr>
          <w:szCs w:val="22"/>
        </w:rPr>
        <w:t xml:space="preserve">Multivariate sensitivity analyses conducted during the evaluation suggested that, when assuming a 5-year time horizon and extrapolating PFS and OS using Weibull model for both arms, the ICER increased to </w:t>
      </w:r>
      <w:r w:rsidR="000C564D">
        <w:rPr>
          <w:szCs w:val="22"/>
        </w:rPr>
        <w:t>$105,000/QALY - $200,000/QALY</w:t>
      </w:r>
      <w:r w:rsidRPr="00405347">
        <w:rPr>
          <w:szCs w:val="22"/>
        </w:rPr>
        <w:t>. If equal pre-progression disease management cost between the nivolumab and docetaxel arms w</w:t>
      </w:r>
      <w:r w:rsidR="007952C4" w:rsidRPr="00405347">
        <w:rPr>
          <w:szCs w:val="22"/>
        </w:rPr>
        <w:t>as</w:t>
      </w:r>
      <w:r w:rsidRPr="00405347">
        <w:rPr>
          <w:szCs w:val="22"/>
        </w:rPr>
        <w:t xml:space="preserve"> also applied to the model, the ICER would inc</w:t>
      </w:r>
      <w:r w:rsidR="002E742D" w:rsidRPr="00405347">
        <w:rPr>
          <w:szCs w:val="22"/>
        </w:rPr>
        <w:t xml:space="preserve">rease further to </w:t>
      </w:r>
      <w:r w:rsidR="000C564D">
        <w:rPr>
          <w:szCs w:val="22"/>
        </w:rPr>
        <w:t>$105,000/QALY - $200,000/QALY</w:t>
      </w:r>
      <w:r w:rsidR="002E742D" w:rsidRPr="00405347">
        <w:rPr>
          <w:szCs w:val="22"/>
        </w:rPr>
        <w:t>.</w:t>
      </w:r>
      <w:r w:rsidR="004F7A6F" w:rsidRPr="00405347">
        <w:rPr>
          <w:szCs w:val="22"/>
        </w:rPr>
        <w:t xml:space="preserve"> The ESC considered that the true ICER likely sat in the range between </w:t>
      </w:r>
      <w:r w:rsidR="000C564D">
        <w:rPr>
          <w:szCs w:val="22"/>
        </w:rPr>
        <w:t>$105,000/QALY - $200,000/QALY</w:t>
      </w:r>
      <w:r w:rsidR="000C564D" w:rsidRPr="00405347" w:rsidDel="000C564D">
        <w:rPr>
          <w:szCs w:val="22"/>
        </w:rPr>
        <w:t xml:space="preserve"> </w:t>
      </w:r>
      <w:r w:rsidR="004F7A6F" w:rsidRPr="00405347">
        <w:rPr>
          <w:szCs w:val="22"/>
        </w:rPr>
        <w:t xml:space="preserve">(Weibull for both PFS and OS in both arms) and </w:t>
      </w:r>
      <w:r w:rsidR="000C564D">
        <w:rPr>
          <w:szCs w:val="22"/>
        </w:rPr>
        <w:t>$105,000/QALY - $200,000/QALY</w:t>
      </w:r>
      <w:r w:rsidR="000C564D" w:rsidRPr="00405347" w:rsidDel="000C564D">
        <w:rPr>
          <w:szCs w:val="22"/>
        </w:rPr>
        <w:t xml:space="preserve"> </w:t>
      </w:r>
      <w:r w:rsidR="004F7A6F" w:rsidRPr="00405347">
        <w:rPr>
          <w:szCs w:val="22"/>
        </w:rPr>
        <w:t>(SA.3+SA.5+SA.7).</w:t>
      </w:r>
    </w:p>
    <w:p w:rsidR="00C14BAA" w:rsidRPr="00B23721" w:rsidRDefault="00C14BAA" w:rsidP="00C25D9C">
      <w:pPr>
        <w:widowControl/>
        <w:rPr>
          <w:szCs w:val="22"/>
        </w:rPr>
      </w:pPr>
    </w:p>
    <w:p w:rsidR="00C25D9C" w:rsidRPr="00B23721" w:rsidRDefault="007758B1" w:rsidP="009905CA">
      <w:pPr>
        <w:pStyle w:val="Heading3"/>
      </w:pPr>
      <w:bookmarkStart w:id="15" w:name="_Toc461611888"/>
      <w:r w:rsidRPr="00B23721">
        <w:t>Drug cost/patient/course: $</w:t>
      </w:r>
      <w:r w:rsidR="00BF699F">
        <w:rPr>
          <w:noProof/>
          <w:color w:val="000000"/>
          <w:highlight w:val="black"/>
        </w:rPr>
        <w:t>''''''''''''''</w:t>
      </w:r>
      <w:r w:rsidR="00C25D9C" w:rsidRPr="00B23721">
        <w:t>.</w:t>
      </w:r>
      <w:bookmarkEnd w:id="15"/>
    </w:p>
    <w:p w:rsidR="00C25D9C" w:rsidRPr="00B23721" w:rsidRDefault="00C25D9C" w:rsidP="00C25D9C">
      <w:pPr>
        <w:widowControl/>
        <w:rPr>
          <w:szCs w:val="22"/>
        </w:rPr>
      </w:pPr>
    </w:p>
    <w:p w:rsidR="007758B1" w:rsidRPr="00B23721" w:rsidRDefault="007758B1" w:rsidP="001B23F9">
      <w:pPr>
        <w:widowControl/>
        <w:numPr>
          <w:ilvl w:val="1"/>
          <w:numId w:val="4"/>
        </w:numPr>
        <w:rPr>
          <w:szCs w:val="22"/>
        </w:rPr>
      </w:pPr>
      <w:r w:rsidRPr="00B23721">
        <w:rPr>
          <w:szCs w:val="22"/>
        </w:rPr>
        <w:t xml:space="preserve">The total drug cost per patient </w:t>
      </w:r>
      <w:r w:rsidR="00852111" w:rsidRPr="00B23721">
        <w:rPr>
          <w:szCs w:val="22"/>
        </w:rPr>
        <w:t>wa</w:t>
      </w:r>
      <w:r w:rsidRPr="00B23721">
        <w:rPr>
          <w:szCs w:val="22"/>
        </w:rPr>
        <w:t>s $</w:t>
      </w:r>
      <w:r w:rsidR="00BF699F">
        <w:rPr>
          <w:noProof/>
          <w:color w:val="000000"/>
          <w:szCs w:val="22"/>
          <w:highlight w:val="black"/>
        </w:rPr>
        <w:t>''''''''''''''''</w:t>
      </w:r>
      <w:r w:rsidRPr="00B23721">
        <w:rPr>
          <w:szCs w:val="22"/>
        </w:rPr>
        <w:t>. This was calculated using the proposed effective dispensed price, assuming an ave</w:t>
      </w:r>
      <w:r w:rsidR="00C82992" w:rsidRPr="00B23721">
        <w:rPr>
          <w:szCs w:val="22"/>
        </w:rPr>
        <w:t>rage patient body weight of 75.2 kg, requiring 22</w:t>
      </w:r>
      <w:r w:rsidR="001B23F9" w:rsidRPr="00B23721">
        <w:rPr>
          <w:szCs w:val="22"/>
        </w:rPr>
        <w:t>5.</w:t>
      </w:r>
      <w:r w:rsidR="00C82992" w:rsidRPr="00B23721">
        <w:rPr>
          <w:szCs w:val="22"/>
        </w:rPr>
        <w:t>6</w:t>
      </w:r>
      <w:r w:rsidRPr="00B23721">
        <w:rPr>
          <w:szCs w:val="22"/>
        </w:rPr>
        <w:t xml:space="preserve"> mg of nivolumab. The dose was assumed to be supplied from 2 </w:t>
      </w:r>
      <w:r w:rsidR="001B23F9" w:rsidRPr="00B23721">
        <w:rPr>
          <w:szCs w:val="22"/>
        </w:rPr>
        <w:t>x</w:t>
      </w:r>
      <w:r w:rsidRPr="00B23721">
        <w:rPr>
          <w:szCs w:val="22"/>
        </w:rPr>
        <w:t xml:space="preserve"> 100 mg vials and 1</w:t>
      </w:r>
      <w:r w:rsidR="001B23F9" w:rsidRPr="00B23721">
        <w:rPr>
          <w:szCs w:val="22"/>
        </w:rPr>
        <w:t xml:space="preserve"> x</w:t>
      </w:r>
      <w:r w:rsidRPr="00B23721">
        <w:rPr>
          <w:szCs w:val="22"/>
        </w:rPr>
        <w:t xml:space="preserve"> 40 mg vial of nivolumab (allowing for wastage), with an average of </w:t>
      </w:r>
      <w:r w:rsidR="00BF699F">
        <w:rPr>
          <w:noProof/>
          <w:color w:val="000000"/>
          <w:szCs w:val="22"/>
          <w:highlight w:val="black"/>
        </w:rPr>
        <w:t>''''''''''''''</w:t>
      </w:r>
      <w:r w:rsidRPr="00B23721">
        <w:rPr>
          <w:szCs w:val="22"/>
        </w:rPr>
        <w:t xml:space="preserve"> infusions per pa</w:t>
      </w:r>
      <w:r w:rsidR="00C82992" w:rsidRPr="00B23721">
        <w:rPr>
          <w:szCs w:val="22"/>
        </w:rPr>
        <w:t>tient, as observed from CA209-01</w:t>
      </w:r>
      <w:r w:rsidRPr="00B23721">
        <w:rPr>
          <w:szCs w:val="22"/>
        </w:rPr>
        <w:t>7 (without any extrapolation over time). It was also assumed that 15% of the drug would be dispensed in public hospitals and 85% in private hospitals.</w:t>
      </w:r>
    </w:p>
    <w:p w:rsidR="007758B1" w:rsidRPr="00B23721" w:rsidRDefault="007758B1" w:rsidP="007758B1">
      <w:pPr>
        <w:widowControl/>
        <w:rPr>
          <w:szCs w:val="22"/>
        </w:rPr>
      </w:pPr>
    </w:p>
    <w:p w:rsidR="007758B1" w:rsidRPr="00B23721" w:rsidRDefault="007758B1" w:rsidP="001B23F9">
      <w:pPr>
        <w:widowControl/>
        <w:numPr>
          <w:ilvl w:val="1"/>
          <w:numId w:val="4"/>
        </w:numPr>
        <w:rPr>
          <w:szCs w:val="22"/>
        </w:rPr>
      </w:pPr>
      <w:r w:rsidRPr="00B23721">
        <w:rPr>
          <w:szCs w:val="22"/>
        </w:rPr>
        <w:t xml:space="preserve">This </w:t>
      </w:r>
      <w:r w:rsidR="00852111" w:rsidRPr="00B23721">
        <w:rPr>
          <w:szCs w:val="22"/>
        </w:rPr>
        <w:t>wa</w:t>
      </w:r>
      <w:r w:rsidRPr="00B23721">
        <w:rPr>
          <w:szCs w:val="22"/>
        </w:rPr>
        <w:t xml:space="preserve">s compared with a </w:t>
      </w:r>
      <w:r w:rsidR="00C82992" w:rsidRPr="00B23721">
        <w:rPr>
          <w:szCs w:val="22"/>
        </w:rPr>
        <w:t>total cost of $</w:t>
      </w:r>
      <w:r w:rsidR="00BF699F">
        <w:rPr>
          <w:noProof/>
          <w:color w:val="000000"/>
          <w:szCs w:val="22"/>
          <w:highlight w:val="black"/>
        </w:rPr>
        <w:t>'''''''''</w:t>
      </w:r>
      <w:r w:rsidRPr="00B23721">
        <w:rPr>
          <w:szCs w:val="22"/>
        </w:rPr>
        <w:t xml:space="preserve"> for treatment with docetaxel</w:t>
      </w:r>
      <w:r w:rsidR="0034181D" w:rsidRPr="00B23721">
        <w:rPr>
          <w:szCs w:val="22"/>
        </w:rPr>
        <w:t>, based on its usage in CA209-01</w:t>
      </w:r>
      <w:r w:rsidRPr="00B23721">
        <w:rPr>
          <w:szCs w:val="22"/>
        </w:rPr>
        <w:t>7.</w:t>
      </w:r>
    </w:p>
    <w:p w:rsidR="00B60939" w:rsidRPr="00B23721" w:rsidRDefault="00B60939" w:rsidP="001456B0">
      <w:pPr>
        <w:rPr>
          <w:szCs w:val="22"/>
        </w:rPr>
      </w:pPr>
    </w:p>
    <w:p w:rsidR="00B60939" w:rsidRPr="00B23721" w:rsidRDefault="00B60939" w:rsidP="009905CA">
      <w:pPr>
        <w:pStyle w:val="Heading3"/>
      </w:pPr>
      <w:bookmarkStart w:id="16" w:name="_Toc461611889"/>
      <w:r w:rsidRPr="00B23721">
        <w:t>Estimated PBS usage &amp; financial implications</w:t>
      </w:r>
      <w:bookmarkEnd w:id="16"/>
    </w:p>
    <w:p w:rsidR="00C05B41" w:rsidRPr="00B23721" w:rsidRDefault="00C05B41" w:rsidP="00C05B41">
      <w:bookmarkStart w:id="17" w:name="_Toc458417629"/>
    </w:p>
    <w:p w:rsidR="00C05B41" w:rsidRPr="00B23721" w:rsidRDefault="00C05B41" w:rsidP="00C05B41">
      <w:pPr>
        <w:widowControl/>
        <w:numPr>
          <w:ilvl w:val="1"/>
          <w:numId w:val="4"/>
        </w:numPr>
        <w:rPr>
          <w:szCs w:val="22"/>
        </w:rPr>
      </w:pPr>
      <w:r w:rsidRPr="00B23721">
        <w:t xml:space="preserve">This re-submission </w:t>
      </w:r>
      <w:r w:rsidR="00B23721">
        <w:t>was not</w:t>
      </w:r>
      <w:r w:rsidRPr="00B23721">
        <w:t xml:space="preserve"> considered by DUSC.</w:t>
      </w:r>
    </w:p>
    <w:p w:rsidR="00C05B41" w:rsidRPr="00B23721" w:rsidRDefault="00C05B41" w:rsidP="002E742D">
      <w:pPr>
        <w:widowControl/>
        <w:rPr>
          <w:szCs w:val="22"/>
        </w:rPr>
      </w:pPr>
    </w:p>
    <w:p w:rsidR="00C05B41" w:rsidRPr="00B23721" w:rsidRDefault="00C05B41" w:rsidP="00C05B41">
      <w:pPr>
        <w:pStyle w:val="ListParagraph"/>
        <w:widowControl/>
        <w:numPr>
          <w:ilvl w:val="1"/>
          <w:numId w:val="4"/>
        </w:numPr>
      </w:pPr>
      <w:r w:rsidRPr="00B23721">
        <w:t>As for the original submission, the re-submission used an incidence-based approach to estimate the eligible population. This was appropriate.</w:t>
      </w:r>
    </w:p>
    <w:p w:rsidR="00C05B41" w:rsidRPr="00B23721" w:rsidRDefault="00C05B41" w:rsidP="00C05B41">
      <w:pPr>
        <w:widowControl/>
        <w:rPr>
          <w:szCs w:val="22"/>
        </w:rPr>
      </w:pPr>
    </w:p>
    <w:p w:rsidR="00C05B41" w:rsidRPr="00B23721" w:rsidRDefault="00C05B41" w:rsidP="00C05B41">
      <w:pPr>
        <w:pStyle w:val="ListParagraph"/>
        <w:widowControl/>
        <w:numPr>
          <w:ilvl w:val="1"/>
          <w:numId w:val="4"/>
        </w:numPr>
      </w:pPr>
      <w:r w:rsidRPr="00B23721">
        <w:t>The main differences between the re-submission and the original submission were:</w:t>
      </w:r>
    </w:p>
    <w:p w:rsidR="00C05B41" w:rsidRPr="00B23721" w:rsidRDefault="00C05B41" w:rsidP="002E1939">
      <w:pPr>
        <w:pStyle w:val="ListParagraph"/>
        <w:widowControl/>
        <w:numPr>
          <w:ilvl w:val="0"/>
          <w:numId w:val="14"/>
        </w:numPr>
        <w:ind w:left="1134"/>
      </w:pPr>
      <w:r w:rsidRPr="00B23721">
        <w:t>The proportion of patients diagnosed with NSCLC who were assumed to have squamous histology was increased from 18.3% to 25.8%, as recommended by DUSC;</w:t>
      </w:r>
    </w:p>
    <w:p w:rsidR="00C05B41" w:rsidRPr="00B23721" w:rsidRDefault="00C05B41" w:rsidP="002E1939">
      <w:pPr>
        <w:pStyle w:val="ListParagraph"/>
        <w:widowControl/>
        <w:numPr>
          <w:ilvl w:val="0"/>
          <w:numId w:val="14"/>
        </w:numPr>
        <w:ind w:left="1134"/>
      </w:pPr>
      <w:r w:rsidRPr="00B23721">
        <w:t>The proposed effective price for nivolumab was reduced;</w:t>
      </w:r>
    </w:p>
    <w:p w:rsidR="00C05B41" w:rsidRPr="00B23721" w:rsidRDefault="00C05B41" w:rsidP="002E1939">
      <w:pPr>
        <w:pStyle w:val="ListParagraph"/>
        <w:widowControl/>
        <w:numPr>
          <w:ilvl w:val="0"/>
          <w:numId w:val="14"/>
        </w:numPr>
        <w:ind w:left="1134"/>
      </w:pPr>
      <w:r w:rsidRPr="00B23721">
        <w:t xml:space="preserve">The mean number of nivolumab infusions per patient was increased from </w:t>
      </w:r>
      <w:r w:rsidR="00BF699F">
        <w:rPr>
          <w:noProof/>
          <w:color w:val="000000"/>
          <w:highlight w:val="black"/>
        </w:rPr>
        <w:t>'''''''''''''</w:t>
      </w:r>
      <w:r w:rsidRPr="00B23721">
        <w:t xml:space="preserve"> infusions to </w:t>
      </w:r>
      <w:r w:rsidR="00BF699F">
        <w:rPr>
          <w:noProof/>
          <w:color w:val="000000"/>
          <w:highlight w:val="black"/>
        </w:rPr>
        <w:t>''''''''''''</w:t>
      </w:r>
      <w:r w:rsidRPr="00B23721">
        <w:t xml:space="preserve"> infusions, in line with updated</w:t>
      </w:r>
      <w:r w:rsidR="002E742D" w:rsidRPr="00B23721">
        <w:t xml:space="preserve"> data from trial CA209-017; and</w:t>
      </w:r>
    </w:p>
    <w:p w:rsidR="00C05B41" w:rsidRPr="00B23721" w:rsidRDefault="00C05B41" w:rsidP="002E1939">
      <w:pPr>
        <w:pStyle w:val="ListParagraph"/>
        <w:widowControl/>
        <w:numPr>
          <w:ilvl w:val="0"/>
          <w:numId w:val="14"/>
        </w:numPr>
        <w:ind w:left="1134"/>
      </w:pPr>
      <w:r w:rsidRPr="00B23721">
        <w:t>Drug wastage was included.</w:t>
      </w:r>
    </w:p>
    <w:p w:rsidR="00C05B41" w:rsidRPr="00B23721" w:rsidRDefault="00C05B41" w:rsidP="00C05B41"/>
    <w:p w:rsidR="00C05B41" w:rsidRPr="00B23721" w:rsidRDefault="00C05B41" w:rsidP="00C05B41">
      <w:pPr>
        <w:pStyle w:val="ListParagraph"/>
        <w:widowControl/>
        <w:numPr>
          <w:ilvl w:val="1"/>
          <w:numId w:val="4"/>
        </w:numPr>
      </w:pPr>
      <w:r w:rsidRPr="00B23721">
        <w:lastRenderedPageBreak/>
        <w:t xml:space="preserve">The re-submission’s estimates for the proportion of patients receiving each treatment option were the same as those in the original submission. The assumptions in the treatment algorithms were based on advice from the eight expert members of the sponsor’s advisory board. The level of agreement among these advisors was not reported, nor was any justification provided for the proportions proposed. Consequently, </w:t>
      </w:r>
      <w:r w:rsidRPr="00B23721">
        <w:rPr>
          <w:szCs w:val="24"/>
        </w:rPr>
        <w:t>there was substantial uncertainty in the estimated number of patients likely to be treated</w:t>
      </w:r>
      <w:r w:rsidRPr="00B23721">
        <w:t>.</w:t>
      </w:r>
    </w:p>
    <w:p w:rsidR="00C05B41" w:rsidRPr="00B23721" w:rsidRDefault="00C05B41" w:rsidP="00C05B41">
      <w:pPr>
        <w:widowControl/>
      </w:pPr>
    </w:p>
    <w:p w:rsidR="00C05B41" w:rsidRPr="00B23721" w:rsidRDefault="00C05B41" w:rsidP="00C05B41">
      <w:pPr>
        <w:pStyle w:val="ListParagraph"/>
        <w:widowControl/>
        <w:numPr>
          <w:ilvl w:val="1"/>
          <w:numId w:val="4"/>
        </w:numPr>
      </w:pPr>
      <w:r w:rsidRPr="00B23721">
        <w:t>The DUSC considered that the number of eligible patients receiving prior platinum-based chemotherapy was likely to be underestimated by assuming a relatively large proportion (25%) receive single agent chemotherapy instead. There would be an incentive to use doublet chemotherapy over single agents in order to access nivolumab (paragraph 6.42, 5.06 nivolumab</w:t>
      </w:r>
      <w:r w:rsidR="002E742D" w:rsidRPr="00B23721">
        <w:t xml:space="preserve"> PSD, March 2016 PBAC Meeting).</w:t>
      </w:r>
    </w:p>
    <w:p w:rsidR="00C05B41" w:rsidRPr="00B23721" w:rsidRDefault="00C05B41" w:rsidP="00C05B41">
      <w:pPr>
        <w:widowControl/>
      </w:pPr>
    </w:p>
    <w:p w:rsidR="00C05B41" w:rsidRPr="00B23721" w:rsidRDefault="00C05B41" w:rsidP="00C05B41">
      <w:pPr>
        <w:pStyle w:val="ListParagraph"/>
        <w:widowControl/>
        <w:numPr>
          <w:ilvl w:val="1"/>
          <w:numId w:val="4"/>
        </w:numPr>
        <w:rPr>
          <w:szCs w:val="22"/>
        </w:rPr>
      </w:pPr>
      <w:r w:rsidRPr="00B23721">
        <w:rPr>
          <w:szCs w:val="24"/>
        </w:rPr>
        <w:t xml:space="preserve">The average cost of nivolumab per patient was likely to be underestimated, as </w:t>
      </w:r>
      <w:r w:rsidRPr="00B23721">
        <w:t>the duration of nivolumab treatment in practice may be longer than the mean treatment duration observed from the 2-year minimum follow-up data in CA209-017, given that 8% of patients in the trial were still receiving nivolumab.</w:t>
      </w:r>
    </w:p>
    <w:p w:rsidR="00C05B41" w:rsidRPr="00B23721" w:rsidRDefault="00C05B41" w:rsidP="00C05B41">
      <w:pPr>
        <w:widowControl/>
        <w:rPr>
          <w:szCs w:val="22"/>
        </w:rPr>
      </w:pPr>
    </w:p>
    <w:p w:rsidR="00C05B41" w:rsidRPr="00B23721" w:rsidRDefault="00C05B41" w:rsidP="00C05B41">
      <w:pPr>
        <w:pStyle w:val="ListParagraph"/>
        <w:widowControl/>
        <w:numPr>
          <w:ilvl w:val="1"/>
          <w:numId w:val="4"/>
        </w:numPr>
        <w:rPr>
          <w:szCs w:val="22"/>
        </w:rPr>
      </w:pPr>
      <w:r w:rsidRPr="00B23721">
        <w:rPr>
          <w:szCs w:val="22"/>
        </w:rPr>
        <w:t xml:space="preserve">The PBAC previously noted the DUSC’s concerns about the potential for use of nivolumab beyond the restriction (paragraph 7.10, 5.06 nivolumab PSD, March 2016 PBAC Meeting). These concerns included potential </w:t>
      </w:r>
      <w:r w:rsidRPr="00B23721">
        <w:rPr>
          <w:color w:val="000000" w:themeColor="text1"/>
          <w:szCs w:val="22"/>
        </w:rPr>
        <w:t>use in earlier lines of therapy, use in patients with a performance status that is worse than those participating in the key trial (i.e. ECOG</w:t>
      </w:r>
      <w:r w:rsidR="00936A7F" w:rsidRPr="00B23721">
        <w:rPr>
          <w:rStyle w:val="FootnoteReference"/>
          <w:color w:val="000000" w:themeColor="text1"/>
          <w:szCs w:val="22"/>
        </w:rPr>
        <w:footnoteReference w:id="5"/>
      </w:r>
      <w:r w:rsidRPr="00B23721">
        <w:rPr>
          <w:color w:val="000000" w:themeColor="text1"/>
          <w:szCs w:val="22"/>
        </w:rPr>
        <w:t xml:space="preserve">&gt;1), and use beyond disease progression </w:t>
      </w:r>
      <w:r w:rsidRPr="00B23721">
        <w:rPr>
          <w:szCs w:val="22"/>
        </w:rPr>
        <w:t>(paragraph 6.42, 5.06 nivolumab PSD, March 2016 PBAC Meeting)</w:t>
      </w:r>
      <w:r w:rsidRPr="00B23721">
        <w:rPr>
          <w:color w:val="000000" w:themeColor="text1"/>
          <w:szCs w:val="22"/>
        </w:rPr>
        <w:t>. The proposed restriction was amended in the re-submission to limit eligibility to patients with a performance score of 0 or 1.</w:t>
      </w:r>
    </w:p>
    <w:p w:rsidR="00C05B41" w:rsidRPr="00B23721" w:rsidRDefault="00C05B41" w:rsidP="002E742D">
      <w:pPr>
        <w:widowControl/>
        <w:rPr>
          <w:szCs w:val="22"/>
        </w:rPr>
      </w:pPr>
    </w:p>
    <w:p w:rsidR="00A7518E" w:rsidRDefault="00A7518E">
      <w:pPr>
        <w:widowControl/>
        <w:jc w:val="left"/>
        <w:rPr>
          <w:rFonts w:ascii="Arial Narrow" w:hAnsi="Arial Narrow"/>
          <w:b/>
          <w:bCs/>
          <w:sz w:val="20"/>
        </w:rPr>
      </w:pPr>
      <w:r>
        <w:rPr>
          <w:rFonts w:ascii="Arial Narrow" w:hAnsi="Arial Narrow"/>
        </w:rPr>
        <w:br w:type="page"/>
      </w:r>
    </w:p>
    <w:p w:rsidR="00BB09B5" w:rsidRPr="009E7552" w:rsidRDefault="00BB09B5" w:rsidP="009E7552">
      <w:pPr>
        <w:pStyle w:val="Caption"/>
        <w:keepNext/>
        <w:ind w:firstLine="709"/>
        <w:rPr>
          <w:rFonts w:ascii="Arial Narrow" w:hAnsi="Arial Narrow"/>
        </w:rPr>
      </w:pPr>
      <w:r w:rsidRPr="009E7552">
        <w:rPr>
          <w:rFonts w:ascii="Arial Narrow" w:hAnsi="Arial Narrow"/>
        </w:rPr>
        <w:lastRenderedPageBreak/>
        <w:t>Table 9: Estimated use and financial implications</w:t>
      </w:r>
    </w:p>
    <w:tbl>
      <w:tblPr>
        <w:tblW w:w="834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93"/>
        <w:gridCol w:w="1061"/>
        <w:gridCol w:w="1064"/>
        <w:gridCol w:w="1151"/>
        <w:gridCol w:w="1151"/>
        <w:gridCol w:w="1221"/>
      </w:tblGrid>
      <w:tr w:rsidR="00C05B41" w:rsidRPr="00B23721" w:rsidTr="004A5B61">
        <w:trPr>
          <w:tblHeader/>
        </w:trPr>
        <w:tc>
          <w:tcPr>
            <w:tcW w:w="1614" w:type="pct"/>
            <w:shd w:val="clear" w:color="auto" w:fill="auto"/>
            <w:vAlign w:val="center"/>
          </w:tcPr>
          <w:p w:rsidR="00C05B41" w:rsidRPr="00B23721" w:rsidRDefault="00C05B41" w:rsidP="00FF0995">
            <w:pPr>
              <w:rPr>
                <w:rFonts w:ascii="Arial Narrow" w:hAnsi="Arial Narrow"/>
                <w:sz w:val="20"/>
              </w:rPr>
            </w:pPr>
          </w:p>
        </w:tc>
        <w:tc>
          <w:tcPr>
            <w:tcW w:w="636" w:type="pct"/>
            <w:shd w:val="clear" w:color="auto" w:fill="auto"/>
            <w:vAlign w:val="center"/>
          </w:tcPr>
          <w:p w:rsidR="00C05B41" w:rsidRPr="00B23721" w:rsidRDefault="00C05B41" w:rsidP="00FF0995">
            <w:pPr>
              <w:jc w:val="center"/>
              <w:rPr>
                <w:rFonts w:ascii="Arial Narrow" w:hAnsi="Arial Narrow"/>
                <w:b/>
                <w:sz w:val="20"/>
              </w:rPr>
            </w:pPr>
            <w:r w:rsidRPr="00B23721">
              <w:rPr>
                <w:rFonts w:ascii="Arial Narrow" w:hAnsi="Arial Narrow"/>
                <w:b/>
                <w:sz w:val="20"/>
              </w:rPr>
              <w:t>Year 1</w:t>
            </w:r>
          </w:p>
        </w:tc>
        <w:tc>
          <w:tcPr>
            <w:tcW w:w="638" w:type="pct"/>
            <w:shd w:val="clear" w:color="auto" w:fill="auto"/>
            <w:vAlign w:val="center"/>
          </w:tcPr>
          <w:p w:rsidR="00C05B41" w:rsidRPr="00B23721" w:rsidRDefault="00C05B41" w:rsidP="00FF0995">
            <w:pPr>
              <w:jc w:val="center"/>
              <w:rPr>
                <w:rFonts w:ascii="Arial Narrow" w:hAnsi="Arial Narrow"/>
                <w:b/>
                <w:sz w:val="20"/>
              </w:rPr>
            </w:pPr>
            <w:r w:rsidRPr="00B23721">
              <w:rPr>
                <w:rFonts w:ascii="Arial Narrow" w:hAnsi="Arial Narrow"/>
                <w:b/>
                <w:sz w:val="20"/>
              </w:rPr>
              <w:t>Year 2</w:t>
            </w:r>
          </w:p>
        </w:tc>
        <w:tc>
          <w:tcPr>
            <w:tcW w:w="690" w:type="pct"/>
            <w:shd w:val="clear" w:color="auto" w:fill="auto"/>
            <w:vAlign w:val="center"/>
          </w:tcPr>
          <w:p w:rsidR="00C05B41" w:rsidRPr="00B23721" w:rsidRDefault="00C05B41" w:rsidP="00FF0995">
            <w:pPr>
              <w:jc w:val="center"/>
              <w:rPr>
                <w:rFonts w:ascii="Arial Narrow" w:hAnsi="Arial Narrow"/>
                <w:b/>
                <w:sz w:val="20"/>
              </w:rPr>
            </w:pPr>
            <w:r w:rsidRPr="00B23721">
              <w:rPr>
                <w:rFonts w:ascii="Arial Narrow" w:hAnsi="Arial Narrow"/>
                <w:b/>
                <w:sz w:val="20"/>
              </w:rPr>
              <w:t>Year 3</w:t>
            </w:r>
          </w:p>
        </w:tc>
        <w:tc>
          <w:tcPr>
            <w:tcW w:w="690" w:type="pct"/>
            <w:shd w:val="clear" w:color="auto" w:fill="auto"/>
            <w:vAlign w:val="center"/>
          </w:tcPr>
          <w:p w:rsidR="00C05B41" w:rsidRPr="00B23721" w:rsidRDefault="00C05B41" w:rsidP="00FF0995">
            <w:pPr>
              <w:jc w:val="center"/>
              <w:rPr>
                <w:rFonts w:ascii="Arial Narrow" w:hAnsi="Arial Narrow"/>
                <w:b/>
                <w:sz w:val="20"/>
              </w:rPr>
            </w:pPr>
            <w:r w:rsidRPr="00B23721">
              <w:rPr>
                <w:rFonts w:ascii="Arial Narrow" w:hAnsi="Arial Narrow"/>
                <w:b/>
                <w:sz w:val="20"/>
              </w:rPr>
              <w:t>Year 4</w:t>
            </w:r>
          </w:p>
        </w:tc>
        <w:tc>
          <w:tcPr>
            <w:tcW w:w="732" w:type="pct"/>
            <w:shd w:val="clear" w:color="auto" w:fill="auto"/>
            <w:vAlign w:val="center"/>
          </w:tcPr>
          <w:p w:rsidR="00C05B41" w:rsidRPr="00B23721" w:rsidRDefault="00C05B41" w:rsidP="00FF0995">
            <w:pPr>
              <w:jc w:val="center"/>
              <w:rPr>
                <w:rFonts w:ascii="Arial Narrow" w:hAnsi="Arial Narrow"/>
                <w:b/>
                <w:sz w:val="20"/>
              </w:rPr>
            </w:pPr>
            <w:r w:rsidRPr="00B23721">
              <w:rPr>
                <w:rFonts w:ascii="Arial Narrow" w:hAnsi="Arial Narrow"/>
                <w:b/>
                <w:sz w:val="20"/>
              </w:rPr>
              <w:t>Year 5</w:t>
            </w:r>
          </w:p>
        </w:tc>
      </w:tr>
      <w:tr w:rsidR="00C05B41" w:rsidRPr="00B23721" w:rsidTr="004A5B61">
        <w:tc>
          <w:tcPr>
            <w:tcW w:w="5000" w:type="pct"/>
            <w:gridSpan w:val="6"/>
            <w:shd w:val="clear" w:color="auto" w:fill="auto"/>
            <w:vAlign w:val="center"/>
          </w:tcPr>
          <w:p w:rsidR="00C05B41" w:rsidRPr="00B23721" w:rsidRDefault="00C05B41" w:rsidP="00FF0995">
            <w:pPr>
              <w:rPr>
                <w:rFonts w:ascii="Arial Narrow" w:hAnsi="Arial Narrow"/>
                <w:b/>
                <w:bCs/>
                <w:color w:val="000000"/>
                <w:sz w:val="20"/>
              </w:rPr>
            </w:pPr>
            <w:r w:rsidRPr="00B23721">
              <w:rPr>
                <w:rFonts w:ascii="Arial Narrow" w:hAnsi="Arial Narrow"/>
                <w:b/>
                <w:bCs/>
                <w:color w:val="000000"/>
                <w:sz w:val="20"/>
              </w:rPr>
              <w:t>Estimated extent of use</w:t>
            </w:r>
          </w:p>
        </w:tc>
      </w:tr>
      <w:tr w:rsidR="00C05B41" w:rsidRPr="00B23721" w:rsidTr="004A5B61">
        <w:tc>
          <w:tcPr>
            <w:tcW w:w="1614" w:type="pct"/>
            <w:shd w:val="clear" w:color="auto" w:fill="auto"/>
            <w:vAlign w:val="center"/>
          </w:tcPr>
          <w:p w:rsidR="00C05B41" w:rsidRPr="00B23721" w:rsidRDefault="00C05B41" w:rsidP="00FF0995">
            <w:pPr>
              <w:rPr>
                <w:rFonts w:ascii="Arial Narrow" w:hAnsi="Arial Narrow"/>
                <w:sz w:val="20"/>
              </w:rPr>
            </w:pPr>
            <w:r w:rsidRPr="00B23721">
              <w:rPr>
                <w:rFonts w:ascii="Arial Narrow" w:hAnsi="Arial Narrow"/>
                <w:sz w:val="20"/>
              </w:rPr>
              <w:t>Number treated</w:t>
            </w:r>
          </w:p>
        </w:tc>
        <w:tc>
          <w:tcPr>
            <w:tcW w:w="636" w:type="pct"/>
            <w:shd w:val="clear" w:color="auto" w:fill="auto"/>
            <w:vAlign w:val="center"/>
          </w:tcPr>
          <w:p w:rsidR="00C05B41" w:rsidRPr="00BF699F" w:rsidRDefault="00BF699F" w:rsidP="00FF0995">
            <w:pPr>
              <w:jc w:val="center"/>
              <w:rPr>
                <w:rFonts w:ascii="Arial Narrow" w:hAnsi="Arial Narrow"/>
                <w:bCs/>
                <w:sz w:val="20"/>
                <w:highlight w:val="black"/>
              </w:rPr>
            </w:pPr>
            <w:r>
              <w:rPr>
                <w:rFonts w:ascii="Arial Narrow" w:hAnsi="Arial Narrow"/>
                <w:noProof/>
                <w:color w:val="000000"/>
                <w:sz w:val="20"/>
                <w:highlight w:val="black"/>
              </w:rPr>
              <w:t>''''''''''''''</w:t>
            </w:r>
          </w:p>
        </w:tc>
        <w:tc>
          <w:tcPr>
            <w:tcW w:w="638" w:type="pct"/>
            <w:shd w:val="clear" w:color="auto" w:fill="auto"/>
            <w:vAlign w:val="center"/>
          </w:tcPr>
          <w:p w:rsidR="00C05B41" w:rsidRPr="00BF699F" w:rsidRDefault="00BF699F" w:rsidP="00FF0995">
            <w:pPr>
              <w:jc w:val="center"/>
              <w:rPr>
                <w:rFonts w:ascii="Arial Narrow" w:hAnsi="Arial Narrow"/>
                <w:bCs/>
                <w:sz w:val="20"/>
                <w:highlight w:val="black"/>
              </w:rPr>
            </w:pPr>
            <w:r>
              <w:rPr>
                <w:rFonts w:ascii="Arial Narrow" w:hAnsi="Arial Narrow"/>
                <w:noProof/>
                <w:color w:val="000000"/>
                <w:sz w:val="20"/>
                <w:highlight w:val="black"/>
              </w:rPr>
              <w:t>'''''''''''''</w:t>
            </w:r>
          </w:p>
        </w:tc>
        <w:tc>
          <w:tcPr>
            <w:tcW w:w="690" w:type="pct"/>
            <w:shd w:val="clear" w:color="auto" w:fill="auto"/>
            <w:vAlign w:val="center"/>
          </w:tcPr>
          <w:p w:rsidR="00C05B41" w:rsidRPr="00BF699F" w:rsidRDefault="00BF699F" w:rsidP="00FF0995">
            <w:pPr>
              <w:jc w:val="center"/>
              <w:rPr>
                <w:rFonts w:ascii="Arial Narrow" w:hAnsi="Arial Narrow"/>
                <w:bCs/>
                <w:sz w:val="20"/>
                <w:highlight w:val="black"/>
              </w:rPr>
            </w:pPr>
            <w:r>
              <w:rPr>
                <w:rFonts w:ascii="Arial Narrow" w:hAnsi="Arial Narrow"/>
                <w:noProof/>
                <w:color w:val="000000"/>
                <w:sz w:val="20"/>
                <w:highlight w:val="black"/>
              </w:rPr>
              <w:t>'''''''''''''''</w:t>
            </w:r>
          </w:p>
        </w:tc>
        <w:tc>
          <w:tcPr>
            <w:tcW w:w="690" w:type="pct"/>
            <w:shd w:val="clear" w:color="auto" w:fill="auto"/>
            <w:vAlign w:val="center"/>
          </w:tcPr>
          <w:p w:rsidR="00C05B41" w:rsidRPr="00BF699F" w:rsidRDefault="00BF699F" w:rsidP="00FF0995">
            <w:pPr>
              <w:jc w:val="center"/>
              <w:rPr>
                <w:rFonts w:ascii="Arial Narrow" w:hAnsi="Arial Narrow"/>
                <w:bCs/>
                <w:sz w:val="20"/>
                <w:highlight w:val="black"/>
              </w:rPr>
            </w:pPr>
            <w:r>
              <w:rPr>
                <w:rFonts w:ascii="Arial Narrow" w:hAnsi="Arial Narrow"/>
                <w:noProof/>
                <w:color w:val="000000"/>
                <w:sz w:val="20"/>
                <w:highlight w:val="black"/>
              </w:rPr>
              <w:t>''''''''''''</w:t>
            </w:r>
          </w:p>
        </w:tc>
        <w:tc>
          <w:tcPr>
            <w:tcW w:w="732" w:type="pct"/>
            <w:shd w:val="clear" w:color="auto" w:fill="auto"/>
            <w:vAlign w:val="center"/>
          </w:tcPr>
          <w:p w:rsidR="00C05B41" w:rsidRPr="00BF699F" w:rsidRDefault="00BF699F" w:rsidP="00FF0995">
            <w:pPr>
              <w:jc w:val="center"/>
              <w:rPr>
                <w:rFonts w:ascii="Arial Narrow" w:hAnsi="Arial Narrow"/>
                <w:bCs/>
                <w:sz w:val="20"/>
                <w:highlight w:val="black"/>
              </w:rPr>
            </w:pPr>
            <w:r>
              <w:rPr>
                <w:rFonts w:ascii="Arial Narrow" w:hAnsi="Arial Narrow"/>
                <w:noProof/>
                <w:color w:val="000000"/>
                <w:sz w:val="20"/>
                <w:highlight w:val="black"/>
              </w:rPr>
              <w:t>'''''''''''''''</w:t>
            </w:r>
          </w:p>
        </w:tc>
      </w:tr>
      <w:tr w:rsidR="00C05B41" w:rsidRPr="00B23721" w:rsidTr="004A5B61">
        <w:tc>
          <w:tcPr>
            <w:tcW w:w="1614" w:type="pct"/>
            <w:shd w:val="clear" w:color="auto" w:fill="auto"/>
            <w:vAlign w:val="center"/>
          </w:tcPr>
          <w:p w:rsidR="00C05B41" w:rsidRPr="00B23721" w:rsidRDefault="00C05B41" w:rsidP="00FF0995">
            <w:pPr>
              <w:rPr>
                <w:rFonts w:ascii="Arial Narrow" w:hAnsi="Arial Narrow"/>
                <w:sz w:val="20"/>
              </w:rPr>
            </w:pPr>
            <w:r w:rsidRPr="00B23721">
              <w:rPr>
                <w:rFonts w:ascii="Arial Narrow" w:hAnsi="Arial Narrow"/>
                <w:sz w:val="20"/>
              </w:rPr>
              <w:t>Number treated – March 2016</w:t>
            </w:r>
          </w:p>
        </w:tc>
        <w:tc>
          <w:tcPr>
            <w:tcW w:w="636" w:type="pct"/>
            <w:shd w:val="clear" w:color="auto" w:fill="auto"/>
            <w:vAlign w:val="center"/>
          </w:tcPr>
          <w:p w:rsidR="00C05B41" w:rsidRPr="00BF699F" w:rsidRDefault="00BF699F" w:rsidP="00FF0995">
            <w:pPr>
              <w:jc w:val="center"/>
              <w:rPr>
                <w:rFonts w:ascii="Arial Narrow" w:hAnsi="Arial Narrow"/>
                <w:sz w:val="20"/>
                <w:highlight w:val="black"/>
              </w:rPr>
            </w:pPr>
            <w:r>
              <w:rPr>
                <w:rFonts w:ascii="Arial Narrow" w:hAnsi="Arial Narrow"/>
                <w:noProof/>
                <w:color w:val="000000"/>
                <w:sz w:val="20"/>
                <w:highlight w:val="black"/>
              </w:rPr>
              <w:t>'''''''''</w:t>
            </w:r>
          </w:p>
        </w:tc>
        <w:tc>
          <w:tcPr>
            <w:tcW w:w="638" w:type="pct"/>
            <w:shd w:val="clear" w:color="auto" w:fill="auto"/>
            <w:vAlign w:val="center"/>
          </w:tcPr>
          <w:p w:rsidR="00C05B41" w:rsidRPr="00BF699F" w:rsidRDefault="00BF699F" w:rsidP="00FF0995">
            <w:pPr>
              <w:jc w:val="center"/>
              <w:rPr>
                <w:rFonts w:ascii="Arial Narrow" w:hAnsi="Arial Narrow"/>
                <w:sz w:val="20"/>
                <w:highlight w:val="black"/>
              </w:rPr>
            </w:pPr>
            <w:r>
              <w:rPr>
                <w:rFonts w:ascii="Arial Narrow" w:hAnsi="Arial Narrow"/>
                <w:noProof/>
                <w:color w:val="000000"/>
                <w:sz w:val="20"/>
                <w:highlight w:val="black"/>
              </w:rPr>
              <w:t>'''''''''</w:t>
            </w:r>
          </w:p>
        </w:tc>
        <w:tc>
          <w:tcPr>
            <w:tcW w:w="690" w:type="pct"/>
            <w:shd w:val="clear" w:color="auto" w:fill="auto"/>
            <w:vAlign w:val="center"/>
          </w:tcPr>
          <w:p w:rsidR="00C05B41" w:rsidRPr="00BF699F" w:rsidRDefault="00BF699F" w:rsidP="00FF0995">
            <w:pPr>
              <w:jc w:val="center"/>
              <w:rPr>
                <w:rFonts w:ascii="Arial Narrow" w:hAnsi="Arial Narrow"/>
                <w:sz w:val="20"/>
                <w:highlight w:val="black"/>
              </w:rPr>
            </w:pPr>
            <w:r>
              <w:rPr>
                <w:rFonts w:ascii="Arial Narrow" w:hAnsi="Arial Narrow"/>
                <w:noProof/>
                <w:color w:val="000000"/>
                <w:sz w:val="20"/>
                <w:highlight w:val="black"/>
              </w:rPr>
              <w:t>''''''''''</w:t>
            </w:r>
          </w:p>
        </w:tc>
        <w:tc>
          <w:tcPr>
            <w:tcW w:w="690" w:type="pct"/>
            <w:shd w:val="clear" w:color="auto" w:fill="auto"/>
            <w:vAlign w:val="center"/>
          </w:tcPr>
          <w:p w:rsidR="00C05B41" w:rsidRPr="00BF699F" w:rsidRDefault="00BF699F" w:rsidP="00FF0995">
            <w:pPr>
              <w:jc w:val="center"/>
              <w:rPr>
                <w:rFonts w:ascii="Arial Narrow" w:hAnsi="Arial Narrow"/>
                <w:sz w:val="20"/>
                <w:highlight w:val="black"/>
              </w:rPr>
            </w:pPr>
            <w:r>
              <w:rPr>
                <w:rFonts w:ascii="Arial Narrow" w:hAnsi="Arial Narrow"/>
                <w:noProof/>
                <w:color w:val="000000"/>
                <w:sz w:val="20"/>
                <w:highlight w:val="black"/>
              </w:rPr>
              <w:t>''''''''''</w:t>
            </w:r>
          </w:p>
        </w:tc>
        <w:tc>
          <w:tcPr>
            <w:tcW w:w="732" w:type="pct"/>
            <w:shd w:val="clear" w:color="auto" w:fill="auto"/>
            <w:vAlign w:val="center"/>
          </w:tcPr>
          <w:p w:rsidR="00C05B41" w:rsidRPr="00BF699F" w:rsidRDefault="00BF699F" w:rsidP="00FF0995">
            <w:pPr>
              <w:jc w:val="center"/>
              <w:rPr>
                <w:rFonts w:ascii="Arial Narrow" w:hAnsi="Arial Narrow"/>
                <w:sz w:val="20"/>
                <w:highlight w:val="black"/>
              </w:rPr>
            </w:pPr>
            <w:r>
              <w:rPr>
                <w:rFonts w:ascii="Arial Narrow" w:hAnsi="Arial Narrow"/>
                <w:noProof/>
                <w:color w:val="000000"/>
                <w:sz w:val="20"/>
                <w:highlight w:val="black"/>
              </w:rPr>
              <w:t>'''''''''</w:t>
            </w:r>
          </w:p>
        </w:tc>
      </w:tr>
      <w:tr w:rsidR="00C05B41" w:rsidRPr="00B23721" w:rsidTr="004A5B61">
        <w:tc>
          <w:tcPr>
            <w:tcW w:w="1614" w:type="pct"/>
            <w:tcBorders>
              <w:bottom w:val="single" w:sz="4" w:space="0" w:color="auto"/>
            </w:tcBorders>
            <w:shd w:val="clear" w:color="auto" w:fill="auto"/>
            <w:vAlign w:val="center"/>
          </w:tcPr>
          <w:p w:rsidR="00C05B41" w:rsidRPr="00B23721" w:rsidRDefault="00C05B41" w:rsidP="00FF0995">
            <w:pPr>
              <w:rPr>
                <w:rFonts w:ascii="Arial Narrow" w:hAnsi="Arial Narrow"/>
                <w:sz w:val="20"/>
                <w:vertAlign w:val="superscript"/>
              </w:rPr>
            </w:pPr>
            <w:r w:rsidRPr="00B23721">
              <w:rPr>
                <w:rFonts w:ascii="Arial Narrow" w:hAnsi="Arial Narrow"/>
                <w:sz w:val="20"/>
              </w:rPr>
              <w:t>Number of vials</w:t>
            </w:r>
            <w:r w:rsidRPr="00B23721">
              <w:rPr>
                <w:rFonts w:ascii="Arial Narrow" w:hAnsi="Arial Narrow"/>
                <w:sz w:val="20"/>
                <w:vertAlign w:val="superscript"/>
              </w:rPr>
              <w:t>a</w:t>
            </w:r>
          </w:p>
        </w:tc>
        <w:tc>
          <w:tcPr>
            <w:tcW w:w="636" w:type="pct"/>
            <w:tcBorders>
              <w:bottom w:val="single" w:sz="4" w:space="0" w:color="auto"/>
            </w:tcBorders>
            <w:shd w:val="clear" w:color="auto" w:fill="auto"/>
            <w:vAlign w:val="center"/>
          </w:tcPr>
          <w:p w:rsidR="00C05B41" w:rsidRPr="00B23721" w:rsidRDefault="00C05B41" w:rsidP="00FF0995">
            <w:pPr>
              <w:jc w:val="center"/>
              <w:rPr>
                <w:rFonts w:ascii="Arial Narrow" w:hAnsi="Arial Narrow"/>
                <w:sz w:val="20"/>
              </w:rPr>
            </w:pPr>
          </w:p>
        </w:tc>
        <w:tc>
          <w:tcPr>
            <w:tcW w:w="638" w:type="pct"/>
            <w:tcBorders>
              <w:bottom w:val="single" w:sz="4" w:space="0" w:color="auto"/>
            </w:tcBorders>
            <w:shd w:val="clear" w:color="auto" w:fill="auto"/>
            <w:vAlign w:val="center"/>
          </w:tcPr>
          <w:p w:rsidR="00C05B41" w:rsidRPr="00B23721" w:rsidRDefault="00C05B41" w:rsidP="00FF0995">
            <w:pPr>
              <w:jc w:val="center"/>
              <w:rPr>
                <w:rFonts w:ascii="Arial Narrow" w:hAnsi="Arial Narrow"/>
                <w:sz w:val="20"/>
              </w:rPr>
            </w:pPr>
          </w:p>
        </w:tc>
        <w:tc>
          <w:tcPr>
            <w:tcW w:w="690" w:type="pct"/>
            <w:tcBorders>
              <w:bottom w:val="single" w:sz="4" w:space="0" w:color="auto"/>
            </w:tcBorders>
            <w:shd w:val="clear" w:color="auto" w:fill="auto"/>
            <w:vAlign w:val="center"/>
          </w:tcPr>
          <w:p w:rsidR="00C05B41" w:rsidRPr="00B23721" w:rsidRDefault="00C05B41" w:rsidP="00FF0995">
            <w:pPr>
              <w:jc w:val="center"/>
              <w:rPr>
                <w:rFonts w:ascii="Arial Narrow" w:hAnsi="Arial Narrow"/>
                <w:sz w:val="20"/>
              </w:rPr>
            </w:pPr>
          </w:p>
        </w:tc>
        <w:tc>
          <w:tcPr>
            <w:tcW w:w="690" w:type="pct"/>
            <w:tcBorders>
              <w:bottom w:val="single" w:sz="4" w:space="0" w:color="auto"/>
            </w:tcBorders>
            <w:shd w:val="clear" w:color="auto" w:fill="auto"/>
            <w:vAlign w:val="center"/>
          </w:tcPr>
          <w:p w:rsidR="00C05B41" w:rsidRPr="00B23721" w:rsidRDefault="00C05B41" w:rsidP="00FF0995">
            <w:pPr>
              <w:jc w:val="center"/>
              <w:rPr>
                <w:rFonts w:ascii="Arial Narrow" w:hAnsi="Arial Narrow"/>
                <w:sz w:val="20"/>
              </w:rPr>
            </w:pPr>
          </w:p>
        </w:tc>
        <w:tc>
          <w:tcPr>
            <w:tcW w:w="732" w:type="pct"/>
            <w:tcBorders>
              <w:bottom w:val="single" w:sz="4" w:space="0" w:color="auto"/>
            </w:tcBorders>
            <w:shd w:val="clear" w:color="auto" w:fill="auto"/>
            <w:vAlign w:val="center"/>
          </w:tcPr>
          <w:p w:rsidR="00C05B41" w:rsidRPr="00B23721" w:rsidRDefault="00C05B41" w:rsidP="00FF0995">
            <w:pPr>
              <w:jc w:val="center"/>
              <w:rPr>
                <w:rFonts w:ascii="Arial Narrow" w:hAnsi="Arial Narrow"/>
                <w:sz w:val="20"/>
              </w:rPr>
            </w:pPr>
          </w:p>
        </w:tc>
      </w:tr>
      <w:tr w:rsidR="00C05B41" w:rsidRPr="00B23721" w:rsidTr="004A5B61">
        <w:tc>
          <w:tcPr>
            <w:tcW w:w="1614" w:type="pct"/>
            <w:tcBorders>
              <w:bottom w:val="nil"/>
            </w:tcBorders>
            <w:shd w:val="clear" w:color="auto" w:fill="auto"/>
            <w:vAlign w:val="center"/>
          </w:tcPr>
          <w:p w:rsidR="00C05B41" w:rsidRPr="00B23721" w:rsidRDefault="00C05B41" w:rsidP="00FF0995">
            <w:pPr>
              <w:ind w:left="223"/>
              <w:rPr>
                <w:rFonts w:ascii="Arial Narrow" w:hAnsi="Arial Narrow"/>
                <w:sz w:val="20"/>
              </w:rPr>
            </w:pPr>
            <w:r w:rsidRPr="00B23721">
              <w:rPr>
                <w:rFonts w:ascii="Arial Narrow" w:hAnsi="Arial Narrow"/>
                <w:sz w:val="20"/>
              </w:rPr>
              <w:t>100mg/10mL</w:t>
            </w:r>
          </w:p>
        </w:tc>
        <w:tc>
          <w:tcPr>
            <w:tcW w:w="636" w:type="pct"/>
            <w:tcBorders>
              <w:bottom w:val="nil"/>
            </w:tcBorders>
            <w:shd w:val="clear" w:color="auto" w:fill="auto"/>
          </w:tcPr>
          <w:p w:rsidR="00C05B41" w:rsidRPr="00BF699F" w:rsidRDefault="00BF699F" w:rsidP="00FF0995">
            <w:pPr>
              <w:jc w:val="center"/>
              <w:rPr>
                <w:rFonts w:ascii="Arial Narrow" w:hAnsi="Arial Narrow"/>
                <w:sz w:val="20"/>
                <w:highlight w:val="black"/>
              </w:rPr>
            </w:pPr>
            <w:r>
              <w:rPr>
                <w:rFonts w:ascii="Arial Narrow" w:hAnsi="Arial Narrow"/>
                <w:noProof/>
                <w:color w:val="000000"/>
                <w:sz w:val="20"/>
                <w:highlight w:val="black"/>
              </w:rPr>
              <w:t>''''''''''''''''</w:t>
            </w:r>
          </w:p>
        </w:tc>
        <w:tc>
          <w:tcPr>
            <w:tcW w:w="638" w:type="pct"/>
            <w:tcBorders>
              <w:bottom w:val="nil"/>
            </w:tcBorders>
            <w:shd w:val="clear" w:color="auto" w:fill="auto"/>
          </w:tcPr>
          <w:p w:rsidR="00C05B41" w:rsidRPr="00BF699F" w:rsidRDefault="00BF699F" w:rsidP="00FF0995">
            <w:pPr>
              <w:jc w:val="center"/>
              <w:rPr>
                <w:rFonts w:ascii="Arial Narrow" w:hAnsi="Arial Narrow"/>
                <w:sz w:val="20"/>
                <w:highlight w:val="black"/>
              </w:rPr>
            </w:pPr>
            <w:r>
              <w:rPr>
                <w:rFonts w:ascii="Arial Narrow" w:hAnsi="Arial Narrow"/>
                <w:noProof/>
                <w:color w:val="000000"/>
                <w:sz w:val="20"/>
                <w:highlight w:val="black"/>
              </w:rPr>
              <w:t>''''''''''''''''</w:t>
            </w:r>
          </w:p>
        </w:tc>
        <w:tc>
          <w:tcPr>
            <w:tcW w:w="690" w:type="pct"/>
            <w:tcBorders>
              <w:bottom w:val="nil"/>
            </w:tcBorders>
            <w:shd w:val="clear" w:color="auto" w:fill="auto"/>
          </w:tcPr>
          <w:p w:rsidR="00C05B41" w:rsidRPr="00BF699F" w:rsidRDefault="00BF699F" w:rsidP="00FF0995">
            <w:pPr>
              <w:jc w:val="center"/>
              <w:rPr>
                <w:rFonts w:ascii="Arial Narrow" w:hAnsi="Arial Narrow"/>
                <w:sz w:val="20"/>
                <w:highlight w:val="black"/>
              </w:rPr>
            </w:pPr>
            <w:r>
              <w:rPr>
                <w:rFonts w:ascii="Arial Narrow" w:hAnsi="Arial Narrow"/>
                <w:noProof/>
                <w:color w:val="000000"/>
                <w:sz w:val="20"/>
                <w:highlight w:val="black"/>
              </w:rPr>
              <w:t>'''''''''''''''</w:t>
            </w:r>
          </w:p>
        </w:tc>
        <w:tc>
          <w:tcPr>
            <w:tcW w:w="690" w:type="pct"/>
            <w:tcBorders>
              <w:bottom w:val="nil"/>
            </w:tcBorders>
            <w:shd w:val="clear" w:color="auto" w:fill="auto"/>
          </w:tcPr>
          <w:p w:rsidR="00C05B41" w:rsidRPr="00BF699F" w:rsidRDefault="00BF699F" w:rsidP="00FF0995">
            <w:pPr>
              <w:jc w:val="center"/>
              <w:rPr>
                <w:rFonts w:ascii="Arial Narrow" w:hAnsi="Arial Narrow"/>
                <w:sz w:val="20"/>
                <w:highlight w:val="black"/>
              </w:rPr>
            </w:pPr>
            <w:r>
              <w:rPr>
                <w:rFonts w:ascii="Arial Narrow" w:hAnsi="Arial Narrow"/>
                <w:noProof/>
                <w:color w:val="000000"/>
                <w:sz w:val="20"/>
                <w:highlight w:val="black"/>
              </w:rPr>
              <w:t>'''''''''''''''</w:t>
            </w:r>
          </w:p>
        </w:tc>
        <w:tc>
          <w:tcPr>
            <w:tcW w:w="732" w:type="pct"/>
            <w:tcBorders>
              <w:bottom w:val="nil"/>
            </w:tcBorders>
            <w:shd w:val="clear" w:color="auto" w:fill="auto"/>
          </w:tcPr>
          <w:p w:rsidR="00C05B41" w:rsidRPr="00BF699F" w:rsidRDefault="00BF699F" w:rsidP="00FF0995">
            <w:pPr>
              <w:jc w:val="center"/>
              <w:rPr>
                <w:rFonts w:ascii="Arial Narrow" w:hAnsi="Arial Narrow"/>
                <w:sz w:val="20"/>
                <w:highlight w:val="black"/>
              </w:rPr>
            </w:pPr>
            <w:r>
              <w:rPr>
                <w:rFonts w:ascii="Arial Narrow" w:hAnsi="Arial Narrow"/>
                <w:noProof/>
                <w:color w:val="000000"/>
                <w:sz w:val="20"/>
                <w:highlight w:val="black"/>
              </w:rPr>
              <w:t>'''''''''''''''''</w:t>
            </w:r>
          </w:p>
        </w:tc>
      </w:tr>
      <w:tr w:rsidR="00C05B41" w:rsidRPr="00B23721" w:rsidTr="004A5B61">
        <w:tc>
          <w:tcPr>
            <w:tcW w:w="1614" w:type="pct"/>
            <w:tcBorders>
              <w:top w:val="nil"/>
            </w:tcBorders>
            <w:shd w:val="clear" w:color="auto" w:fill="auto"/>
            <w:vAlign w:val="center"/>
          </w:tcPr>
          <w:p w:rsidR="00C05B41" w:rsidRPr="00B23721" w:rsidRDefault="00C05B41" w:rsidP="00FF0995">
            <w:pPr>
              <w:ind w:left="223"/>
              <w:rPr>
                <w:rFonts w:ascii="Arial Narrow" w:hAnsi="Arial Narrow"/>
                <w:sz w:val="20"/>
              </w:rPr>
            </w:pPr>
            <w:r w:rsidRPr="00B23721">
              <w:rPr>
                <w:rFonts w:ascii="Arial Narrow" w:hAnsi="Arial Narrow"/>
                <w:sz w:val="20"/>
              </w:rPr>
              <w:t>40mg/4mL</w:t>
            </w:r>
          </w:p>
        </w:tc>
        <w:tc>
          <w:tcPr>
            <w:tcW w:w="636" w:type="pct"/>
            <w:tcBorders>
              <w:top w:val="nil"/>
            </w:tcBorders>
            <w:shd w:val="clear" w:color="auto" w:fill="auto"/>
          </w:tcPr>
          <w:p w:rsidR="00C05B41" w:rsidRPr="00BF699F" w:rsidRDefault="00BF699F" w:rsidP="00FF0995">
            <w:pPr>
              <w:jc w:val="center"/>
              <w:rPr>
                <w:rFonts w:ascii="Arial Narrow" w:hAnsi="Arial Narrow"/>
                <w:sz w:val="20"/>
                <w:highlight w:val="black"/>
              </w:rPr>
            </w:pPr>
            <w:r>
              <w:rPr>
                <w:rFonts w:ascii="Arial Narrow" w:hAnsi="Arial Narrow"/>
                <w:noProof/>
                <w:color w:val="000000"/>
                <w:sz w:val="20"/>
                <w:highlight w:val="black"/>
              </w:rPr>
              <w:t>'''''''''''''''''</w:t>
            </w:r>
          </w:p>
        </w:tc>
        <w:tc>
          <w:tcPr>
            <w:tcW w:w="638" w:type="pct"/>
            <w:tcBorders>
              <w:top w:val="nil"/>
            </w:tcBorders>
            <w:shd w:val="clear" w:color="auto" w:fill="auto"/>
          </w:tcPr>
          <w:p w:rsidR="00C05B41" w:rsidRPr="00BF699F" w:rsidRDefault="00BF699F" w:rsidP="00FF0995">
            <w:pPr>
              <w:jc w:val="center"/>
              <w:rPr>
                <w:rFonts w:ascii="Arial Narrow" w:hAnsi="Arial Narrow"/>
                <w:sz w:val="20"/>
                <w:highlight w:val="black"/>
              </w:rPr>
            </w:pPr>
            <w:r>
              <w:rPr>
                <w:rFonts w:ascii="Arial Narrow" w:hAnsi="Arial Narrow"/>
                <w:noProof/>
                <w:color w:val="000000"/>
                <w:sz w:val="20"/>
                <w:highlight w:val="black"/>
              </w:rPr>
              <w:t>''''''''''''''''</w:t>
            </w:r>
          </w:p>
        </w:tc>
        <w:tc>
          <w:tcPr>
            <w:tcW w:w="690" w:type="pct"/>
            <w:tcBorders>
              <w:top w:val="nil"/>
            </w:tcBorders>
            <w:shd w:val="clear" w:color="auto" w:fill="auto"/>
          </w:tcPr>
          <w:p w:rsidR="00C05B41" w:rsidRPr="00BF699F" w:rsidRDefault="00BF699F" w:rsidP="00FF0995">
            <w:pPr>
              <w:jc w:val="center"/>
              <w:rPr>
                <w:rFonts w:ascii="Arial Narrow" w:hAnsi="Arial Narrow"/>
                <w:sz w:val="20"/>
                <w:highlight w:val="black"/>
              </w:rPr>
            </w:pPr>
            <w:r>
              <w:rPr>
                <w:rFonts w:ascii="Arial Narrow" w:hAnsi="Arial Narrow"/>
                <w:noProof/>
                <w:color w:val="000000"/>
                <w:sz w:val="20"/>
                <w:highlight w:val="black"/>
              </w:rPr>
              <w:t>''''''''''''''''</w:t>
            </w:r>
          </w:p>
        </w:tc>
        <w:tc>
          <w:tcPr>
            <w:tcW w:w="690" w:type="pct"/>
            <w:tcBorders>
              <w:top w:val="nil"/>
            </w:tcBorders>
            <w:shd w:val="clear" w:color="auto" w:fill="auto"/>
          </w:tcPr>
          <w:p w:rsidR="00C05B41" w:rsidRPr="00BF699F" w:rsidRDefault="00BF699F" w:rsidP="00FF0995">
            <w:pPr>
              <w:jc w:val="center"/>
              <w:rPr>
                <w:rFonts w:ascii="Arial Narrow" w:hAnsi="Arial Narrow"/>
                <w:sz w:val="20"/>
                <w:highlight w:val="black"/>
              </w:rPr>
            </w:pPr>
            <w:r>
              <w:rPr>
                <w:rFonts w:ascii="Arial Narrow" w:hAnsi="Arial Narrow"/>
                <w:noProof/>
                <w:color w:val="000000"/>
                <w:sz w:val="20"/>
                <w:highlight w:val="black"/>
              </w:rPr>
              <w:t>''''''''''''''''</w:t>
            </w:r>
          </w:p>
        </w:tc>
        <w:tc>
          <w:tcPr>
            <w:tcW w:w="732" w:type="pct"/>
            <w:tcBorders>
              <w:top w:val="nil"/>
            </w:tcBorders>
            <w:shd w:val="clear" w:color="auto" w:fill="auto"/>
          </w:tcPr>
          <w:p w:rsidR="00C05B41" w:rsidRPr="00BF699F" w:rsidRDefault="00BF699F" w:rsidP="00FF0995">
            <w:pPr>
              <w:jc w:val="center"/>
              <w:rPr>
                <w:rFonts w:ascii="Arial Narrow" w:hAnsi="Arial Narrow"/>
                <w:sz w:val="20"/>
                <w:highlight w:val="black"/>
              </w:rPr>
            </w:pPr>
            <w:r>
              <w:rPr>
                <w:rFonts w:ascii="Arial Narrow" w:hAnsi="Arial Narrow"/>
                <w:noProof/>
                <w:color w:val="000000"/>
                <w:sz w:val="20"/>
                <w:highlight w:val="black"/>
              </w:rPr>
              <w:t>'''''''''''''''</w:t>
            </w:r>
          </w:p>
        </w:tc>
      </w:tr>
      <w:tr w:rsidR="00C05B41" w:rsidRPr="00B23721" w:rsidTr="004A5B61">
        <w:tc>
          <w:tcPr>
            <w:tcW w:w="1614" w:type="pct"/>
            <w:tcBorders>
              <w:bottom w:val="single" w:sz="4" w:space="0" w:color="auto"/>
            </w:tcBorders>
            <w:shd w:val="clear" w:color="auto" w:fill="auto"/>
            <w:vAlign w:val="center"/>
          </w:tcPr>
          <w:p w:rsidR="00C05B41" w:rsidRPr="00B23721" w:rsidRDefault="00C05B41" w:rsidP="00FF0995">
            <w:pPr>
              <w:rPr>
                <w:rFonts w:ascii="Arial Narrow" w:hAnsi="Arial Narrow"/>
                <w:sz w:val="20"/>
                <w:vertAlign w:val="superscript"/>
              </w:rPr>
            </w:pPr>
            <w:r w:rsidRPr="00B23721">
              <w:rPr>
                <w:rFonts w:ascii="Arial Narrow" w:hAnsi="Arial Narrow"/>
                <w:sz w:val="20"/>
              </w:rPr>
              <w:t>Number of vials March 2016</w:t>
            </w:r>
            <w:r w:rsidRPr="00B23721">
              <w:rPr>
                <w:rFonts w:ascii="Arial Narrow" w:hAnsi="Arial Narrow"/>
                <w:sz w:val="20"/>
                <w:vertAlign w:val="superscript"/>
              </w:rPr>
              <w:t>b</w:t>
            </w:r>
          </w:p>
        </w:tc>
        <w:tc>
          <w:tcPr>
            <w:tcW w:w="636" w:type="pct"/>
            <w:tcBorders>
              <w:bottom w:val="single" w:sz="4" w:space="0" w:color="auto"/>
            </w:tcBorders>
            <w:shd w:val="clear" w:color="auto" w:fill="auto"/>
            <w:vAlign w:val="center"/>
          </w:tcPr>
          <w:p w:rsidR="00C05B41" w:rsidRPr="00B23721" w:rsidRDefault="00C05B41" w:rsidP="00FF0995">
            <w:pPr>
              <w:jc w:val="center"/>
              <w:rPr>
                <w:rFonts w:ascii="Arial Narrow" w:hAnsi="Arial Narrow"/>
                <w:sz w:val="20"/>
              </w:rPr>
            </w:pPr>
          </w:p>
        </w:tc>
        <w:tc>
          <w:tcPr>
            <w:tcW w:w="638" w:type="pct"/>
            <w:tcBorders>
              <w:bottom w:val="single" w:sz="4" w:space="0" w:color="auto"/>
            </w:tcBorders>
            <w:shd w:val="clear" w:color="auto" w:fill="auto"/>
            <w:vAlign w:val="center"/>
          </w:tcPr>
          <w:p w:rsidR="00C05B41" w:rsidRPr="00B23721" w:rsidRDefault="00C05B41" w:rsidP="00FF0995">
            <w:pPr>
              <w:jc w:val="center"/>
              <w:rPr>
                <w:rFonts w:ascii="Arial Narrow" w:hAnsi="Arial Narrow"/>
                <w:sz w:val="20"/>
              </w:rPr>
            </w:pPr>
          </w:p>
        </w:tc>
        <w:tc>
          <w:tcPr>
            <w:tcW w:w="690" w:type="pct"/>
            <w:tcBorders>
              <w:bottom w:val="single" w:sz="4" w:space="0" w:color="auto"/>
            </w:tcBorders>
            <w:shd w:val="clear" w:color="auto" w:fill="auto"/>
            <w:vAlign w:val="center"/>
          </w:tcPr>
          <w:p w:rsidR="00C05B41" w:rsidRPr="00B23721" w:rsidRDefault="00C05B41" w:rsidP="00FF0995">
            <w:pPr>
              <w:jc w:val="center"/>
              <w:rPr>
                <w:rFonts w:ascii="Arial Narrow" w:hAnsi="Arial Narrow"/>
                <w:sz w:val="20"/>
              </w:rPr>
            </w:pPr>
          </w:p>
        </w:tc>
        <w:tc>
          <w:tcPr>
            <w:tcW w:w="690" w:type="pct"/>
            <w:tcBorders>
              <w:bottom w:val="single" w:sz="4" w:space="0" w:color="auto"/>
            </w:tcBorders>
            <w:shd w:val="clear" w:color="auto" w:fill="auto"/>
            <w:vAlign w:val="center"/>
          </w:tcPr>
          <w:p w:rsidR="00C05B41" w:rsidRPr="00B23721" w:rsidRDefault="00C05B41" w:rsidP="00FF0995">
            <w:pPr>
              <w:jc w:val="center"/>
              <w:rPr>
                <w:rFonts w:ascii="Arial Narrow" w:hAnsi="Arial Narrow"/>
                <w:sz w:val="20"/>
              </w:rPr>
            </w:pPr>
          </w:p>
        </w:tc>
        <w:tc>
          <w:tcPr>
            <w:tcW w:w="732" w:type="pct"/>
            <w:tcBorders>
              <w:bottom w:val="single" w:sz="4" w:space="0" w:color="auto"/>
            </w:tcBorders>
            <w:shd w:val="clear" w:color="auto" w:fill="auto"/>
            <w:vAlign w:val="center"/>
          </w:tcPr>
          <w:p w:rsidR="00C05B41" w:rsidRPr="00B23721" w:rsidRDefault="00C05B41" w:rsidP="00FF0995">
            <w:pPr>
              <w:jc w:val="center"/>
              <w:rPr>
                <w:rFonts w:ascii="Arial Narrow" w:hAnsi="Arial Narrow"/>
                <w:sz w:val="20"/>
              </w:rPr>
            </w:pPr>
          </w:p>
        </w:tc>
      </w:tr>
      <w:tr w:rsidR="00C05B41" w:rsidRPr="00B23721" w:rsidTr="004A5B61">
        <w:tc>
          <w:tcPr>
            <w:tcW w:w="1614" w:type="pct"/>
            <w:tcBorders>
              <w:bottom w:val="nil"/>
            </w:tcBorders>
            <w:shd w:val="clear" w:color="auto" w:fill="auto"/>
            <w:vAlign w:val="center"/>
          </w:tcPr>
          <w:p w:rsidR="00C05B41" w:rsidRPr="00B23721" w:rsidRDefault="00C05B41" w:rsidP="00FF0995">
            <w:pPr>
              <w:ind w:left="223"/>
              <w:rPr>
                <w:rFonts w:ascii="Arial Narrow" w:hAnsi="Arial Narrow"/>
                <w:sz w:val="20"/>
              </w:rPr>
            </w:pPr>
            <w:r w:rsidRPr="00B23721">
              <w:rPr>
                <w:rFonts w:ascii="Arial Narrow" w:hAnsi="Arial Narrow"/>
                <w:sz w:val="20"/>
              </w:rPr>
              <w:t>100mg/10mL</w:t>
            </w:r>
          </w:p>
        </w:tc>
        <w:tc>
          <w:tcPr>
            <w:tcW w:w="636" w:type="pct"/>
            <w:tcBorders>
              <w:bottom w:val="nil"/>
            </w:tcBorders>
            <w:shd w:val="clear" w:color="auto" w:fill="auto"/>
          </w:tcPr>
          <w:p w:rsidR="00C05B41" w:rsidRPr="00BF699F" w:rsidRDefault="00BF699F" w:rsidP="00FF0995">
            <w:pPr>
              <w:jc w:val="center"/>
              <w:rPr>
                <w:rFonts w:ascii="Arial Narrow" w:hAnsi="Arial Narrow"/>
                <w:sz w:val="20"/>
                <w:highlight w:val="black"/>
              </w:rPr>
            </w:pPr>
            <w:r>
              <w:rPr>
                <w:rFonts w:ascii="Arial Narrow" w:hAnsi="Arial Narrow"/>
                <w:noProof/>
                <w:color w:val="000000"/>
                <w:sz w:val="20"/>
                <w:highlight w:val="black"/>
              </w:rPr>
              <w:t>'''''''''''''''''</w:t>
            </w:r>
          </w:p>
        </w:tc>
        <w:tc>
          <w:tcPr>
            <w:tcW w:w="638" w:type="pct"/>
            <w:tcBorders>
              <w:bottom w:val="nil"/>
            </w:tcBorders>
            <w:shd w:val="clear" w:color="auto" w:fill="auto"/>
          </w:tcPr>
          <w:p w:rsidR="00C05B41" w:rsidRPr="00BF699F" w:rsidRDefault="00BF699F" w:rsidP="00FF0995">
            <w:pPr>
              <w:jc w:val="center"/>
              <w:rPr>
                <w:rFonts w:ascii="Arial Narrow" w:hAnsi="Arial Narrow"/>
                <w:sz w:val="20"/>
                <w:highlight w:val="black"/>
              </w:rPr>
            </w:pPr>
            <w:r>
              <w:rPr>
                <w:rFonts w:ascii="Arial Narrow" w:hAnsi="Arial Narrow"/>
                <w:noProof/>
                <w:color w:val="000000"/>
                <w:sz w:val="20"/>
                <w:highlight w:val="black"/>
              </w:rPr>
              <w:t>'''''''''''''''''</w:t>
            </w:r>
          </w:p>
        </w:tc>
        <w:tc>
          <w:tcPr>
            <w:tcW w:w="690" w:type="pct"/>
            <w:tcBorders>
              <w:bottom w:val="nil"/>
            </w:tcBorders>
            <w:shd w:val="clear" w:color="auto" w:fill="auto"/>
          </w:tcPr>
          <w:p w:rsidR="00C05B41" w:rsidRPr="00BF699F" w:rsidRDefault="00BF699F" w:rsidP="00FF0995">
            <w:pPr>
              <w:jc w:val="center"/>
              <w:rPr>
                <w:rFonts w:ascii="Arial Narrow" w:hAnsi="Arial Narrow"/>
                <w:sz w:val="20"/>
                <w:highlight w:val="black"/>
              </w:rPr>
            </w:pPr>
            <w:r>
              <w:rPr>
                <w:rFonts w:ascii="Arial Narrow" w:hAnsi="Arial Narrow"/>
                <w:noProof/>
                <w:color w:val="000000"/>
                <w:sz w:val="20"/>
                <w:highlight w:val="black"/>
              </w:rPr>
              <w:t>''''''''''''''''</w:t>
            </w:r>
          </w:p>
        </w:tc>
        <w:tc>
          <w:tcPr>
            <w:tcW w:w="690" w:type="pct"/>
            <w:tcBorders>
              <w:bottom w:val="nil"/>
            </w:tcBorders>
            <w:shd w:val="clear" w:color="auto" w:fill="auto"/>
          </w:tcPr>
          <w:p w:rsidR="00C05B41" w:rsidRPr="00BF699F" w:rsidRDefault="00BF699F" w:rsidP="00FF0995">
            <w:pPr>
              <w:jc w:val="center"/>
              <w:rPr>
                <w:rFonts w:ascii="Arial Narrow" w:hAnsi="Arial Narrow"/>
                <w:sz w:val="20"/>
                <w:highlight w:val="black"/>
              </w:rPr>
            </w:pPr>
            <w:r>
              <w:rPr>
                <w:rFonts w:ascii="Arial Narrow" w:hAnsi="Arial Narrow"/>
                <w:noProof/>
                <w:color w:val="000000"/>
                <w:sz w:val="20"/>
                <w:highlight w:val="black"/>
              </w:rPr>
              <w:t>'''''''''''''''</w:t>
            </w:r>
          </w:p>
        </w:tc>
        <w:tc>
          <w:tcPr>
            <w:tcW w:w="732" w:type="pct"/>
            <w:tcBorders>
              <w:bottom w:val="nil"/>
            </w:tcBorders>
            <w:shd w:val="clear" w:color="auto" w:fill="auto"/>
          </w:tcPr>
          <w:p w:rsidR="00C05B41" w:rsidRPr="00BF699F" w:rsidRDefault="00BF699F" w:rsidP="00FF0995">
            <w:pPr>
              <w:jc w:val="center"/>
              <w:rPr>
                <w:rFonts w:ascii="Arial Narrow" w:hAnsi="Arial Narrow"/>
                <w:sz w:val="20"/>
                <w:highlight w:val="black"/>
              </w:rPr>
            </w:pPr>
            <w:r>
              <w:rPr>
                <w:rFonts w:ascii="Arial Narrow" w:hAnsi="Arial Narrow"/>
                <w:noProof/>
                <w:color w:val="000000"/>
                <w:sz w:val="20"/>
                <w:highlight w:val="black"/>
              </w:rPr>
              <w:t>''''''''''''''''</w:t>
            </w:r>
          </w:p>
        </w:tc>
      </w:tr>
      <w:tr w:rsidR="00C05B41" w:rsidRPr="00B23721" w:rsidTr="004A5B61">
        <w:tc>
          <w:tcPr>
            <w:tcW w:w="1614" w:type="pct"/>
            <w:tcBorders>
              <w:top w:val="nil"/>
            </w:tcBorders>
            <w:shd w:val="clear" w:color="auto" w:fill="auto"/>
            <w:vAlign w:val="center"/>
          </w:tcPr>
          <w:p w:rsidR="00C05B41" w:rsidRPr="00B23721" w:rsidRDefault="00C05B41" w:rsidP="00FF0995">
            <w:pPr>
              <w:ind w:left="223"/>
              <w:rPr>
                <w:rFonts w:ascii="Arial Narrow" w:hAnsi="Arial Narrow"/>
                <w:sz w:val="20"/>
              </w:rPr>
            </w:pPr>
            <w:r w:rsidRPr="00B23721">
              <w:rPr>
                <w:rFonts w:ascii="Arial Narrow" w:hAnsi="Arial Narrow"/>
                <w:sz w:val="20"/>
              </w:rPr>
              <w:t>40mg/4mL</w:t>
            </w:r>
          </w:p>
        </w:tc>
        <w:tc>
          <w:tcPr>
            <w:tcW w:w="636" w:type="pct"/>
            <w:tcBorders>
              <w:top w:val="nil"/>
            </w:tcBorders>
            <w:shd w:val="clear" w:color="auto" w:fill="auto"/>
          </w:tcPr>
          <w:p w:rsidR="00C05B41" w:rsidRPr="00BF699F" w:rsidRDefault="00BF699F" w:rsidP="00FF0995">
            <w:pPr>
              <w:jc w:val="center"/>
              <w:rPr>
                <w:rFonts w:ascii="Arial Narrow" w:hAnsi="Arial Narrow"/>
                <w:sz w:val="20"/>
                <w:highlight w:val="black"/>
              </w:rPr>
            </w:pPr>
            <w:r>
              <w:rPr>
                <w:rFonts w:ascii="Arial Narrow" w:hAnsi="Arial Narrow"/>
                <w:noProof/>
                <w:color w:val="000000"/>
                <w:sz w:val="20"/>
                <w:highlight w:val="black"/>
              </w:rPr>
              <w:t>''''''''''''</w:t>
            </w:r>
          </w:p>
        </w:tc>
        <w:tc>
          <w:tcPr>
            <w:tcW w:w="638" w:type="pct"/>
            <w:tcBorders>
              <w:top w:val="nil"/>
            </w:tcBorders>
            <w:shd w:val="clear" w:color="auto" w:fill="auto"/>
          </w:tcPr>
          <w:p w:rsidR="00C05B41" w:rsidRPr="00BF699F" w:rsidRDefault="00BF699F" w:rsidP="00FF0995">
            <w:pPr>
              <w:jc w:val="center"/>
              <w:rPr>
                <w:rFonts w:ascii="Arial Narrow" w:hAnsi="Arial Narrow"/>
                <w:sz w:val="20"/>
                <w:highlight w:val="black"/>
              </w:rPr>
            </w:pPr>
            <w:r>
              <w:rPr>
                <w:rFonts w:ascii="Arial Narrow" w:hAnsi="Arial Narrow"/>
                <w:noProof/>
                <w:color w:val="000000"/>
                <w:sz w:val="20"/>
                <w:highlight w:val="black"/>
              </w:rPr>
              <w:t>''''''''''''</w:t>
            </w:r>
          </w:p>
        </w:tc>
        <w:tc>
          <w:tcPr>
            <w:tcW w:w="690" w:type="pct"/>
            <w:tcBorders>
              <w:top w:val="nil"/>
            </w:tcBorders>
            <w:shd w:val="clear" w:color="auto" w:fill="auto"/>
          </w:tcPr>
          <w:p w:rsidR="00C05B41" w:rsidRPr="00BF699F" w:rsidRDefault="00BF699F" w:rsidP="00FF0995">
            <w:pPr>
              <w:jc w:val="center"/>
              <w:rPr>
                <w:rFonts w:ascii="Arial Narrow" w:hAnsi="Arial Narrow"/>
                <w:sz w:val="20"/>
                <w:highlight w:val="black"/>
              </w:rPr>
            </w:pPr>
            <w:r>
              <w:rPr>
                <w:rFonts w:ascii="Arial Narrow" w:hAnsi="Arial Narrow"/>
                <w:noProof/>
                <w:color w:val="000000"/>
                <w:sz w:val="20"/>
                <w:highlight w:val="black"/>
              </w:rPr>
              <w:t>'''''''''''''</w:t>
            </w:r>
          </w:p>
        </w:tc>
        <w:tc>
          <w:tcPr>
            <w:tcW w:w="690" w:type="pct"/>
            <w:tcBorders>
              <w:top w:val="nil"/>
            </w:tcBorders>
            <w:shd w:val="clear" w:color="auto" w:fill="auto"/>
          </w:tcPr>
          <w:p w:rsidR="00C05B41" w:rsidRPr="00BF699F" w:rsidRDefault="00BF699F" w:rsidP="00FF0995">
            <w:pPr>
              <w:jc w:val="center"/>
              <w:rPr>
                <w:rFonts w:ascii="Arial Narrow" w:hAnsi="Arial Narrow"/>
                <w:sz w:val="20"/>
                <w:highlight w:val="black"/>
              </w:rPr>
            </w:pPr>
            <w:r>
              <w:rPr>
                <w:rFonts w:ascii="Arial Narrow" w:hAnsi="Arial Narrow"/>
                <w:noProof/>
                <w:color w:val="000000"/>
                <w:sz w:val="20"/>
                <w:highlight w:val="black"/>
              </w:rPr>
              <w:t>''''''''''''''</w:t>
            </w:r>
          </w:p>
        </w:tc>
        <w:tc>
          <w:tcPr>
            <w:tcW w:w="732" w:type="pct"/>
            <w:tcBorders>
              <w:top w:val="nil"/>
            </w:tcBorders>
            <w:shd w:val="clear" w:color="auto" w:fill="auto"/>
          </w:tcPr>
          <w:p w:rsidR="00C05B41" w:rsidRPr="00BF699F" w:rsidRDefault="00BF699F" w:rsidP="00FF0995">
            <w:pPr>
              <w:jc w:val="center"/>
              <w:rPr>
                <w:rFonts w:ascii="Arial Narrow" w:hAnsi="Arial Narrow"/>
                <w:sz w:val="20"/>
                <w:highlight w:val="black"/>
              </w:rPr>
            </w:pPr>
            <w:r>
              <w:rPr>
                <w:rFonts w:ascii="Arial Narrow" w:hAnsi="Arial Narrow"/>
                <w:noProof/>
                <w:color w:val="000000"/>
                <w:sz w:val="20"/>
                <w:highlight w:val="black"/>
              </w:rPr>
              <w:t>'''''''''''''</w:t>
            </w:r>
          </w:p>
        </w:tc>
      </w:tr>
      <w:tr w:rsidR="00C05B41" w:rsidRPr="00B23721" w:rsidTr="004A5B61">
        <w:tc>
          <w:tcPr>
            <w:tcW w:w="5000" w:type="pct"/>
            <w:gridSpan w:val="6"/>
            <w:shd w:val="clear" w:color="auto" w:fill="auto"/>
            <w:vAlign w:val="center"/>
          </w:tcPr>
          <w:p w:rsidR="00C05B41" w:rsidRPr="00B23721" w:rsidRDefault="00C05B41" w:rsidP="00FF0995">
            <w:pPr>
              <w:rPr>
                <w:rFonts w:ascii="Arial Narrow" w:hAnsi="Arial Narrow"/>
                <w:b/>
                <w:bCs/>
                <w:sz w:val="20"/>
              </w:rPr>
            </w:pPr>
            <w:r w:rsidRPr="00B23721">
              <w:rPr>
                <w:rFonts w:ascii="Arial Narrow" w:hAnsi="Arial Narrow"/>
                <w:b/>
                <w:bCs/>
                <w:sz w:val="20"/>
              </w:rPr>
              <w:t>Estimated net cost to PBS/MBS</w:t>
            </w:r>
          </w:p>
        </w:tc>
      </w:tr>
      <w:tr w:rsidR="00C05B41" w:rsidRPr="00B23721" w:rsidTr="004A5B61">
        <w:tc>
          <w:tcPr>
            <w:tcW w:w="1614" w:type="pct"/>
            <w:shd w:val="clear" w:color="auto" w:fill="auto"/>
            <w:vAlign w:val="center"/>
          </w:tcPr>
          <w:p w:rsidR="00C05B41" w:rsidRPr="00B23721" w:rsidRDefault="00C05B41" w:rsidP="00FF0995">
            <w:pPr>
              <w:rPr>
                <w:rFonts w:ascii="Arial Narrow" w:hAnsi="Arial Narrow"/>
                <w:sz w:val="20"/>
                <w:vertAlign w:val="superscript"/>
              </w:rPr>
            </w:pPr>
            <w:r w:rsidRPr="00B23721">
              <w:rPr>
                <w:rFonts w:ascii="Arial Narrow" w:hAnsi="Arial Narrow"/>
                <w:sz w:val="20"/>
              </w:rPr>
              <w:t>Net cost to PBS</w:t>
            </w:r>
            <w:r w:rsidRPr="00B23721">
              <w:rPr>
                <w:rFonts w:ascii="Arial Narrow" w:hAnsi="Arial Narrow"/>
                <w:sz w:val="20"/>
                <w:vertAlign w:val="superscript"/>
              </w:rPr>
              <w:t>c</w:t>
            </w:r>
          </w:p>
        </w:tc>
        <w:tc>
          <w:tcPr>
            <w:tcW w:w="636" w:type="pct"/>
            <w:shd w:val="clear" w:color="auto" w:fill="auto"/>
            <w:vAlign w:val="bottom"/>
          </w:tcPr>
          <w:p w:rsidR="00C05B41" w:rsidRPr="00B23721" w:rsidRDefault="00C05B41" w:rsidP="00FF0995">
            <w:pPr>
              <w:jc w:val="right"/>
              <w:rPr>
                <w:rFonts w:ascii="Arial Narrow" w:hAnsi="Arial Narrow"/>
                <w:sz w:val="20"/>
              </w:rPr>
            </w:pPr>
            <w:r w:rsidRPr="00B23721">
              <w:rPr>
                <w:rFonts w:ascii="Arial Narrow" w:hAnsi="Arial Narrow"/>
                <w:sz w:val="20"/>
              </w:rPr>
              <w:t>$</w:t>
            </w:r>
            <w:r w:rsidR="00BF699F">
              <w:rPr>
                <w:rFonts w:ascii="Arial Narrow" w:hAnsi="Arial Narrow"/>
                <w:noProof/>
                <w:color w:val="000000"/>
                <w:sz w:val="20"/>
                <w:highlight w:val="black"/>
              </w:rPr>
              <w:t>''''''''''''''''''''''''''</w:t>
            </w:r>
          </w:p>
        </w:tc>
        <w:tc>
          <w:tcPr>
            <w:tcW w:w="638" w:type="pct"/>
            <w:shd w:val="clear" w:color="auto" w:fill="auto"/>
            <w:vAlign w:val="bottom"/>
          </w:tcPr>
          <w:p w:rsidR="00C05B41" w:rsidRPr="00B23721" w:rsidRDefault="00C05B41" w:rsidP="00FF0995">
            <w:pPr>
              <w:jc w:val="right"/>
              <w:rPr>
                <w:rFonts w:ascii="Arial Narrow" w:hAnsi="Arial Narrow"/>
                <w:sz w:val="20"/>
              </w:rPr>
            </w:pPr>
            <w:r w:rsidRPr="00B23721">
              <w:rPr>
                <w:rFonts w:ascii="Arial Narrow" w:hAnsi="Arial Narrow"/>
                <w:sz w:val="20"/>
              </w:rPr>
              <w:t>$</w:t>
            </w:r>
            <w:r w:rsidR="00BF699F">
              <w:rPr>
                <w:rFonts w:ascii="Arial Narrow" w:hAnsi="Arial Narrow"/>
                <w:noProof/>
                <w:color w:val="000000"/>
                <w:sz w:val="20"/>
                <w:highlight w:val="black"/>
              </w:rPr>
              <w:t>'''''''''''''''''''''''''''</w:t>
            </w:r>
          </w:p>
        </w:tc>
        <w:tc>
          <w:tcPr>
            <w:tcW w:w="690" w:type="pct"/>
            <w:shd w:val="clear" w:color="auto" w:fill="auto"/>
            <w:vAlign w:val="bottom"/>
          </w:tcPr>
          <w:p w:rsidR="00C05B41" w:rsidRPr="00B23721" w:rsidRDefault="00C05B41" w:rsidP="00FF0995">
            <w:pPr>
              <w:jc w:val="right"/>
              <w:rPr>
                <w:rFonts w:ascii="Arial Narrow" w:hAnsi="Arial Narrow"/>
                <w:sz w:val="20"/>
              </w:rPr>
            </w:pPr>
            <w:r w:rsidRPr="00B23721">
              <w:rPr>
                <w:rFonts w:ascii="Arial Narrow" w:hAnsi="Arial Narrow"/>
                <w:sz w:val="20"/>
              </w:rPr>
              <w:t>$</w:t>
            </w:r>
            <w:r w:rsidR="00BF699F">
              <w:rPr>
                <w:rFonts w:ascii="Arial Narrow" w:hAnsi="Arial Narrow"/>
                <w:noProof/>
                <w:color w:val="000000"/>
                <w:sz w:val="20"/>
                <w:highlight w:val="black"/>
              </w:rPr>
              <w:t>'''''''''''''''''''''''''''</w:t>
            </w:r>
          </w:p>
        </w:tc>
        <w:tc>
          <w:tcPr>
            <w:tcW w:w="690" w:type="pct"/>
            <w:shd w:val="clear" w:color="auto" w:fill="auto"/>
            <w:vAlign w:val="bottom"/>
          </w:tcPr>
          <w:p w:rsidR="00C05B41" w:rsidRPr="00B23721" w:rsidRDefault="00C05B41" w:rsidP="00FF0995">
            <w:pPr>
              <w:jc w:val="right"/>
              <w:rPr>
                <w:rFonts w:ascii="Arial Narrow" w:hAnsi="Arial Narrow"/>
                <w:sz w:val="20"/>
              </w:rPr>
            </w:pPr>
            <w:r w:rsidRPr="00B23721">
              <w:rPr>
                <w:rFonts w:ascii="Arial Narrow" w:hAnsi="Arial Narrow"/>
                <w:sz w:val="20"/>
              </w:rPr>
              <w:t>$</w:t>
            </w:r>
            <w:r w:rsidR="00BF699F">
              <w:rPr>
                <w:rFonts w:ascii="Arial Narrow" w:hAnsi="Arial Narrow"/>
                <w:noProof/>
                <w:color w:val="000000"/>
                <w:sz w:val="20"/>
                <w:highlight w:val="black"/>
              </w:rPr>
              <w:t>''''''''''''''''''''''''''</w:t>
            </w:r>
          </w:p>
        </w:tc>
        <w:tc>
          <w:tcPr>
            <w:tcW w:w="732" w:type="pct"/>
            <w:shd w:val="clear" w:color="auto" w:fill="auto"/>
            <w:vAlign w:val="bottom"/>
          </w:tcPr>
          <w:p w:rsidR="00C05B41" w:rsidRPr="00B23721" w:rsidRDefault="00C05B41" w:rsidP="00FF0995">
            <w:pPr>
              <w:jc w:val="right"/>
              <w:rPr>
                <w:rFonts w:ascii="Arial Narrow" w:hAnsi="Arial Narrow"/>
                <w:sz w:val="20"/>
              </w:rPr>
            </w:pPr>
            <w:r w:rsidRPr="00B23721">
              <w:rPr>
                <w:rFonts w:ascii="Arial Narrow" w:hAnsi="Arial Narrow"/>
                <w:sz w:val="20"/>
              </w:rPr>
              <w:t>$</w:t>
            </w:r>
            <w:r w:rsidR="00BF699F">
              <w:rPr>
                <w:rFonts w:ascii="Arial Narrow" w:hAnsi="Arial Narrow"/>
                <w:noProof/>
                <w:color w:val="000000"/>
                <w:sz w:val="20"/>
                <w:highlight w:val="black"/>
              </w:rPr>
              <w:t>'''''''''''''''''''''''''''</w:t>
            </w:r>
          </w:p>
        </w:tc>
      </w:tr>
      <w:tr w:rsidR="00C05B41" w:rsidRPr="00B23721" w:rsidTr="004A5B61">
        <w:tc>
          <w:tcPr>
            <w:tcW w:w="1614" w:type="pct"/>
            <w:shd w:val="clear" w:color="auto" w:fill="auto"/>
            <w:vAlign w:val="center"/>
          </w:tcPr>
          <w:p w:rsidR="00C05B41" w:rsidRPr="00B23721" w:rsidRDefault="00C05B41" w:rsidP="00FF0995">
            <w:pPr>
              <w:rPr>
                <w:rFonts w:ascii="Arial Narrow" w:hAnsi="Arial Narrow"/>
                <w:sz w:val="20"/>
                <w:vertAlign w:val="superscript"/>
              </w:rPr>
            </w:pPr>
            <w:r w:rsidRPr="00B23721">
              <w:rPr>
                <w:rFonts w:ascii="Arial Narrow" w:hAnsi="Arial Narrow"/>
                <w:sz w:val="20"/>
              </w:rPr>
              <w:t>Net cost to PBS March 2016</w:t>
            </w:r>
            <w:r w:rsidRPr="00B23721">
              <w:rPr>
                <w:rFonts w:ascii="Arial Narrow" w:hAnsi="Arial Narrow"/>
                <w:sz w:val="20"/>
                <w:vertAlign w:val="superscript"/>
              </w:rPr>
              <w:t>d</w:t>
            </w:r>
          </w:p>
        </w:tc>
        <w:tc>
          <w:tcPr>
            <w:tcW w:w="636" w:type="pct"/>
            <w:shd w:val="clear" w:color="auto" w:fill="auto"/>
            <w:vAlign w:val="center"/>
          </w:tcPr>
          <w:p w:rsidR="00C05B41" w:rsidRPr="00B23721" w:rsidRDefault="00C05B41" w:rsidP="00FF0995">
            <w:pPr>
              <w:jc w:val="right"/>
              <w:rPr>
                <w:rFonts w:ascii="Arial Narrow" w:hAnsi="Arial Narrow"/>
                <w:sz w:val="20"/>
              </w:rPr>
            </w:pPr>
            <w:r w:rsidRPr="00B23721">
              <w:rPr>
                <w:rFonts w:ascii="Arial Narrow" w:hAnsi="Arial Narrow"/>
                <w:sz w:val="20"/>
              </w:rPr>
              <w:t>$</w:t>
            </w:r>
            <w:r w:rsidR="00BF699F">
              <w:rPr>
                <w:rFonts w:ascii="Arial Narrow" w:hAnsi="Arial Narrow"/>
                <w:noProof/>
                <w:color w:val="000000"/>
                <w:sz w:val="20"/>
                <w:highlight w:val="black"/>
              </w:rPr>
              <w:t>'''''''''''''''''''''''''</w:t>
            </w:r>
          </w:p>
        </w:tc>
        <w:tc>
          <w:tcPr>
            <w:tcW w:w="638" w:type="pct"/>
            <w:shd w:val="clear" w:color="auto" w:fill="auto"/>
            <w:vAlign w:val="center"/>
          </w:tcPr>
          <w:p w:rsidR="00C05B41" w:rsidRPr="00B23721" w:rsidRDefault="00C05B41" w:rsidP="00FF0995">
            <w:pPr>
              <w:jc w:val="right"/>
              <w:rPr>
                <w:rFonts w:ascii="Arial Narrow" w:hAnsi="Arial Narrow"/>
                <w:sz w:val="20"/>
              </w:rPr>
            </w:pPr>
            <w:r w:rsidRPr="00B23721">
              <w:rPr>
                <w:rFonts w:ascii="Arial Narrow" w:hAnsi="Arial Narrow"/>
                <w:sz w:val="20"/>
              </w:rPr>
              <w:t>$</w:t>
            </w:r>
            <w:r w:rsidR="00BF699F">
              <w:rPr>
                <w:rFonts w:ascii="Arial Narrow" w:hAnsi="Arial Narrow"/>
                <w:noProof/>
                <w:color w:val="000000"/>
                <w:sz w:val="20"/>
                <w:highlight w:val="black"/>
              </w:rPr>
              <w:t>'''''''''''''''''''''''''''''</w:t>
            </w:r>
          </w:p>
        </w:tc>
        <w:tc>
          <w:tcPr>
            <w:tcW w:w="690" w:type="pct"/>
            <w:shd w:val="clear" w:color="auto" w:fill="auto"/>
            <w:vAlign w:val="center"/>
          </w:tcPr>
          <w:p w:rsidR="00C05B41" w:rsidRPr="00B23721" w:rsidRDefault="00C05B41" w:rsidP="00FF0995">
            <w:pPr>
              <w:jc w:val="right"/>
              <w:rPr>
                <w:rFonts w:ascii="Arial Narrow" w:hAnsi="Arial Narrow"/>
                <w:sz w:val="20"/>
              </w:rPr>
            </w:pPr>
            <w:r w:rsidRPr="00B23721">
              <w:rPr>
                <w:rFonts w:ascii="Arial Narrow" w:hAnsi="Arial Narrow"/>
                <w:sz w:val="20"/>
              </w:rPr>
              <w:t>$</w:t>
            </w:r>
            <w:r w:rsidR="00BF699F">
              <w:rPr>
                <w:rFonts w:ascii="Arial Narrow" w:hAnsi="Arial Narrow"/>
                <w:noProof/>
                <w:color w:val="000000"/>
                <w:sz w:val="20"/>
                <w:highlight w:val="black"/>
              </w:rPr>
              <w:t>''''''''''''''''''''''''</w:t>
            </w:r>
          </w:p>
        </w:tc>
        <w:tc>
          <w:tcPr>
            <w:tcW w:w="690" w:type="pct"/>
            <w:shd w:val="clear" w:color="auto" w:fill="auto"/>
            <w:vAlign w:val="center"/>
          </w:tcPr>
          <w:p w:rsidR="00C05B41" w:rsidRPr="00B23721" w:rsidRDefault="00C05B41" w:rsidP="00FF0995">
            <w:pPr>
              <w:jc w:val="right"/>
              <w:rPr>
                <w:rFonts w:ascii="Arial Narrow" w:hAnsi="Arial Narrow"/>
                <w:sz w:val="20"/>
              </w:rPr>
            </w:pPr>
            <w:r w:rsidRPr="00B23721">
              <w:rPr>
                <w:rFonts w:ascii="Arial Narrow" w:hAnsi="Arial Narrow"/>
                <w:sz w:val="20"/>
              </w:rPr>
              <w:t>$</w:t>
            </w:r>
            <w:r w:rsidR="00BF699F">
              <w:rPr>
                <w:rFonts w:ascii="Arial Narrow" w:hAnsi="Arial Narrow"/>
                <w:noProof/>
                <w:color w:val="000000"/>
                <w:sz w:val="20"/>
                <w:highlight w:val="black"/>
              </w:rPr>
              <w:t>''''''''''''''''''''''''''''</w:t>
            </w:r>
          </w:p>
        </w:tc>
        <w:tc>
          <w:tcPr>
            <w:tcW w:w="732" w:type="pct"/>
            <w:shd w:val="clear" w:color="auto" w:fill="auto"/>
            <w:vAlign w:val="center"/>
          </w:tcPr>
          <w:p w:rsidR="00C05B41" w:rsidRPr="00B23721" w:rsidRDefault="00C05B41" w:rsidP="00FF0995">
            <w:pPr>
              <w:jc w:val="right"/>
              <w:rPr>
                <w:rFonts w:ascii="Arial Narrow" w:hAnsi="Arial Narrow"/>
                <w:sz w:val="20"/>
              </w:rPr>
            </w:pPr>
            <w:r w:rsidRPr="00B23721">
              <w:rPr>
                <w:rFonts w:ascii="Arial Narrow" w:hAnsi="Arial Narrow"/>
                <w:sz w:val="20"/>
              </w:rPr>
              <w:t>$</w:t>
            </w:r>
            <w:r w:rsidR="00BF699F">
              <w:rPr>
                <w:rFonts w:ascii="Arial Narrow" w:hAnsi="Arial Narrow"/>
                <w:noProof/>
                <w:color w:val="000000"/>
                <w:sz w:val="20"/>
                <w:highlight w:val="black"/>
              </w:rPr>
              <w:t>'''''''''''''''''''''''''''''</w:t>
            </w:r>
          </w:p>
        </w:tc>
      </w:tr>
      <w:tr w:rsidR="00C05B41" w:rsidRPr="00B23721" w:rsidTr="004A5B61">
        <w:tc>
          <w:tcPr>
            <w:tcW w:w="1614" w:type="pct"/>
            <w:shd w:val="clear" w:color="auto" w:fill="auto"/>
            <w:vAlign w:val="center"/>
          </w:tcPr>
          <w:p w:rsidR="00C05B41" w:rsidRPr="00B23721" w:rsidRDefault="00C05B41" w:rsidP="00FF0995">
            <w:pPr>
              <w:tabs>
                <w:tab w:val="left" w:pos="223"/>
              </w:tabs>
              <w:jc w:val="left"/>
              <w:rPr>
                <w:rFonts w:ascii="Arial Narrow" w:hAnsi="Arial Narrow"/>
                <w:sz w:val="20"/>
              </w:rPr>
            </w:pPr>
            <w:r w:rsidRPr="00B23721">
              <w:rPr>
                <w:rFonts w:ascii="Arial Narrow" w:hAnsi="Arial Narrow"/>
                <w:sz w:val="20"/>
              </w:rPr>
              <w:t>Net cost to MBS</w:t>
            </w:r>
            <w:r w:rsidRPr="00B23721">
              <w:rPr>
                <w:rFonts w:ascii="Arial Narrow" w:hAnsi="Arial Narrow"/>
                <w:sz w:val="20"/>
              </w:rPr>
              <w:br/>
            </w:r>
            <w:r w:rsidRPr="00B23721">
              <w:rPr>
                <w:rFonts w:ascii="Arial Narrow" w:hAnsi="Arial Narrow"/>
                <w:sz w:val="20"/>
              </w:rPr>
              <w:tab/>
              <w:t>(at 85% benefit)</w:t>
            </w:r>
          </w:p>
        </w:tc>
        <w:tc>
          <w:tcPr>
            <w:tcW w:w="636" w:type="pct"/>
            <w:shd w:val="clear" w:color="auto" w:fill="auto"/>
            <w:vAlign w:val="center"/>
          </w:tcPr>
          <w:p w:rsidR="00C05B41" w:rsidRPr="00B23721" w:rsidRDefault="00C05B41" w:rsidP="00FF0995">
            <w:pPr>
              <w:jc w:val="right"/>
              <w:rPr>
                <w:rFonts w:ascii="Arial Narrow" w:hAnsi="Arial Narrow"/>
                <w:sz w:val="20"/>
              </w:rPr>
            </w:pPr>
            <w:r w:rsidRPr="00B23721">
              <w:rPr>
                <w:rFonts w:ascii="Arial Narrow" w:hAnsi="Arial Narrow"/>
                <w:sz w:val="20"/>
              </w:rPr>
              <w:t>$</w:t>
            </w:r>
            <w:r w:rsidR="00BF699F">
              <w:rPr>
                <w:rFonts w:ascii="Arial Narrow" w:hAnsi="Arial Narrow"/>
                <w:noProof/>
                <w:color w:val="000000"/>
                <w:sz w:val="20"/>
                <w:highlight w:val="black"/>
              </w:rPr>
              <w:t>'''''''''''''''''''</w:t>
            </w:r>
          </w:p>
        </w:tc>
        <w:tc>
          <w:tcPr>
            <w:tcW w:w="638" w:type="pct"/>
            <w:shd w:val="clear" w:color="auto" w:fill="auto"/>
            <w:vAlign w:val="center"/>
          </w:tcPr>
          <w:p w:rsidR="00C05B41" w:rsidRPr="00B23721" w:rsidRDefault="00C05B41" w:rsidP="00FF0995">
            <w:pPr>
              <w:jc w:val="right"/>
              <w:rPr>
                <w:rFonts w:ascii="Arial Narrow" w:hAnsi="Arial Narrow"/>
                <w:sz w:val="20"/>
              </w:rPr>
            </w:pPr>
            <w:r w:rsidRPr="00B23721">
              <w:rPr>
                <w:rFonts w:ascii="Arial Narrow" w:hAnsi="Arial Narrow"/>
                <w:sz w:val="20"/>
              </w:rPr>
              <w:t>$</w:t>
            </w:r>
            <w:r w:rsidR="00BF699F">
              <w:rPr>
                <w:rFonts w:ascii="Arial Narrow" w:hAnsi="Arial Narrow"/>
                <w:noProof/>
                <w:color w:val="000000"/>
                <w:sz w:val="20"/>
                <w:highlight w:val="black"/>
              </w:rPr>
              <w:t>'''''''''''''''''''</w:t>
            </w:r>
          </w:p>
        </w:tc>
        <w:tc>
          <w:tcPr>
            <w:tcW w:w="690" w:type="pct"/>
            <w:shd w:val="clear" w:color="auto" w:fill="auto"/>
            <w:vAlign w:val="center"/>
          </w:tcPr>
          <w:p w:rsidR="00C05B41" w:rsidRPr="00B23721" w:rsidRDefault="00C05B41" w:rsidP="00FF0995">
            <w:pPr>
              <w:jc w:val="right"/>
              <w:rPr>
                <w:rFonts w:ascii="Arial Narrow" w:hAnsi="Arial Narrow"/>
                <w:sz w:val="20"/>
              </w:rPr>
            </w:pPr>
            <w:r w:rsidRPr="00B23721">
              <w:rPr>
                <w:rFonts w:ascii="Arial Narrow" w:hAnsi="Arial Narrow"/>
                <w:sz w:val="20"/>
              </w:rPr>
              <w:t>$</w:t>
            </w:r>
            <w:r w:rsidR="00BF699F">
              <w:rPr>
                <w:rFonts w:ascii="Arial Narrow" w:hAnsi="Arial Narrow"/>
                <w:noProof/>
                <w:color w:val="000000"/>
                <w:sz w:val="20"/>
                <w:highlight w:val="black"/>
              </w:rPr>
              <w:t>'''''''''''''''''''</w:t>
            </w:r>
          </w:p>
        </w:tc>
        <w:tc>
          <w:tcPr>
            <w:tcW w:w="690" w:type="pct"/>
            <w:shd w:val="clear" w:color="auto" w:fill="auto"/>
            <w:vAlign w:val="center"/>
          </w:tcPr>
          <w:p w:rsidR="00C05B41" w:rsidRPr="00B23721" w:rsidRDefault="00C05B41" w:rsidP="00FF0995">
            <w:pPr>
              <w:jc w:val="right"/>
              <w:rPr>
                <w:rFonts w:ascii="Arial Narrow" w:hAnsi="Arial Narrow"/>
                <w:sz w:val="20"/>
              </w:rPr>
            </w:pPr>
            <w:r w:rsidRPr="00B23721">
              <w:rPr>
                <w:rFonts w:ascii="Arial Narrow" w:hAnsi="Arial Narrow"/>
                <w:sz w:val="20"/>
              </w:rPr>
              <w:t>$</w:t>
            </w:r>
            <w:r w:rsidR="00BF699F">
              <w:rPr>
                <w:rFonts w:ascii="Arial Narrow" w:hAnsi="Arial Narrow"/>
                <w:noProof/>
                <w:color w:val="000000"/>
                <w:sz w:val="20"/>
                <w:highlight w:val="black"/>
              </w:rPr>
              <w:t>''''''''''''''''''</w:t>
            </w:r>
          </w:p>
        </w:tc>
        <w:tc>
          <w:tcPr>
            <w:tcW w:w="732" w:type="pct"/>
            <w:shd w:val="clear" w:color="auto" w:fill="auto"/>
            <w:vAlign w:val="center"/>
          </w:tcPr>
          <w:p w:rsidR="00C05B41" w:rsidRPr="00B23721" w:rsidRDefault="00C05B41" w:rsidP="00FF0995">
            <w:pPr>
              <w:jc w:val="right"/>
              <w:rPr>
                <w:rFonts w:ascii="Arial Narrow" w:hAnsi="Arial Narrow"/>
                <w:sz w:val="20"/>
              </w:rPr>
            </w:pPr>
            <w:r w:rsidRPr="00B23721">
              <w:rPr>
                <w:rFonts w:ascii="Arial Narrow" w:hAnsi="Arial Narrow"/>
                <w:sz w:val="20"/>
              </w:rPr>
              <w:t>$</w:t>
            </w:r>
            <w:r w:rsidR="00BF699F">
              <w:rPr>
                <w:rFonts w:ascii="Arial Narrow" w:hAnsi="Arial Narrow"/>
                <w:noProof/>
                <w:color w:val="000000"/>
                <w:sz w:val="20"/>
                <w:highlight w:val="black"/>
              </w:rPr>
              <w:t>'''''''''''''''''''''</w:t>
            </w:r>
          </w:p>
        </w:tc>
      </w:tr>
      <w:tr w:rsidR="00C05B41" w:rsidRPr="00B23721" w:rsidTr="004A5B61">
        <w:tc>
          <w:tcPr>
            <w:tcW w:w="1614" w:type="pct"/>
            <w:shd w:val="clear" w:color="auto" w:fill="auto"/>
            <w:vAlign w:val="center"/>
          </w:tcPr>
          <w:p w:rsidR="00C05B41" w:rsidRPr="00B23721" w:rsidRDefault="00C05B41" w:rsidP="00FF0995">
            <w:pPr>
              <w:tabs>
                <w:tab w:val="left" w:pos="223"/>
              </w:tabs>
              <w:jc w:val="left"/>
              <w:rPr>
                <w:rFonts w:ascii="Arial Narrow" w:hAnsi="Arial Narrow"/>
                <w:sz w:val="20"/>
              </w:rPr>
            </w:pPr>
            <w:r w:rsidRPr="00B23721">
              <w:rPr>
                <w:rFonts w:ascii="Arial Narrow" w:hAnsi="Arial Narrow"/>
                <w:sz w:val="20"/>
              </w:rPr>
              <w:t xml:space="preserve">Net cost to MBS March 2016 </w:t>
            </w:r>
            <w:r w:rsidRPr="00B23721">
              <w:rPr>
                <w:rFonts w:ascii="Arial Narrow" w:hAnsi="Arial Narrow"/>
                <w:sz w:val="20"/>
              </w:rPr>
              <w:br/>
            </w:r>
            <w:r w:rsidRPr="00B23721">
              <w:rPr>
                <w:rFonts w:ascii="Arial Narrow" w:hAnsi="Arial Narrow"/>
                <w:sz w:val="20"/>
              </w:rPr>
              <w:tab/>
              <w:t>(at 85% benefit)</w:t>
            </w:r>
          </w:p>
        </w:tc>
        <w:tc>
          <w:tcPr>
            <w:tcW w:w="636" w:type="pct"/>
            <w:shd w:val="clear" w:color="auto" w:fill="auto"/>
            <w:vAlign w:val="center"/>
          </w:tcPr>
          <w:p w:rsidR="00C05B41" w:rsidRPr="00B23721" w:rsidRDefault="00C05B41" w:rsidP="00FF0995">
            <w:pPr>
              <w:jc w:val="right"/>
              <w:rPr>
                <w:rFonts w:ascii="Arial Narrow" w:hAnsi="Arial Narrow"/>
                <w:sz w:val="20"/>
              </w:rPr>
            </w:pPr>
            <w:r w:rsidRPr="00B23721">
              <w:rPr>
                <w:rFonts w:ascii="Arial Narrow" w:hAnsi="Arial Narrow"/>
                <w:sz w:val="20"/>
              </w:rPr>
              <w:t>$</w:t>
            </w:r>
            <w:r w:rsidR="00BF699F">
              <w:rPr>
                <w:rFonts w:ascii="Arial Narrow" w:hAnsi="Arial Narrow"/>
                <w:noProof/>
                <w:color w:val="000000"/>
                <w:sz w:val="20"/>
                <w:highlight w:val="black"/>
              </w:rPr>
              <w:t>'''''''''''''''''''</w:t>
            </w:r>
          </w:p>
        </w:tc>
        <w:tc>
          <w:tcPr>
            <w:tcW w:w="638" w:type="pct"/>
            <w:shd w:val="clear" w:color="auto" w:fill="auto"/>
            <w:vAlign w:val="center"/>
          </w:tcPr>
          <w:p w:rsidR="00C05B41" w:rsidRPr="00B23721" w:rsidRDefault="00C05B41" w:rsidP="00FF0995">
            <w:pPr>
              <w:jc w:val="right"/>
              <w:rPr>
                <w:rFonts w:ascii="Arial Narrow" w:hAnsi="Arial Narrow"/>
                <w:sz w:val="20"/>
              </w:rPr>
            </w:pPr>
            <w:r w:rsidRPr="00B23721">
              <w:rPr>
                <w:rFonts w:ascii="Arial Narrow" w:hAnsi="Arial Narrow"/>
                <w:sz w:val="20"/>
              </w:rPr>
              <w:t>$</w:t>
            </w:r>
            <w:r w:rsidR="00BF699F">
              <w:rPr>
                <w:rFonts w:ascii="Arial Narrow" w:hAnsi="Arial Narrow"/>
                <w:noProof/>
                <w:color w:val="000000"/>
                <w:sz w:val="20"/>
                <w:highlight w:val="black"/>
              </w:rPr>
              <w:t>''''''''''''''''''''</w:t>
            </w:r>
          </w:p>
        </w:tc>
        <w:tc>
          <w:tcPr>
            <w:tcW w:w="690" w:type="pct"/>
            <w:shd w:val="clear" w:color="auto" w:fill="auto"/>
            <w:vAlign w:val="center"/>
          </w:tcPr>
          <w:p w:rsidR="00C05B41" w:rsidRPr="00B23721" w:rsidRDefault="00C05B41" w:rsidP="00FF0995">
            <w:pPr>
              <w:jc w:val="right"/>
              <w:rPr>
                <w:rFonts w:ascii="Arial Narrow" w:hAnsi="Arial Narrow"/>
                <w:sz w:val="20"/>
              </w:rPr>
            </w:pPr>
            <w:r w:rsidRPr="00B23721">
              <w:rPr>
                <w:rFonts w:ascii="Arial Narrow" w:hAnsi="Arial Narrow"/>
                <w:sz w:val="20"/>
              </w:rPr>
              <w:t>$</w:t>
            </w:r>
            <w:r w:rsidR="00BF699F">
              <w:rPr>
                <w:rFonts w:ascii="Arial Narrow" w:hAnsi="Arial Narrow"/>
                <w:noProof/>
                <w:color w:val="000000"/>
                <w:sz w:val="20"/>
                <w:highlight w:val="black"/>
              </w:rPr>
              <w:t>'''''''''''''''''''</w:t>
            </w:r>
          </w:p>
        </w:tc>
        <w:tc>
          <w:tcPr>
            <w:tcW w:w="690" w:type="pct"/>
            <w:shd w:val="clear" w:color="auto" w:fill="auto"/>
            <w:vAlign w:val="center"/>
          </w:tcPr>
          <w:p w:rsidR="00C05B41" w:rsidRPr="00B23721" w:rsidRDefault="00C05B41" w:rsidP="00FF0995">
            <w:pPr>
              <w:jc w:val="right"/>
              <w:rPr>
                <w:rFonts w:ascii="Arial Narrow" w:hAnsi="Arial Narrow"/>
                <w:sz w:val="20"/>
              </w:rPr>
            </w:pPr>
            <w:r w:rsidRPr="00B23721">
              <w:rPr>
                <w:rFonts w:ascii="Arial Narrow" w:hAnsi="Arial Narrow"/>
                <w:sz w:val="20"/>
              </w:rPr>
              <w:t>$</w:t>
            </w:r>
            <w:r w:rsidR="00BF699F">
              <w:rPr>
                <w:rFonts w:ascii="Arial Narrow" w:hAnsi="Arial Narrow"/>
                <w:noProof/>
                <w:color w:val="000000"/>
                <w:sz w:val="20"/>
                <w:highlight w:val="black"/>
              </w:rPr>
              <w:t>'''''''''''''''''</w:t>
            </w:r>
          </w:p>
        </w:tc>
        <w:tc>
          <w:tcPr>
            <w:tcW w:w="732" w:type="pct"/>
            <w:shd w:val="clear" w:color="auto" w:fill="auto"/>
            <w:vAlign w:val="center"/>
          </w:tcPr>
          <w:p w:rsidR="00C05B41" w:rsidRPr="00B23721" w:rsidRDefault="00C05B41" w:rsidP="00FF0995">
            <w:pPr>
              <w:jc w:val="right"/>
              <w:rPr>
                <w:rFonts w:ascii="Arial Narrow" w:hAnsi="Arial Narrow"/>
                <w:sz w:val="20"/>
              </w:rPr>
            </w:pPr>
            <w:r w:rsidRPr="00B23721">
              <w:rPr>
                <w:rFonts w:ascii="Arial Narrow" w:hAnsi="Arial Narrow"/>
                <w:sz w:val="20"/>
              </w:rPr>
              <w:t>$</w:t>
            </w:r>
            <w:r w:rsidR="00BF699F">
              <w:rPr>
                <w:rFonts w:ascii="Arial Narrow" w:hAnsi="Arial Narrow"/>
                <w:noProof/>
                <w:color w:val="000000"/>
                <w:sz w:val="20"/>
                <w:highlight w:val="black"/>
              </w:rPr>
              <w:t>''''''''''''''''''''</w:t>
            </w:r>
          </w:p>
        </w:tc>
      </w:tr>
      <w:tr w:rsidR="00C05B41" w:rsidRPr="00B23721" w:rsidTr="004A5B61">
        <w:tc>
          <w:tcPr>
            <w:tcW w:w="5000" w:type="pct"/>
            <w:gridSpan w:val="6"/>
            <w:shd w:val="clear" w:color="auto" w:fill="auto"/>
            <w:vAlign w:val="center"/>
          </w:tcPr>
          <w:p w:rsidR="00C05B41" w:rsidRPr="00B23721" w:rsidRDefault="00C05B41" w:rsidP="00FF0995">
            <w:pPr>
              <w:rPr>
                <w:rFonts w:ascii="Arial Narrow" w:hAnsi="Arial Narrow"/>
                <w:b/>
                <w:sz w:val="20"/>
              </w:rPr>
            </w:pPr>
            <w:r w:rsidRPr="00B23721">
              <w:rPr>
                <w:rFonts w:ascii="Arial Narrow" w:hAnsi="Arial Narrow"/>
                <w:b/>
                <w:sz w:val="20"/>
              </w:rPr>
              <w:t>Estimated total net cost</w:t>
            </w:r>
          </w:p>
        </w:tc>
      </w:tr>
      <w:tr w:rsidR="00C05B41" w:rsidRPr="00B23721" w:rsidTr="004A5B61">
        <w:tc>
          <w:tcPr>
            <w:tcW w:w="1614" w:type="pct"/>
            <w:shd w:val="clear" w:color="auto" w:fill="auto"/>
            <w:vAlign w:val="center"/>
          </w:tcPr>
          <w:p w:rsidR="00C05B41" w:rsidRPr="00B23721" w:rsidRDefault="00C05B41" w:rsidP="00FF0995">
            <w:pPr>
              <w:rPr>
                <w:rFonts w:ascii="Arial Narrow" w:hAnsi="Arial Narrow"/>
                <w:b/>
                <w:sz w:val="20"/>
              </w:rPr>
            </w:pPr>
            <w:r w:rsidRPr="00B23721">
              <w:rPr>
                <w:rFonts w:ascii="Arial Narrow" w:hAnsi="Arial Narrow"/>
                <w:b/>
                <w:bCs/>
                <w:sz w:val="20"/>
              </w:rPr>
              <w:t>Net cost PBS/MBS</w:t>
            </w:r>
          </w:p>
        </w:tc>
        <w:tc>
          <w:tcPr>
            <w:tcW w:w="636" w:type="pct"/>
            <w:shd w:val="clear" w:color="auto" w:fill="auto"/>
            <w:vAlign w:val="bottom"/>
          </w:tcPr>
          <w:p w:rsidR="00C05B41" w:rsidRPr="00B23721" w:rsidRDefault="00C05B41" w:rsidP="00FF0995">
            <w:pPr>
              <w:jc w:val="right"/>
              <w:rPr>
                <w:rFonts w:ascii="Arial Narrow" w:hAnsi="Arial Narrow"/>
                <w:b/>
                <w:bCs/>
                <w:sz w:val="20"/>
              </w:rPr>
            </w:pPr>
            <w:r w:rsidRPr="00B23721">
              <w:rPr>
                <w:rFonts w:ascii="Arial Narrow" w:hAnsi="Arial Narrow"/>
                <w:b/>
                <w:sz w:val="20"/>
              </w:rPr>
              <w:t>$</w:t>
            </w:r>
            <w:r w:rsidR="00BF699F">
              <w:rPr>
                <w:rFonts w:ascii="Arial Narrow" w:hAnsi="Arial Narrow"/>
                <w:b/>
                <w:noProof/>
                <w:color w:val="000000"/>
                <w:sz w:val="20"/>
                <w:highlight w:val="black"/>
              </w:rPr>
              <w:t>'''''''''''''''''''''</w:t>
            </w:r>
          </w:p>
        </w:tc>
        <w:tc>
          <w:tcPr>
            <w:tcW w:w="638" w:type="pct"/>
            <w:shd w:val="clear" w:color="auto" w:fill="auto"/>
            <w:vAlign w:val="bottom"/>
          </w:tcPr>
          <w:p w:rsidR="00C05B41" w:rsidRPr="00B23721" w:rsidRDefault="00C05B41" w:rsidP="00FF0995">
            <w:pPr>
              <w:jc w:val="right"/>
              <w:rPr>
                <w:rFonts w:ascii="Arial Narrow" w:hAnsi="Arial Narrow"/>
                <w:b/>
                <w:bCs/>
                <w:sz w:val="20"/>
              </w:rPr>
            </w:pPr>
            <w:r w:rsidRPr="00B23721">
              <w:rPr>
                <w:rFonts w:ascii="Arial Narrow" w:hAnsi="Arial Narrow"/>
                <w:b/>
                <w:sz w:val="20"/>
              </w:rPr>
              <w:t>$</w:t>
            </w:r>
            <w:r w:rsidR="00BF699F">
              <w:rPr>
                <w:rFonts w:ascii="Arial Narrow" w:hAnsi="Arial Narrow"/>
                <w:b/>
                <w:noProof/>
                <w:color w:val="000000"/>
                <w:sz w:val="20"/>
                <w:highlight w:val="black"/>
              </w:rPr>
              <w:t>''''''''''''''''''''''</w:t>
            </w:r>
          </w:p>
        </w:tc>
        <w:tc>
          <w:tcPr>
            <w:tcW w:w="690" w:type="pct"/>
            <w:shd w:val="clear" w:color="auto" w:fill="auto"/>
            <w:vAlign w:val="bottom"/>
          </w:tcPr>
          <w:p w:rsidR="00C05B41" w:rsidRPr="00B23721" w:rsidRDefault="00C05B41" w:rsidP="00FF0995">
            <w:pPr>
              <w:jc w:val="right"/>
              <w:rPr>
                <w:rFonts w:ascii="Arial Narrow" w:hAnsi="Arial Narrow"/>
                <w:b/>
                <w:bCs/>
                <w:sz w:val="20"/>
              </w:rPr>
            </w:pPr>
            <w:r w:rsidRPr="00B23721">
              <w:rPr>
                <w:rFonts w:ascii="Arial Narrow" w:hAnsi="Arial Narrow"/>
                <w:b/>
                <w:sz w:val="20"/>
              </w:rPr>
              <w:t>$</w:t>
            </w:r>
            <w:r w:rsidR="00BF699F">
              <w:rPr>
                <w:rFonts w:ascii="Arial Narrow" w:hAnsi="Arial Narrow"/>
                <w:b/>
                <w:noProof/>
                <w:color w:val="000000"/>
                <w:sz w:val="20"/>
                <w:highlight w:val="black"/>
              </w:rPr>
              <w:t>'''''''''''''''''''''''</w:t>
            </w:r>
          </w:p>
        </w:tc>
        <w:tc>
          <w:tcPr>
            <w:tcW w:w="690" w:type="pct"/>
            <w:shd w:val="clear" w:color="auto" w:fill="auto"/>
            <w:vAlign w:val="bottom"/>
          </w:tcPr>
          <w:p w:rsidR="00C05B41" w:rsidRPr="00B23721" w:rsidRDefault="00C05B41" w:rsidP="00FF0995">
            <w:pPr>
              <w:jc w:val="right"/>
              <w:rPr>
                <w:rFonts w:ascii="Arial Narrow" w:hAnsi="Arial Narrow"/>
                <w:b/>
                <w:bCs/>
                <w:sz w:val="20"/>
              </w:rPr>
            </w:pPr>
            <w:r w:rsidRPr="00B23721">
              <w:rPr>
                <w:rFonts w:ascii="Arial Narrow" w:hAnsi="Arial Narrow"/>
                <w:b/>
                <w:sz w:val="20"/>
              </w:rPr>
              <w:t>$</w:t>
            </w:r>
            <w:r w:rsidR="00BF699F">
              <w:rPr>
                <w:rFonts w:ascii="Arial Narrow" w:hAnsi="Arial Narrow"/>
                <w:b/>
                <w:noProof/>
                <w:color w:val="000000"/>
                <w:sz w:val="20"/>
                <w:highlight w:val="black"/>
              </w:rPr>
              <w:t>''''''''''''''''''''''</w:t>
            </w:r>
          </w:p>
        </w:tc>
        <w:tc>
          <w:tcPr>
            <w:tcW w:w="732" w:type="pct"/>
            <w:shd w:val="clear" w:color="auto" w:fill="auto"/>
            <w:vAlign w:val="bottom"/>
          </w:tcPr>
          <w:p w:rsidR="00C05B41" w:rsidRPr="00B23721" w:rsidRDefault="00C05B41" w:rsidP="00FF0995">
            <w:pPr>
              <w:jc w:val="right"/>
              <w:rPr>
                <w:rFonts w:ascii="Arial Narrow" w:hAnsi="Arial Narrow"/>
                <w:b/>
                <w:bCs/>
                <w:sz w:val="20"/>
              </w:rPr>
            </w:pPr>
            <w:r w:rsidRPr="00B23721">
              <w:rPr>
                <w:rFonts w:ascii="Arial Narrow" w:hAnsi="Arial Narrow"/>
                <w:b/>
                <w:sz w:val="20"/>
              </w:rPr>
              <w:t>$</w:t>
            </w:r>
            <w:r w:rsidR="00BF699F">
              <w:rPr>
                <w:rFonts w:ascii="Arial Narrow" w:hAnsi="Arial Narrow"/>
                <w:b/>
                <w:noProof/>
                <w:color w:val="000000"/>
                <w:sz w:val="20"/>
                <w:highlight w:val="black"/>
              </w:rPr>
              <w:t>'''''''''''''''''''''''</w:t>
            </w:r>
          </w:p>
        </w:tc>
      </w:tr>
      <w:tr w:rsidR="00C05B41" w:rsidRPr="00B23721" w:rsidTr="004A5B61">
        <w:tc>
          <w:tcPr>
            <w:tcW w:w="1614" w:type="pct"/>
            <w:shd w:val="clear" w:color="auto" w:fill="auto"/>
            <w:vAlign w:val="center"/>
          </w:tcPr>
          <w:p w:rsidR="00C05B41" w:rsidRPr="00B23721" w:rsidRDefault="00C05B41" w:rsidP="00FF0995">
            <w:pPr>
              <w:rPr>
                <w:rFonts w:ascii="Arial Narrow" w:hAnsi="Arial Narrow"/>
                <w:sz w:val="20"/>
              </w:rPr>
            </w:pPr>
            <w:r w:rsidRPr="00B23721">
              <w:rPr>
                <w:rFonts w:ascii="Arial Narrow" w:hAnsi="Arial Narrow"/>
                <w:bCs/>
                <w:sz w:val="20"/>
              </w:rPr>
              <w:t>Net cost PBS/MBS March 2016</w:t>
            </w:r>
          </w:p>
        </w:tc>
        <w:tc>
          <w:tcPr>
            <w:tcW w:w="636" w:type="pct"/>
            <w:shd w:val="clear" w:color="auto" w:fill="auto"/>
            <w:vAlign w:val="center"/>
          </w:tcPr>
          <w:p w:rsidR="00C05B41" w:rsidRPr="00B23721" w:rsidRDefault="00C05B41" w:rsidP="00FF0995">
            <w:pPr>
              <w:jc w:val="right"/>
              <w:rPr>
                <w:rFonts w:ascii="Arial Narrow" w:hAnsi="Arial Narrow"/>
                <w:sz w:val="20"/>
              </w:rPr>
            </w:pPr>
            <w:r w:rsidRPr="00B23721">
              <w:rPr>
                <w:rFonts w:ascii="Arial Narrow" w:hAnsi="Arial Narrow"/>
                <w:sz w:val="20"/>
              </w:rPr>
              <w:t>$</w:t>
            </w:r>
            <w:r w:rsidR="00BF699F">
              <w:rPr>
                <w:rFonts w:ascii="Arial Narrow" w:hAnsi="Arial Narrow"/>
                <w:noProof/>
                <w:color w:val="000000"/>
                <w:sz w:val="20"/>
                <w:highlight w:val="black"/>
              </w:rPr>
              <w:t>''''''''''''''''''''''''</w:t>
            </w:r>
          </w:p>
        </w:tc>
        <w:tc>
          <w:tcPr>
            <w:tcW w:w="638" w:type="pct"/>
            <w:shd w:val="clear" w:color="auto" w:fill="auto"/>
            <w:vAlign w:val="center"/>
          </w:tcPr>
          <w:p w:rsidR="00C05B41" w:rsidRPr="00B23721" w:rsidRDefault="00C05B41" w:rsidP="00FF0995">
            <w:pPr>
              <w:jc w:val="right"/>
              <w:rPr>
                <w:rFonts w:ascii="Arial Narrow" w:hAnsi="Arial Narrow"/>
                <w:sz w:val="20"/>
              </w:rPr>
            </w:pPr>
            <w:r w:rsidRPr="00B23721">
              <w:rPr>
                <w:rFonts w:ascii="Arial Narrow" w:hAnsi="Arial Narrow"/>
                <w:sz w:val="20"/>
              </w:rPr>
              <w:t>$</w:t>
            </w:r>
            <w:r w:rsidR="00BF699F">
              <w:rPr>
                <w:rFonts w:ascii="Arial Narrow" w:hAnsi="Arial Narrow"/>
                <w:noProof/>
                <w:color w:val="000000"/>
                <w:sz w:val="20"/>
                <w:highlight w:val="black"/>
              </w:rPr>
              <w:t>'''''''''''''''''''''''''</w:t>
            </w:r>
          </w:p>
        </w:tc>
        <w:tc>
          <w:tcPr>
            <w:tcW w:w="690" w:type="pct"/>
            <w:shd w:val="clear" w:color="auto" w:fill="auto"/>
            <w:vAlign w:val="center"/>
          </w:tcPr>
          <w:p w:rsidR="00C05B41" w:rsidRPr="00B23721" w:rsidRDefault="00C05B41" w:rsidP="00FF0995">
            <w:pPr>
              <w:jc w:val="right"/>
              <w:rPr>
                <w:rFonts w:ascii="Arial Narrow" w:hAnsi="Arial Narrow"/>
                <w:sz w:val="20"/>
              </w:rPr>
            </w:pPr>
            <w:r w:rsidRPr="00B23721">
              <w:rPr>
                <w:rFonts w:ascii="Arial Narrow" w:hAnsi="Arial Narrow"/>
                <w:sz w:val="20"/>
              </w:rPr>
              <w:t>$</w:t>
            </w:r>
            <w:r w:rsidR="00BF699F">
              <w:rPr>
                <w:rFonts w:ascii="Arial Narrow" w:hAnsi="Arial Narrow"/>
                <w:noProof/>
                <w:color w:val="000000"/>
                <w:sz w:val="20"/>
                <w:highlight w:val="black"/>
              </w:rPr>
              <w:t>''''''''''''''''''''''''</w:t>
            </w:r>
          </w:p>
        </w:tc>
        <w:tc>
          <w:tcPr>
            <w:tcW w:w="690" w:type="pct"/>
            <w:shd w:val="clear" w:color="auto" w:fill="auto"/>
            <w:vAlign w:val="center"/>
          </w:tcPr>
          <w:p w:rsidR="00C05B41" w:rsidRPr="00B23721" w:rsidRDefault="00C05B41" w:rsidP="00FF0995">
            <w:pPr>
              <w:jc w:val="right"/>
              <w:rPr>
                <w:rFonts w:ascii="Arial Narrow" w:hAnsi="Arial Narrow"/>
                <w:sz w:val="20"/>
              </w:rPr>
            </w:pPr>
            <w:r w:rsidRPr="00B23721">
              <w:rPr>
                <w:rFonts w:ascii="Arial Narrow" w:hAnsi="Arial Narrow"/>
                <w:sz w:val="20"/>
              </w:rPr>
              <w:t>$</w:t>
            </w:r>
            <w:r w:rsidR="00BF699F">
              <w:rPr>
                <w:rFonts w:ascii="Arial Narrow" w:hAnsi="Arial Narrow"/>
                <w:noProof/>
                <w:color w:val="000000"/>
                <w:sz w:val="20"/>
                <w:highlight w:val="black"/>
              </w:rPr>
              <w:t>''''''''''''''''''''''''''''</w:t>
            </w:r>
          </w:p>
        </w:tc>
        <w:tc>
          <w:tcPr>
            <w:tcW w:w="732" w:type="pct"/>
            <w:shd w:val="clear" w:color="auto" w:fill="auto"/>
            <w:vAlign w:val="center"/>
          </w:tcPr>
          <w:p w:rsidR="00C05B41" w:rsidRPr="00B23721" w:rsidRDefault="00C05B41" w:rsidP="00FF0995">
            <w:pPr>
              <w:jc w:val="right"/>
              <w:rPr>
                <w:rFonts w:ascii="Arial Narrow" w:hAnsi="Arial Narrow"/>
                <w:sz w:val="20"/>
              </w:rPr>
            </w:pPr>
            <w:r w:rsidRPr="00B23721">
              <w:rPr>
                <w:rFonts w:ascii="Arial Narrow" w:hAnsi="Arial Narrow"/>
                <w:sz w:val="20"/>
              </w:rPr>
              <w:t>$</w:t>
            </w:r>
            <w:r w:rsidR="00BF699F">
              <w:rPr>
                <w:rFonts w:ascii="Arial Narrow" w:hAnsi="Arial Narrow"/>
                <w:noProof/>
                <w:color w:val="000000"/>
                <w:sz w:val="20"/>
                <w:highlight w:val="black"/>
              </w:rPr>
              <w:t>'''''''''''''''''''''''''''</w:t>
            </w:r>
          </w:p>
        </w:tc>
      </w:tr>
    </w:tbl>
    <w:p w:rsidR="00C05B41" w:rsidRPr="00B23721" w:rsidRDefault="00C05B41" w:rsidP="00C05B41">
      <w:pPr>
        <w:pStyle w:val="TableFooter"/>
        <w:ind w:firstLine="709"/>
      </w:pPr>
      <w:r w:rsidRPr="00B23721">
        <w:rPr>
          <w:vertAlign w:val="superscript"/>
        </w:rPr>
        <w:t>a</w:t>
      </w:r>
      <w:r w:rsidRPr="00B23721">
        <w:t xml:space="preserve"> Assuming </w:t>
      </w:r>
      <w:r w:rsidR="00BF699F">
        <w:rPr>
          <w:noProof/>
          <w:color w:val="000000"/>
          <w:highlight w:val="black"/>
        </w:rPr>
        <w:t>'''''''''''''</w:t>
      </w:r>
      <w:r w:rsidRPr="00B23721">
        <w:t xml:space="preserve"> administrations per patient</w:t>
      </w:r>
    </w:p>
    <w:p w:rsidR="00C05B41" w:rsidRPr="00B23721" w:rsidRDefault="00C05B41" w:rsidP="00C05B41">
      <w:pPr>
        <w:pStyle w:val="TableFooter"/>
        <w:ind w:firstLine="709"/>
      </w:pPr>
      <w:r w:rsidRPr="00B23721">
        <w:rPr>
          <w:vertAlign w:val="superscript"/>
        </w:rPr>
        <w:t>b</w:t>
      </w:r>
      <w:r w:rsidRPr="00B23721">
        <w:t xml:space="preserve"> Assuming </w:t>
      </w:r>
      <w:r w:rsidR="00BF699F">
        <w:rPr>
          <w:noProof/>
          <w:color w:val="000000"/>
          <w:highlight w:val="black"/>
        </w:rPr>
        <w:t>''''''''''''</w:t>
      </w:r>
      <w:r w:rsidRPr="00B23721">
        <w:t xml:space="preserve"> administrations per patient</w:t>
      </w:r>
    </w:p>
    <w:p w:rsidR="00C05B41" w:rsidRPr="00B23721" w:rsidRDefault="00C05B41" w:rsidP="00C05B41">
      <w:pPr>
        <w:pStyle w:val="TableFooter"/>
        <w:ind w:left="851" w:hanging="142"/>
      </w:pPr>
      <w:r w:rsidRPr="00B23721">
        <w:rPr>
          <w:vertAlign w:val="superscript"/>
        </w:rPr>
        <w:t xml:space="preserve">c </w:t>
      </w:r>
      <w:r w:rsidRPr="00B23721">
        <w:rPr>
          <w:szCs w:val="18"/>
        </w:rPr>
        <w:t xml:space="preserve">Assuming </w:t>
      </w:r>
      <w:r w:rsidR="00576660" w:rsidRPr="00B23721">
        <w:rPr>
          <w:szCs w:val="18"/>
        </w:rPr>
        <w:t>an average</w:t>
      </w:r>
      <w:r w:rsidRPr="00B23721">
        <w:rPr>
          <w:szCs w:val="18"/>
        </w:rPr>
        <w:t xml:space="preserve"> body weight of 75.20</w:t>
      </w:r>
      <w:r w:rsidR="002E742D" w:rsidRPr="00B23721">
        <w:rPr>
          <w:szCs w:val="18"/>
        </w:rPr>
        <w:t> </w:t>
      </w:r>
      <w:r w:rsidRPr="00B23721">
        <w:rPr>
          <w:szCs w:val="18"/>
        </w:rPr>
        <w:t>kg, each patient, on average, needs 226</w:t>
      </w:r>
      <w:r w:rsidR="002E742D" w:rsidRPr="00B23721">
        <w:rPr>
          <w:szCs w:val="18"/>
        </w:rPr>
        <w:t> </w:t>
      </w:r>
      <w:r w:rsidRPr="00B23721">
        <w:rPr>
          <w:szCs w:val="18"/>
        </w:rPr>
        <w:t>mg of nivolumab. To supply 226</w:t>
      </w:r>
      <w:r w:rsidR="002E742D" w:rsidRPr="00B23721">
        <w:rPr>
          <w:szCs w:val="18"/>
        </w:rPr>
        <w:t> </w:t>
      </w:r>
      <w:r w:rsidRPr="00B23721">
        <w:rPr>
          <w:szCs w:val="18"/>
        </w:rPr>
        <w:t>mg of nivolumab, the re-submission assumed that 2 × 100</w:t>
      </w:r>
      <w:r w:rsidR="002E742D" w:rsidRPr="00B23721">
        <w:rPr>
          <w:szCs w:val="18"/>
        </w:rPr>
        <w:t> </w:t>
      </w:r>
      <w:r w:rsidRPr="00B23721">
        <w:rPr>
          <w:szCs w:val="18"/>
        </w:rPr>
        <w:t>mg/10</w:t>
      </w:r>
      <w:r w:rsidR="002E742D" w:rsidRPr="00B23721">
        <w:rPr>
          <w:szCs w:val="18"/>
        </w:rPr>
        <w:t> </w:t>
      </w:r>
      <w:r w:rsidRPr="00B23721">
        <w:rPr>
          <w:szCs w:val="18"/>
        </w:rPr>
        <w:t>mL vials and 1 × 40</w:t>
      </w:r>
      <w:r w:rsidR="002E742D" w:rsidRPr="00B23721">
        <w:rPr>
          <w:szCs w:val="18"/>
        </w:rPr>
        <w:t> </w:t>
      </w:r>
      <w:r w:rsidRPr="00B23721">
        <w:rPr>
          <w:szCs w:val="18"/>
        </w:rPr>
        <w:t>mg/4</w:t>
      </w:r>
      <w:r w:rsidR="002E742D" w:rsidRPr="00B23721">
        <w:rPr>
          <w:szCs w:val="18"/>
        </w:rPr>
        <w:t> </w:t>
      </w:r>
      <w:r w:rsidRPr="00B23721">
        <w:rPr>
          <w:szCs w:val="18"/>
        </w:rPr>
        <w:t>mL vials were required.</w:t>
      </w:r>
    </w:p>
    <w:p w:rsidR="00C05B41" w:rsidRPr="00B23721" w:rsidRDefault="00C05B41" w:rsidP="00C05B41">
      <w:pPr>
        <w:pStyle w:val="TableFooter"/>
        <w:ind w:left="851" w:hanging="142"/>
        <w:rPr>
          <w:szCs w:val="18"/>
        </w:rPr>
      </w:pPr>
      <w:r w:rsidRPr="00B23721">
        <w:rPr>
          <w:vertAlign w:val="superscript"/>
        </w:rPr>
        <w:t>d</w:t>
      </w:r>
      <w:r w:rsidRPr="00B23721">
        <w:t xml:space="preserve"> </w:t>
      </w:r>
      <w:r w:rsidRPr="00B23721">
        <w:rPr>
          <w:szCs w:val="18"/>
        </w:rPr>
        <w:t>Assuming an average body weight of 74.25</w:t>
      </w:r>
      <w:r w:rsidR="002E742D" w:rsidRPr="00B23721">
        <w:rPr>
          <w:szCs w:val="18"/>
        </w:rPr>
        <w:t> </w:t>
      </w:r>
      <w:r w:rsidRPr="00B23721">
        <w:rPr>
          <w:szCs w:val="18"/>
        </w:rPr>
        <w:t>kg, each patient, on average, needs 223</w:t>
      </w:r>
      <w:r w:rsidR="002E742D" w:rsidRPr="00B23721">
        <w:rPr>
          <w:szCs w:val="18"/>
        </w:rPr>
        <w:t> </w:t>
      </w:r>
      <w:r w:rsidRPr="00B23721">
        <w:rPr>
          <w:szCs w:val="18"/>
        </w:rPr>
        <w:t>mg of nivolumab. To supply 223</w:t>
      </w:r>
      <w:r w:rsidR="002E742D" w:rsidRPr="00B23721">
        <w:rPr>
          <w:szCs w:val="18"/>
        </w:rPr>
        <w:t> </w:t>
      </w:r>
      <w:r w:rsidRPr="00B23721">
        <w:rPr>
          <w:szCs w:val="18"/>
        </w:rPr>
        <w:t xml:space="preserve">mg of nivolumab, the </w:t>
      </w:r>
      <w:r w:rsidR="008C02E5" w:rsidRPr="00B23721">
        <w:rPr>
          <w:szCs w:val="18"/>
        </w:rPr>
        <w:t xml:space="preserve">March 2016 </w:t>
      </w:r>
      <w:r w:rsidRPr="00B23721">
        <w:rPr>
          <w:szCs w:val="18"/>
        </w:rPr>
        <w:t>submission assumed 2 × 100</w:t>
      </w:r>
      <w:r w:rsidR="002E742D" w:rsidRPr="00B23721">
        <w:rPr>
          <w:szCs w:val="18"/>
        </w:rPr>
        <w:t> </w:t>
      </w:r>
      <w:r w:rsidRPr="00B23721">
        <w:rPr>
          <w:szCs w:val="18"/>
        </w:rPr>
        <w:t>mg/10</w:t>
      </w:r>
      <w:r w:rsidR="002E742D" w:rsidRPr="00B23721">
        <w:rPr>
          <w:szCs w:val="18"/>
        </w:rPr>
        <w:t> </w:t>
      </w:r>
      <w:r w:rsidRPr="00B23721">
        <w:rPr>
          <w:szCs w:val="18"/>
        </w:rPr>
        <w:t>mL vials and 0.58 × 40</w:t>
      </w:r>
      <w:r w:rsidR="002E742D" w:rsidRPr="00B23721">
        <w:rPr>
          <w:szCs w:val="18"/>
        </w:rPr>
        <w:t> </w:t>
      </w:r>
      <w:r w:rsidRPr="00B23721">
        <w:rPr>
          <w:szCs w:val="18"/>
        </w:rPr>
        <w:t>mg/4</w:t>
      </w:r>
      <w:r w:rsidR="002E742D" w:rsidRPr="00B23721">
        <w:rPr>
          <w:szCs w:val="18"/>
        </w:rPr>
        <w:t> </w:t>
      </w:r>
      <w:r w:rsidRPr="00B23721">
        <w:rPr>
          <w:szCs w:val="18"/>
        </w:rPr>
        <w:t>mL vials were required.</w:t>
      </w:r>
    </w:p>
    <w:p w:rsidR="00C05B41" w:rsidRPr="00B23721" w:rsidRDefault="00C05B41" w:rsidP="00C05B41">
      <w:pPr>
        <w:pStyle w:val="TableFooter"/>
        <w:ind w:left="709"/>
      </w:pPr>
      <w:r w:rsidRPr="00B23721">
        <w:t>Note: Dispensed drug costs in the re-submission estimates have been updated during the evaluation to include the indexation of fees that occurred on 1 July 2016. Patient co-payments have also been updated to $38.30 general and $6.20 concessional.</w:t>
      </w:r>
    </w:p>
    <w:p w:rsidR="00C05B41" w:rsidRPr="00B23721" w:rsidRDefault="00C05B41" w:rsidP="00C05B41">
      <w:pPr>
        <w:pStyle w:val="TableFooter"/>
        <w:ind w:left="851" w:hanging="142"/>
        <w:rPr>
          <w:szCs w:val="22"/>
        </w:rPr>
      </w:pPr>
      <w:r w:rsidRPr="00B23721">
        <w:t>Source: Compiled during the evaluation</w:t>
      </w:r>
    </w:p>
    <w:p w:rsidR="006C2D0A" w:rsidRDefault="006C2D0A" w:rsidP="006C2D0A">
      <w:pPr>
        <w:widowControl/>
        <w:ind w:left="709"/>
        <w:rPr>
          <w:szCs w:val="22"/>
        </w:rPr>
      </w:pPr>
    </w:p>
    <w:p w:rsidR="00C05B41" w:rsidRDefault="006C2D0A" w:rsidP="006C2D0A">
      <w:pPr>
        <w:widowControl/>
        <w:ind w:left="709"/>
        <w:rPr>
          <w:szCs w:val="22"/>
        </w:rPr>
      </w:pPr>
      <w:r>
        <w:rPr>
          <w:szCs w:val="22"/>
        </w:rPr>
        <w:t>The redacted table above shows that at year 5, the estimated number of patients was less than 10,000 and the net cost to PBS would be $30 - $60 million.</w:t>
      </w:r>
    </w:p>
    <w:p w:rsidR="006C2D0A" w:rsidRPr="00B23721" w:rsidRDefault="006C2D0A" w:rsidP="00C05B41">
      <w:pPr>
        <w:widowControl/>
        <w:rPr>
          <w:szCs w:val="22"/>
        </w:rPr>
      </w:pPr>
    </w:p>
    <w:p w:rsidR="00C05B41" w:rsidRPr="00B23721" w:rsidRDefault="00C05B41" w:rsidP="00C05B41">
      <w:pPr>
        <w:pStyle w:val="ListParagraph"/>
        <w:widowControl/>
        <w:numPr>
          <w:ilvl w:val="1"/>
          <w:numId w:val="4"/>
        </w:numPr>
        <w:rPr>
          <w:szCs w:val="22"/>
        </w:rPr>
      </w:pPr>
      <w:r w:rsidRPr="00B23721">
        <w:rPr>
          <w:szCs w:val="22"/>
        </w:rPr>
        <w:t>The financial estimates presented in the re-submission may be underestimated, given</w:t>
      </w:r>
      <w:r w:rsidR="00726B84">
        <w:rPr>
          <w:szCs w:val="22"/>
        </w:rPr>
        <w:t xml:space="preserve"> the following</w:t>
      </w:r>
      <w:r w:rsidRPr="00B23721">
        <w:rPr>
          <w:szCs w:val="22"/>
        </w:rPr>
        <w:t>:</w:t>
      </w:r>
    </w:p>
    <w:p w:rsidR="00C05B41" w:rsidRPr="00B23721" w:rsidRDefault="00C05B41" w:rsidP="002E1939">
      <w:pPr>
        <w:pStyle w:val="ListParagraph"/>
        <w:widowControl/>
        <w:numPr>
          <w:ilvl w:val="0"/>
          <w:numId w:val="14"/>
        </w:numPr>
        <w:ind w:left="1134"/>
        <w:rPr>
          <w:szCs w:val="22"/>
        </w:rPr>
      </w:pPr>
      <w:r w:rsidRPr="00B23721">
        <w:rPr>
          <w:szCs w:val="22"/>
        </w:rPr>
        <w:t>In the scenario in which nivolumab was available on the PBS, the number of patients receiving prior platinum-based chemotherapy was likely to be underestimated, as there would be an incentive to use doublet chemotherapy over single agen</w:t>
      </w:r>
      <w:r w:rsidR="00726B84">
        <w:rPr>
          <w:szCs w:val="22"/>
        </w:rPr>
        <w:t>ts in order to access nivolumab.</w:t>
      </w:r>
    </w:p>
    <w:p w:rsidR="00C05B41" w:rsidRPr="00B23721" w:rsidRDefault="00C05B41" w:rsidP="002E1939">
      <w:pPr>
        <w:pStyle w:val="ListParagraph"/>
        <w:widowControl/>
        <w:numPr>
          <w:ilvl w:val="0"/>
          <w:numId w:val="14"/>
        </w:numPr>
        <w:ind w:left="1134"/>
        <w:rPr>
          <w:szCs w:val="22"/>
        </w:rPr>
      </w:pPr>
      <w:r w:rsidRPr="00B23721">
        <w:rPr>
          <w:szCs w:val="22"/>
        </w:rPr>
        <w:t xml:space="preserve">The average cost per patient for nivolumab may be underestimated as the mean duration of nivolumab treatment in practice may be longer than that </w:t>
      </w:r>
      <w:r w:rsidR="00726B84">
        <w:rPr>
          <w:szCs w:val="22"/>
        </w:rPr>
        <w:t>observed in trial CA209-017.</w:t>
      </w:r>
    </w:p>
    <w:p w:rsidR="00C05B41" w:rsidRPr="008A7C15" w:rsidRDefault="00C05B41" w:rsidP="00DB5D9A">
      <w:pPr>
        <w:pStyle w:val="ListParagraph"/>
        <w:widowControl/>
        <w:numPr>
          <w:ilvl w:val="0"/>
          <w:numId w:val="14"/>
        </w:numPr>
        <w:ind w:left="1134"/>
        <w:rPr>
          <w:szCs w:val="22"/>
        </w:rPr>
      </w:pPr>
      <w:r w:rsidRPr="00B23721">
        <w:rPr>
          <w:szCs w:val="22"/>
        </w:rPr>
        <w:t>There is potential for use of nivolumab beyond the restriction</w:t>
      </w:r>
      <w:r w:rsidR="002E742D" w:rsidRPr="00B23721">
        <w:rPr>
          <w:szCs w:val="22"/>
        </w:rPr>
        <w:t>.</w:t>
      </w:r>
    </w:p>
    <w:p w:rsidR="00C05B41" w:rsidRPr="00B23721" w:rsidRDefault="00C05B41" w:rsidP="00C05B41">
      <w:pPr>
        <w:widowControl/>
        <w:rPr>
          <w:szCs w:val="22"/>
        </w:rPr>
      </w:pPr>
    </w:p>
    <w:p w:rsidR="00C05B41" w:rsidRPr="00B23721" w:rsidRDefault="00C05B41" w:rsidP="009905CA">
      <w:pPr>
        <w:pStyle w:val="Heading3"/>
      </w:pPr>
      <w:bookmarkStart w:id="18" w:name="_Toc461611890"/>
      <w:r w:rsidRPr="00B23721">
        <w:t>Financial Management – Risk Sharing Arrangements</w:t>
      </w:r>
      <w:bookmarkEnd w:id="18"/>
    </w:p>
    <w:p w:rsidR="00C05B41" w:rsidRPr="00B23721" w:rsidRDefault="00C05B41" w:rsidP="00C05B41">
      <w:pPr>
        <w:widowControl/>
        <w:rPr>
          <w:szCs w:val="22"/>
        </w:rPr>
      </w:pPr>
    </w:p>
    <w:p w:rsidR="00C05B41" w:rsidRPr="00E5452C" w:rsidRDefault="00C05B41" w:rsidP="00C05B41">
      <w:pPr>
        <w:pStyle w:val="ListParagraph"/>
        <w:widowControl/>
        <w:numPr>
          <w:ilvl w:val="1"/>
          <w:numId w:val="4"/>
        </w:numPr>
        <w:rPr>
          <w:szCs w:val="22"/>
        </w:rPr>
      </w:pPr>
      <w:r w:rsidRPr="00B23721">
        <w:t xml:space="preserve">The re-submission proposed a revised Special Pricing Arrangement where the published price would be greater than the effective price. The re-submission also indicated that the sponsor would commit to negotiations to manage residual uncertainty with respect to expenditure. The proposed effective price in the re-submission represented an </w:t>
      </w:r>
      <w:r w:rsidR="00BF699F">
        <w:rPr>
          <w:noProof/>
          <w:color w:val="000000"/>
          <w:highlight w:val="black"/>
        </w:rPr>
        <w:t>'''''''''''</w:t>
      </w:r>
      <w:r w:rsidRPr="00B23721">
        <w:t xml:space="preserve">% reduction </w:t>
      </w:r>
      <w:r w:rsidR="00EE0363" w:rsidRPr="00B23721">
        <w:t>compared with</w:t>
      </w:r>
      <w:r w:rsidRPr="00B23721">
        <w:t xml:space="preserve"> the proposed effective price in the original submission.</w:t>
      </w:r>
    </w:p>
    <w:p w:rsidR="00BD5156" w:rsidRDefault="00BD5156" w:rsidP="00E5452C">
      <w:pPr>
        <w:pStyle w:val="PBACheading1"/>
        <w:numPr>
          <w:ilvl w:val="0"/>
          <w:numId w:val="0"/>
        </w:numPr>
        <w:ind w:left="720" w:hanging="720"/>
      </w:pPr>
    </w:p>
    <w:p w:rsidR="00BD5156" w:rsidRPr="00E5452C" w:rsidRDefault="00BD5156" w:rsidP="00E5452C">
      <w:pPr>
        <w:pStyle w:val="ListParagraph"/>
        <w:widowControl/>
        <w:numPr>
          <w:ilvl w:val="1"/>
          <w:numId w:val="4"/>
        </w:numPr>
      </w:pPr>
      <w:r w:rsidRPr="00E5452C">
        <w:lastRenderedPageBreak/>
        <w:t>The Pre-PBAC Response</w:t>
      </w:r>
      <w:r w:rsidR="00E5452C">
        <w:t xml:space="preserve"> (p.1)</w:t>
      </w:r>
      <w:r w:rsidRPr="00E5452C">
        <w:t xml:space="preserve"> proposed a</w:t>
      </w:r>
      <w:r w:rsidR="00811D2A">
        <w:t>n RSA</w:t>
      </w:r>
      <w:r w:rsidRPr="00E5452C">
        <w:t xml:space="preserve"> </w:t>
      </w:r>
      <w:r w:rsidR="00726B84">
        <w:t xml:space="preserve">in which the calculation of the annual expenditure caps limits the cost </w:t>
      </w:r>
      <w:r w:rsidR="00DB0311">
        <w:t xml:space="preserve">of nivolumab </w:t>
      </w:r>
      <w:r w:rsidR="00726B84">
        <w:t xml:space="preserve">per patient to that </w:t>
      </w:r>
      <w:r w:rsidR="00DB0311">
        <w:t xml:space="preserve">resulting from </w:t>
      </w:r>
      <w:r w:rsidR="00BF699F">
        <w:rPr>
          <w:noProof/>
          <w:color w:val="000000"/>
          <w:highlight w:val="black"/>
        </w:rPr>
        <w:t>'''''''</w:t>
      </w:r>
      <w:r w:rsidR="00DC1A89">
        <w:t xml:space="preserve"> administrations</w:t>
      </w:r>
      <w:r w:rsidRPr="00BD5156">
        <w:t>.</w:t>
      </w:r>
    </w:p>
    <w:p w:rsidR="00C05B41" w:rsidRDefault="00C05B41" w:rsidP="00F5449A">
      <w:pPr>
        <w:widowControl/>
        <w:rPr>
          <w:szCs w:val="22"/>
        </w:rPr>
      </w:pPr>
    </w:p>
    <w:p w:rsidR="00F5449A" w:rsidRDefault="00F5449A" w:rsidP="00F5449A">
      <w:pPr>
        <w:pStyle w:val="ListParagraph"/>
        <w:ind w:left="709"/>
        <w:rPr>
          <w:i/>
          <w:szCs w:val="22"/>
        </w:rPr>
      </w:pPr>
      <w:r w:rsidRPr="00E5452C">
        <w:rPr>
          <w:i/>
          <w:szCs w:val="22"/>
        </w:rPr>
        <w:t>For more detail on PBAC’s view, see section 7 “PBAC outcome”</w:t>
      </w:r>
      <w:r w:rsidR="00491DCE">
        <w:rPr>
          <w:i/>
          <w:szCs w:val="22"/>
        </w:rPr>
        <w:t>.</w:t>
      </w:r>
    </w:p>
    <w:p w:rsidR="00F5449A" w:rsidRDefault="00F5449A" w:rsidP="00F5449A">
      <w:pPr>
        <w:widowControl/>
        <w:rPr>
          <w:szCs w:val="22"/>
        </w:rPr>
      </w:pPr>
    </w:p>
    <w:p w:rsidR="00F5449A" w:rsidRDefault="00F5449A" w:rsidP="00F5449A">
      <w:pPr>
        <w:widowControl/>
        <w:rPr>
          <w:szCs w:val="22"/>
        </w:rPr>
      </w:pPr>
    </w:p>
    <w:p w:rsidR="00F5449A" w:rsidRPr="000607C8" w:rsidRDefault="00F5449A" w:rsidP="000607C8">
      <w:pPr>
        <w:pStyle w:val="Heading2"/>
      </w:pPr>
      <w:r w:rsidRPr="000607C8">
        <w:t>PBAC Outcome</w:t>
      </w:r>
    </w:p>
    <w:p w:rsidR="00F5449A" w:rsidRPr="00491DCE" w:rsidRDefault="00F5449A" w:rsidP="00F5449A">
      <w:pPr>
        <w:contextualSpacing/>
        <w:rPr>
          <w:bCs/>
          <w:szCs w:val="22"/>
          <w:lang w:val="en-GB"/>
        </w:rPr>
      </w:pPr>
    </w:p>
    <w:p w:rsidR="00F5449A" w:rsidRPr="00D52FBC" w:rsidRDefault="00F5449A" w:rsidP="00C546D1">
      <w:pPr>
        <w:numPr>
          <w:ilvl w:val="1"/>
          <w:numId w:val="4"/>
        </w:numPr>
        <w:contextualSpacing/>
        <w:rPr>
          <w:bCs/>
          <w:szCs w:val="22"/>
          <w:lang w:val="en-GB"/>
        </w:rPr>
      </w:pPr>
      <w:r w:rsidRPr="00D52FBC">
        <w:rPr>
          <w:bCs/>
          <w:szCs w:val="22"/>
          <w:lang w:val="en-GB"/>
        </w:rPr>
        <w:t xml:space="preserve">The PBAC </w:t>
      </w:r>
      <w:r w:rsidR="00A3095E" w:rsidRPr="00D52FBC">
        <w:rPr>
          <w:bCs/>
          <w:szCs w:val="22"/>
          <w:lang w:val="en-GB"/>
        </w:rPr>
        <w:t>deferred its decision on the listing of nivolumab for the treatment of squamous NSCLC</w:t>
      </w:r>
      <w:r w:rsidR="00962FB0" w:rsidRPr="00D52FBC">
        <w:rPr>
          <w:bCs/>
          <w:szCs w:val="22"/>
          <w:lang w:val="en-GB"/>
        </w:rPr>
        <w:t xml:space="preserve"> as there were</w:t>
      </w:r>
      <w:r w:rsidR="00C546D1" w:rsidRPr="00D52FBC">
        <w:rPr>
          <w:bCs/>
          <w:szCs w:val="22"/>
          <w:lang w:val="en-GB"/>
        </w:rPr>
        <w:t xml:space="preserve"> concerns regarding the variation in the extent of effectiveness in patients over 75 years, especially given the high </w:t>
      </w:r>
      <w:r w:rsidR="00251A2D" w:rsidRPr="00D52FBC">
        <w:rPr>
          <w:bCs/>
          <w:szCs w:val="22"/>
          <w:lang w:val="en-GB"/>
        </w:rPr>
        <w:t>ICER</w:t>
      </w:r>
      <w:r w:rsidR="00C546D1" w:rsidRPr="00D52FBC">
        <w:rPr>
          <w:bCs/>
          <w:szCs w:val="22"/>
          <w:lang w:val="en-GB"/>
        </w:rPr>
        <w:t xml:space="preserve"> presented in the resubmission</w:t>
      </w:r>
      <w:r w:rsidR="00726B84">
        <w:rPr>
          <w:bCs/>
          <w:szCs w:val="22"/>
          <w:lang w:val="en-GB"/>
        </w:rPr>
        <w:t xml:space="preserve"> and doubts about the ability of the proposed RSA to achieve the </w:t>
      </w:r>
      <w:r w:rsidR="008C3660">
        <w:rPr>
          <w:bCs/>
          <w:szCs w:val="22"/>
          <w:lang w:val="en-GB"/>
        </w:rPr>
        <w:t>sponsor’s intended effect on this</w:t>
      </w:r>
      <w:r w:rsidR="00726B84">
        <w:rPr>
          <w:bCs/>
          <w:szCs w:val="22"/>
          <w:lang w:val="en-GB"/>
        </w:rPr>
        <w:t xml:space="preserve"> ICER</w:t>
      </w:r>
      <w:r w:rsidR="00C546D1" w:rsidRPr="00D52FBC">
        <w:rPr>
          <w:bCs/>
          <w:szCs w:val="22"/>
          <w:lang w:val="en-GB"/>
        </w:rPr>
        <w:t xml:space="preserve">. The PBAC requested that the Department hold discussions with the sponsor in order to develop a proposal for a Managed Entry Scheme </w:t>
      </w:r>
      <w:r w:rsidR="002F7F53">
        <w:rPr>
          <w:bCs/>
          <w:szCs w:val="22"/>
          <w:lang w:val="en-GB"/>
        </w:rPr>
        <w:t xml:space="preserve">(MES) </w:t>
      </w:r>
      <w:r w:rsidR="00C546D1" w:rsidRPr="00D52FBC">
        <w:rPr>
          <w:bCs/>
          <w:szCs w:val="22"/>
          <w:lang w:val="en-GB"/>
        </w:rPr>
        <w:t>to address these concerns.</w:t>
      </w:r>
    </w:p>
    <w:p w:rsidR="00484238" w:rsidRPr="00D52FBC" w:rsidRDefault="00484238" w:rsidP="00484238">
      <w:pPr>
        <w:pStyle w:val="PBACheading1"/>
        <w:numPr>
          <w:ilvl w:val="0"/>
          <w:numId w:val="0"/>
        </w:numPr>
        <w:rPr>
          <w:b w:val="0"/>
          <w:lang w:val="en-GB"/>
        </w:rPr>
      </w:pPr>
    </w:p>
    <w:p w:rsidR="00392A2A" w:rsidRPr="0051694A" w:rsidRDefault="00962FB0" w:rsidP="00D52FBC">
      <w:pPr>
        <w:numPr>
          <w:ilvl w:val="1"/>
          <w:numId w:val="4"/>
        </w:numPr>
        <w:contextualSpacing/>
        <w:rPr>
          <w:lang w:val="en-GB"/>
        </w:rPr>
      </w:pPr>
      <w:r w:rsidRPr="0051694A">
        <w:rPr>
          <w:bCs/>
          <w:szCs w:val="22"/>
          <w:lang w:val="en-GB"/>
        </w:rPr>
        <w:t>The PBAC reiterated its view that there is a high clinical need for new treatments for patients with squamous NSCLC</w:t>
      </w:r>
      <w:r w:rsidR="00D52FBC" w:rsidRPr="0051694A">
        <w:rPr>
          <w:bCs/>
          <w:lang w:val="en-GB"/>
        </w:rPr>
        <w:t>.</w:t>
      </w:r>
      <w:r w:rsidR="007C6D07">
        <w:rPr>
          <w:bCs/>
          <w:lang w:val="en-GB"/>
        </w:rPr>
        <w:t xml:space="preserve"> The PBAC noted, as previously, that the resubmission requested a second-line PBS listing for nivolumab, following progression on or after platinum-cased chemotherapy.</w:t>
      </w:r>
    </w:p>
    <w:p w:rsidR="00F5449A" w:rsidRPr="0051694A" w:rsidRDefault="00F5449A" w:rsidP="00726B84">
      <w:pPr>
        <w:contextualSpacing/>
        <w:rPr>
          <w:bCs/>
          <w:szCs w:val="22"/>
          <w:highlight w:val="yellow"/>
          <w:lang w:val="en-GB"/>
        </w:rPr>
      </w:pPr>
    </w:p>
    <w:p w:rsidR="00F5449A" w:rsidRPr="00104037" w:rsidRDefault="00DA0CD6" w:rsidP="00F5449A">
      <w:pPr>
        <w:numPr>
          <w:ilvl w:val="1"/>
          <w:numId w:val="4"/>
        </w:numPr>
        <w:contextualSpacing/>
        <w:rPr>
          <w:bCs/>
          <w:szCs w:val="22"/>
          <w:lang w:val="en-GB"/>
        </w:rPr>
      </w:pPr>
      <w:r w:rsidRPr="00104037">
        <w:rPr>
          <w:bCs/>
          <w:szCs w:val="22"/>
          <w:lang w:val="en-GB"/>
        </w:rPr>
        <w:t xml:space="preserve">The PBAC noted that the revised restriction provided in the resubmission and </w:t>
      </w:r>
      <w:r w:rsidR="00BD0F91" w:rsidRPr="00104037">
        <w:rPr>
          <w:bCs/>
          <w:szCs w:val="22"/>
          <w:lang w:val="en-GB"/>
        </w:rPr>
        <w:t xml:space="preserve">further </w:t>
      </w:r>
      <w:r w:rsidR="007B5E51">
        <w:rPr>
          <w:bCs/>
          <w:szCs w:val="22"/>
          <w:lang w:val="en-GB"/>
        </w:rPr>
        <w:t>clarification</w:t>
      </w:r>
      <w:r w:rsidR="00BD0F91" w:rsidRPr="00104037">
        <w:rPr>
          <w:bCs/>
          <w:szCs w:val="22"/>
          <w:lang w:val="en-GB"/>
        </w:rPr>
        <w:t xml:space="preserve"> in the PSCR</w:t>
      </w:r>
      <w:r w:rsidR="00104037">
        <w:rPr>
          <w:bCs/>
          <w:szCs w:val="22"/>
          <w:lang w:val="en-GB"/>
        </w:rPr>
        <w:t xml:space="preserve"> appropriately addressed the Committee’s previous concerns</w:t>
      </w:r>
      <w:r w:rsidR="00FF0CE6">
        <w:rPr>
          <w:bCs/>
          <w:szCs w:val="22"/>
          <w:lang w:val="en-GB"/>
        </w:rPr>
        <w:t xml:space="preserve"> with regard to performance status and the requirement for stable or responding disease in the continuing restriction</w:t>
      </w:r>
      <w:r w:rsidR="00104037">
        <w:rPr>
          <w:bCs/>
          <w:szCs w:val="22"/>
          <w:lang w:val="en-GB"/>
        </w:rPr>
        <w:t>.</w:t>
      </w:r>
      <w:r w:rsidR="00FF0CE6">
        <w:rPr>
          <w:bCs/>
          <w:szCs w:val="22"/>
          <w:lang w:val="en-GB"/>
        </w:rPr>
        <w:t xml:space="preserve"> </w:t>
      </w:r>
      <w:r w:rsidR="00345FE9">
        <w:rPr>
          <w:bCs/>
          <w:szCs w:val="22"/>
          <w:lang w:val="en-GB"/>
        </w:rPr>
        <w:t>The PBAC also considered it appropriate to include the initiation criterion excluding patients who have received prior therapy with a PD-1 inhibitor.</w:t>
      </w:r>
    </w:p>
    <w:p w:rsidR="00F5449A" w:rsidRDefault="00F5449A" w:rsidP="00726B84">
      <w:pPr>
        <w:contextualSpacing/>
        <w:rPr>
          <w:bCs/>
          <w:szCs w:val="22"/>
          <w:highlight w:val="yellow"/>
          <w:lang w:val="en-GB"/>
        </w:rPr>
      </w:pPr>
    </w:p>
    <w:p w:rsidR="00F5449A" w:rsidRPr="00BD0F91" w:rsidRDefault="00BD0F91" w:rsidP="00F5449A">
      <w:pPr>
        <w:numPr>
          <w:ilvl w:val="1"/>
          <w:numId w:val="4"/>
        </w:numPr>
        <w:contextualSpacing/>
        <w:rPr>
          <w:bCs/>
          <w:szCs w:val="22"/>
          <w:lang w:val="en-GB"/>
        </w:rPr>
      </w:pPr>
      <w:r w:rsidRPr="00BD0F91">
        <w:rPr>
          <w:bCs/>
          <w:szCs w:val="22"/>
          <w:lang w:val="en-GB"/>
        </w:rPr>
        <w:t>As previously, the PBAC considered that the nominated comparator, docetaxel, was appropriate.</w:t>
      </w:r>
    </w:p>
    <w:p w:rsidR="00F5449A" w:rsidRPr="00BD0F91" w:rsidRDefault="00F5449A" w:rsidP="00726B84">
      <w:pPr>
        <w:contextualSpacing/>
        <w:rPr>
          <w:bCs/>
          <w:szCs w:val="22"/>
          <w:lang w:val="en-GB"/>
        </w:rPr>
      </w:pPr>
    </w:p>
    <w:p w:rsidR="00F5449A" w:rsidRPr="009830B3" w:rsidRDefault="00BD0F91" w:rsidP="00F5449A">
      <w:pPr>
        <w:numPr>
          <w:ilvl w:val="1"/>
          <w:numId w:val="4"/>
        </w:numPr>
        <w:contextualSpacing/>
        <w:rPr>
          <w:bCs/>
          <w:szCs w:val="22"/>
          <w:lang w:val="en-GB"/>
        </w:rPr>
      </w:pPr>
      <w:r w:rsidRPr="009830B3">
        <w:rPr>
          <w:bCs/>
          <w:szCs w:val="22"/>
          <w:lang w:val="en-GB"/>
        </w:rPr>
        <w:t xml:space="preserve">As previously, the PBAC considered the claim of superior comparative effectiveness </w:t>
      </w:r>
      <w:r w:rsidR="009830B3" w:rsidRPr="009830B3">
        <w:rPr>
          <w:bCs/>
          <w:szCs w:val="22"/>
          <w:lang w:val="en-GB"/>
        </w:rPr>
        <w:t xml:space="preserve">and safety </w:t>
      </w:r>
      <w:r w:rsidRPr="009830B3">
        <w:rPr>
          <w:bCs/>
          <w:szCs w:val="22"/>
          <w:lang w:val="en-GB"/>
        </w:rPr>
        <w:t>o</w:t>
      </w:r>
      <w:r w:rsidR="00726B84">
        <w:rPr>
          <w:bCs/>
          <w:szCs w:val="22"/>
          <w:lang w:val="en-GB"/>
        </w:rPr>
        <w:t>ver docetaxel to be reasonable.</w:t>
      </w:r>
    </w:p>
    <w:p w:rsidR="00FD66E3" w:rsidRPr="0051694A" w:rsidRDefault="00FD66E3" w:rsidP="00FD66E3">
      <w:pPr>
        <w:pStyle w:val="PBACheading1"/>
        <w:numPr>
          <w:ilvl w:val="0"/>
          <w:numId w:val="0"/>
        </w:numPr>
        <w:rPr>
          <w:b w:val="0"/>
          <w:lang w:val="en-GB"/>
        </w:rPr>
      </w:pPr>
    </w:p>
    <w:p w:rsidR="00FD66E3" w:rsidRPr="0051694A" w:rsidRDefault="00FD66E3" w:rsidP="00FD66E3">
      <w:pPr>
        <w:numPr>
          <w:ilvl w:val="1"/>
          <w:numId w:val="4"/>
        </w:numPr>
        <w:contextualSpacing/>
        <w:rPr>
          <w:lang w:val="en-GB"/>
        </w:rPr>
      </w:pPr>
      <w:r w:rsidRPr="0051694A">
        <w:rPr>
          <w:lang w:val="en-GB"/>
        </w:rPr>
        <w:t>The PBAC was concerned about the variation in the extent of effectiveness of nivolumab in patients over 75 years</w:t>
      </w:r>
      <w:r w:rsidR="00DF7AED">
        <w:rPr>
          <w:lang w:val="en-GB"/>
        </w:rPr>
        <w:t xml:space="preserve"> of age</w:t>
      </w:r>
      <w:r w:rsidRPr="0051694A">
        <w:rPr>
          <w:lang w:val="en-GB"/>
        </w:rPr>
        <w:t>, with the pre</w:t>
      </w:r>
      <w:r>
        <w:rPr>
          <w:lang w:val="en-GB"/>
        </w:rPr>
        <w:t>-</w:t>
      </w:r>
      <w:r w:rsidRPr="0051694A">
        <w:rPr>
          <w:lang w:val="en-GB"/>
        </w:rPr>
        <w:t xml:space="preserve">specified subgroup analyses of CA209-017 suggesting that nivolumab </w:t>
      </w:r>
      <w:r>
        <w:rPr>
          <w:lang w:val="en-GB"/>
        </w:rPr>
        <w:t>may possibly</w:t>
      </w:r>
      <w:r w:rsidRPr="0051694A">
        <w:rPr>
          <w:lang w:val="en-GB"/>
        </w:rPr>
        <w:t xml:space="preserve"> be inferior to docetaxel in patients aged over 75 years</w:t>
      </w:r>
      <w:r>
        <w:rPr>
          <w:lang w:val="en-GB"/>
        </w:rPr>
        <w:t xml:space="preserve"> (unstratified HR 1.85, 95% CI: 0.76, 4.51)</w:t>
      </w:r>
      <w:r w:rsidRPr="0051694A">
        <w:rPr>
          <w:lang w:val="en-GB"/>
        </w:rPr>
        <w:t xml:space="preserve">, and noting </w:t>
      </w:r>
      <w:r>
        <w:rPr>
          <w:lang w:val="en-GB"/>
        </w:rPr>
        <w:t xml:space="preserve">the abstract of </w:t>
      </w:r>
      <w:r w:rsidRPr="0051694A">
        <w:rPr>
          <w:lang w:val="en-GB"/>
        </w:rPr>
        <w:t>a</w:t>
      </w:r>
      <w:r w:rsidR="00A50F3D">
        <w:rPr>
          <w:lang w:val="en-GB"/>
        </w:rPr>
        <w:t>n</w:t>
      </w:r>
      <w:r w:rsidRPr="0051694A">
        <w:rPr>
          <w:lang w:val="en-GB"/>
        </w:rPr>
        <w:t xml:space="preserve"> analysis (Landre et al, J Clin Oncol 34, 2016 (suppl; abstr 3070)</w:t>
      </w:r>
      <w:r w:rsidR="00DF7AED">
        <w:rPr>
          <w:rStyle w:val="FootnoteReference"/>
          <w:lang w:val="en-GB"/>
        </w:rPr>
        <w:footnoteReference w:id="6"/>
      </w:r>
      <w:r w:rsidRPr="0051694A">
        <w:rPr>
          <w:lang w:val="en-GB"/>
        </w:rPr>
        <w:t>) which indicated that the survival benefit of nivolumab in patients older than 75 years appears uncertain.</w:t>
      </w:r>
      <w:r>
        <w:rPr>
          <w:lang w:val="en-GB"/>
        </w:rPr>
        <w:t xml:space="preserve"> </w:t>
      </w:r>
      <w:r w:rsidR="0090435A">
        <w:rPr>
          <w:lang w:val="en-GB"/>
        </w:rPr>
        <w:t xml:space="preserve">The PBAC considered that it was plausible that nivolumab, and other immunotherapies relying on stimulating an immune response, may prove to be less effective in older patients whose immune systems may no longer be able to respond to such a stimulus. </w:t>
      </w:r>
      <w:r>
        <w:rPr>
          <w:lang w:val="en-GB"/>
        </w:rPr>
        <w:t xml:space="preserve">The PBAC considered this </w:t>
      </w:r>
      <w:r w:rsidR="0090435A">
        <w:rPr>
          <w:lang w:val="en-GB"/>
        </w:rPr>
        <w:t xml:space="preserve">likely reduced effectiveness in patients over 75 years of age to be </w:t>
      </w:r>
      <w:r>
        <w:rPr>
          <w:lang w:val="en-GB"/>
        </w:rPr>
        <w:t xml:space="preserve">a significant </w:t>
      </w:r>
      <w:r w:rsidR="006C7BF2">
        <w:rPr>
          <w:lang w:val="en-GB"/>
        </w:rPr>
        <w:t>issue</w:t>
      </w:r>
      <w:r>
        <w:rPr>
          <w:lang w:val="en-GB"/>
        </w:rPr>
        <w:t xml:space="preserve"> given that a large proportion of patients in </w:t>
      </w:r>
      <w:r w:rsidR="005F5F82">
        <w:rPr>
          <w:lang w:val="en-GB"/>
        </w:rPr>
        <w:t xml:space="preserve">Australian </w:t>
      </w:r>
      <w:r>
        <w:rPr>
          <w:lang w:val="en-GB"/>
        </w:rPr>
        <w:t xml:space="preserve">clinical practice would belong to this age group, with over 50% of patients over the age of 70 at diagnosis (and also noting the National Institute for Health and Care Excellence (NICE) appraisal of nivolumab for squamous NSCLC, </w:t>
      </w:r>
      <w:r w:rsidR="00A429E5">
        <w:rPr>
          <w:lang w:val="en-GB"/>
        </w:rPr>
        <w:lastRenderedPageBreak/>
        <w:t>which quoted the</w:t>
      </w:r>
      <w:r>
        <w:rPr>
          <w:lang w:val="en-GB"/>
        </w:rPr>
        <w:t xml:space="preserve"> median age at diagnosis </w:t>
      </w:r>
      <w:r w:rsidR="00A429E5">
        <w:rPr>
          <w:lang w:val="en-GB"/>
        </w:rPr>
        <w:t>of</w:t>
      </w:r>
      <w:r>
        <w:rPr>
          <w:lang w:val="en-GB"/>
        </w:rPr>
        <w:t xml:space="preserve"> 74 years</w:t>
      </w:r>
      <w:r w:rsidR="00A429E5">
        <w:rPr>
          <w:lang w:val="en-GB"/>
        </w:rPr>
        <w:t xml:space="preserve"> in England and Wales</w:t>
      </w:r>
      <w:r w:rsidR="00DF7AED">
        <w:rPr>
          <w:rStyle w:val="FootnoteReference"/>
          <w:lang w:val="en-GB"/>
        </w:rPr>
        <w:footnoteReference w:id="7"/>
      </w:r>
      <w:r>
        <w:rPr>
          <w:lang w:val="en-GB"/>
        </w:rPr>
        <w:t>).</w:t>
      </w:r>
    </w:p>
    <w:p w:rsidR="00FD66E3" w:rsidRPr="0051694A" w:rsidRDefault="00FD66E3" w:rsidP="00FD66E3">
      <w:pPr>
        <w:pStyle w:val="PBACheading1"/>
        <w:numPr>
          <w:ilvl w:val="0"/>
          <w:numId w:val="0"/>
        </w:numPr>
        <w:rPr>
          <w:b w:val="0"/>
          <w:lang w:val="en-GB"/>
        </w:rPr>
      </w:pPr>
    </w:p>
    <w:p w:rsidR="00FD66E3" w:rsidRPr="0051694A" w:rsidRDefault="00FD66E3" w:rsidP="00FD66E3">
      <w:pPr>
        <w:numPr>
          <w:ilvl w:val="1"/>
          <w:numId w:val="4"/>
        </w:numPr>
        <w:contextualSpacing/>
        <w:rPr>
          <w:lang w:val="en-GB"/>
        </w:rPr>
      </w:pPr>
      <w:r w:rsidRPr="0051694A">
        <w:rPr>
          <w:lang w:val="en-GB"/>
        </w:rPr>
        <w:t xml:space="preserve">The PBAC maintained its previous view that no clear predictive effect of PD-L1 </w:t>
      </w:r>
      <w:r w:rsidR="008C3660">
        <w:rPr>
          <w:lang w:val="en-GB"/>
        </w:rPr>
        <w:t xml:space="preserve">expression </w:t>
      </w:r>
      <w:r w:rsidRPr="0051694A">
        <w:rPr>
          <w:lang w:val="en-GB"/>
        </w:rPr>
        <w:t>status on the comparative effectiveness of nivolumab was demonstrated in CA209-017. However</w:t>
      </w:r>
      <w:r w:rsidR="000143B4">
        <w:rPr>
          <w:lang w:val="en-GB"/>
        </w:rPr>
        <w:t>,</w:t>
      </w:r>
      <w:r w:rsidRPr="0051694A">
        <w:rPr>
          <w:lang w:val="en-GB"/>
        </w:rPr>
        <w:t xml:space="preserve"> the PBAC </w:t>
      </w:r>
      <w:r w:rsidR="000143B4">
        <w:rPr>
          <w:lang w:val="en-GB"/>
        </w:rPr>
        <w:t>noted that a range of predictive biomarkers were currently under development and encouraged the sponsor to submit data</w:t>
      </w:r>
      <w:r w:rsidR="000143B4" w:rsidRPr="0051694A">
        <w:rPr>
          <w:lang w:val="en-GB"/>
        </w:rPr>
        <w:t xml:space="preserve"> </w:t>
      </w:r>
      <w:r w:rsidR="000143B4">
        <w:rPr>
          <w:lang w:val="en-GB"/>
        </w:rPr>
        <w:t>on these biomarkers should they subsequently prove useful for determining patient selection for treatment with immunotherapy</w:t>
      </w:r>
      <w:r w:rsidR="008C3660">
        <w:rPr>
          <w:lang w:val="en-GB"/>
        </w:rPr>
        <w:t>.</w:t>
      </w:r>
    </w:p>
    <w:p w:rsidR="00F5449A" w:rsidRPr="009830B3" w:rsidRDefault="00F5449A" w:rsidP="008C3660">
      <w:pPr>
        <w:contextualSpacing/>
        <w:rPr>
          <w:bCs/>
          <w:szCs w:val="22"/>
          <w:lang w:val="en-GB"/>
        </w:rPr>
      </w:pPr>
    </w:p>
    <w:p w:rsidR="00392A2A" w:rsidRPr="007E1A93" w:rsidRDefault="00645589" w:rsidP="00392A2A">
      <w:pPr>
        <w:numPr>
          <w:ilvl w:val="1"/>
          <w:numId w:val="4"/>
        </w:numPr>
        <w:contextualSpacing/>
        <w:rPr>
          <w:bCs/>
          <w:szCs w:val="22"/>
          <w:lang w:val="en-GB"/>
        </w:rPr>
      </w:pPr>
      <w:r w:rsidRPr="007E1A93">
        <w:rPr>
          <w:bCs/>
          <w:szCs w:val="22"/>
          <w:lang w:val="en-GB"/>
        </w:rPr>
        <w:t xml:space="preserve">The PBAC considered that the incremental cost per QALY gained for nivolumab over docetaxel presented in the resubmission’s base case was </w:t>
      </w:r>
      <w:r w:rsidR="00765E17">
        <w:rPr>
          <w:bCs/>
          <w:szCs w:val="22"/>
          <w:lang w:val="en-GB"/>
        </w:rPr>
        <w:t xml:space="preserve">very </w:t>
      </w:r>
      <w:r w:rsidRPr="007E1A93">
        <w:rPr>
          <w:bCs/>
          <w:szCs w:val="22"/>
          <w:lang w:val="en-GB"/>
        </w:rPr>
        <w:t>high</w:t>
      </w:r>
      <w:r w:rsidR="00765E17">
        <w:rPr>
          <w:bCs/>
          <w:szCs w:val="22"/>
          <w:lang w:val="en-GB"/>
        </w:rPr>
        <w:t xml:space="preserve"> </w:t>
      </w:r>
      <w:r w:rsidR="00DB550C">
        <w:rPr>
          <w:bCs/>
          <w:szCs w:val="22"/>
          <w:lang w:val="en-GB"/>
        </w:rPr>
        <w:t>(</w:t>
      </w:r>
      <w:r w:rsidR="00DB550C">
        <w:rPr>
          <w:szCs w:val="22"/>
        </w:rPr>
        <w:t>$75,000/QALY - $105,000/QALY</w:t>
      </w:r>
      <w:r w:rsidR="00765E17">
        <w:rPr>
          <w:bCs/>
          <w:szCs w:val="22"/>
          <w:lang w:val="en-GB"/>
        </w:rPr>
        <w:t>)</w:t>
      </w:r>
      <w:r w:rsidRPr="007E1A93">
        <w:rPr>
          <w:bCs/>
          <w:szCs w:val="22"/>
          <w:lang w:val="en-GB"/>
        </w:rPr>
        <w:t>, and noted that</w:t>
      </w:r>
      <w:r w:rsidR="008C3660">
        <w:rPr>
          <w:bCs/>
          <w:szCs w:val="22"/>
          <w:lang w:val="en-GB"/>
        </w:rPr>
        <w:t>,</w:t>
      </w:r>
      <w:r w:rsidRPr="007E1A93">
        <w:rPr>
          <w:bCs/>
          <w:szCs w:val="22"/>
          <w:lang w:val="en-GB"/>
        </w:rPr>
        <w:t xml:space="preserve"> although the resubmission had modified aspects of the model inputs</w:t>
      </w:r>
      <w:r w:rsidR="00FF2DCB" w:rsidRPr="007E1A93">
        <w:rPr>
          <w:bCs/>
          <w:szCs w:val="22"/>
          <w:lang w:val="en-GB"/>
        </w:rPr>
        <w:t>, there was residual disagreement about</w:t>
      </w:r>
      <w:r w:rsidR="007E1A93" w:rsidRPr="007E1A93">
        <w:rPr>
          <w:bCs/>
          <w:szCs w:val="22"/>
          <w:lang w:val="en-GB"/>
        </w:rPr>
        <w:t xml:space="preserve"> a number of assumptions favourable to nivolumab as raised by the ESC, in particular</w:t>
      </w:r>
      <w:r w:rsidR="00FF2DCB" w:rsidRPr="007E1A93">
        <w:rPr>
          <w:bCs/>
          <w:szCs w:val="22"/>
          <w:lang w:val="en-GB"/>
        </w:rPr>
        <w:t xml:space="preserve"> the method of extrapolation and time horizon.</w:t>
      </w:r>
      <w:r w:rsidRPr="007E1A93">
        <w:rPr>
          <w:bCs/>
          <w:szCs w:val="22"/>
          <w:lang w:val="en-GB"/>
        </w:rPr>
        <w:t xml:space="preserve"> </w:t>
      </w:r>
      <w:r w:rsidR="00392A2A" w:rsidRPr="007E1A93">
        <w:rPr>
          <w:bCs/>
          <w:szCs w:val="22"/>
          <w:lang w:val="en-GB"/>
        </w:rPr>
        <w:t xml:space="preserve">The PBAC considered that these optimistic assumptions in the economic model </w:t>
      </w:r>
      <w:r w:rsidR="009171F9" w:rsidRPr="007E1A93">
        <w:rPr>
          <w:bCs/>
          <w:szCs w:val="22"/>
          <w:lang w:val="en-GB"/>
        </w:rPr>
        <w:t xml:space="preserve">base case </w:t>
      </w:r>
      <w:r w:rsidR="00392A2A" w:rsidRPr="007E1A93">
        <w:rPr>
          <w:bCs/>
          <w:szCs w:val="22"/>
          <w:lang w:val="en-GB"/>
        </w:rPr>
        <w:t>were likely to produce an underestimate of the true ICER</w:t>
      </w:r>
      <w:r w:rsidR="00EE3EEF" w:rsidRPr="007E1A93">
        <w:rPr>
          <w:bCs/>
          <w:szCs w:val="22"/>
          <w:lang w:val="en-GB"/>
        </w:rPr>
        <w:t xml:space="preserve">. However, </w:t>
      </w:r>
      <w:r w:rsidR="00C65DBB" w:rsidRPr="007E1A93">
        <w:rPr>
          <w:bCs/>
          <w:szCs w:val="22"/>
          <w:lang w:val="en-GB"/>
        </w:rPr>
        <w:t>in</w:t>
      </w:r>
      <w:r w:rsidR="00EE3EEF" w:rsidRPr="007E1A93">
        <w:rPr>
          <w:bCs/>
          <w:szCs w:val="22"/>
          <w:lang w:val="en-GB"/>
        </w:rPr>
        <w:t xml:space="preserve"> the</w:t>
      </w:r>
      <w:r w:rsidR="00C65DBB" w:rsidRPr="007E1A93">
        <w:rPr>
          <w:bCs/>
          <w:szCs w:val="22"/>
          <w:lang w:val="en-GB"/>
        </w:rPr>
        <w:t xml:space="preserve"> context of high clinical need, </w:t>
      </w:r>
      <w:r w:rsidR="00EE3EEF" w:rsidRPr="007E1A93">
        <w:rPr>
          <w:bCs/>
          <w:szCs w:val="22"/>
          <w:lang w:val="en-GB"/>
        </w:rPr>
        <w:t xml:space="preserve">the </w:t>
      </w:r>
      <w:r w:rsidR="00C65DBB" w:rsidRPr="007E1A93">
        <w:rPr>
          <w:bCs/>
          <w:szCs w:val="22"/>
          <w:lang w:val="en-GB"/>
        </w:rPr>
        <w:t xml:space="preserve">PBAC </w:t>
      </w:r>
      <w:r w:rsidR="0090435A">
        <w:rPr>
          <w:bCs/>
          <w:szCs w:val="22"/>
          <w:lang w:val="en-GB"/>
        </w:rPr>
        <w:t xml:space="preserve">advised that </w:t>
      </w:r>
      <w:r w:rsidR="00C65DBB" w:rsidRPr="007E1A93">
        <w:rPr>
          <w:bCs/>
          <w:szCs w:val="22"/>
          <w:lang w:val="en-GB"/>
        </w:rPr>
        <w:t>the reduced</w:t>
      </w:r>
      <w:r w:rsidR="007E1A93">
        <w:rPr>
          <w:bCs/>
          <w:szCs w:val="22"/>
          <w:lang w:val="en-GB"/>
        </w:rPr>
        <w:t>, although still high</w:t>
      </w:r>
      <w:r w:rsidR="00C65DBB" w:rsidRPr="007E1A93">
        <w:rPr>
          <w:bCs/>
          <w:szCs w:val="22"/>
          <w:lang w:val="en-GB"/>
        </w:rPr>
        <w:t xml:space="preserve"> ICER (</w:t>
      </w:r>
      <w:r w:rsidR="00191C48">
        <w:rPr>
          <w:szCs w:val="22"/>
        </w:rPr>
        <w:t>$45,000/QALY - $75,000/QALY</w:t>
      </w:r>
      <w:r w:rsidR="00C65DBB" w:rsidRPr="007E1A93">
        <w:rPr>
          <w:bCs/>
          <w:szCs w:val="22"/>
          <w:lang w:val="en-GB"/>
        </w:rPr>
        <w:t>) proposed in the</w:t>
      </w:r>
      <w:r w:rsidR="00EE3EEF" w:rsidRPr="007E1A93">
        <w:rPr>
          <w:bCs/>
          <w:szCs w:val="22"/>
          <w:lang w:val="en-GB"/>
        </w:rPr>
        <w:t xml:space="preserve"> </w:t>
      </w:r>
      <w:r w:rsidR="00C65DBB" w:rsidRPr="007E1A93">
        <w:rPr>
          <w:bCs/>
          <w:szCs w:val="22"/>
          <w:lang w:val="en-GB"/>
        </w:rPr>
        <w:t>Pre</w:t>
      </w:r>
      <w:r w:rsidR="008C3660">
        <w:rPr>
          <w:bCs/>
          <w:szCs w:val="22"/>
          <w:lang w:val="en-GB"/>
        </w:rPr>
        <w:t>-</w:t>
      </w:r>
      <w:r w:rsidR="00EE3EEF" w:rsidRPr="007E1A93">
        <w:rPr>
          <w:bCs/>
          <w:szCs w:val="22"/>
          <w:lang w:val="en-GB"/>
        </w:rPr>
        <w:t>PBAC Response</w:t>
      </w:r>
      <w:r w:rsidR="00C455F8" w:rsidRPr="007E1A93">
        <w:rPr>
          <w:bCs/>
          <w:szCs w:val="22"/>
          <w:lang w:val="en-GB"/>
        </w:rPr>
        <w:t xml:space="preserve"> </w:t>
      </w:r>
      <w:r w:rsidR="008C3660">
        <w:rPr>
          <w:bCs/>
          <w:szCs w:val="22"/>
          <w:lang w:val="en-GB"/>
        </w:rPr>
        <w:t xml:space="preserve">with a </w:t>
      </w:r>
      <w:r w:rsidR="00C65DBB" w:rsidRPr="007E1A93">
        <w:rPr>
          <w:bCs/>
          <w:szCs w:val="22"/>
          <w:lang w:val="en-GB"/>
        </w:rPr>
        <w:t xml:space="preserve">risk share </w:t>
      </w:r>
      <w:r w:rsidR="008C3660">
        <w:rPr>
          <w:bCs/>
          <w:szCs w:val="22"/>
          <w:lang w:val="en-GB"/>
        </w:rPr>
        <w:t>arrangement (RSA)</w:t>
      </w:r>
      <w:r w:rsidR="0090435A">
        <w:rPr>
          <w:bCs/>
          <w:szCs w:val="22"/>
          <w:lang w:val="en-GB"/>
        </w:rPr>
        <w:t xml:space="preserve"> would</w:t>
      </w:r>
      <w:r w:rsidR="00C455F8" w:rsidRPr="007E1A93">
        <w:rPr>
          <w:bCs/>
          <w:szCs w:val="22"/>
          <w:lang w:val="en-GB"/>
        </w:rPr>
        <w:t xml:space="preserve"> be in an acceptable range</w:t>
      </w:r>
      <w:r w:rsidR="007E1A93">
        <w:rPr>
          <w:bCs/>
          <w:szCs w:val="22"/>
          <w:lang w:val="en-GB"/>
        </w:rPr>
        <w:t>,</w:t>
      </w:r>
      <w:r w:rsidR="009E69C6" w:rsidRPr="007E1A93">
        <w:rPr>
          <w:bCs/>
          <w:szCs w:val="22"/>
          <w:lang w:val="en-GB"/>
        </w:rPr>
        <w:t xml:space="preserve"> </w:t>
      </w:r>
      <w:r w:rsidR="00C455F8" w:rsidRPr="007E1A93">
        <w:rPr>
          <w:bCs/>
          <w:szCs w:val="22"/>
          <w:lang w:val="en-GB"/>
        </w:rPr>
        <w:t xml:space="preserve">should the Committee’s concerns regarding </w:t>
      </w:r>
      <w:r w:rsidR="00DF7AED">
        <w:rPr>
          <w:bCs/>
          <w:szCs w:val="22"/>
          <w:lang w:val="en-GB"/>
        </w:rPr>
        <w:t xml:space="preserve">the </w:t>
      </w:r>
      <w:r w:rsidR="00244DCE">
        <w:rPr>
          <w:bCs/>
          <w:szCs w:val="22"/>
          <w:lang w:val="en-GB"/>
        </w:rPr>
        <w:t xml:space="preserve">likely variation in </w:t>
      </w:r>
      <w:r w:rsidR="00252C1C">
        <w:rPr>
          <w:bCs/>
          <w:szCs w:val="22"/>
          <w:lang w:val="en-GB"/>
        </w:rPr>
        <w:t xml:space="preserve">the </w:t>
      </w:r>
      <w:r w:rsidR="007E1A93">
        <w:rPr>
          <w:bCs/>
          <w:szCs w:val="22"/>
          <w:lang w:val="en-GB"/>
        </w:rPr>
        <w:t xml:space="preserve">effectiveness </w:t>
      </w:r>
      <w:r w:rsidR="00252C1C">
        <w:rPr>
          <w:bCs/>
          <w:szCs w:val="22"/>
          <w:lang w:val="en-GB"/>
        </w:rPr>
        <w:t xml:space="preserve">of </w:t>
      </w:r>
      <w:r w:rsidR="00187ED2">
        <w:rPr>
          <w:bCs/>
          <w:szCs w:val="22"/>
          <w:lang w:val="en-GB"/>
        </w:rPr>
        <w:t>nivo</w:t>
      </w:r>
      <w:r w:rsidR="00252C1C">
        <w:rPr>
          <w:bCs/>
          <w:szCs w:val="22"/>
          <w:lang w:val="en-GB"/>
        </w:rPr>
        <w:t xml:space="preserve">lumab </w:t>
      </w:r>
      <w:r w:rsidR="007E1A93">
        <w:rPr>
          <w:bCs/>
          <w:szCs w:val="22"/>
          <w:lang w:val="en-GB"/>
        </w:rPr>
        <w:t>with regard</w:t>
      </w:r>
      <w:r w:rsidR="00252C1C">
        <w:rPr>
          <w:bCs/>
          <w:szCs w:val="22"/>
          <w:lang w:val="en-GB"/>
        </w:rPr>
        <w:t>s</w:t>
      </w:r>
      <w:r w:rsidR="007E1A93">
        <w:rPr>
          <w:bCs/>
          <w:szCs w:val="22"/>
          <w:lang w:val="en-GB"/>
        </w:rPr>
        <w:t xml:space="preserve"> </w:t>
      </w:r>
      <w:r w:rsidR="00C455F8" w:rsidRPr="007E1A93">
        <w:rPr>
          <w:bCs/>
          <w:szCs w:val="22"/>
          <w:lang w:val="en-GB"/>
        </w:rPr>
        <w:t>t</w:t>
      </w:r>
      <w:r w:rsidR="007E1A93">
        <w:rPr>
          <w:bCs/>
          <w:szCs w:val="22"/>
          <w:lang w:val="en-GB"/>
        </w:rPr>
        <w:t>o</w:t>
      </w:r>
      <w:r w:rsidR="00C455F8" w:rsidRPr="007E1A93">
        <w:rPr>
          <w:bCs/>
          <w:szCs w:val="22"/>
          <w:lang w:val="en-GB"/>
        </w:rPr>
        <w:t xml:space="preserve"> age be </w:t>
      </w:r>
      <w:r w:rsidR="00F64D4C">
        <w:rPr>
          <w:bCs/>
          <w:szCs w:val="22"/>
          <w:lang w:val="en-GB"/>
        </w:rPr>
        <w:t xml:space="preserve">adequately </w:t>
      </w:r>
      <w:r w:rsidR="00C455F8" w:rsidRPr="007E1A93">
        <w:rPr>
          <w:bCs/>
          <w:szCs w:val="22"/>
          <w:lang w:val="en-GB"/>
        </w:rPr>
        <w:t xml:space="preserve">mitigated through a MES </w:t>
      </w:r>
      <w:r w:rsidR="008C3660">
        <w:rPr>
          <w:bCs/>
          <w:szCs w:val="22"/>
          <w:lang w:val="en-GB"/>
        </w:rPr>
        <w:t xml:space="preserve">proposal developed </w:t>
      </w:r>
      <w:r w:rsidR="00C455F8" w:rsidRPr="007E1A93">
        <w:rPr>
          <w:bCs/>
          <w:szCs w:val="22"/>
          <w:lang w:val="en-GB"/>
        </w:rPr>
        <w:t>between the Department and the sponsor</w:t>
      </w:r>
      <w:r w:rsidR="00244DCE">
        <w:rPr>
          <w:bCs/>
          <w:szCs w:val="22"/>
          <w:lang w:val="en-GB"/>
        </w:rPr>
        <w:t xml:space="preserve"> (see further detail below)</w:t>
      </w:r>
      <w:r w:rsidR="00C455F8" w:rsidRPr="007E1A93">
        <w:rPr>
          <w:bCs/>
          <w:szCs w:val="22"/>
          <w:lang w:val="en-GB"/>
        </w:rPr>
        <w:t>.</w:t>
      </w:r>
      <w:r w:rsidR="00252C1C">
        <w:rPr>
          <w:bCs/>
          <w:szCs w:val="22"/>
          <w:lang w:val="en-GB"/>
        </w:rPr>
        <w:t xml:space="preserve"> The PBAC foreshadowed that, if an adequate MES could be developed, this would provid</w:t>
      </w:r>
      <w:r w:rsidR="00F64D4C">
        <w:rPr>
          <w:bCs/>
          <w:szCs w:val="22"/>
          <w:lang w:val="en-GB"/>
        </w:rPr>
        <w:t>e</w:t>
      </w:r>
      <w:r w:rsidR="00252C1C">
        <w:rPr>
          <w:bCs/>
          <w:szCs w:val="22"/>
          <w:lang w:val="en-GB"/>
        </w:rPr>
        <w:t xml:space="preserve"> earlier access to eligible patients for whom there is a high clinical need whilst the Committee’s concerns about variation in the effectiveness of </w:t>
      </w:r>
      <w:r w:rsidR="00C41ADE">
        <w:rPr>
          <w:bCs/>
          <w:szCs w:val="22"/>
          <w:lang w:val="en-GB"/>
        </w:rPr>
        <w:t>niv</w:t>
      </w:r>
      <w:r w:rsidR="00252C1C">
        <w:rPr>
          <w:bCs/>
          <w:szCs w:val="22"/>
          <w:lang w:val="en-GB"/>
        </w:rPr>
        <w:t>olumab are addressed.</w:t>
      </w:r>
    </w:p>
    <w:p w:rsidR="00244DCE" w:rsidRPr="00244DCE" w:rsidRDefault="00244DCE" w:rsidP="00244DCE">
      <w:pPr>
        <w:contextualSpacing/>
        <w:rPr>
          <w:bCs/>
          <w:szCs w:val="22"/>
          <w:lang w:val="en-GB"/>
        </w:rPr>
      </w:pPr>
    </w:p>
    <w:p w:rsidR="00F5449A" w:rsidRDefault="00244DCE" w:rsidP="00244DCE">
      <w:pPr>
        <w:numPr>
          <w:ilvl w:val="1"/>
          <w:numId w:val="4"/>
        </w:numPr>
        <w:contextualSpacing/>
        <w:rPr>
          <w:bCs/>
          <w:szCs w:val="22"/>
          <w:lang w:val="en-GB"/>
        </w:rPr>
      </w:pPr>
      <w:r w:rsidRPr="00244DCE">
        <w:rPr>
          <w:bCs/>
          <w:szCs w:val="22"/>
          <w:lang w:val="en-GB"/>
        </w:rPr>
        <w:t xml:space="preserve">The PBAC also advised that a prerequisite for any recommendation for PBS listing involving the RSA proposal as presented in the Pre-PBAC Response would be sufficient reassurance that this would actually achieve the ICER of </w:t>
      </w:r>
      <w:r w:rsidR="00191C48">
        <w:rPr>
          <w:szCs w:val="22"/>
        </w:rPr>
        <w:t>$45,000/QALY - $75,000/QALY</w:t>
      </w:r>
      <w:r w:rsidR="00191C48" w:rsidRPr="00244DCE" w:rsidDel="00191C48">
        <w:rPr>
          <w:bCs/>
          <w:szCs w:val="22"/>
          <w:lang w:val="en-GB"/>
        </w:rPr>
        <w:t xml:space="preserve"> </w:t>
      </w:r>
      <w:r w:rsidRPr="00244DCE">
        <w:rPr>
          <w:bCs/>
          <w:szCs w:val="22"/>
          <w:lang w:val="en-GB"/>
        </w:rPr>
        <w:t xml:space="preserve">vs. docetaxel as claimed. The PBAC noted that, in addition to the cost per patient, each annual expenditure cap in an RSA also relies on less certain estimates such as numbers of eligible patients and uptake rates. In addition, there would be lags in achieving the estimated number of patients for each year, and in these eligible patients reaching the proposed limit of </w:t>
      </w:r>
      <w:r w:rsidR="00BF699F">
        <w:rPr>
          <w:bCs/>
          <w:noProof/>
          <w:color w:val="000000"/>
          <w:szCs w:val="22"/>
          <w:highlight w:val="black"/>
          <w:lang w:val="en-GB"/>
        </w:rPr>
        <w:t>''''''</w:t>
      </w:r>
      <w:r w:rsidRPr="00244DCE">
        <w:rPr>
          <w:bCs/>
          <w:szCs w:val="22"/>
          <w:lang w:val="en-GB"/>
        </w:rPr>
        <w:t xml:space="preserve"> administrations, both of which would affect how the RSA would relate to the cost per patient for nivolumab contributing to the ICER. The PBAC therefore requested that these matters </w:t>
      </w:r>
      <w:r>
        <w:rPr>
          <w:bCs/>
          <w:szCs w:val="22"/>
          <w:lang w:val="en-GB"/>
        </w:rPr>
        <w:t xml:space="preserve">also </w:t>
      </w:r>
      <w:r w:rsidRPr="00244DCE">
        <w:rPr>
          <w:bCs/>
          <w:szCs w:val="22"/>
          <w:lang w:val="en-GB"/>
        </w:rPr>
        <w:t>be discussed between the Department and the sponsor, and addressed for PBAC reconsideration alongside the fuller MES proposal</w:t>
      </w:r>
      <w:r>
        <w:rPr>
          <w:bCs/>
          <w:szCs w:val="22"/>
          <w:lang w:val="en-GB"/>
        </w:rPr>
        <w:t xml:space="preserve"> as outlined below</w:t>
      </w:r>
      <w:r w:rsidRPr="00244DCE">
        <w:rPr>
          <w:bCs/>
          <w:szCs w:val="22"/>
          <w:lang w:val="en-GB"/>
        </w:rPr>
        <w:t>.</w:t>
      </w:r>
    </w:p>
    <w:p w:rsidR="00244DCE" w:rsidRPr="003C3927" w:rsidRDefault="00244DCE" w:rsidP="00244DCE">
      <w:pPr>
        <w:contextualSpacing/>
        <w:rPr>
          <w:bCs/>
          <w:szCs w:val="22"/>
          <w:highlight w:val="yellow"/>
          <w:lang w:val="en-GB"/>
        </w:rPr>
      </w:pPr>
    </w:p>
    <w:p w:rsidR="00F5449A" w:rsidRPr="00811D2A" w:rsidRDefault="007C6D07" w:rsidP="00811D2A">
      <w:pPr>
        <w:numPr>
          <w:ilvl w:val="1"/>
          <w:numId w:val="4"/>
        </w:numPr>
        <w:contextualSpacing/>
        <w:rPr>
          <w:bCs/>
          <w:szCs w:val="22"/>
          <w:lang w:val="en-GB"/>
        </w:rPr>
      </w:pPr>
      <w:r w:rsidRPr="00811D2A">
        <w:rPr>
          <w:bCs/>
          <w:szCs w:val="22"/>
          <w:lang w:val="en-GB"/>
        </w:rPr>
        <w:t>The PBAC considered that the financial implications</w:t>
      </w:r>
      <w:r w:rsidR="005D0C26">
        <w:rPr>
          <w:bCs/>
          <w:szCs w:val="22"/>
          <w:lang w:val="en-GB"/>
        </w:rPr>
        <w:t xml:space="preserve"> presented in the resubmission</w:t>
      </w:r>
      <w:r w:rsidRPr="00811D2A">
        <w:rPr>
          <w:bCs/>
          <w:szCs w:val="22"/>
          <w:lang w:val="en-GB"/>
        </w:rPr>
        <w:t xml:space="preserve"> </w:t>
      </w:r>
      <w:r w:rsidR="00811D2A">
        <w:rPr>
          <w:bCs/>
          <w:szCs w:val="22"/>
          <w:lang w:val="en-GB"/>
        </w:rPr>
        <w:t>may</w:t>
      </w:r>
      <w:r w:rsidR="005D0C26">
        <w:rPr>
          <w:bCs/>
          <w:szCs w:val="22"/>
          <w:lang w:val="en-GB"/>
        </w:rPr>
        <w:t xml:space="preserve"> </w:t>
      </w:r>
      <w:r w:rsidR="00811D2A">
        <w:rPr>
          <w:bCs/>
          <w:szCs w:val="22"/>
          <w:lang w:val="en-GB"/>
        </w:rPr>
        <w:t xml:space="preserve">be underestimated due to potential leakage beyond the restriction and uncertainty around treatment duration, </w:t>
      </w:r>
      <w:r w:rsidR="00D15809" w:rsidRPr="00811D2A">
        <w:rPr>
          <w:bCs/>
          <w:szCs w:val="22"/>
          <w:lang w:val="en-GB"/>
        </w:rPr>
        <w:t>however considered th</w:t>
      </w:r>
      <w:r w:rsidR="00811D2A">
        <w:rPr>
          <w:bCs/>
          <w:szCs w:val="22"/>
          <w:lang w:val="en-GB"/>
        </w:rPr>
        <w:t>at an RSA</w:t>
      </w:r>
      <w:r w:rsidR="00D15809" w:rsidRPr="00811D2A">
        <w:rPr>
          <w:bCs/>
          <w:szCs w:val="22"/>
          <w:lang w:val="en-GB"/>
        </w:rPr>
        <w:t xml:space="preserve"> providing an overall cap based on patient numbers as well as </w:t>
      </w:r>
      <w:r w:rsidR="00F64D4C">
        <w:rPr>
          <w:bCs/>
          <w:szCs w:val="22"/>
          <w:lang w:val="en-GB"/>
        </w:rPr>
        <w:t xml:space="preserve">the </w:t>
      </w:r>
      <w:r w:rsidR="00D15809" w:rsidRPr="00811D2A">
        <w:rPr>
          <w:bCs/>
          <w:szCs w:val="22"/>
          <w:lang w:val="en-GB"/>
        </w:rPr>
        <w:t>number</w:t>
      </w:r>
      <w:r w:rsidR="00F64D4C">
        <w:rPr>
          <w:bCs/>
          <w:szCs w:val="22"/>
          <w:lang w:val="en-GB"/>
        </w:rPr>
        <w:t>s</w:t>
      </w:r>
      <w:r w:rsidR="00D15809" w:rsidRPr="00811D2A">
        <w:rPr>
          <w:bCs/>
          <w:szCs w:val="22"/>
          <w:lang w:val="en-GB"/>
        </w:rPr>
        <w:t xml:space="preserve"> of doses </w:t>
      </w:r>
      <w:r w:rsidR="00244DCE">
        <w:rPr>
          <w:bCs/>
          <w:szCs w:val="22"/>
          <w:lang w:val="en-GB"/>
        </w:rPr>
        <w:t xml:space="preserve">per patient </w:t>
      </w:r>
      <w:r w:rsidR="005D0C26">
        <w:rPr>
          <w:bCs/>
          <w:szCs w:val="22"/>
          <w:lang w:val="en-GB"/>
        </w:rPr>
        <w:t xml:space="preserve">would </w:t>
      </w:r>
      <w:r w:rsidR="00D15809" w:rsidRPr="00811D2A">
        <w:rPr>
          <w:bCs/>
          <w:szCs w:val="22"/>
          <w:lang w:val="en-GB"/>
        </w:rPr>
        <w:t xml:space="preserve">offer some certainty </w:t>
      </w:r>
      <w:r w:rsidR="005D0C26">
        <w:rPr>
          <w:bCs/>
          <w:szCs w:val="22"/>
          <w:lang w:val="en-GB"/>
        </w:rPr>
        <w:t>of</w:t>
      </w:r>
      <w:r w:rsidR="00D15809" w:rsidRPr="00811D2A">
        <w:rPr>
          <w:bCs/>
          <w:szCs w:val="22"/>
          <w:lang w:val="en-GB"/>
        </w:rPr>
        <w:t xml:space="preserve"> the overall costs</w:t>
      </w:r>
      <w:r w:rsidR="00244DCE">
        <w:rPr>
          <w:bCs/>
          <w:szCs w:val="22"/>
          <w:lang w:val="en-GB"/>
        </w:rPr>
        <w:t xml:space="preserve"> to the PBS</w:t>
      </w:r>
      <w:r w:rsidR="00D15809" w:rsidRPr="00811D2A">
        <w:rPr>
          <w:bCs/>
          <w:szCs w:val="22"/>
          <w:lang w:val="en-GB"/>
        </w:rPr>
        <w:t>.</w:t>
      </w:r>
    </w:p>
    <w:p w:rsidR="00F5449A" w:rsidRDefault="00F5449A" w:rsidP="00F5449A">
      <w:pPr>
        <w:rPr>
          <w:bCs/>
          <w:szCs w:val="22"/>
          <w:lang w:val="en-GB"/>
        </w:rPr>
      </w:pPr>
    </w:p>
    <w:p w:rsidR="00244DCE" w:rsidRDefault="00244DCE" w:rsidP="00244DCE">
      <w:pPr>
        <w:pStyle w:val="ListParagraph"/>
        <w:widowControl/>
        <w:numPr>
          <w:ilvl w:val="1"/>
          <w:numId w:val="4"/>
        </w:numPr>
        <w:snapToGrid w:val="0"/>
        <w:rPr>
          <w:szCs w:val="22"/>
        </w:rPr>
      </w:pPr>
      <w:r>
        <w:rPr>
          <w:szCs w:val="22"/>
        </w:rPr>
        <w:t>Noting that there are numerous ongoing trials for nivolumab across a range of diseases, the PBAC also encouraged the Department and sponsor to engage in discussions regarding the potential for a</w:t>
      </w:r>
      <w:r w:rsidR="00F64D4C">
        <w:rPr>
          <w:szCs w:val="22"/>
        </w:rPr>
        <w:t>n RSA</w:t>
      </w:r>
      <w:r>
        <w:rPr>
          <w:szCs w:val="22"/>
        </w:rPr>
        <w:t xml:space="preserve"> across all PBS restrictions.</w:t>
      </w:r>
    </w:p>
    <w:p w:rsidR="00244DCE" w:rsidRPr="00C64C41" w:rsidRDefault="00244DCE" w:rsidP="00244DCE">
      <w:pPr>
        <w:rPr>
          <w:szCs w:val="22"/>
        </w:rPr>
      </w:pPr>
    </w:p>
    <w:p w:rsidR="00244DCE" w:rsidRDefault="00244DCE" w:rsidP="00244DCE">
      <w:pPr>
        <w:pStyle w:val="ListParagraph"/>
        <w:widowControl/>
        <w:numPr>
          <w:ilvl w:val="1"/>
          <w:numId w:val="4"/>
        </w:numPr>
        <w:snapToGrid w:val="0"/>
        <w:rPr>
          <w:szCs w:val="22"/>
        </w:rPr>
      </w:pPr>
      <w:r>
        <w:rPr>
          <w:szCs w:val="22"/>
        </w:rPr>
        <w:t xml:space="preserve">The PBAC considered that a MES for nivolumab </w:t>
      </w:r>
      <w:r w:rsidR="00B568F0">
        <w:rPr>
          <w:szCs w:val="22"/>
        </w:rPr>
        <w:t xml:space="preserve">in NSCLC </w:t>
      </w:r>
      <w:r w:rsidR="00252C1C">
        <w:rPr>
          <w:szCs w:val="22"/>
        </w:rPr>
        <w:t xml:space="preserve">should be based on </w:t>
      </w:r>
      <w:r>
        <w:rPr>
          <w:szCs w:val="22"/>
        </w:rPr>
        <w:t xml:space="preserve">the following </w:t>
      </w:r>
      <w:r w:rsidR="00252C1C">
        <w:rPr>
          <w:szCs w:val="22"/>
        </w:rPr>
        <w:t>approach</w:t>
      </w:r>
      <w:r>
        <w:rPr>
          <w:szCs w:val="22"/>
        </w:rPr>
        <w:t>:</w:t>
      </w:r>
    </w:p>
    <w:p w:rsidR="00244DCE" w:rsidRDefault="00244DCE" w:rsidP="00244DCE">
      <w:pPr>
        <w:pStyle w:val="ListParagraph"/>
        <w:widowControl/>
        <w:numPr>
          <w:ilvl w:val="0"/>
          <w:numId w:val="39"/>
        </w:numPr>
        <w:snapToGrid w:val="0"/>
        <w:rPr>
          <w:szCs w:val="22"/>
        </w:rPr>
      </w:pPr>
      <w:r>
        <w:rPr>
          <w:szCs w:val="22"/>
        </w:rPr>
        <w:t xml:space="preserve">should </w:t>
      </w:r>
      <w:r w:rsidR="00252C1C">
        <w:rPr>
          <w:szCs w:val="22"/>
        </w:rPr>
        <w:t xml:space="preserve">the future data confirm that, for patients </w:t>
      </w:r>
      <w:r w:rsidR="001C65DB">
        <w:rPr>
          <w:szCs w:val="22"/>
        </w:rPr>
        <w:t xml:space="preserve">aged </w:t>
      </w:r>
      <w:r w:rsidR="00252C1C">
        <w:rPr>
          <w:szCs w:val="22"/>
        </w:rPr>
        <w:t>75 years</w:t>
      </w:r>
      <w:r w:rsidR="001C65DB">
        <w:rPr>
          <w:szCs w:val="22"/>
        </w:rPr>
        <w:t xml:space="preserve"> or mo</w:t>
      </w:r>
      <w:r w:rsidR="0093586D">
        <w:rPr>
          <w:szCs w:val="22"/>
        </w:rPr>
        <w:t>r</w:t>
      </w:r>
      <w:r w:rsidR="001C65DB">
        <w:rPr>
          <w:szCs w:val="22"/>
        </w:rPr>
        <w:t>e</w:t>
      </w:r>
      <w:r w:rsidR="0090435A">
        <w:rPr>
          <w:szCs w:val="22"/>
        </w:rPr>
        <w:t>,</w:t>
      </w:r>
      <w:r w:rsidR="00252C1C">
        <w:rPr>
          <w:szCs w:val="22"/>
        </w:rPr>
        <w:t xml:space="preserve"> </w:t>
      </w:r>
      <w:r>
        <w:rPr>
          <w:szCs w:val="22"/>
        </w:rPr>
        <w:t xml:space="preserve">there </w:t>
      </w:r>
      <w:r w:rsidR="0090435A">
        <w:rPr>
          <w:szCs w:val="22"/>
        </w:rPr>
        <w:t xml:space="preserve">is </w:t>
      </w:r>
      <w:r>
        <w:rPr>
          <w:szCs w:val="22"/>
        </w:rPr>
        <w:t>no significant benefit of nivolumab over appropriate comparators</w:t>
      </w:r>
      <w:r w:rsidR="0093586D" w:rsidRPr="00FE759B">
        <w:rPr>
          <w:szCs w:val="22"/>
        </w:rPr>
        <w:t xml:space="preserve">, then the sponsor would rebate the Commonwealth for PBS-dispensed costs of nivolumab </w:t>
      </w:r>
      <w:r w:rsidR="0093586D">
        <w:rPr>
          <w:szCs w:val="22"/>
        </w:rPr>
        <w:t xml:space="preserve">over the appropriate comparators </w:t>
      </w:r>
      <w:r w:rsidR="0093586D" w:rsidRPr="00FE759B">
        <w:rPr>
          <w:szCs w:val="22"/>
        </w:rPr>
        <w:t xml:space="preserve">for those patients with NSCLC </w:t>
      </w:r>
      <w:r w:rsidR="0093586D">
        <w:rPr>
          <w:szCs w:val="22"/>
        </w:rPr>
        <w:t>aged 75 years or more</w:t>
      </w:r>
    </w:p>
    <w:p w:rsidR="00244DCE" w:rsidRDefault="00244DCE" w:rsidP="00244DCE">
      <w:pPr>
        <w:pStyle w:val="ListParagraph"/>
        <w:widowControl/>
        <w:numPr>
          <w:ilvl w:val="0"/>
          <w:numId w:val="39"/>
        </w:numPr>
        <w:snapToGrid w:val="0"/>
        <w:rPr>
          <w:szCs w:val="22"/>
        </w:rPr>
      </w:pPr>
      <w:r>
        <w:rPr>
          <w:szCs w:val="22"/>
        </w:rPr>
        <w:t xml:space="preserve">should </w:t>
      </w:r>
      <w:r w:rsidR="0090435A">
        <w:rPr>
          <w:szCs w:val="22"/>
        </w:rPr>
        <w:t xml:space="preserve">the future </w:t>
      </w:r>
      <w:r>
        <w:rPr>
          <w:szCs w:val="22"/>
        </w:rPr>
        <w:t xml:space="preserve">data </w:t>
      </w:r>
      <w:r w:rsidR="0090435A">
        <w:rPr>
          <w:szCs w:val="22"/>
        </w:rPr>
        <w:t xml:space="preserve">confirm </w:t>
      </w:r>
      <w:r>
        <w:rPr>
          <w:szCs w:val="22"/>
        </w:rPr>
        <w:t xml:space="preserve">treatment effect variation by </w:t>
      </w:r>
      <w:r w:rsidR="000143B4">
        <w:rPr>
          <w:szCs w:val="22"/>
        </w:rPr>
        <w:t>biomarker</w:t>
      </w:r>
      <w:r w:rsidR="0090435A">
        <w:rPr>
          <w:szCs w:val="22"/>
        </w:rPr>
        <w:t xml:space="preserve"> </w:t>
      </w:r>
      <w:r>
        <w:rPr>
          <w:szCs w:val="22"/>
        </w:rPr>
        <w:t>status</w:t>
      </w:r>
      <w:r w:rsidR="000143B4">
        <w:rPr>
          <w:szCs w:val="22"/>
        </w:rPr>
        <w:t xml:space="preserve"> (such as PD-L1</w:t>
      </w:r>
      <w:r w:rsidR="00DB0234">
        <w:rPr>
          <w:szCs w:val="22"/>
        </w:rPr>
        <w:t>)</w:t>
      </w:r>
      <w:r>
        <w:rPr>
          <w:szCs w:val="22"/>
        </w:rPr>
        <w:t xml:space="preserve">, the sponsor would be required to provide </w:t>
      </w:r>
      <w:r w:rsidR="00A22611">
        <w:rPr>
          <w:szCs w:val="22"/>
        </w:rPr>
        <w:t xml:space="preserve">either </w:t>
      </w:r>
      <w:r>
        <w:rPr>
          <w:szCs w:val="22"/>
        </w:rPr>
        <w:t xml:space="preserve">a submission to justify continued treatment in a broad population regardless of </w:t>
      </w:r>
      <w:r w:rsidR="00DB0234">
        <w:rPr>
          <w:szCs w:val="22"/>
        </w:rPr>
        <w:t>biomarker</w:t>
      </w:r>
      <w:r w:rsidR="0090435A">
        <w:rPr>
          <w:szCs w:val="22"/>
        </w:rPr>
        <w:t xml:space="preserve"> </w:t>
      </w:r>
      <w:r>
        <w:rPr>
          <w:szCs w:val="22"/>
        </w:rPr>
        <w:t>status</w:t>
      </w:r>
      <w:r w:rsidR="0090435A">
        <w:rPr>
          <w:szCs w:val="22"/>
        </w:rPr>
        <w:t xml:space="preserve"> or a </w:t>
      </w:r>
      <w:r w:rsidR="004D21EC">
        <w:rPr>
          <w:szCs w:val="22"/>
        </w:rPr>
        <w:t>co-dependent</w:t>
      </w:r>
      <w:r w:rsidR="0090435A">
        <w:rPr>
          <w:szCs w:val="22"/>
        </w:rPr>
        <w:t xml:space="preserve"> submission proposing eligibility for PBS subsidy be partly determined by a patient’s </w:t>
      </w:r>
      <w:r w:rsidR="00DB0234">
        <w:rPr>
          <w:szCs w:val="22"/>
        </w:rPr>
        <w:t xml:space="preserve">biomarker </w:t>
      </w:r>
      <w:r w:rsidR="0090435A">
        <w:rPr>
          <w:szCs w:val="22"/>
        </w:rPr>
        <w:t>status</w:t>
      </w:r>
      <w:r w:rsidR="00DB0234">
        <w:rPr>
          <w:szCs w:val="22"/>
        </w:rPr>
        <w:t xml:space="preserve">. Evaluation of the biomarker would require a </w:t>
      </w:r>
      <w:r w:rsidR="004D21EC">
        <w:rPr>
          <w:szCs w:val="22"/>
        </w:rPr>
        <w:t>co-dependent</w:t>
      </w:r>
      <w:r w:rsidR="00A22611">
        <w:rPr>
          <w:szCs w:val="22"/>
        </w:rPr>
        <w:t xml:space="preserve"> submission</w:t>
      </w:r>
      <w:r w:rsidR="00DB0234">
        <w:rPr>
          <w:szCs w:val="22"/>
        </w:rPr>
        <w:t>, and thus would also require MSAC</w:t>
      </w:r>
      <w:r w:rsidR="00BA3EBF">
        <w:rPr>
          <w:szCs w:val="22"/>
        </w:rPr>
        <w:t xml:space="preserve"> consider</w:t>
      </w:r>
      <w:r w:rsidR="00DB0234">
        <w:rPr>
          <w:szCs w:val="22"/>
        </w:rPr>
        <w:t>ation</w:t>
      </w:r>
      <w:r>
        <w:rPr>
          <w:szCs w:val="22"/>
        </w:rPr>
        <w:t>.</w:t>
      </w:r>
    </w:p>
    <w:p w:rsidR="00244DCE" w:rsidRDefault="00244DCE" w:rsidP="00244DCE">
      <w:pPr>
        <w:widowControl/>
        <w:snapToGrid w:val="0"/>
        <w:rPr>
          <w:szCs w:val="22"/>
        </w:rPr>
      </w:pPr>
    </w:p>
    <w:p w:rsidR="00244DCE" w:rsidRDefault="00244DCE" w:rsidP="00244DCE">
      <w:pPr>
        <w:pStyle w:val="ListParagraph"/>
        <w:widowControl/>
        <w:numPr>
          <w:ilvl w:val="1"/>
          <w:numId w:val="4"/>
        </w:numPr>
        <w:snapToGrid w:val="0"/>
        <w:rPr>
          <w:szCs w:val="22"/>
        </w:rPr>
      </w:pPr>
      <w:r>
        <w:rPr>
          <w:szCs w:val="22"/>
        </w:rPr>
        <w:t>The PBAC suggested that the Department and the sponsor liaise about the approach to be taken to generate evidence during the proposed MES to be returned as a fuller MES proposal from the sponsor for PBAC consideration</w:t>
      </w:r>
      <w:r w:rsidR="00C41ADE">
        <w:rPr>
          <w:szCs w:val="22"/>
        </w:rPr>
        <w:t>. To facilitate this liaison</w:t>
      </w:r>
      <w:r w:rsidR="00C41ADE" w:rsidRPr="00FE759B">
        <w:rPr>
          <w:szCs w:val="22"/>
        </w:rPr>
        <w:t xml:space="preserve">, </w:t>
      </w:r>
      <w:r w:rsidR="00C41ADE">
        <w:rPr>
          <w:szCs w:val="22"/>
        </w:rPr>
        <w:t>the PBAC</w:t>
      </w:r>
      <w:r>
        <w:rPr>
          <w:szCs w:val="22"/>
        </w:rPr>
        <w:t xml:space="preserve"> offered the following initial views:</w:t>
      </w:r>
    </w:p>
    <w:p w:rsidR="00244DCE" w:rsidRDefault="00244DCE" w:rsidP="00244DCE">
      <w:pPr>
        <w:pStyle w:val="ListParagraph"/>
        <w:widowControl/>
        <w:numPr>
          <w:ilvl w:val="0"/>
          <w:numId w:val="39"/>
        </w:numPr>
        <w:snapToGrid w:val="0"/>
        <w:rPr>
          <w:szCs w:val="22"/>
        </w:rPr>
      </w:pPr>
      <w:r>
        <w:rPr>
          <w:szCs w:val="22"/>
        </w:rPr>
        <w:t>The initial focus should be a meta-analysis across comparative trials of nivolumab in NSCLC, with consideration also given to conducting a meta-analysis based on individual patient data in addition to data aggregation at the trial level</w:t>
      </w:r>
    </w:p>
    <w:p w:rsidR="00244DCE" w:rsidRDefault="00244DCE" w:rsidP="00244DCE">
      <w:pPr>
        <w:pStyle w:val="ListParagraph"/>
        <w:widowControl/>
        <w:numPr>
          <w:ilvl w:val="0"/>
          <w:numId w:val="39"/>
        </w:numPr>
        <w:snapToGrid w:val="0"/>
        <w:rPr>
          <w:szCs w:val="22"/>
        </w:rPr>
      </w:pPr>
      <w:r>
        <w:rPr>
          <w:szCs w:val="22"/>
        </w:rPr>
        <w:t xml:space="preserve">As this initial trial-level meta-analysis may still be underpowered, it should then be expanded to include comparative trials of other existing and emerging immunotherapies with the same or similar mechanism of action on the </w:t>
      </w:r>
      <w:r w:rsidR="00371DF0">
        <w:rPr>
          <w:szCs w:val="22"/>
        </w:rPr>
        <w:t>programmed cell death (PD)</w:t>
      </w:r>
      <w:r>
        <w:rPr>
          <w:szCs w:val="22"/>
        </w:rPr>
        <w:t xml:space="preserve"> pathway</w:t>
      </w:r>
    </w:p>
    <w:p w:rsidR="00244DCE" w:rsidRDefault="00244DCE" w:rsidP="00244DCE">
      <w:pPr>
        <w:pStyle w:val="ListParagraph"/>
        <w:widowControl/>
        <w:numPr>
          <w:ilvl w:val="0"/>
          <w:numId w:val="39"/>
        </w:numPr>
        <w:snapToGrid w:val="0"/>
        <w:rPr>
          <w:szCs w:val="22"/>
        </w:rPr>
      </w:pPr>
      <w:r>
        <w:rPr>
          <w:szCs w:val="22"/>
        </w:rPr>
        <w:t>Consideration should be given to a second expansion of the meta-analysis to include comparative trials across other cancer types.</w:t>
      </w:r>
    </w:p>
    <w:p w:rsidR="00244DCE" w:rsidRPr="002332F3" w:rsidRDefault="00244DCE" w:rsidP="00244DCE">
      <w:pPr>
        <w:widowControl/>
        <w:snapToGrid w:val="0"/>
        <w:rPr>
          <w:szCs w:val="22"/>
        </w:rPr>
      </w:pPr>
    </w:p>
    <w:p w:rsidR="00244DCE" w:rsidRDefault="00244DCE" w:rsidP="00244DCE">
      <w:pPr>
        <w:pStyle w:val="ListParagraph"/>
        <w:widowControl/>
        <w:numPr>
          <w:ilvl w:val="1"/>
          <w:numId w:val="4"/>
        </w:numPr>
        <w:snapToGrid w:val="0"/>
        <w:rPr>
          <w:szCs w:val="22"/>
        </w:rPr>
      </w:pPr>
      <w:r>
        <w:rPr>
          <w:szCs w:val="22"/>
        </w:rPr>
        <w:t xml:space="preserve">This 3-step approach in the MES should be developed as two components in parallel, with separate comparisons of patients </w:t>
      </w:r>
      <w:r w:rsidR="00DB0234">
        <w:rPr>
          <w:szCs w:val="22"/>
        </w:rPr>
        <w:t xml:space="preserve">(a) </w:t>
      </w:r>
      <w:r>
        <w:rPr>
          <w:szCs w:val="22"/>
        </w:rPr>
        <w:t>aged above and below 75 years</w:t>
      </w:r>
      <w:r w:rsidR="00DB0234">
        <w:rPr>
          <w:szCs w:val="22"/>
        </w:rPr>
        <w:t>,</w:t>
      </w:r>
      <w:r>
        <w:rPr>
          <w:szCs w:val="22"/>
        </w:rPr>
        <w:t xml:space="preserve"> and </w:t>
      </w:r>
      <w:r w:rsidR="00DB0234">
        <w:rPr>
          <w:szCs w:val="22"/>
        </w:rPr>
        <w:t xml:space="preserve">(b) </w:t>
      </w:r>
      <w:r>
        <w:rPr>
          <w:szCs w:val="22"/>
        </w:rPr>
        <w:t xml:space="preserve">with and without </w:t>
      </w:r>
      <w:r w:rsidR="00DB0234">
        <w:rPr>
          <w:szCs w:val="22"/>
        </w:rPr>
        <w:t>a predictive</w:t>
      </w:r>
      <w:r>
        <w:rPr>
          <w:szCs w:val="22"/>
        </w:rPr>
        <w:t xml:space="preserve"> biomarker. The fuller MES proposal should outline prospectively how the meta-analyses would be presented, for example outlining the basis for deciding whether the initial focus provides a sufficiently confident conclusion, such that the expanded meta-analyses need not be presented.</w:t>
      </w:r>
    </w:p>
    <w:p w:rsidR="00244DCE" w:rsidRPr="002332F3" w:rsidRDefault="00244DCE" w:rsidP="00244DCE">
      <w:pPr>
        <w:widowControl/>
        <w:snapToGrid w:val="0"/>
        <w:rPr>
          <w:szCs w:val="22"/>
        </w:rPr>
      </w:pPr>
    </w:p>
    <w:p w:rsidR="00244DCE" w:rsidRDefault="00244DCE" w:rsidP="00244DCE">
      <w:pPr>
        <w:pStyle w:val="ListParagraph"/>
        <w:widowControl/>
        <w:numPr>
          <w:ilvl w:val="1"/>
          <w:numId w:val="4"/>
        </w:numPr>
        <w:snapToGrid w:val="0"/>
        <w:rPr>
          <w:szCs w:val="22"/>
        </w:rPr>
      </w:pPr>
      <w:r>
        <w:rPr>
          <w:szCs w:val="22"/>
        </w:rPr>
        <w:t>Consideration should be given to having the fuller MES proposal include a prospective definition of the comparative trials to be included in each set of meta-analyses, based on the expected availability of their results and with the aim of concluding the MES in a reasonably short period of time. The expected timelines of the MES should then be summarised, together with a rationale for why any potentially suitable comparative trial might be excluded, noting also that it might be possible to complete the meta-analyses for one uncertainty before the other.</w:t>
      </w:r>
    </w:p>
    <w:p w:rsidR="00244DCE" w:rsidRPr="002332F3" w:rsidRDefault="00244DCE" w:rsidP="00244DCE">
      <w:pPr>
        <w:widowControl/>
        <w:snapToGrid w:val="0"/>
        <w:rPr>
          <w:szCs w:val="22"/>
        </w:rPr>
      </w:pPr>
    </w:p>
    <w:p w:rsidR="00244DCE" w:rsidRDefault="00244DCE" w:rsidP="00244DCE">
      <w:pPr>
        <w:pStyle w:val="ListParagraph"/>
        <w:widowControl/>
        <w:numPr>
          <w:ilvl w:val="1"/>
          <w:numId w:val="4"/>
        </w:numPr>
        <w:snapToGrid w:val="0"/>
        <w:rPr>
          <w:szCs w:val="22"/>
        </w:rPr>
      </w:pPr>
      <w:r>
        <w:rPr>
          <w:szCs w:val="22"/>
        </w:rPr>
        <w:t>The PBAC noted that the fuller MES proposal would need to show</w:t>
      </w:r>
      <w:r w:rsidR="00371DF0">
        <w:rPr>
          <w:szCs w:val="22"/>
        </w:rPr>
        <w:t xml:space="preserve"> </w:t>
      </w:r>
      <w:r>
        <w:rPr>
          <w:szCs w:val="22"/>
        </w:rPr>
        <w:t xml:space="preserve">how the number of patients aged 75 years </w:t>
      </w:r>
      <w:r w:rsidR="00F03685">
        <w:rPr>
          <w:szCs w:val="22"/>
        </w:rPr>
        <w:t>or</w:t>
      </w:r>
      <w:r>
        <w:rPr>
          <w:szCs w:val="22"/>
        </w:rPr>
        <w:t xml:space="preserve"> over subsidised via the PBS would be recorded, together with the number of prescriptions dispensed to these patients in order to indisputably calculate the amount of any rebate</w:t>
      </w:r>
      <w:r w:rsidR="00306F48">
        <w:rPr>
          <w:szCs w:val="22"/>
        </w:rPr>
        <w:t xml:space="preserve"> </w:t>
      </w:r>
      <w:r w:rsidR="00306F48" w:rsidRPr="00FE759B">
        <w:rPr>
          <w:szCs w:val="22"/>
        </w:rPr>
        <w:t xml:space="preserve">that might be required at the completion </w:t>
      </w:r>
      <w:r w:rsidR="00306F48">
        <w:rPr>
          <w:szCs w:val="22"/>
        </w:rPr>
        <w:t xml:space="preserve">of this </w:t>
      </w:r>
      <w:r w:rsidR="00306F48" w:rsidRPr="00FE759B">
        <w:rPr>
          <w:szCs w:val="22"/>
        </w:rPr>
        <w:t>component of the MES</w:t>
      </w:r>
      <w:r>
        <w:rPr>
          <w:szCs w:val="22"/>
        </w:rPr>
        <w:t xml:space="preserve">. If a </w:t>
      </w:r>
      <w:r w:rsidR="00371DF0">
        <w:rPr>
          <w:szCs w:val="22"/>
        </w:rPr>
        <w:t xml:space="preserve">significantly reduced effectiveness is </w:t>
      </w:r>
      <w:r w:rsidR="00371DF0">
        <w:rPr>
          <w:szCs w:val="22"/>
        </w:rPr>
        <w:lastRenderedPageBreak/>
        <w:t>demonstrated compared to the appropriate comparators</w:t>
      </w:r>
      <w:r>
        <w:rPr>
          <w:szCs w:val="22"/>
        </w:rPr>
        <w:t xml:space="preserve">, consideration will then also need to be given as to whether the restriction is tightened with reference to age, or the restriction remain unchanged and the rebating system </w:t>
      </w:r>
      <w:r w:rsidR="00371DF0">
        <w:rPr>
          <w:szCs w:val="22"/>
        </w:rPr>
        <w:t>introduced</w:t>
      </w:r>
      <w:r>
        <w:rPr>
          <w:szCs w:val="22"/>
        </w:rPr>
        <w:t>, or some other transitional arrangement.</w:t>
      </w:r>
    </w:p>
    <w:p w:rsidR="00244DCE" w:rsidRDefault="00244DCE" w:rsidP="00F5449A">
      <w:pPr>
        <w:rPr>
          <w:bCs/>
          <w:szCs w:val="22"/>
          <w:lang w:val="en-GB"/>
        </w:rPr>
      </w:pPr>
    </w:p>
    <w:p w:rsidR="00F5449A" w:rsidRPr="00A3095E" w:rsidRDefault="00F5449A" w:rsidP="00F5449A">
      <w:pPr>
        <w:rPr>
          <w:b/>
          <w:bCs/>
          <w:szCs w:val="22"/>
          <w:lang w:val="en-GB"/>
        </w:rPr>
      </w:pPr>
      <w:r w:rsidRPr="00A3095E">
        <w:rPr>
          <w:b/>
          <w:bCs/>
          <w:szCs w:val="22"/>
          <w:lang w:val="en-GB"/>
        </w:rPr>
        <w:t>Outcome:</w:t>
      </w:r>
    </w:p>
    <w:p w:rsidR="00FC646E" w:rsidRDefault="00A3095E" w:rsidP="00DC0ED8">
      <w:pPr>
        <w:rPr>
          <w:bCs/>
          <w:szCs w:val="22"/>
          <w:lang w:val="en-GB"/>
        </w:rPr>
      </w:pPr>
      <w:r w:rsidRPr="00A3095E">
        <w:rPr>
          <w:bCs/>
          <w:szCs w:val="22"/>
          <w:lang w:val="en-GB"/>
        </w:rPr>
        <w:t>Deferred</w:t>
      </w:r>
    </w:p>
    <w:p w:rsidR="007D3DD5" w:rsidRDefault="007D3DD5" w:rsidP="007D3DD5">
      <w:pPr>
        <w:spacing w:after="240"/>
        <w:ind w:left="709" w:hanging="709"/>
        <w:rPr>
          <w:bCs/>
          <w:szCs w:val="22"/>
          <w:highlight w:val="yellow"/>
        </w:rPr>
      </w:pPr>
    </w:p>
    <w:p w:rsidR="007D3DD5" w:rsidRPr="007A6B40" w:rsidRDefault="007D3DD5" w:rsidP="007D3DD5">
      <w:pPr>
        <w:pStyle w:val="Heading2"/>
      </w:pPr>
      <w:r w:rsidRPr="007A6B40">
        <w:t>Context for Decision</w:t>
      </w:r>
    </w:p>
    <w:p w:rsidR="007D3DD5" w:rsidRPr="003432FE" w:rsidRDefault="007D3DD5" w:rsidP="007D3DD5">
      <w:pPr>
        <w:spacing w:line="276" w:lineRule="auto"/>
        <w:ind w:left="426"/>
        <w:rPr>
          <w:rFonts w:eastAsiaTheme="minorHAnsi"/>
          <w:szCs w:val="22"/>
        </w:rPr>
      </w:pPr>
    </w:p>
    <w:p w:rsidR="007D3DD5" w:rsidRPr="003432FE" w:rsidRDefault="007D3DD5" w:rsidP="007D3DD5">
      <w:pPr>
        <w:ind w:left="720"/>
        <w:rPr>
          <w:rFonts w:eastAsiaTheme="minorHAnsi"/>
          <w:szCs w:val="22"/>
        </w:rPr>
      </w:pPr>
      <w:r w:rsidRPr="003432FE">
        <w:rPr>
          <w:rFonts w:eastAsiaTheme="minorHAnsi"/>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D3DD5" w:rsidRPr="003432FE" w:rsidRDefault="007D3DD5" w:rsidP="007D3DD5">
      <w:pPr>
        <w:spacing w:after="200" w:line="276" w:lineRule="auto"/>
        <w:ind w:left="426"/>
        <w:rPr>
          <w:rFonts w:eastAsiaTheme="minorHAnsi"/>
          <w:szCs w:val="22"/>
        </w:rPr>
      </w:pPr>
    </w:p>
    <w:p w:rsidR="007D3DD5" w:rsidRPr="007A6B40" w:rsidRDefault="007D3DD5" w:rsidP="007D3DD5">
      <w:pPr>
        <w:pStyle w:val="Heading2"/>
      </w:pPr>
      <w:r w:rsidRPr="007A6B40">
        <w:t>Sponsor’s Comment</w:t>
      </w:r>
    </w:p>
    <w:p w:rsidR="007D3DD5" w:rsidRPr="003432FE" w:rsidRDefault="007D3DD5" w:rsidP="007D3DD5">
      <w:pPr>
        <w:spacing w:line="276" w:lineRule="auto"/>
        <w:ind w:left="426"/>
        <w:rPr>
          <w:rFonts w:eastAsiaTheme="minorHAnsi"/>
          <w:bCs/>
          <w:szCs w:val="22"/>
          <w:highlight w:val="yellow"/>
          <w:lang w:val="en-GB"/>
        </w:rPr>
      </w:pPr>
    </w:p>
    <w:p w:rsidR="007D3DD5" w:rsidRDefault="00D43276" w:rsidP="00D43276">
      <w:pPr>
        <w:ind w:left="709"/>
        <w:rPr>
          <w:bCs/>
          <w:szCs w:val="22"/>
          <w:lang w:val="en-GB"/>
        </w:rPr>
      </w:pPr>
      <w:r>
        <w:rPr>
          <w:color w:val="000000"/>
        </w:rPr>
        <w:t>The sponsor is committed to working with the PBAC to ensure the earliest possible PBS listing of nivolumab for all eligible NSCLC patients, who have progressed on or after platinum based chemotherapy.</w:t>
      </w:r>
      <w:r w:rsidRPr="003432FE" w:rsidDel="00D43276">
        <w:rPr>
          <w:rFonts w:eastAsiaTheme="minorHAnsi"/>
          <w:bCs/>
          <w:szCs w:val="22"/>
          <w:highlight w:val="yellow"/>
          <w:lang w:val="en-GB"/>
        </w:rPr>
        <w:t xml:space="preserve"> </w:t>
      </w:r>
      <w:bookmarkEnd w:id="17"/>
    </w:p>
    <w:sectPr w:rsidR="007D3DD5" w:rsidSect="0026640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03F14D" w15:done="0"/>
  <w15:commentEx w15:paraId="2596239E" w15:done="0"/>
  <w15:commentEx w15:paraId="5DF3E8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A47" w:rsidRDefault="00604A47" w:rsidP="00124A51">
      <w:r>
        <w:separator/>
      </w:r>
    </w:p>
  </w:endnote>
  <w:endnote w:type="continuationSeparator" w:id="0">
    <w:p w:rsidR="00604A47" w:rsidRDefault="00604A47"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27" w:rsidRDefault="00872C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27" w:rsidRPr="00D13A3E" w:rsidRDefault="00872C27" w:rsidP="003C4705">
    <w:pPr>
      <w:ind w:right="360"/>
      <w:jc w:val="center"/>
      <w:rPr>
        <w:b/>
        <w:sz w:val="20"/>
      </w:rPr>
    </w:pPr>
  </w:p>
  <w:p w:rsidR="00872C27" w:rsidRDefault="00872C27" w:rsidP="00F5449A">
    <w:pPr>
      <w:pStyle w:val="Footer"/>
      <w:jc w:val="center"/>
    </w:pPr>
    <w:r w:rsidRPr="00651169">
      <w:rPr>
        <w:sz w:val="20"/>
      </w:rPr>
      <w:fldChar w:fldCharType="begin"/>
    </w:r>
    <w:r w:rsidRPr="00651169">
      <w:rPr>
        <w:sz w:val="20"/>
      </w:rPr>
      <w:instrText xml:space="preserve"> PAGE   \* MERGEFORMAT </w:instrText>
    </w:r>
    <w:r w:rsidRPr="00651169">
      <w:rPr>
        <w:sz w:val="20"/>
      </w:rPr>
      <w:fldChar w:fldCharType="separate"/>
    </w:r>
    <w:r w:rsidR="00D07EFF">
      <w:rPr>
        <w:noProof/>
        <w:sz w:val="20"/>
      </w:rPr>
      <w:t>1</w:t>
    </w:r>
    <w:r w:rsidRPr="00651169">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27" w:rsidRDefault="00872C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A47" w:rsidRDefault="00604A47" w:rsidP="00124A51">
      <w:r>
        <w:separator/>
      </w:r>
    </w:p>
  </w:footnote>
  <w:footnote w:type="continuationSeparator" w:id="0">
    <w:p w:rsidR="00604A47" w:rsidRDefault="00604A47" w:rsidP="00124A51">
      <w:r>
        <w:continuationSeparator/>
      </w:r>
    </w:p>
  </w:footnote>
  <w:footnote w:id="1">
    <w:p w:rsidR="00872C27" w:rsidRPr="0036736A" w:rsidRDefault="00872C27" w:rsidP="00BA25DE">
      <w:pPr>
        <w:pStyle w:val="FootnoteText"/>
        <w:rPr>
          <w:sz w:val="18"/>
          <w:szCs w:val="18"/>
        </w:rPr>
      </w:pPr>
      <w:r>
        <w:rPr>
          <w:rStyle w:val="FootnoteReference"/>
        </w:rPr>
        <w:footnoteRef/>
      </w:r>
      <w:r>
        <w:t xml:space="preserve"> </w:t>
      </w:r>
      <w:r>
        <w:rPr>
          <w:sz w:val="18"/>
          <w:szCs w:val="18"/>
        </w:rPr>
        <w:t>Distribution fee $25.92, diluent fee $5.14, preparation fee $103.22, ready prepared dispensing fee $7.02.</w:t>
      </w:r>
    </w:p>
  </w:footnote>
  <w:footnote w:id="2">
    <w:p w:rsidR="00872C27" w:rsidRPr="0036736A" w:rsidRDefault="00872C27" w:rsidP="005227F2">
      <w:pPr>
        <w:pStyle w:val="FootnoteText"/>
        <w:rPr>
          <w:sz w:val="18"/>
          <w:szCs w:val="18"/>
        </w:rPr>
      </w:pPr>
      <w:r>
        <w:rPr>
          <w:rStyle w:val="FootnoteReference"/>
        </w:rPr>
        <w:footnoteRef/>
      </w:r>
      <w:r>
        <w:t xml:space="preserve"> </w:t>
      </w:r>
      <w:r>
        <w:rPr>
          <w:sz w:val="18"/>
          <w:szCs w:val="18"/>
        </w:rPr>
        <w:t>Distribution fee $25.92, diluent fee $5.14, preparation fee $103.22, ready prepared dispensing fee $7.02.</w:t>
      </w:r>
    </w:p>
  </w:footnote>
  <w:footnote w:id="3">
    <w:p w:rsidR="00872C27" w:rsidRDefault="00872C27">
      <w:pPr>
        <w:pStyle w:val="FootnoteText"/>
      </w:pPr>
      <w:r>
        <w:rPr>
          <w:rStyle w:val="FootnoteReference"/>
        </w:rPr>
        <w:footnoteRef/>
      </w:r>
      <w:r>
        <w:t xml:space="preserve"> </w:t>
      </w:r>
      <w:r>
        <w:rPr>
          <w:sz w:val="18"/>
          <w:szCs w:val="18"/>
        </w:rPr>
        <w:t>Cherny NI, Sullivan R, Dafni U, et al: A standardised, generic, validated approach to stratify the magnitude of clinical benefit that can be anticipated from anti-cancer therapies: the European Society for Medical Oncology Magnitude of Clinical Benefit Scale (ESMO-MCBS). Ann Oncol 26:1547-73, 2015</w:t>
      </w:r>
    </w:p>
  </w:footnote>
  <w:footnote w:id="4">
    <w:p w:rsidR="00872C27" w:rsidRDefault="00872C27" w:rsidP="0026719C">
      <w:pPr>
        <w:pStyle w:val="FootnoteText"/>
      </w:pPr>
      <w:r>
        <w:rPr>
          <w:rStyle w:val="FootnoteReference"/>
        </w:rPr>
        <w:footnoteRef/>
      </w:r>
      <w:r>
        <w:t xml:space="preserve"> </w:t>
      </w:r>
      <w:r w:rsidRPr="00B00A55">
        <w:t>Chouaid C</w:t>
      </w:r>
      <w:r>
        <w:t>.</w:t>
      </w:r>
      <w:r w:rsidRPr="00B00A55">
        <w:t>, Agulnik J</w:t>
      </w:r>
      <w:r>
        <w:t>.</w:t>
      </w:r>
      <w:r w:rsidRPr="00B00A55">
        <w:t xml:space="preserve">, </w:t>
      </w:r>
      <w:r w:rsidRPr="0026719C">
        <w:rPr>
          <w:i/>
        </w:rPr>
        <w:t>et al</w:t>
      </w:r>
      <w:r w:rsidRPr="00B00A55">
        <w:t xml:space="preserve">. Health-related quality of life and utility in patients with advanced non-small-cell lung cancer: a prospective cross-sectional patient survey in a real-world setting. </w:t>
      </w:r>
      <w:r w:rsidRPr="0026719C">
        <w:rPr>
          <w:i/>
        </w:rPr>
        <w:t>Journal of Thoracic Oncology</w:t>
      </w:r>
      <w:r w:rsidRPr="00B00A55">
        <w:t>. 2013;8(8):997-1003.</w:t>
      </w:r>
    </w:p>
  </w:footnote>
  <w:footnote w:id="5">
    <w:p w:rsidR="00872C27" w:rsidRDefault="00872C27">
      <w:pPr>
        <w:pStyle w:val="FootnoteText"/>
      </w:pPr>
      <w:r>
        <w:rPr>
          <w:rStyle w:val="FootnoteReference"/>
        </w:rPr>
        <w:footnoteRef/>
      </w:r>
      <w:r>
        <w:t xml:space="preserve"> ECOG = </w:t>
      </w:r>
      <w:r w:rsidRPr="00936A7F">
        <w:rPr>
          <w:sz w:val="18"/>
        </w:rPr>
        <w:t>Eastern Cooperative Oncology Group</w:t>
      </w:r>
      <w:r>
        <w:rPr>
          <w:sz w:val="18"/>
        </w:rPr>
        <w:t xml:space="preserve"> performance status</w:t>
      </w:r>
    </w:p>
  </w:footnote>
  <w:footnote w:id="6">
    <w:p w:rsidR="00872C27" w:rsidRDefault="00872C27">
      <w:pPr>
        <w:pStyle w:val="FootnoteText"/>
      </w:pPr>
      <w:r>
        <w:rPr>
          <w:rStyle w:val="FootnoteReference"/>
        </w:rPr>
        <w:footnoteRef/>
      </w:r>
      <w:r>
        <w:t xml:space="preserve"> </w:t>
      </w:r>
      <w:r w:rsidRPr="00EB3DE7">
        <w:t>http://meetinglibrary.asco.org/content/169457-176</w:t>
      </w:r>
    </w:p>
  </w:footnote>
  <w:footnote w:id="7">
    <w:p w:rsidR="00872C27" w:rsidRDefault="00872C27">
      <w:pPr>
        <w:pStyle w:val="FootnoteText"/>
      </w:pPr>
      <w:r>
        <w:rPr>
          <w:rStyle w:val="FootnoteReference"/>
        </w:rPr>
        <w:footnoteRef/>
      </w:r>
      <w:r>
        <w:t xml:space="preserve"> </w:t>
      </w:r>
      <w:r w:rsidRPr="00820473">
        <w:t>https://www.nice.org.uk/guidance/GID-TAG506/documents/committee-papers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27" w:rsidRDefault="00872C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27" w:rsidRPr="00DF217D" w:rsidRDefault="00872C27" w:rsidP="00F5449A">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November 2016 </w:t>
    </w:r>
    <w:r w:rsidRPr="00DF217D">
      <w:rPr>
        <w:i/>
        <w:color w:val="808080"/>
      </w:rPr>
      <w:t>PBAC</w:t>
    </w:r>
    <w:r>
      <w:rPr>
        <w:i/>
        <w:color w:val="808080"/>
      </w:rPr>
      <w:t xml:space="preserve"> </w:t>
    </w:r>
    <w:r w:rsidRPr="00DF217D">
      <w:rPr>
        <w:i/>
        <w:color w:val="808080"/>
      </w:rPr>
      <w:t>Meeting</w:t>
    </w:r>
  </w:p>
  <w:p w:rsidR="00872C27" w:rsidRDefault="00872C2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27" w:rsidRDefault="00872C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925"/>
    <w:multiLevelType w:val="hybridMultilevel"/>
    <w:tmpl w:val="A2CAC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16111F8"/>
    <w:multiLevelType w:val="hybridMultilevel"/>
    <w:tmpl w:val="1B6097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17B0001"/>
    <w:multiLevelType w:val="hybridMultilevel"/>
    <w:tmpl w:val="961C4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2954AA6"/>
    <w:multiLevelType w:val="hybridMultilevel"/>
    <w:tmpl w:val="1F602A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D3CCF494">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AC3B65"/>
    <w:multiLevelType w:val="hybridMultilevel"/>
    <w:tmpl w:val="846E0C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226326D"/>
    <w:multiLevelType w:val="hybridMultilevel"/>
    <w:tmpl w:val="86C0F72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20621F"/>
    <w:multiLevelType w:val="hybridMultilevel"/>
    <w:tmpl w:val="04C68C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289B6D57"/>
    <w:multiLevelType w:val="hybridMultilevel"/>
    <w:tmpl w:val="088E8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E687589"/>
    <w:multiLevelType w:val="hybridMultilevel"/>
    <w:tmpl w:val="CE2CEC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1E12FED"/>
    <w:multiLevelType w:val="hybridMultilevel"/>
    <w:tmpl w:val="984AE376"/>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55F4A5B"/>
    <w:multiLevelType w:val="multilevel"/>
    <w:tmpl w:val="3B047324"/>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7">
    <w:nsid w:val="401704C0"/>
    <w:multiLevelType w:val="hybridMultilevel"/>
    <w:tmpl w:val="2296329C"/>
    <w:lvl w:ilvl="0" w:tplc="0C090001">
      <w:start w:val="1"/>
      <w:numFmt w:val="bullet"/>
      <w:lvlText w:val=""/>
      <w:lvlJc w:val="left"/>
      <w:pPr>
        <w:ind w:left="720" w:hanging="360"/>
      </w:pPr>
      <w:rPr>
        <w:rFonts w:ascii="Symbol" w:hAnsi="Symbol" w:hint="default"/>
      </w:rPr>
    </w:lvl>
    <w:lvl w:ilvl="1" w:tplc="D3CCF49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06827DA"/>
    <w:multiLevelType w:val="hybridMultilevel"/>
    <w:tmpl w:val="2488BD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493672CE"/>
    <w:multiLevelType w:val="hybridMultilevel"/>
    <w:tmpl w:val="F6E440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nsid w:val="520E1DD4"/>
    <w:multiLevelType w:val="hybridMultilevel"/>
    <w:tmpl w:val="FFD2D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8575C5B"/>
    <w:multiLevelType w:val="hybridMultilevel"/>
    <w:tmpl w:val="96061340"/>
    <w:lvl w:ilvl="0" w:tplc="2ECE06EC">
      <w:start w:val="1"/>
      <w:numFmt w:val="lowerRoman"/>
      <w:lvlText w:val="%1)"/>
      <w:lvlJc w:val="left"/>
      <w:pPr>
        <w:ind w:left="774" w:hanging="360"/>
      </w:pPr>
      <w:rPr>
        <w:rFonts w:hint="default"/>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24">
    <w:nsid w:val="59AC6FE3"/>
    <w:multiLevelType w:val="hybridMultilevel"/>
    <w:tmpl w:val="66C4F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9BC5196"/>
    <w:multiLevelType w:val="multilevel"/>
    <w:tmpl w:val="828496E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D95593F"/>
    <w:multiLevelType w:val="hybridMultilevel"/>
    <w:tmpl w:val="64660D5E"/>
    <w:lvl w:ilvl="0" w:tplc="0C090001">
      <w:start w:val="1"/>
      <w:numFmt w:val="bullet"/>
      <w:lvlText w:val=""/>
      <w:lvlJc w:val="left"/>
      <w:pPr>
        <w:ind w:left="1440" w:hanging="360"/>
      </w:pPr>
      <w:rPr>
        <w:rFonts w:ascii="Symbol" w:hAnsi="Symbol" w:hint="default"/>
      </w:rPr>
    </w:lvl>
    <w:lvl w:ilvl="1" w:tplc="D3CCF494">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4893AEE"/>
    <w:multiLevelType w:val="hybridMultilevel"/>
    <w:tmpl w:val="EFCE3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50F399D"/>
    <w:multiLevelType w:val="hybridMultilevel"/>
    <w:tmpl w:val="0FCC75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66127F27"/>
    <w:multiLevelType w:val="hybridMultilevel"/>
    <w:tmpl w:val="A1C486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nsid w:val="6C06696C"/>
    <w:multiLevelType w:val="hybridMultilevel"/>
    <w:tmpl w:val="66D468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70803081"/>
    <w:multiLevelType w:val="hybridMultilevel"/>
    <w:tmpl w:val="299243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72DB005A"/>
    <w:multiLevelType w:val="multilevel"/>
    <w:tmpl w:val="D646BD54"/>
    <w:lvl w:ilvl="0">
      <w:start w:val="1"/>
      <w:numFmt w:val="decimal"/>
      <w:lvlText w:val="%1"/>
      <w:lvlJc w:val="left"/>
      <w:pPr>
        <w:ind w:left="720" w:hanging="720"/>
      </w:pPr>
      <w:rPr>
        <w:rFonts w:hint="default"/>
        <w:b/>
      </w:rPr>
    </w:lvl>
    <w:lvl w:ilvl="1">
      <w:start w:val="1"/>
      <w:numFmt w:val="decimal"/>
      <w:lvlRestart w:val="0"/>
      <w:lvlText w:val="6.%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84D033C"/>
    <w:multiLevelType w:val="multilevel"/>
    <w:tmpl w:val="A142DA50"/>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9E22706"/>
    <w:multiLevelType w:val="hybridMultilevel"/>
    <w:tmpl w:val="E1DA05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DC70097"/>
    <w:multiLevelType w:val="hybridMultilevel"/>
    <w:tmpl w:val="86ACD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5"/>
  </w:num>
  <w:num w:numId="4">
    <w:abstractNumId w:val="34"/>
  </w:num>
  <w:num w:numId="5">
    <w:abstractNumId w:val="25"/>
  </w:num>
  <w:num w:numId="6">
    <w:abstractNumId w:val="14"/>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7"/>
  </w:num>
  <w:num w:numId="10">
    <w:abstractNumId w:val="11"/>
  </w:num>
  <w:num w:numId="11">
    <w:abstractNumId w:val="23"/>
  </w:num>
  <w:num w:numId="12">
    <w:abstractNumId w:val="0"/>
  </w:num>
  <w:num w:numId="13">
    <w:abstractNumId w:val="13"/>
  </w:num>
  <w:num w:numId="14">
    <w:abstractNumId w:val="18"/>
  </w:num>
  <w:num w:numId="15">
    <w:abstractNumId w:val="21"/>
  </w:num>
  <w:num w:numId="16">
    <w:abstractNumId w:val="4"/>
  </w:num>
  <w:num w:numId="17">
    <w:abstractNumId w:val="29"/>
  </w:num>
  <w:num w:numId="18">
    <w:abstractNumId w:val="32"/>
  </w:num>
  <w:num w:numId="19">
    <w:abstractNumId w:val="10"/>
  </w:num>
  <w:num w:numId="20">
    <w:abstractNumId w:val="27"/>
  </w:num>
  <w:num w:numId="21">
    <w:abstractNumId w:val="20"/>
  </w:num>
  <w:num w:numId="22">
    <w:abstractNumId w:val="36"/>
  </w:num>
  <w:num w:numId="23">
    <w:abstractNumId w:val="2"/>
  </w:num>
  <w:num w:numId="24">
    <w:abstractNumId w:val="24"/>
  </w:num>
  <w:num w:numId="25">
    <w:abstractNumId w:val="12"/>
  </w:num>
  <w:num w:numId="26">
    <w:abstractNumId w:val="30"/>
  </w:num>
  <w:num w:numId="27">
    <w:abstractNumId w:val="8"/>
  </w:num>
  <w:num w:numId="28">
    <w:abstractNumId w:val="28"/>
  </w:num>
  <w:num w:numId="29">
    <w:abstractNumId w:val="3"/>
  </w:num>
  <w:num w:numId="30">
    <w:abstractNumId w:val="35"/>
  </w:num>
  <w:num w:numId="31">
    <w:abstractNumId w:val="19"/>
  </w:num>
  <w:num w:numId="32">
    <w:abstractNumId w:val="31"/>
  </w:num>
  <w:num w:numId="33">
    <w:abstractNumId w:val="22"/>
  </w:num>
  <w:num w:numId="34">
    <w:abstractNumId w:val="7"/>
  </w:num>
  <w:num w:numId="35">
    <w:abstractNumId w:val="1"/>
  </w:num>
  <w:num w:numId="36">
    <w:abstractNumId w:val="9"/>
  </w:num>
  <w:num w:numId="37">
    <w:abstractNumId w:val="33"/>
  </w:num>
  <w:num w:numId="38">
    <w:abstractNumId w:val="34"/>
  </w:num>
  <w:num w:numId="39">
    <w:abstractNumId w:val="6"/>
  </w:num>
  <w:num w:numId="40">
    <w:abstractNumId w:val="34"/>
  </w:num>
  <w:num w:numId="41">
    <w:abstractNumId w:val="3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Grimison">
    <w15:presenceInfo w15:providerId="AD" w15:userId="S-1-5-21-4175918418-1886762679-246317849-5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E65E79"/>
    <w:rsid w:val="00000790"/>
    <w:rsid w:val="0000110B"/>
    <w:rsid w:val="0000204B"/>
    <w:rsid w:val="000029D7"/>
    <w:rsid w:val="0000304A"/>
    <w:rsid w:val="0000304E"/>
    <w:rsid w:val="00003571"/>
    <w:rsid w:val="00003C16"/>
    <w:rsid w:val="000043B3"/>
    <w:rsid w:val="00006A6F"/>
    <w:rsid w:val="0000796C"/>
    <w:rsid w:val="00007B2A"/>
    <w:rsid w:val="000107D2"/>
    <w:rsid w:val="00013247"/>
    <w:rsid w:val="000136A2"/>
    <w:rsid w:val="000143B4"/>
    <w:rsid w:val="000148E9"/>
    <w:rsid w:val="00015886"/>
    <w:rsid w:val="00015B59"/>
    <w:rsid w:val="000162EF"/>
    <w:rsid w:val="00017105"/>
    <w:rsid w:val="00017151"/>
    <w:rsid w:val="0002225F"/>
    <w:rsid w:val="00023763"/>
    <w:rsid w:val="000238E1"/>
    <w:rsid w:val="00024530"/>
    <w:rsid w:val="00025F95"/>
    <w:rsid w:val="000267F2"/>
    <w:rsid w:val="000268BF"/>
    <w:rsid w:val="00026FF6"/>
    <w:rsid w:val="000307B2"/>
    <w:rsid w:val="000320C1"/>
    <w:rsid w:val="00032E5A"/>
    <w:rsid w:val="000343DA"/>
    <w:rsid w:val="00035A4F"/>
    <w:rsid w:val="00035AF7"/>
    <w:rsid w:val="00035C44"/>
    <w:rsid w:val="00035F80"/>
    <w:rsid w:val="000361F6"/>
    <w:rsid w:val="0003792C"/>
    <w:rsid w:val="00037B14"/>
    <w:rsid w:val="00040361"/>
    <w:rsid w:val="000407F4"/>
    <w:rsid w:val="00040895"/>
    <w:rsid w:val="00040B56"/>
    <w:rsid w:val="000413C2"/>
    <w:rsid w:val="0004186F"/>
    <w:rsid w:val="000419A6"/>
    <w:rsid w:val="00041B59"/>
    <w:rsid w:val="00041CE2"/>
    <w:rsid w:val="0004231D"/>
    <w:rsid w:val="00043998"/>
    <w:rsid w:val="00043C37"/>
    <w:rsid w:val="00044358"/>
    <w:rsid w:val="0004484D"/>
    <w:rsid w:val="0004677E"/>
    <w:rsid w:val="000471E1"/>
    <w:rsid w:val="000503AB"/>
    <w:rsid w:val="00050C5D"/>
    <w:rsid w:val="00052D18"/>
    <w:rsid w:val="00053AEE"/>
    <w:rsid w:val="00054010"/>
    <w:rsid w:val="000546D7"/>
    <w:rsid w:val="000546F9"/>
    <w:rsid w:val="00055C7E"/>
    <w:rsid w:val="00055C99"/>
    <w:rsid w:val="000605F4"/>
    <w:rsid w:val="0006078B"/>
    <w:rsid w:val="000607C8"/>
    <w:rsid w:val="0006246D"/>
    <w:rsid w:val="00062644"/>
    <w:rsid w:val="00062FD6"/>
    <w:rsid w:val="00063D2F"/>
    <w:rsid w:val="00066302"/>
    <w:rsid w:val="00066838"/>
    <w:rsid w:val="00066B5E"/>
    <w:rsid w:val="00067A93"/>
    <w:rsid w:val="00067B28"/>
    <w:rsid w:val="00070B1B"/>
    <w:rsid w:val="00070B88"/>
    <w:rsid w:val="0007108D"/>
    <w:rsid w:val="00071248"/>
    <w:rsid w:val="000720B9"/>
    <w:rsid w:val="00074FB6"/>
    <w:rsid w:val="00075CC1"/>
    <w:rsid w:val="0007782D"/>
    <w:rsid w:val="00080667"/>
    <w:rsid w:val="00080859"/>
    <w:rsid w:val="000812CA"/>
    <w:rsid w:val="000813EE"/>
    <w:rsid w:val="00081972"/>
    <w:rsid w:val="00082808"/>
    <w:rsid w:val="000833B9"/>
    <w:rsid w:val="00083433"/>
    <w:rsid w:val="00083E62"/>
    <w:rsid w:val="0008763A"/>
    <w:rsid w:val="00090494"/>
    <w:rsid w:val="00090C7E"/>
    <w:rsid w:val="00090CC6"/>
    <w:rsid w:val="00092879"/>
    <w:rsid w:val="0009391B"/>
    <w:rsid w:val="000940A2"/>
    <w:rsid w:val="00095DCB"/>
    <w:rsid w:val="00096744"/>
    <w:rsid w:val="00096910"/>
    <w:rsid w:val="000A0134"/>
    <w:rsid w:val="000A0D76"/>
    <w:rsid w:val="000A0DFE"/>
    <w:rsid w:val="000A144C"/>
    <w:rsid w:val="000A1B28"/>
    <w:rsid w:val="000A1B36"/>
    <w:rsid w:val="000A2F4B"/>
    <w:rsid w:val="000A31E8"/>
    <w:rsid w:val="000A32E7"/>
    <w:rsid w:val="000A39C2"/>
    <w:rsid w:val="000A39D3"/>
    <w:rsid w:val="000A5183"/>
    <w:rsid w:val="000A67C3"/>
    <w:rsid w:val="000A7C5A"/>
    <w:rsid w:val="000B1CFD"/>
    <w:rsid w:val="000B2518"/>
    <w:rsid w:val="000B2750"/>
    <w:rsid w:val="000B336D"/>
    <w:rsid w:val="000B3D94"/>
    <w:rsid w:val="000B6EB9"/>
    <w:rsid w:val="000B7869"/>
    <w:rsid w:val="000C0956"/>
    <w:rsid w:val="000C0D1E"/>
    <w:rsid w:val="000C1484"/>
    <w:rsid w:val="000C4288"/>
    <w:rsid w:val="000C4F37"/>
    <w:rsid w:val="000C5173"/>
    <w:rsid w:val="000C564D"/>
    <w:rsid w:val="000C69C4"/>
    <w:rsid w:val="000D0217"/>
    <w:rsid w:val="000D1BFC"/>
    <w:rsid w:val="000D2E22"/>
    <w:rsid w:val="000D56A9"/>
    <w:rsid w:val="000E26D3"/>
    <w:rsid w:val="000E2B23"/>
    <w:rsid w:val="000E2E37"/>
    <w:rsid w:val="000E34DA"/>
    <w:rsid w:val="000E3CE6"/>
    <w:rsid w:val="000E3F3A"/>
    <w:rsid w:val="000E5A76"/>
    <w:rsid w:val="000E6470"/>
    <w:rsid w:val="000F0390"/>
    <w:rsid w:val="000F1706"/>
    <w:rsid w:val="000F1BDC"/>
    <w:rsid w:val="000F1E64"/>
    <w:rsid w:val="000F21C3"/>
    <w:rsid w:val="000F41AB"/>
    <w:rsid w:val="000F59A5"/>
    <w:rsid w:val="000F5B31"/>
    <w:rsid w:val="000F72B3"/>
    <w:rsid w:val="00100F8A"/>
    <w:rsid w:val="00103217"/>
    <w:rsid w:val="00103603"/>
    <w:rsid w:val="00104037"/>
    <w:rsid w:val="001067B2"/>
    <w:rsid w:val="0011032E"/>
    <w:rsid w:val="001119A0"/>
    <w:rsid w:val="00111F9C"/>
    <w:rsid w:val="0011272D"/>
    <w:rsid w:val="00112879"/>
    <w:rsid w:val="001147BF"/>
    <w:rsid w:val="001150CC"/>
    <w:rsid w:val="00116652"/>
    <w:rsid w:val="00116DD1"/>
    <w:rsid w:val="001175BC"/>
    <w:rsid w:val="00120A8B"/>
    <w:rsid w:val="00121799"/>
    <w:rsid w:val="00121A95"/>
    <w:rsid w:val="001222FC"/>
    <w:rsid w:val="001232BB"/>
    <w:rsid w:val="001234E0"/>
    <w:rsid w:val="00123680"/>
    <w:rsid w:val="00124A51"/>
    <w:rsid w:val="001251A9"/>
    <w:rsid w:val="00126621"/>
    <w:rsid w:val="00126EEE"/>
    <w:rsid w:val="001278C6"/>
    <w:rsid w:val="001301E9"/>
    <w:rsid w:val="00130CB7"/>
    <w:rsid w:val="00130D36"/>
    <w:rsid w:val="00131BDF"/>
    <w:rsid w:val="00132920"/>
    <w:rsid w:val="00132FD3"/>
    <w:rsid w:val="001339E6"/>
    <w:rsid w:val="00135654"/>
    <w:rsid w:val="001366BB"/>
    <w:rsid w:val="00137645"/>
    <w:rsid w:val="001376F6"/>
    <w:rsid w:val="0014015A"/>
    <w:rsid w:val="00140A87"/>
    <w:rsid w:val="00140E99"/>
    <w:rsid w:val="0014353B"/>
    <w:rsid w:val="001456B0"/>
    <w:rsid w:val="001516B9"/>
    <w:rsid w:val="00151DCB"/>
    <w:rsid w:val="00152F61"/>
    <w:rsid w:val="001569D1"/>
    <w:rsid w:val="00157130"/>
    <w:rsid w:val="0015799A"/>
    <w:rsid w:val="00162913"/>
    <w:rsid w:val="00163C55"/>
    <w:rsid w:val="00163EFF"/>
    <w:rsid w:val="001642F6"/>
    <w:rsid w:val="001646CB"/>
    <w:rsid w:val="00164BF1"/>
    <w:rsid w:val="001661FB"/>
    <w:rsid w:val="00166A21"/>
    <w:rsid w:val="001679C8"/>
    <w:rsid w:val="00170018"/>
    <w:rsid w:val="001711D9"/>
    <w:rsid w:val="00171ABC"/>
    <w:rsid w:val="00173D36"/>
    <w:rsid w:val="00173E89"/>
    <w:rsid w:val="00174598"/>
    <w:rsid w:val="00174868"/>
    <w:rsid w:val="00175ACB"/>
    <w:rsid w:val="001766E6"/>
    <w:rsid w:val="00180E67"/>
    <w:rsid w:val="0018145A"/>
    <w:rsid w:val="00181C9D"/>
    <w:rsid w:val="00181FC6"/>
    <w:rsid w:val="001823B1"/>
    <w:rsid w:val="001841D1"/>
    <w:rsid w:val="001846D8"/>
    <w:rsid w:val="00185879"/>
    <w:rsid w:val="00185979"/>
    <w:rsid w:val="00187ED2"/>
    <w:rsid w:val="001916FB"/>
    <w:rsid w:val="00191759"/>
    <w:rsid w:val="00191C48"/>
    <w:rsid w:val="001927CE"/>
    <w:rsid w:val="00194027"/>
    <w:rsid w:val="00195222"/>
    <w:rsid w:val="001954CF"/>
    <w:rsid w:val="0019636B"/>
    <w:rsid w:val="001971A6"/>
    <w:rsid w:val="001975D8"/>
    <w:rsid w:val="00197E5B"/>
    <w:rsid w:val="001A0A0C"/>
    <w:rsid w:val="001A0C62"/>
    <w:rsid w:val="001A2548"/>
    <w:rsid w:val="001A3AE7"/>
    <w:rsid w:val="001A4E99"/>
    <w:rsid w:val="001A53F2"/>
    <w:rsid w:val="001A6001"/>
    <w:rsid w:val="001A7343"/>
    <w:rsid w:val="001A7510"/>
    <w:rsid w:val="001A7628"/>
    <w:rsid w:val="001B0DE5"/>
    <w:rsid w:val="001B12E4"/>
    <w:rsid w:val="001B1EC8"/>
    <w:rsid w:val="001B23CD"/>
    <w:rsid w:val="001B23F9"/>
    <w:rsid w:val="001B287E"/>
    <w:rsid w:val="001B2D68"/>
    <w:rsid w:val="001B2FFB"/>
    <w:rsid w:val="001B3443"/>
    <w:rsid w:val="001B4793"/>
    <w:rsid w:val="001B47C3"/>
    <w:rsid w:val="001B4CD1"/>
    <w:rsid w:val="001B5683"/>
    <w:rsid w:val="001B5AEF"/>
    <w:rsid w:val="001B6188"/>
    <w:rsid w:val="001B61FB"/>
    <w:rsid w:val="001B7365"/>
    <w:rsid w:val="001B7B0E"/>
    <w:rsid w:val="001C0D41"/>
    <w:rsid w:val="001C1030"/>
    <w:rsid w:val="001C152C"/>
    <w:rsid w:val="001C2131"/>
    <w:rsid w:val="001C4322"/>
    <w:rsid w:val="001C4F01"/>
    <w:rsid w:val="001C5D79"/>
    <w:rsid w:val="001C65DB"/>
    <w:rsid w:val="001C6E66"/>
    <w:rsid w:val="001C6ECF"/>
    <w:rsid w:val="001D044D"/>
    <w:rsid w:val="001D112E"/>
    <w:rsid w:val="001D1866"/>
    <w:rsid w:val="001D3014"/>
    <w:rsid w:val="001D48CF"/>
    <w:rsid w:val="001E01C7"/>
    <w:rsid w:val="001E1250"/>
    <w:rsid w:val="001E238E"/>
    <w:rsid w:val="001E2743"/>
    <w:rsid w:val="001E3744"/>
    <w:rsid w:val="001E4A1E"/>
    <w:rsid w:val="001E52EB"/>
    <w:rsid w:val="001E5DEA"/>
    <w:rsid w:val="001E6421"/>
    <w:rsid w:val="001E740C"/>
    <w:rsid w:val="001F0157"/>
    <w:rsid w:val="001F1235"/>
    <w:rsid w:val="001F1CB3"/>
    <w:rsid w:val="001F204E"/>
    <w:rsid w:val="001F208C"/>
    <w:rsid w:val="001F25D3"/>
    <w:rsid w:val="001F2BC1"/>
    <w:rsid w:val="001F4316"/>
    <w:rsid w:val="001F4376"/>
    <w:rsid w:val="001F4DF6"/>
    <w:rsid w:val="001F7361"/>
    <w:rsid w:val="001F7383"/>
    <w:rsid w:val="001F762F"/>
    <w:rsid w:val="00200C14"/>
    <w:rsid w:val="00201295"/>
    <w:rsid w:val="0020175C"/>
    <w:rsid w:val="002025FE"/>
    <w:rsid w:val="00202C65"/>
    <w:rsid w:val="00203161"/>
    <w:rsid w:val="0020518C"/>
    <w:rsid w:val="0020681C"/>
    <w:rsid w:val="00206904"/>
    <w:rsid w:val="002105C1"/>
    <w:rsid w:val="00210BCD"/>
    <w:rsid w:val="0021192D"/>
    <w:rsid w:val="00211E9B"/>
    <w:rsid w:val="00212820"/>
    <w:rsid w:val="00212F88"/>
    <w:rsid w:val="0021380A"/>
    <w:rsid w:val="00213BE1"/>
    <w:rsid w:val="00213ED0"/>
    <w:rsid w:val="002146DC"/>
    <w:rsid w:val="00214E1A"/>
    <w:rsid w:val="002157B3"/>
    <w:rsid w:val="00217491"/>
    <w:rsid w:val="002209DA"/>
    <w:rsid w:val="00222563"/>
    <w:rsid w:val="00223881"/>
    <w:rsid w:val="00223B49"/>
    <w:rsid w:val="00224282"/>
    <w:rsid w:val="00224DD4"/>
    <w:rsid w:val="002261C3"/>
    <w:rsid w:val="002264C4"/>
    <w:rsid w:val="002303E7"/>
    <w:rsid w:val="00230551"/>
    <w:rsid w:val="002309CC"/>
    <w:rsid w:val="00231248"/>
    <w:rsid w:val="002332F3"/>
    <w:rsid w:val="00234E1A"/>
    <w:rsid w:val="0023764D"/>
    <w:rsid w:val="002376FD"/>
    <w:rsid w:val="00237B16"/>
    <w:rsid w:val="002412CE"/>
    <w:rsid w:val="0024155C"/>
    <w:rsid w:val="0024262C"/>
    <w:rsid w:val="002440CC"/>
    <w:rsid w:val="00244DCE"/>
    <w:rsid w:val="0024540D"/>
    <w:rsid w:val="0024716C"/>
    <w:rsid w:val="002476C7"/>
    <w:rsid w:val="00250BA5"/>
    <w:rsid w:val="0025103A"/>
    <w:rsid w:val="002513B8"/>
    <w:rsid w:val="002515CE"/>
    <w:rsid w:val="00251A2D"/>
    <w:rsid w:val="00251A5E"/>
    <w:rsid w:val="00252C1C"/>
    <w:rsid w:val="00253193"/>
    <w:rsid w:val="00253B39"/>
    <w:rsid w:val="00254007"/>
    <w:rsid w:val="00254676"/>
    <w:rsid w:val="002546A3"/>
    <w:rsid w:val="00254F7C"/>
    <w:rsid w:val="0025534B"/>
    <w:rsid w:val="00255BB7"/>
    <w:rsid w:val="002569A9"/>
    <w:rsid w:val="00257058"/>
    <w:rsid w:val="002570C5"/>
    <w:rsid w:val="002579AB"/>
    <w:rsid w:val="00257EF2"/>
    <w:rsid w:val="002603E2"/>
    <w:rsid w:val="00262A87"/>
    <w:rsid w:val="00262CBF"/>
    <w:rsid w:val="00262D61"/>
    <w:rsid w:val="00262F5D"/>
    <w:rsid w:val="002635DA"/>
    <w:rsid w:val="00266384"/>
    <w:rsid w:val="00266408"/>
    <w:rsid w:val="0026719C"/>
    <w:rsid w:val="00270AEB"/>
    <w:rsid w:val="00271E2A"/>
    <w:rsid w:val="002736A4"/>
    <w:rsid w:val="00274570"/>
    <w:rsid w:val="0027508F"/>
    <w:rsid w:val="00275C5A"/>
    <w:rsid w:val="00277F78"/>
    <w:rsid w:val="0028230D"/>
    <w:rsid w:val="002830E1"/>
    <w:rsid w:val="002831FD"/>
    <w:rsid w:val="002839DA"/>
    <w:rsid w:val="00287A9C"/>
    <w:rsid w:val="00291564"/>
    <w:rsid w:val="0029181D"/>
    <w:rsid w:val="00291858"/>
    <w:rsid w:val="00293A18"/>
    <w:rsid w:val="00295770"/>
    <w:rsid w:val="00295ED1"/>
    <w:rsid w:val="00296830"/>
    <w:rsid w:val="00296CDF"/>
    <w:rsid w:val="00296FEC"/>
    <w:rsid w:val="002A14AB"/>
    <w:rsid w:val="002A1AB8"/>
    <w:rsid w:val="002A4F11"/>
    <w:rsid w:val="002A5387"/>
    <w:rsid w:val="002A7419"/>
    <w:rsid w:val="002B0668"/>
    <w:rsid w:val="002B1C1F"/>
    <w:rsid w:val="002B2A0D"/>
    <w:rsid w:val="002B32D4"/>
    <w:rsid w:val="002B378D"/>
    <w:rsid w:val="002B432F"/>
    <w:rsid w:val="002B5F49"/>
    <w:rsid w:val="002B6CCE"/>
    <w:rsid w:val="002B7FAF"/>
    <w:rsid w:val="002C0152"/>
    <w:rsid w:val="002C06E7"/>
    <w:rsid w:val="002C1A38"/>
    <w:rsid w:val="002C1FDD"/>
    <w:rsid w:val="002C27C1"/>
    <w:rsid w:val="002C2C6E"/>
    <w:rsid w:val="002C2FA5"/>
    <w:rsid w:val="002C44FA"/>
    <w:rsid w:val="002C45BA"/>
    <w:rsid w:val="002C5E57"/>
    <w:rsid w:val="002C60AD"/>
    <w:rsid w:val="002C6FF6"/>
    <w:rsid w:val="002C77AF"/>
    <w:rsid w:val="002D0ED2"/>
    <w:rsid w:val="002D101D"/>
    <w:rsid w:val="002D1C1D"/>
    <w:rsid w:val="002D201B"/>
    <w:rsid w:val="002D32CC"/>
    <w:rsid w:val="002D3663"/>
    <w:rsid w:val="002D4A9A"/>
    <w:rsid w:val="002D79F3"/>
    <w:rsid w:val="002D7AFA"/>
    <w:rsid w:val="002D7DFB"/>
    <w:rsid w:val="002E0955"/>
    <w:rsid w:val="002E18C6"/>
    <w:rsid w:val="002E1939"/>
    <w:rsid w:val="002E3385"/>
    <w:rsid w:val="002E381E"/>
    <w:rsid w:val="002E3F6D"/>
    <w:rsid w:val="002E716A"/>
    <w:rsid w:val="002E7243"/>
    <w:rsid w:val="002E742D"/>
    <w:rsid w:val="002F18B9"/>
    <w:rsid w:val="002F2492"/>
    <w:rsid w:val="002F2C30"/>
    <w:rsid w:val="002F2FAC"/>
    <w:rsid w:val="002F4F40"/>
    <w:rsid w:val="002F59ED"/>
    <w:rsid w:val="002F6DEC"/>
    <w:rsid w:val="002F750B"/>
    <w:rsid w:val="002F7F53"/>
    <w:rsid w:val="00300518"/>
    <w:rsid w:val="0030054A"/>
    <w:rsid w:val="00300F5D"/>
    <w:rsid w:val="00301017"/>
    <w:rsid w:val="00301468"/>
    <w:rsid w:val="00304534"/>
    <w:rsid w:val="00304949"/>
    <w:rsid w:val="00306F48"/>
    <w:rsid w:val="00307563"/>
    <w:rsid w:val="0030786C"/>
    <w:rsid w:val="0031031A"/>
    <w:rsid w:val="00310367"/>
    <w:rsid w:val="00310AF0"/>
    <w:rsid w:val="00310B67"/>
    <w:rsid w:val="00310D20"/>
    <w:rsid w:val="00312D6F"/>
    <w:rsid w:val="00313091"/>
    <w:rsid w:val="003133A6"/>
    <w:rsid w:val="003146D3"/>
    <w:rsid w:val="00315137"/>
    <w:rsid w:val="003153BF"/>
    <w:rsid w:val="00315498"/>
    <w:rsid w:val="00316260"/>
    <w:rsid w:val="00316B9C"/>
    <w:rsid w:val="00322A00"/>
    <w:rsid w:val="0032417F"/>
    <w:rsid w:val="00324223"/>
    <w:rsid w:val="003247A8"/>
    <w:rsid w:val="00325AE8"/>
    <w:rsid w:val="003271D4"/>
    <w:rsid w:val="003308D2"/>
    <w:rsid w:val="00332804"/>
    <w:rsid w:val="00332E6D"/>
    <w:rsid w:val="00332FA5"/>
    <w:rsid w:val="00333118"/>
    <w:rsid w:val="003366C9"/>
    <w:rsid w:val="00336A77"/>
    <w:rsid w:val="00336BCD"/>
    <w:rsid w:val="0033709F"/>
    <w:rsid w:val="003376D7"/>
    <w:rsid w:val="003411F8"/>
    <w:rsid w:val="0034148B"/>
    <w:rsid w:val="0034181D"/>
    <w:rsid w:val="00341BF0"/>
    <w:rsid w:val="00341EBB"/>
    <w:rsid w:val="0034216B"/>
    <w:rsid w:val="003451D3"/>
    <w:rsid w:val="00345D7F"/>
    <w:rsid w:val="00345FE9"/>
    <w:rsid w:val="00346CDA"/>
    <w:rsid w:val="00351F30"/>
    <w:rsid w:val="003520E9"/>
    <w:rsid w:val="0035259B"/>
    <w:rsid w:val="003528D4"/>
    <w:rsid w:val="003547EF"/>
    <w:rsid w:val="00355BA4"/>
    <w:rsid w:val="0035620E"/>
    <w:rsid w:val="003564E8"/>
    <w:rsid w:val="003568EF"/>
    <w:rsid w:val="00357B18"/>
    <w:rsid w:val="00357C59"/>
    <w:rsid w:val="00357E56"/>
    <w:rsid w:val="003606CB"/>
    <w:rsid w:val="0036133F"/>
    <w:rsid w:val="00361AB6"/>
    <w:rsid w:val="00361D65"/>
    <w:rsid w:val="00362453"/>
    <w:rsid w:val="00364CF0"/>
    <w:rsid w:val="00365144"/>
    <w:rsid w:val="00365923"/>
    <w:rsid w:val="003660DA"/>
    <w:rsid w:val="003664AC"/>
    <w:rsid w:val="0036736A"/>
    <w:rsid w:val="00370B35"/>
    <w:rsid w:val="00371DF0"/>
    <w:rsid w:val="003736B7"/>
    <w:rsid w:val="00374D52"/>
    <w:rsid w:val="00374FAE"/>
    <w:rsid w:val="00375433"/>
    <w:rsid w:val="00375603"/>
    <w:rsid w:val="003756E1"/>
    <w:rsid w:val="00376B8E"/>
    <w:rsid w:val="0037720C"/>
    <w:rsid w:val="00377512"/>
    <w:rsid w:val="00377513"/>
    <w:rsid w:val="00377E8A"/>
    <w:rsid w:val="003827A5"/>
    <w:rsid w:val="0038284C"/>
    <w:rsid w:val="00382FC0"/>
    <w:rsid w:val="0038365C"/>
    <w:rsid w:val="00383812"/>
    <w:rsid w:val="00385141"/>
    <w:rsid w:val="00387216"/>
    <w:rsid w:val="00387395"/>
    <w:rsid w:val="003875C1"/>
    <w:rsid w:val="003913D4"/>
    <w:rsid w:val="003924ED"/>
    <w:rsid w:val="00392A2A"/>
    <w:rsid w:val="00393F75"/>
    <w:rsid w:val="00396FD0"/>
    <w:rsid w:val="003A0558"/>
    <w:rsid w:val="003A0937"/>
    <w:rsid w:val="003A09C7"/>
    <w:rsid w:val="003A1A7A"/>
    <w:rsid w:val="003A1FE5"/>
    <w:rsid w:val="003A2C74"/>
    <w:rsid w:val="003A3A2E"/>
    <w:rsid w:val="003A3DDD"/>
    <w:rsid w:val="003A6E5E"/>
    <w:rsid w:val="003B0C6D"/>
    <w:rsid w:val="003B0FDB"/>
    <w:rsid w:val="003B1209"/>
    <w:rsid w:val="003B19B6"/>
    <w:rsid w:val="003B206E"/>
    <w:rsid w:val="003B3A24"/>
    <w:rsid w:val="003B409F"/>
    <w:rsid w:val="003B4215"/>
    <w:rsid w:val="003B425D"/>
    <w:rsid w:val="003B4BE0"/>
    <w:rsid w:val="003B4CC6"/>
    <w:rsid w:val="003B5CF8"/>
    <w:rsid w:val="003B603D"/>
    <w:rsid w:val="003B71B1"/>
    <w:rsid w:val="003C170F"/>
    <w:rsid w:val="003C1C3F"/>
    <w:rsid w:val="003C21BB"/>
    <w:rsid w:val="003C233F"/>
    <w:rsid w:val="003C2DEC"/>
    <w:rsid w:val="003C3024"/>
    <w:rsid w:val="003C4705"/>
    <w:rsid w:val="003C4801"/>
    <w:rsid w:val="003C7910"/>
    <w:rsid w:val="003C7B0A"/>
    <w:rsid w:val="003D0B2D"/>
    <w:rsid w:val="003D0BBF"/>
    <w:rsid w:val="003D0BF9"/>
    <w:rsid w:val="003D0DF4"/>
    <w:rsid w:val="003D13B3"/>
    <w:rsid w:val="003D17C7"/>
    <w:rsid w:val="003D17D9"/>
    <w:rsid w:val="003D1828"/>
    <w:rsid w:val="003D1BF5"/>
    <w:rsid w:val="003D2422"/>
    <w:rsid w:val="003D326A"/>
    <w:rsid w:val="003D34D8"/>
    <w:rsid w:val="003D4087"/>
    <w:rsid w:val="003D4363"/>
    <w:rsid w:val="003D468C"/>
    <w:rsid w:val="003D5096"/>
    <w:rsid w:val="003D524E"/>
    <w:rsid w:val="003D64D6"/>
    <w:rsid w:val="003E279C"/>
    <w:rsid w:val="003E2C25"/>
    <w:rsid w:val="003E3135"/>
    <w:rsid w:val="003E333D"/>
    <w:rsid w:val="003E5190"/>
    <w:rsid w:val="003E61DC"/>
    <w:rsid w:val="003F0BFB"/>
    <w:rsid w:val="003F1164"/>
    <w:rsid w:val="003F28F1"/>
    <w:rsid w:val="003F4156"/>
    <w:rsid w:val="003F5F63"/>
    <w:rsid w:val="003F6965"/>
    <w:rsid w:val="003F6FBD"/>
    <w:rsid w:val="003F7513"/>
    <w:rsid w:val="00401FDD"/>
    <w:rsid w:val="00403F5B"/>
    <w:rsid w:val="004047D8"/>
    <w:rsid w:val="00404F7A"/>
    <w:rsid w:val="00405347"/>
    <w:rsid w:val="00405BC0"/>
    <w:rsid w:val="00407B72"/>
    <w:rsid w:val="004102AF"/>
    <w:rsid w:val="00410EC7"/>
    <w:rsid w:val="00410EF7"/>
    <w:rsid w:val="004116C6"/>
    <w:rsid w:val="00412B61"/>
    <w:rsid w:val="00413693"/>
    <w:rsid w:val="0041398A"/>
    <w:rsid w:val="00413D89"/>
    <w:rsid w:val="00414476"/>
    <w:rsid w:val="00416C26"/>
    <w:rsid w:val="004172F8"/>
    <w:rsid w:val="00420B9F"/>
    <w:rsid w:val="0042312B"/>
    <w:rsid w:val="00423B4E"/>
    <w:rsid w:val="004241D3"/>
    <w:rsid w:val="00424B06"/>
    <w:rsid w:val="00425CB2"/>
    <w:rsid w:val="00425E13"/>
    <w:rsid w:val="004263E5"/>
    <w:rsid w:val="004267AF"/>
    <w:rsid w:val="0042723D"/>
    <w:rsid w:val="004319F8"/>
    <w:rsid w:val="00432613"/>
    <w:rsid w:val="00434743"/>
    <w:rsid w:val="00434D82"/>
    <w:rsid w:val="004368D1"/>
    <w:rsid w:val="004412F0"/>
    <w:rsid w:val="004419B0"/>
    <w:rsid w:val="00441CF7"/>
    <w:rsid w:val="004427B9"/>
    <w:rsid w:val="00443059"/>
    <w:rsid w:val="004443A7"/>
    <w:rsid w:val="004443B6"/>
    <w:rsid w:val="004459A7"/>
    <w:rsid w:val="0044625B"/>
    <w:rsid w:val="004464EB"/>
    <w:rsid w:val="00446895"/>
    <w:rsid w:val="00447944"/>
    <w:rsid w:val="00450438"/>
    <w:rsid w:val="0045398F"/>
    <w:rsid w:val="00455D45"/>
    <w:rsid w:val="00456708"/>
    <w:rsid w:val="004579F5"/>
    <w:rsid w:val="00457BD2"/>
    <w:rsid w:val="00460874"/>
    <w:rsid w:val="004608F2"/>
    <w:rsid w:val="00462122"/>
    <w:rsid w:val="0046250B"/>
    <w:rsid w:val="00462B37"/>
    <w:rsid w:val="00463014"/>
    <w:rsid w:val="0046340F"/>
    <w:rsid w:val="00464242"/>
    <w:rsid w:val="00464595"/>
    <w:rsid w:val="0046514C"/>
    <w:rsid w:val="004658E9"/>
    <w:rsid w:val="00465AF4"/>
    <w:rsid w:val="00466986"/>
    <w:rsid w:val="00467FA9"/>
    <w:rsid w:val="00471344"/>
    <w:rsid w:val="004714AB"/>
    <w:rsid w:val="00471E4B"/>
    <w:rsid w:val="00472359"/>
    <w:rsid w:val="00472634"/>
    <w:rsid w:val="00472BA6"/>
    <w:rsid w:val="00473545"/>
    <w:rsid w:val="0047456A"/>
    <w:rsid w:val="00474D5C"/>
    <w:rsid w:val="00475DAD"/>
    <w:rsid w:val="0047616A"/>
    <w:rsid w:val="00476DE9"/>
    <w:rsid w:val="004771A1"/>
    <w:rsid w:val="00477BE3"/>
    <w:rsid w:val="00484238"/>
    <w:rsid w:val="004867E2"/>
    <w:rsid w:val="00490C74"/>
    <w:rsid w:val="0049102C"/>
    <w:rsid w:val="00491B3A"/>
    <w:rsid w:val="00491DCE"/>
    <w:rsid w:val="00492250"/>
    <w:rsid w:val="004922EC"/>
    <w:rsid w:val="004923DA"/>
    <w:rsid w:val="004947CB"/>
    <w:rsid w:val="004954AB"/>
    <w:rsid w:val="00495A5E"/>
    <w:rsid w:val="004963D2"/>
    <w:rsid w:val="00496FBB"/>
    <w:rsid w:val="00496FD5"/>
    <w:rsid w:val="00497814"/>
    <w:rsid w:val="00497CE4"/>
    <w:rsid w:val="00497F10"/>
    <w:rsid w:val="004A0DA1"/>
    <w:rsid w:val="004A168D"/>
    <w:rsid w:val="004A26E6"/>
    <w:rsid w:val="004A27C5"/>
    <w:rsid w:val="004A34F0"/>
    <w:rsid w:val="004A39A1"/>
    <w:rsid w:val="004A4957"/>
    <w:rsid w:val="004A5B61"/>
    <w:rsid w:val="004A6597"/>
    <w:rsid w:val="004A7338"/>
    <w:rsid w:val="004B06D3"/>
    <w:rsid w:val="004B21C5"/>
    <w:rsid w:val="004B2F18"/>
    <w:rsid w:val="004B39FD"/>
    <w:rsid w:val="004B3DDB"/>
    <w:rsid w:val="004B44FD"/>
    <w:rsid w:val="004B5721"/>
    <w:rsid w:val="004B578C"/>
    <w:rsid w:val="004B5A7D"/>
    <w:rsid w:val="004B5BAF"/>
    <w:rsid w:val="004B5CFC"/>
    <w:rsid w:val="004B60D2"/>
    <w:rsid w:val="004B6307"/>
    <w:rsid w:val="004B7DC9"/>
    <w:rsid w:val="004C07DD"/>
    <w:rsid w:val="004C0EA6"/>
    <w:rsid w:val="004C358A"/>
    <w:rsid w:val="004C47E1"/>
    <w:rsid w:val="004C4AED"/>
    <w:rsid w:val="004C6010"/>
    <w:rsid w:val="004C70C7"/>
    <w:rsid w:val="004C7A5E"/>
    <w:rsid w:val="004C7F29"/>
    <w:rsid w:val="004D11FF"/>
    <w:rsid w:val="004D1FBE"/>
    <w:rsid w:val="004D21EC"/>
    <w:rsid w:val="004D27E0"/>
    <w:rsid w:val="004D3544"/>
    <w:rsid w:val="004D3B5C"/>
    <w:rsid w:val="004D4B8F"/>
    <w:rsid w:val="004D6740"/>
    <w:rsid w:val="004D683B"/>
    <w:rsid w:val="004D7A5D"/>
    <w:rsid w:val="004D7EE5"/>
    <w:rsid w:val="004E0EB8"/>
    <w:rsid w:val="004E1389"/>
    <w:rsid w:val="004E2ADC"/>
    <w:rsid w:val="004E3BFE"/>
    <w:rsid w:val="004E4679"/>
    <w:rsid w:val="004E474E"/>
    <w:rsid w:val="004E49DF"/>
    <w:rsid w:val="004E523F"/>
    <w:rsid w:val="004E5DE2"/>
    <w:rsid w:val="004E62C7"/>
    <w:rsid w:val="004E6500"/>
    <w:rsid w:val="004E7BAD"/>
    <w:rsid w:val="004F0B3A"/>
    <w:rsid w:val="004F1CFE"/>
    <w:rsid w:val="004F1D02"/>
    <w:rsid w:val="004F2020"/>
    <w:rsid w:val="004F2679"/>
    <w:rsid w:val="004F2BAD"/>
    <w:rsid w:val="004F4154"/>
    <w:rsid w:val="004F4A45"/>
    <w:rsid w:val="004F5AF0"/>
    <w:rsid w:val="004F5B6B"/>
    <w:rsid w:val="004F5BEC"/>
    <w:rsid w:val="004F6921"/>
    <w:rsid w:val="004F75D0"/>
    <w:rsid w:val="004F7A6F"/>
    <w:rsid w:val="00500A46"/>
    <w:rsid w:val="00500EE0"/>
    <w:rsid w:val="00501F75"/>
    <w:rsid w:val="00501FC5"/>
    <w:rsid w:val="00506238"/>
    <w:rsid w:val="00506E16"/>
    <w:rsid w:val="005072FD"/>
    <w:rsid w:val="005101D5"/>
    <w:rsid w:val="0051265D"/>
    <w:rsid w:val="005129F0"/>
    <w:rsid w:val="00512CB2"/>
    <w:rsid w:val="005152B5"/>
    <w:rsid w:val="00515823"/>
    <w:rsid w:val="00516319"/>
    <w:rsid w:val="005164FF"/>
    <w:rsid w:val="00516901"/>
    <w:rsid w:val="0051694A"/>
    <w:rsid w:val="005174AF"/>
    <w:rsid w:val="00517BC9"/>
    <w:rsid w:val="00520268"/>
    <w:rsid w:val="00520A3B"/>
    <w:rsid w:val="00520D67"/>
    <w:rsid w:val="00521261"/>
    <w:rsid w:val="00521319"/>
    <w:rsid w:val="00521608"/>
    <w:rsid w:val="005227F2"/>
    <w:rsid w:val="0052310C"/>
    <w:rsid w:val="0052382E"/>
    <w:rsid w:val="00523C28"/>
    <w:rsid w:val="00525599"/>
    <w:rsid w:val="00526E98"/>
    <w:rsid w:val="00527497"/>
    <w:rsid w:val="00533BA1"/>
    <w:rsid w:val="0053415B"/>
    <w:rsid w:val="00534F13"/>
    <w:rsid w:val="00535F54"/>
    <w:rsid w:val="0053679F"/>
    <w:rsid w:val="00540608"/>
    <w:rsid w:val="005420FB"/>
    <w:rsid w:val="00543278"/>
    <w:rsid w:val="005435D4"/>
    <w:rsid w:val="00544462"/>
    <w:rsid w:val="005470DC"/>
    <w:rsid w:val="00547A39"/>
    <w:rsid w:val="005521CB"/>
    <w:rsid w:val="005532CB"/>
    <w:rsid w:val="00553CB8"/>
    <w:rsid w:val="00553F34"/>
    <w:rsid w:val="00555109"/>
    <w:rsid w:val="0055608E"/>
    <w:rsid w:val="005568F0"/>
    <w:rsid w:val="00557023"/>
    <w:rsid w:val="005576BA"/>
    <w:rsid w:val="005579C2"/>
    <w:rsid w:val="00557EB8"/>
    <w:rsid w:val="005624A0"/>
    <w:rsid w:val="00562707"/>
    <w:rsid w:val="0056276A"/>
    <w:rsid w:val="00562AAC"/>
    <w:rsid w:val="00562FA1"/>
    <w:rsid w:val="00563D48"/>
    <w:rsid w:val="005668F6"/>
    <w:rsid w:val="0056696F"/>
    <w:rsid w:val="00566FB7"/>
    <w:rsid w:val="00567D92"/>
    <w:rsid w:val="00572109"/>
    <w:rsid w:val="00572593"/>
    <w:rsid w:val="00572FA4"/>
    <w:rsid w:val="005732D3"/>
    <w:rsid w:val="0057547E"/>
    <w:rsid w:val="005758C8"/>
    <w:rsid w:val="00575C67"/>
    <w:rsid w:val="00576157"/>
    <w:rsid w:val="00576660"/>
    <w:rsid w:val="00576972"/>
    <w:rsid w:val="00576FB1"/>
    <w:rsid w:val="00577717"/>
    <w:rsid w:val="005801E9"/>
    <w:rsid w:val="00582202"/>
    <w:rsid w:val="00583457"/>
    <w:rsid w:val="00583529"/>
    <w:rsid w:val="00583699"/>
    <w:rsid w:val="0058592E"/>
    <w:rsid w:val="00591128"/>
    <w:rsid w:val="005911DD"/>
    <w:rsid w:val="00593F13"/>
    <w:rsid w:val="0059618F"/>
    <w:rsid w:val="00596F51"/>
    <w:rsid w:val="005A020D"/>
    <w:rsid w:val="005A18B1"/>
    <w:rsid w:val="005A195E"/>
    <w:rsid w:val="005A1D8F"/>
    <w:rsid w:val="005A3D8A"/>
    <w:rsid w:val="005A4924"/>
    <w:rsid w:val="005A5071"/>
    <w:rsid w:val="005A5469"/>
    <w:rsid w:val="005A54F8"/>
    <w:rsid w:val="005A55CE"/>
    <w:rsid w:val="005A6120"/>
    <w:rsid w:val="005A6C07"/>
    <w:rsid w:val="005A79D1"/>
    <w:rsid w:val="005A7BFD"/>
    <w:rsid w:val="005B0535"/>
    <w:rsid w:val="005B0A04"/>
    <w:rsid w:val="005B419A"/>
    <w:rsid w:val="005B41FB"/>
    <w:rsid w:val="005B4D79"/>
    <w:rsid w:val="005B5416"/>
    <w:rsid w:val="005B5857"/>
    <w:rsid w:val="005B6F79"/>
    <w:rsid w:val="005B788D"/>
    <w:rsid w:val="005C0A41"/>
    <w:rsid w:val="005C1B83"/>
    <w:rsid w:val="005C218C"/>
    <w:rsid w:val="005C3102"/>
    <w:rsid w:val="005C346B"/>
    <w:rsid w:val="005C397D"/>
    <w:rsid w:val="005C3DF0"/>
    <w:rsid w:val="005C5583"/>
    <w:rsid w:val="005C56EF"/>
    <w:rsid w:val="005C5D1C"/>
    <w:rsid w:val="005C785E"/>
    <w:rsid w:val="005D0B77"/>
    <w:rsid w:val="005D0C26"/>
    <w:rsid w:val="005D18AD"/>
    <w:rsid w:val="005D190D"/>
    <w:rsid w:val="005D39CC"/>
    <w:rsid w:val="005D3ABA"/>
    <w:rsid w:val="005D47B7"/>
    <w:rsid w:val="005D4D60"/>
    <w:rsid w:val="005D52AC"/>
    <w:rsid w:val="005D604A"/>
    <w:rsid w:val="005D61FE"/>
    <w:rsid w:val="005D71EB"/>
    <w:rsid w:val="005D7E3E"/>
    <w:rsid w:val="005E1459"/>
    <w:rsid w:val="005E25CF"/>
    <w:rsid w:val="005E29E6"/>
    <w:rsid w:val="005E55DE"/>
    <w:rsid w:val="005E71B7"/>
    <w:rsid w:val="005E7226"/>
    <w:rsid w:val="005F0583"/>
    <w:rsid w:val="005F2706"/>
    <w:rsid w:val="005F2CF8"/>
    <w:rsid w:val="005F5F82"/>
    <w:rsid w:val="005F60F6"/>
    <w:rsid w:val="005F6A8F"/>
    <w:rsid w:val="00600634"/>
    <w:rsid w:val="00600A12"/>
    <w:rsid w:val="00601431"/>
    <w:rsid w:val="006023F3"/>
    <w:rsid w:val="00602DA3"/>
    <w:rsid w:val="00604A47"/>
    <w:rsid w:val="00604C7F"/>
    <w:rsid w:val="0060563A"/>
    <w:rsid w:val="00605940"/>
    <w:rsid w:val="00605B5A"/>
    <w:rsid w:val="006075AA"/>
    <w:rsid w:val="00607669"/>
    <w:rsid w:val="00610617"/>
    <w:rsid w:val="00610ED0"/>
    <w:rsid w:val="006111F1"/>
    <w:rsid w:val="00611AAD"/>
    <w:rsid w:val="0061256C"/>
    <w:rsid w:val="00612F97"/>
    <w:rsid w:val="006148A8"/>
    <w:rsid w:val="006149B5"/>
    <w:rsid w:val="00614F98"/>
    <w:rsid w:val="006162E1"/>
    <w:rsid w:val="00616802"/>
    <w:rsid w:val="00616D66"/>
    <w:rsid w:val="006176C6"/>
    <w:rsid w:val="00617E12"/>
    <w:rsid w:val="00621477"/>
    <w:rsid w:val="0062174D"/>
    <w:rsid w:val="00622147"/>
    <w:rsid w:val="006223B6"/>
    <w:rsid w:val="0062583D"/>
    <w:rsid w:val="00625CD0"/>
    <w:rsid w:val="00625DDA"/>
    <w:rsid w:val="006262B8"/>
    <w:rsid w:val="006269CD"/>
    <w:rsid w:val="0062753E"/>
    <w:rsid w:val="006301FD"/>
    <w:rsid w:val="00630342"/>
    <w:rsid w:val="00631D6B"/>
    <w:rsid w:val="00632E40"/>
    <w:rsid w:val="0063303D"/>
    <w:rsid w:val="006330AC"/>
    <w:rsid w:val="0063479F"/>
    <w:rsid w:val="00634C6E"/>
    <w:rsid w:val="00635438"/>
    <w:rsid w:val="006364A1"/>
    <w:rsid w:val="00637396"/>
    <w:rsid w:val="00637BFD"/>
    <w:rsid w:val="00640AFC"/>
    <w:rsid w:val="00640B23"/>
    <w:rsid w:val="006412BF"/>
    <w:rsid w:val="00641B04"/>
    <w:rsid w:val="006444FE"/>
    <w:rsid w:val="00644916"/>
    <w:rsid w:val="00645589"/>
    <w:rsid w:val="00645986"/>
    <w:rsid w:val="00645ABB"/>
    <w:rsid w:val="006471CC"/>
    <w:rsid w:val="0065079F"/>
    <w:rsid w:val="00652080"/>
    <w:rsid w:val="00652A53"/>
    <w:rsid w:val="00653F62"/>
    <w:rsid w:val="006541A2"/>
    <w:rsid w:val="006541BF"/>
    <w:rsid w:val="006543AB"/>
    <w:rsid w:val="00654596"/>
    <w:rsid w:val="00655617"/>
    <w:rsid w:val="00655E4A"/>
    <w:rsid w:val="00655F81"/>
    <w:rsid w:val="0065625E"/>
    <w:rsid w:val="006566F4"/>
    <w:rsid w:val="00660F48"/>
    <w:rsid w:val="0066120A"/>
    <w:rsid w:val="006617E9"/>
    <w:rsid w:val="00661860"/>
    <w:rsid w:val="0066264E"/>
    <w:rsid w:val="0066272E"/>
    <w:rsid w:val="00665420"/>
    <w:rsid w:val="006665F1"/>
    <w:rsid w:val="006666C4"/>
    <w:rsid w:val="006668FF"/>
    <w:rsid w:val="00667C98"/>
    <w:rsid w:val="00667D1B"/>
    <w:rsid w:val="00670B77"/>
    <w:rsid w:val="00674E42"/>
    <w:rsid w:val="006755AE"/>
    <w:rsid w:val="00675813"/>
    <w:rsid w:val="006758AB"/>
    <w:rsid w:val="00676C06"/>
    <w:rsid w:val="00680852"/>
    <w:rsid w:val="006810D5"/>
    <w:rsid w:val="00681AC7"/>
    <w:rsid w:val="00681C93"/>
    <w:rsid w:val="00682112"/>
    <w:rsid w:val="006828D3"/>
    <w:rsid w:val="006835A4"/>
    <w:rsid w:val="006840E6"/>
    <w:rsid w:val="00685DE1"/>
    <w:rsid w:val="00686EC8"/>
    <w:rsid w:val="00687290"/>
    <w:rsid w:val="00687CB8"/>
    <w:rsid w:val="0069071A"/>
    <w:rsid w:val="006907F2"/>
    <w:rsid w:val="006910B2"/>
    <w:rsid w:val="006914DB"/>
    <w:rsid w:val="006927D0"/>
    <w:rsid w:val="006934B4"/>
    <w:rsid w:val="00693A80"/>
    <w:rsid w:val="00694402"/>
    <w:rsid w:val="006946EC"/>
    <w:rsid w:val="00694892"/>
    <w:rsid w:val="00694F44"/>
    <w:rsid w:val="006957B4"/>
    <w:rsid w:val="006A0C28"/>
    <w:rsid w:val="006A0DF7"/>
    <w:rsid w:val="006A1941"/>
    <w:rsid w:val="006A2F8F"/>
    <w:rsid w:val="006A306F"/>
    <w:rsid w:val="006A5CC9"/>
    <w:rsid w:val="006A5D1D"/>
    <w:rsid w:val="006A608F"/>
    <w:rsid w:val="006B2E7C"/>
    <w:rsid w:val="006B41A3"/>
    <w:rsid w:val="006B4220"/>
    <w:rsid w:val="006B469D"/>
    <w:rsid w:val="006B509D"/>
    <w:rsid w:val="006B75D1"/>
    <w:rsid w:val="006C0755"/>
    <w:rsid w:val="006C0DC1"/>
    <w:rsid w:val="006C174B"/>
    <w:rsid w:val="006C21AC"/>
    <w:rsid w:val="006C2A8E"/>
    <w:rsid w:val="006C2D0A"/>
    <w:rsid w:val="006C3085"/>
    <w:rsid w:val="006C5CA5"/>
    <w:rsid w:val="006C621B"/>
    <w:rsid w:val="006C6256"/>
    <w:rsid w:val="006C79F5"/>
    <w:rsid w:val="006C7BF2"/>
    <w:rsid w:val="006D1764"/>
    <w:rsid w:val="006D3C4E"/>
    <w:rsid w:val="006D3C7D"/>
    <w:rsid w:val="006D449A"/>
    <w:rsid w:val="006D67AD"/>
    <w:rsid w:val="006E10E5"/>
    <w:rsid w:val="006E2452"/>
    <w:rsid w:val="006E68C1"/>
    <w:rsid w:val="006F0C8B"/>
    <w:rsid w:val="006F0DB7"/>
    <w:rsid w:val="006F1B9B"/>
    <w:rsid w:val="006F23C0"/>
    <w:rsid w:val="006F2DA2"/>
    <w:rsid w:val="006F4A13"/>
    <w:rsid w:val="006F63A5"/>
    <w:rsid w:val="00700640"/>
    <w:rsid w:val="00701010"/>
    <w:rsid w:val="0070113F"/>
    <w:rsid w:val="00701F6E"/>
    <w:rsid w:val="0070276E"/>
    <w:rsid w:val="00704989"/>
    <w:rsid w:val="00704E31"/>
    <w:rsid w:val="0070555E"/>
    <w:rsid w:val="00710242"/>
    <w:rsid w:val="00710D6B"/>
    <w:rsid w:val="00711602"/>
    <w:rsid w:val="00711A36"/>
    <w:rsid w:val="00712947"/>
    <w:rsid w:val="0071331A"/>
    <w:rsid w:val="00714C8A"/>
    <w:rsid w:val="0071504A"/>
    <w:rsid w:val="00715FA6"/>
    <w:rsid w:val="00716C84"/>
    <w:rsid w:val="007172AD"/>
    <w:rsid w:val="00722A13"/>
    <w:rsid w:val="00725EE7"/>
    <w:rsid w:val="007265FB"/>
    <w:rsid w:val="00726A54"/>
    <w:rsid w:val="00726B84"/>
    <w:rsid w:val="007272BC"/>
    <w:rsid w:val="0072744B"/>
    <w:rsid w:val="00730A26"/>
    <w:rsid w:val="00731368"/>
    <w:rsid w:val="0073238A"/>
    <w:rsid w:val="00732812"/>
    <w:rsid w:val="007334BA"/>
    <w:rsid w:val="007339CB"/>
    <w:rsid w:val="00735328"/>
    <w:rsid w:val="0073685B"/>
    <w:rsid w:val="00736FE1"/>
    <w:rsid w:val="007402CA"/>
    <w:rsid w:val="0074133C"/>
    <w:rsid w:val="00741F13"/>
    <w:rsid w:val="00742898"/>
    <w:rsid w:val="007446C4"/>
    <w:rsid w:val="007474AD"/>
    <w:rsid w:val="00747A89"/>
    <w:rsid w:val="0075035F"/>
    <w:rsid w:val="0075117F"/>
    <w:rsid w:val="00752B38"/>
    <w:rsid w:val="00752B3F"/>
    <w:rsid w:val="007531B2"/>
    <w:rsid w:val="00753745"/>
    <w:rsid w:val="0075465C"/>
    <w:rsid w:val="00754F13"/>
    <w:rsid w:val="0075535A"/>
    <w:rsid w:val="0075614B"/>
    <w:rsid w:val="00756749"/>
    <w:rsid w:val="00760656"/>
    <w:rsid w:val="0076082A"/>
    <w:rsid w:val="00761B18"/>
    <w:rsid w:val="007625ED"/>
    <w:rsid w:val="00765E17"/>
    <w:rsid w:val="00765FB3"/>
    <w:rsid w:val="007665C0"/>
    <w:rsid w:val="007667FC"/>
    <w:rsid w:val="007668AE"/>
    <w:rsid w:val="00766C3B"/>
    <w:rsid w:val="00767347"/>
    <w:rsid w:val="00770A4C"/>
    <w:rsid w:val="00770F18"/>
    <w:rsid w:val="007712D1"/>
    <w:rsid w:val="0077278E"/>
    <w:rsid w:val="00772BCF"/>
    <w:rsid w:val="0077500F"/>
    <w:rsid w:val="007758B1"/>
    <w:rsid w:val="00775B2F"/>
    <w:rsid w:val="0077680C"/>
    <w:rsid w:val="00777DDE"/>
    <w:rsid w:val="00780F08"/>
    <w:rsid w:val="00781F19"/>
    <w:rsid w:val="007826E1"/>
    <w:rsid w:val="00782E63"/>
    <w:rsid w:val="00783DBA"/>
    <w:rsid w:val="00785D36"/>
    <w:rsid w:val="00785E8C"/>
    <w:rsid w:val="007861F9"/>
    <w:rsid w:val="00786EBB"/>
    <w:rsid w:val="007901F0"/>
    <w:rsid w:val="0079085A"/>
    <w:rsid w:val="0079118E"/>
    <w:rsid w:val="0079219B"/>
    <w:rsid w:val="007952C4"/>
    <w:rsid w:val="007963A6"/>
    <w:rsid w:val="007A1C8C"/>
    <w:rsid w:val="007A24CE"/>
    <w:rsid w:val="007A293F"/>
    <w:rsid w:val="007A2B9F"/>
    <w:rsid w:val="007A3003"/>
    <w:rsid w:val="007A30D5"/>
    <w:rsid w:val="007A34CF"/>
    <w:rsid w:val="007A3C74"/>
    <w:rsid w:val="007A508C"/>
    <w:rsid w:val="007A6608"/>
    <w:rsid w:val="007A749B"/>
    <w:rsid w:val="007A7904"/>
    <w:rsid w:val="007B066F"/>
    <w:rsid w:val="007B251D"/>
    <w:rsid w:val="007B55DA"/>
    <w:rsid w:val="007B5E51"/>
    <w:rsid w:val="007B5F97"/>
    <w:rsid w:val="007B77D1"/>
    <w:rsid w:val="007C23DA"/>
    <w:rsid w:val="007C4099"/>
    <w:rsid w:val="007C43F1"/>
    <w:rsid w:val="007C5C2E"/>
    <w:rsid w:val="007C647D"/>
    <w:rsid w:val="007C6D07"/>
    <w:rsid w:val="007C7385"/>
    <w:rsid w:val="007D0B38"/>
    <w:rsid w:val="007D1225"/>
    <w:rsid w:val="007D1E67"/>
    <w:rsid w:val="007D3DD5"/>
    <w:rsid w:val="007D7040"/>
    <w:rsid w:val="007D722A"/>
    <w:rsid w:val="007E0D54"/>
    <w:rsid w:val="007E14A9"/>
    <w:rsid w:val="007E1620"/>
    <w:rsid w:val="007E1A93"/>
    <w:rsid w:val="007E24FB"/>
    <w:rsid w:val="007E3234"/>
    <w:rsid w:val="007E4D8A"/>
    <w:rsid w:val="007E56E2"/>
    <w:rsid w:val="007E578B"/>
    <w:rsid w:val="007E6632"/>
    <w:rsid w:val="007E7C3C"/>
    <w:rsid w:val="007E7F46"/>
    <w:rsid w:val="007F0DAA"/>
    <w:rsid w:val="007F1017"/>
    <w:rsid w:val="007F1270"/>
    <w:rsid w:val="007F21B1"/>
    <w:rsid w:val="007F21D4"/>
    <w:rsid w:val="007F28FF"/>
    <w:rsid w:val="007F4A3F"/>
    <w:rsid w:val="007F4A8C"/>
    <w:rsid w:val="007F7172"/>
    <w:rsid w:val="007F7E51"/>
    <w:rsid w:val="00800E75"/>
    <w:rsid w:val="00802314"/>
    <w:rsid w:val="008041AB"/>
    <w:rsid w:val="00805142"/>
    <w:rsid w:val="008058C1"/>
    <w:rsid w:val="008062A4"/>
    <w:rsid w:val="00807587"/>
    <w:rsid w:val="00807A8B"/>
    <w:rsid w:val="00807E1B"/>
    <w:rsid w:val="00810437"/>
    <w:rsid w:val="00810838"/>
    <w:rsid w:val="00811390"/>
    <w:rsid w:val="00811D2A"/>
    <w:rsid w:val="00812149"/>
    <w:rsid w:val="00813B51"/>
    <w:rsid w:val="00813C7B"/>
    <w:rsid w:val="0081417B"/>
    <w:rsid w:val="00815BFB"/>
    <w:rsid w:val="008166EF"/>
    <w:rsid w:val="008174A6"/>
    <w:rsid w:val="00820473"/>
    <w:rsid w:val="008207C2"/>
    <w:rsid w:val="00820DA5"/>
    <w:rsid w:val="00821CB7"/>
    <w:rsid w:val="008226C2"/>
    <w:rsid w:val="0082336A"/>
    <w:rsid w:val="0082414A"/>
    <w:rsid w:val="00826086"/>
    <w:rsid w:val="008262F1"/>
    <w:rsid w:val="008264EB"/>
    <w:rsid w:val="008269F9"/>
    <w:rsid w:val="00827509"/>
    <w:rsid w:val="00833413"/>
    <w:rsid w:val="008363AA"/>
    <w:rsid w:val="008408F2"/>
    <w:rsid w:val="00840AB2"/>
    <w:rsid w:val="00840CA2"/>
    <w:rsid w:val="0084261D"/>
    <w:rsid w:val="0084278A"/>
    <w:rsid w:val="008429E7"/>
    <w:rsid w:val="00843C1F"/>
    <w:rsid w:val="00845BB9"/>
    <w:rsid w:val="00845E72"/>
    <w:rsid w:val="00847A84"/>
    <w:rsid w:val="00847B8B"/>
    <w:rsid w:val="00852111"/>
    <w:rsid w:val="00852452"/>
    <w:rsid w:val="00854824"/>
    <w:rsid w:val="008548E0"/>
    <w:rsid w:val="00855BA6"/>
    <w:rsid w:val="00856174"/>
    <w:rsid w:val="00856348"/>
    <w:rsid w:val="00856E9A"/>
    <w:rsid w:val="0085777C"/>
    <w:rsid w:val="0086012F"/>
    <w:rsid w:val="00860DAD"/>
    <w:rsid w:val="00862669"/>
    <w:rsid w:val="008630EF"/>
    <w:rsid w:val="00863350"/>
    <w:rsid w:val="00864B4F"/>
    <w:rsid w:val="00865C87"/>
    <w:rsid w:val="00866C6B"/>
    <w:rsid w:val="00867022"/>
    <w:rsid w:val="008675A9"/>
    <w:rsid w:val="00870379"/>
    <w:rsid w:val="00870FDD"/>
    <w:rsid w:val="00871163"/>
    <w:rsid w:val="00871696"/>
    <w:rsid w:val="00871A3C"/>
    <w:rsid w:val="00872C27"/>
    <w:rsid w:val="00875A6A"/>
    <w:rsid w:val="00877322"/>
    <w:rsid w:val="008806CC"/>
    <w:rsid w:val="00880B0B"/>
    <w:rsid w:val="00881872"/>
    <w:rsid w:val="00882441"/>
    <w:rsid w:val="00882874"/>
    <w:rsid w:val="00883787"/>
    <w:rsid w:val="00884264"/>
    <w:rsid w:val="00884E99"/>
    <w:rsid w:val="00886EC5"/>
    <w:rsid w:val="00890B89"/>
    <w:rsid w:val="00890C66"/>
    <w:rsid w:val="00891789"/>
    <w:rsid w:val="00892C1C"/>
    <w:rsid w:val="00892F33"/>
    <w:rsid w:val="008930CB"/>
    <w:rsid w:val="00893488"/>
    <w:rsid w:val="00893716"/>
    <w:rsid w:val="00894454"/>
    <w:rsid w:val="00895F2F"/>
    <w:rsid w:val="008963A5"/>
    <w:rsid w:val="0089656C"/>
    <w:rsid w:val="00897211"/>
    <w:rsid w:val="008A04A8"/>
    <w:rsid w:val="008A0D8B"/>
    <w:rsid w:val="008A1656"/>
    <w:rsid w:val="008A1E82"/>
    <w:rsid w:val="008A3C3E"/>
    <w:rsid w:val="008A4583"/>
    <w:rsid w:val="008A540E"/>
    <w:rsid w:val="008A59F0"/>
    <w:rsid w:val="008A79DE"/>
    <w:rsid w:val="008A7A43"/>
    <w:rsid w:val="008A7C15"/>
    <w:rsid w:val="008B0C54"/>
    <w:rsid w:val="008B24F4"/>
    <w:rsid w:val="008B298E"/>
    <w:rsid w:val="008B343A"/>
    <w:rsid w:val="008B526F"/>
    <w:rsid w:val="008B5312"/>
    <w:rsid w:val="008B6E9A"/>
    <w:rsid w:val="008B76A6"/>
    <w:rsid w:val="008B7808"/>
    <w:rsid w:val="008B7963"/>
    <w:rsid w:val="008B79D4"/>
    <w:rsid w:val="008B7D7E"/>
    <w:rsid w:val="008C02E5"/>
    <w:rsid w:val="008C1926"/>
    <w:rsid w:val="008C1C40"/>
    <w:rsid w:val="008C1E50"/>
    <w:rsid w:val="008C33A5"/>
    <w:rsid w:val="008C3660"/>
    <w:rsid w:val="008C47DD"/>
    <w:rsid w:val="008C4CC5"/>
    <w:rsid w:val="008C685C"/>
    <w:rsid w:val="008C7ECB"/>
    <w:rsid w:val="008D2D4A"/>
    <w:rsid w:val="008D4374"/>
    <w:rsid w:val="008D4685"/>
    <w:rsid w:val="008D5592"/>
    <w:rsid w:val="008D57AA"/>
    <w:rsid w:val="008D5AD4"/>
    <w:rsid w:val="008D5B94"/>
    <w:rsid w:val="008D6C16"/>
    <w:rsid w:val="008D6DEA"/>
    <w:rsid w:val="008D7B04"/>
    <w:rsid w:val="008D7B68"/>
    <w:rsid w:val="008D7E4D"/>
    <w:rsid w:val="008E1B9E"/>
    <w:rsid w:val="008E1BBE"/>
    <w:rsid w:val="008E48F1"/>
    <w:rsid w:val="008E573B"/>
    <w:rsid w:val="008E5E3B"/>
    <w:rsid w:val="008E687B"/>
    <w:rsid w:val="008E713C"/>
    <w:rsid w:val="008E730C"/>
    <w:rsid w:val="008F191F"/>
    <w:rsid w:val="008F32AF"/>
    <w:rsid w:val="008F48EB"/>
    <w:rsid w:val="008F4F0B"/>
    <w:rsid w:val="008F5534"/>
    <w:rsid w:val="008F6297"/>
    <w:rsid w:val="008F69FB"/>
    <w:rsid w:val="009008BF"/>
    <w:rsid w:val="00901C6A"/>
    <w:rsid w:val="00902030"/>
    <w:rsid w:val="00902D8D"/>
    <w:rsid w:val="00903DF7"/>
    <w:rsid w:val="00903FEE"/>
    <w:rsid w:val="0090404E"/>
    <w:rsid w:val="0090435A"/>
    <w:rsid w:val="009062A5"/>
    <w:rsid w:val="0090636B"/>
    <w:rsid w:val="00911272"/>
    <w:rsid w:val="009118C3"/>
    <w:rsid w:val="009128E7"/>
    <w:rsid w:val="00912E4F"/>
    <w:rsid w:val="00914352"/>
    <w:rsid w:val="0091579E"/>
    <w:rsid w:val="00915E01"/>
    <w:rsid w:val="009171F9"/>
    <w:rsid w:val="00917651"/>
    <w:rsid w:val="0092082C"/>
    <w:rsid w:val="00922AFC"/>
    <w:rsid w:val="009242C0"/>
    <w:rsid w:val="009246D3"/>
    <w:rsid w:val="00924911"/>
    <w:rsid w:val="0092548B"/>
    <w:rsid w:val="00925F91"/>
    <w:rsid w:val="00925FB7"/>
    <w:rsid w:val="009264F6"/>
    <w:rsid w:val="00927979"/>
    <w:rsid w:val="00930B1F"/>
    <w:rsid w:val="00930CE2"/>
    <w:rsid w:val="00930DB7"/>
    <w:rsid w:val="00930E0B"/>
    <w:rsid w:val="00932E5B"/>
    <w:rsid w:val="00933544"/>
    <w:rsid w:val="00934DFE"/>
    <w:rsid w:val="0093579F"/>
    <w:rsid w:val="0093586D"/>
    <w:rsid w:val="00936290"/>
    <w:rsid w:val="00936A7F"/>
    <w:rsid w:val="00937013"/>
    <w:rsid w:val="00940058"/>
    <w:rsid w:val="00940BFC"/>
    <w:rsid w:val="00942CAC"/>
    <w:rsid w:val="0094439B"/>
    <w:rsid w:val="00944B45"/>
    <w:rsid w:val="0094503D"/>
    <w:rsid w:val="00951CD8"/>
    <w:rsid w:val="00954139"/>
    <w:rsid w:val="0095543F"/>
    <w:rsid w:val="00960CAC"/>
    <w:rsid w:val="00960CEE"/>
    <w:rsid w:val="0096169E"/>
    <w:rsid w:val="00961AF9"/>
    <w:rsid w:val="00962CB9"/>
    <w:rsid w:val="00962FB0"/>
    <w:rsid w:val="009638B1"/>
    <w:rsid w:val="00963EC8"/>
    <w:rsid w:val="00964312"/>
    <w:rsid w:val="00964E19"/>
    <w:rsid w:val="00966895"/>
    <w:rsid w:val="00971060"/>
    <w:rsid w:val="0097113E"/>
    <w:rsid w:val="009715FC"/>
    <w:rsid w:val="009727F6"/>
    <w:rsid w:val="00972A4F"/>
    <w:rsid w:val="009738A1"/>
    <w:rsid w:val="00973911"/>
    <w:rsid w:val="00974A51"/>
    <w:rsid w:val="00976B6F"/>
    <w:rsid w:val="00976E7B"/>
    <w:rsid w:val="0098002F"/>
    <w:rsid w:val="00980E11"/>
    <w:rsid w:val="00980F39"/>
    <w:rsid w:val="009815ED"/>
    <w:rsid w:val="00981940"/>
    <w:rsid w:val="009830B3"/>
    <w:rsid w:val="009833BD"/>
    <w:rsid w:val="00983922"/>
    <w:rsid w:val="00983E57"/>
    <w:rsid w:val="00984FD2"/>
    <w:rsid w:val="00985B9B"/>
    <w:rsid w:val="0098610E"/>
    <w:rsid w:val="00986468"/>
    <w:rsid w:val="00986B3D"/>
    <w:rsid w:val="00986DF2"/>
    <w:rsid w:val="00987C06"/>
    <w:rsid w:val="009905CA"/>
    <w:rsid w:val="00990BC0"/>
    <w:rsid w:val="00992854"/>
    <w:rsid w:val="00995254"/>
    <w:rsid w:val="0099540F"/>
    <w:rsid w:val="009961A6"/>
    <w:rsid w:val="0099623E"/>
    <w:rsid w:val="00996B1A"/>
    <w:rsid w:val="009A01FA"/>
    <w:rsid w:val="009A09FB"/>
    <w:rsid w:val="009A264E"/>
    <w:rsid w:val="009A29FC"/>
    <w:rsid w:val="009A33C5"/>
    <w:rsid w:val="009A3483"/>
    <w:rsid w:val="009A3787"/>
    <w:rsid w:val="009A3DAE"/>
    <w:rsid w:val="009A4E1D"/>
    <w:rsid w:val="009A649D"/>
    <w:rsid w:val="009A6854"/>
    <w:rsid w:val="009A78CF"/>
    <w:rsid w:val="009B115D"/>
    <w:rsid w:val="009B1CE7"/>
    <w:rsid w:val="009B1D25"/>
    <w:rsid w:val="009B209E"/>
    <w:rsid w:val="009B316A"/>
    <w:rsid w:val="009B36ED"/>
    <w:rsid w:val="009B3B74"/>
    <w:rsid w:val="009B3E26"/>
    <w:rsid w:val="009B4198"/>
    <w:rsid w:val="009B43CC"/>
    <w:rsid w:val="009B449D"/>
    <w:rsid w:val="009B5AD6"/>
    <w:rsid w:val="009B5C93"/>
    <w:rsid w:val="009B6CEC"/>
    <w:rsid w:val="009C141C"/>
    <w:rsid w:val="009C3F44"/>
    <w:rsid w:val="009C3FC9"/>
    <w:rsid w:val="009C48F7"/>
    <w:rsid w:val="009C4BC7"/>
    <w:rsid w:val="009C4CC1"/>
    <w:rsid w:val="009C6AC4"/>
    <w:rsid w:val="009C7499"/>
    <w:rsid w:val="009C78E6"/>
    <w:rsid w:val="009C7982"/>
    <w:rsid w:val="009D2511"/>
    <w:rsid w:val="009D2AB0"/>
    <w:rsid w:val="009D35F5"/>
    <w:rsid w:val="009D363A"/>
    <w:rsid w:val="009D5B91"/>
    <w:rsid w:val="009D65AA"/>
    <w:rsid w:val="009E23FC"/>
    <w:rsid w:val="009E3EAB"/>
    <w:rsid w:val="009E4C07"/>
    <w:rsid w:val="009E6320"/>
    <w:rsid w:val="009E69C6"/>
    <w:rsid w:val="009E6F2F"/>
    <w:rsid w:val="009E7552"/>
    <w:rsid w:val="009F09D1"/>
    <w:rsid w:val="009F1323"/>
    <w:rsid w:val="009F19B1"/>
    <w:rsid w:val="009F2E61"/>
    <w:rsid w:val="009F4D6E"/>
    <w:rsid w:val="009F58BE"/>
    <w:rsid w:val="009F65D1"/>
    <w:rsid w:val="009F6BE2"/>
    <w:rsid w:val="009F70FF"/>
    <w:rsid w:val="00A009D5"/>
    <w:rsid w:val="00A02F85"/>
    <w:rsid w:val="00A03D43"/>
    <w:rsid w:val="00A04380"/>
    <w:rsid w:val="00A0527B"/>
    <w:rsid w:val="00A062B5"/>
    <w:rsid w:val="00A06A83"/>
    <w:rsid w:val="00A06D48"/>
    <w:rsid w:val="00A133C6"/>
    <w:rsid w:val="00A13803"/>
    <w:rsid w:val="00A13948"/>
    <w:rsid w:val="00A1394B"/>
    <w:rsid w:val="00A13C40"/>
    <w:rsid w:val="00A14867"/>
    <w:rsid w:val="00A14F27"/>
    <w:rsid w:val="00A15394"/>
    <w:rsid w:val="00A1652D"/>
    <w:rsid w:val="00A2097C"/>
    <w:rsid w:val="00A2160F"/>
    <w:rsid w:val="00A2171B"/>
    <w:rsid w:val="00A223FF"/>
    <w:rsid w:val="00A2254D"/>
    <w:rsid w:val="00A22611"/>
    <w:rsid w:val="00A22C8F"/>
    <w:rsid w:val="00A2338F"/>
    <w:rsid w:val="00A23530"/>
    <w:rsid w:val="00A23568"/>
    <w:rsid w:val="00A23926"/>
    <w:rsid w:val="00A23CB6"/>
    <w:rsid w:val="00A244B6"/>
    <w:rsid w:val="00A244DB"/>
    <w:rsid w:val="00A25150"/>
    <w:rsid w:val="00A25EB5"/>
    <w:rsid w:val="00A25F64"/>
    <w:rsid w:val="00A26F25"/>
    <w:rsid w:val="00A27943"/>
    <w:rsid w:val="00A27AEC"/>
    <w:rsid w:val="00A30543"/>
    <w:rsid w:val="00A3095E"/>
    <w:rsid w:val="00A3183A"/>
    <w:rsid w:val="00A3206B"/>
    <w:rsid w:val="00A33009"/>
    <w:rsid w:val="00A33EE8"/>
    <w:rsid w:val="00A34B23"/>
    <w:rsid w:val="00A359C3"/>
    <w:rsid w:val="00A35D16"/>
    <w:rsid w:val="00A36308"/>
    <w:rsid w:val="00A364CC"/>
    <w:rsid w:val="00A36AC0"/>
    <w:rsid w:val="00A40EBE"/>
    <w:rsid w:val="00A41A5A"/>
    <w:rsid w:val="00A42664"/>
    <w:rsid w:val="00A429E5"/>
    <w:rsid w:val="00A433D9"/>
    <w:rsid w:val="00A43C59"/>
    <w:rsid w:val="00A4462E"/>
    <w:rsid w:val="00A4494C"/>
    <w:rsid w:val="00A4594C"/>
    <w:rsid w:val="00A466CA"/>
    <w:rsid w:val="00A47002"/>
    <w:rsid w:val="00A50E0F"/>
    <w:rsid w:val="00A50ECD"/>
    <w:rsid w:val="00A50F3D"/>
    <w:rsid w:val="00A510FB"/>
    <w:rsid w:val="00A52009"/>
    <w:rsid w:val="00A52729"/>
    <w:rsid w:val="00A52E69"/>
    <w:rsid w:val="00A53675"/>
    <w:rsid w:val="00A53D02"/>
    <w:rsid w:val="00A5622D"/>
    <w:rsid w:val="00A56B6A"/>
    <w:rsid w:val="00A57277"/>
    <w:rsid w:val="00A57583"/>
    <w:rsid w:val="00A577B5"/>
    <w:rsid w:val="00A578DC"/>
    <w:rsid w:val="00A602DD"/>
    <w:rsid w:val="00A60358"/>
    <w:rsid w:val="00A60D79"/>
    <w:rsid w:val="00A61D1F"/>
    <w:rsid w:val="00A622AC"/>
    <w:rsid w:val="00A62CD4"/>
    <w:rsid w:val="00A630C7"/>
    <w:rsid w:val="00A6385A"/>
    <w:rsid w:val="00A63EAF"/>
    <w:rsid w:val="00A6619F"/>
    <w:rsid w:val="00A6725B"/>
    <w:rsid w:val="00A674B9"/>
    <w:rsid w:val="00A67A3F"/>
    <w:rsid w:val="00A70CB1"/>
    <w:rsid w:val="00A717D7"/>
    <w:rsid w:val="00A73912"/>
    <w:rsid w:val="00A7518E"/>
    <w:rsid w:val="00A86E8B"/>
    <w:rsid w:val="00A87403"/>
    <w:rsid w:val="00A87A21"/>
    <w:rsid w:val="00A9048E"/>
    <w:rsid w:val="00A90A93"/>
    <w:rsid w:val="00A93072"/>
    <w:rsid w:val="00A93FDB"/>
    <w:rsid w:val="00AA00D2"/>
    <w:rsid w:val="00AA0977"/>
    <w:rsid w:val="00AA0A07"/>
    <w:rsid w:val="00AA0D21"/>
    <w:rsid w:val="00AA12AC"/>
    <w:rsid w:val="00AA132A"/>
    <w:rsid w:val="00AA13E7"/>
    <w:rsid w:val="00AA1B41"/>
    <w:rsid w:val="00AA3CF8"/>
    <w:rsid w:val="00AA469B"/>
    <w:rsid w:val="00AA4F9E"/>
    <w:rsid w:val="00AA7F7A"/>
    <w:rsid w:val="00AB0413"/>
    <w:rsid w:val="00AB042A"/>
    <w:rsid w:val="00AB064F"/>
    <w:rsid w:val="00AB1A29"/>
    <w:rsid w:val="00AB1A50"/>
    <w:rsid w:val="00AB3041"/>
    <w:rsid w:val="00AB3430"/>
    <w:rsid w:val="00AB37B2"/>
    <w:rsid w:val="00AB6EE0"/>
    <w:rsid w:val="00AB6FDA"/>
    <w:rsid w:val="00AB745B"/>
    <w:rsid w:val="00AB7613"/>
    <w:rsid w:val="00AB7CFA"/>
    <w:rsid w:val="00AC02DC"/>
    <w:rsid w:val="00AC0BFF"/>
    <w:rsid w:val="00AC31B4"/>
    <w:rsid w:val="00AC3393"/>
    <w:rsid w:val="00AC5AF5"/>
    <w:rsid w:val="00AC67EB"/>
    <w:rsid w:val="00AD1B74"/>
    <w:rsid w:val="00AD1CDB"/>
    <w:rsid w:val="00AD276F"/>
    <w:rsid w:val="00AD3081"/>
    <w:rsid w:val="00AD420A"/>
    <w:rsid w:val="00AD4AA9"/>
    <w:rsid w:val="00AD4F70"/>
    <w:rsid w:val="00AD52CB"/>
    <w:rsid w:val="00AD655C"/>
    <w:rsid w:val="00AD6D0C"/>
    <w:rsid w:val="00AE01B1"/>
    <w:rsid w:val="00AE03E3"/>
    <w:rsid w:val="00AE46B2"/>
    <w:rsid w:val="00AE4989"/>
    <w:rsid w:val="00AE7255"/>
    <w:rsid w:val="00AF1B4A"/>
    <w:rsid w:val="00AF3D2E"/>
    <w:rsid w:val="00AF3F12"/>
    <w:rsid w:val="00AF6523"/>
    <w:rsid w:val="00AF7637"/>
    <w:rsid w:val="00AF76C9"/>
    <w:rsid w:val="00AF7AF9"/>
    <w:rsid w:val="00B00E13"/>
    <w:rsid w:val="00B00EFC"/>
    <w:rsid w:val="00B01812"/>
    <w:rsid w:val="00B02364"/>
    <w:rsid w:val="00B04E96"/>
    <w:rsid w:val="00B05452"/>
    <w:rsid w:val="00B119FA"/>
    <w:rsid w:val="00B134AA"/>
    <w:rsid w:val="00B14A03"/>
    <w:rsid w:val="00B14E8F"/>
    <w:rsid w:val="00B22265"/>
    <w:rsid w:val="00B22441"/>
    <w:rsid w:val="00B23721"/>
    <w:rsid w:val="00B244D1"/>
    <w:rsid w:val="00B249B0"/>
    <w:rsid w:val="00B24AB7"/>
    <w:rsid w:val="00B25810"/>
    <w:rsid w:val="00B27C1A"/>
    <w:rsid w:val="00B31A0B"/>
    <w:rsid w:val="00B31BAA"/>
    <w:rsid w:val="00B320AD"/>
    <w:rsid w:val="00B32AC2"/>
    <w:rsid w:val="00B35C12"/>
    <w:rsid w:val="00B360FA"/>
    <w:rsid w:val="00B40CE4"/>
    <w:rsid w:val="00B42851"/>
    <w:rsid w:val="00B42E6C"/>
    <w:rsid w:val="00B42F3D"/>
    <w:rsid w:val="00B432E4"/>
    <w:rsid w:val="00B441ED"/>
    <w:rsid w:val="00B44DD5"/>
    <w:rsid w:val="00B44FB6"/>
    <w:rsid w:val="00B461D8"/>
    <w:rsid w:val="00B4664E"/>
    <w:rsid w:val="00B46FAD"/>
    <w:rsid w:val="00B4737C"/>
    <w:rsid w:val="00B5121C"/>
    <w:rsid w:val="00B51564"/>
    <w:rsid w:val="00B5173A"/>
    <w:rsid w:val="00B519B1"/>
    <w:rsid w:val="00B529DA"/>
    <w:rsid w:val="00B52D75"/>
    <w:rsid w:val="00B52FB0"/>
    <w:rsid w:val="00B530E9"/>
    <w:rsid w:val="00B53C53"/>
    <w:rsid w:val="00B54307"/>
    <w:rsid w:val="00B54324"/>
    <w:rsid w:val="00B54B5B"/>
    <w:rsid w:val="00B554E1"/>
    <w:rsid w:val="00B5562E"/>
    <w:rsid w:val="00B568F0"/>
    <w:rsid w:val="00B56EC3"/>
    <w:rsid w:val="00B57000"/>
    <w:rsid w:val="00B575AF"/>
    <w:rsid w:val="00B57D28"/>
    <w:rsid w:val="00B60018"/>
    <w:rsid w:val="00B60315"/>
    <w:rsid w:val="00B608CF"/>
    <w:rsid w:val="00B60939"/>
    <w:rsid w:val="00B60AFD"/>
    <w:rsid w:val="00B62715"/>
    <w:rsid w:val="00B62891"/>
    <w:rsid w:val="00B6339D"/>
    <w:rsid w:val="00B638B1"/>
    <w:rsid w:val="00B63F76"/>
    <w:rsid w:val="00B64E04"/>
    <w:rsid w:val="00B6669D"/>
    <w:rsid w:val="00B71D60"/>
    <w:rsid w:val="00B7211E"/>
    <w:rsid w:val="00B721CA"/>
    <w:rsid w:val="00B72AB7"/>
    <w:rsid w:val="00B75F3C"/>
    <w:rsid w:val="00B7610C"/>
    <w:rsid w:val="00B77A3A"/>
    <w:rsid w:val="00B80918"/>
    <w:rsid w:val="00B80975"/>
    <w:rsid w:val="00B80F68"/>
    <w:rsid w:val="00B818A4"/>
    <w:rsid w:val="00B828FB"/>
    <w:rsid w:val="00B82ADD"/>
    <w:rsid w:val="00B843BE"/>
    <w:rsid w:val="00B846B7"/>
    <w:rsid w:val="00B8649C"/>
    <w:rsid w:val="00B86F09"/>
    <w:rsid w:val="00B8752F"/>
    <w:rsid w:val="00B87F32"/>
    <w:rsid w:val="00B91DC0"/>
    <w:rsid w:val="00B92D0B"/>
    <w:rsid w:val="00B930A5"/>
    <w:rsid w:val="00B94945"/>
    <w:rsid w:val="00B959F8"/>
    <w:rsid w:val="00B95B01"/>
    <w:rsid w:val="00B9618C"/>
    <w:rsid w:val="00B96A94"/>
    <w:rsid w:val="00B978FC"/>
    <w:rsid w:val="00B97B51"/>
    <w:rsid w:val="00BA0914"/>
    <w:rsid w:val="00BA0CD2"/>
    <w:rsid w:val="00BA25DE"/>
    <w:rsid w:val="00BA3EBF"/>
    <w:rsid w:val="00BA518E"/>
    <w:rsid w:val="00BA625D"/>
    <w:rsid w:val="00BA7451"/>
    <w:rsid w:val="00BB09B5"/>
    <w:rsid w:val="00BB2218"/>
    <w:rsid w:val="00BB3AED"/>
    <w:rsid w:val="00BB4846"/>
    <w:rsid w:val="00BB496C"/>
    <w:rsid w:val="00BB4DD0"/>
    <w:rsid w:val="00BB647C"/>
    <w:rsid w:val="00BC0BF1"/>
    <w:rsid w:val="00BC1C20"/>
    <w:rsid w:val="00BC211C"/>
    <w:rsid w:val="00BC2125"/>
    <w:rsid w:val="00BC32F2"/>
    <w:rsid w:val="00BC425A"/>
    <w:rsid w:val="00BC428D"/>
    <w:rsid w:val="00BC4B06"/>
    <w:rsid w:val="00BC606F"/>
    <w:rsid w:val="00BC688F"/>
    <w:rsid w:val="00BD0284"/>
    <w:rsid w:val="00BD03A1"/>
    <w:rsid w:val="00BD05C4"/>
    <w:rsid w:val="00BD0D27"/>
    <w:rsid w:val="00BD0F91"/>
    <w:rsid w:val="00BD1E5A"/>
    <w:rsid w:val="00BD1E9F"/>
    <w:rsid w:val="00BD2CE6"/>
    <w:rsid w:val="00BD4721"/>
    <w:rsid w:val="00BD4B9E"/>
    <w:rsid w:val="00BD5156"/>
    <w:rsid w:val="00BD5208"/>
    <w:rsid w:val="00BD578B"/>
    <w:rsid w:val="00BD64F7"/>
    <w:rsid w:val="00BD6FF9"/>
    <w:rsid w:val="00BE0DA2"/>
    <w:rsid w:val="00BE1285"/>
    <w:rsid w:val="00BE2180"/>
    <w:rsid w:val="00BE2772"/>
    <w:rsid w:val="00BE2E9D"/>
    <w:rsid w:val="00BE3D6A"/>
    <w:rsid w:val="00BE4176"/>
    <w:rsid w:val="00BE4275"/>
    <w:rsid w:val="00BE4EAA"/>
    <w:rsid w:val="00BE6624"/>
    <w:rsid w:val="00BE67FD"/>
    <w:rsid w:val="00BE6A84"/>
    <w:rsid w:val="00BE6C3C"/>
    <w:rsid w:val="00BF04D7"/>
    <w:rsid w:val="00BF1CEC"/>
    <w:rsid w:val="00BF23ED"/>
    <w:rsid w:val="00BF2433"/>
    <w:rsid w:val="00BF276F"/>
    <w:rsid w:val="00BF288D"/>
    <w:rsid w:val="00BF54D9"/>
    <w:rsid w:val="00BF586B"/>
    <w:rsid w:val="00BF61C9"/>
    <w:rsid w:val="00BF699F"/>
    <w:rsid w:val="00BF7473"/>
    <w:rsid w:val="00C00964"/>
    <w:rsid w:val="00C013F1"/>
    <w:rsid w:val="00C0159C"/>
    <w:rsid w:val="00C01E08"/>
    <w:rsid w:val="00C028BC"/>
    <w:rsid w:val="00C03100"/>
    <w:rsid w:val="00C0565B"/>
    <w:rsid w:val="00C05B41"/>
    <w:rsid w:val="00C06045"/>
    <w:rsid w:val="00C060F9"/>
    <w:rsid w:val="00C107DF"/>
    <w:rsid w:val="00C114DD"/>
    <w:rsid w:val="00C11F3D"/>
    <w:rsid w:val="00C12A92"/>
    <w:rsid w:val="00C132B7"/>
    <w:rsid w:val="00C1330E"/>
    <w:rsid w:val="00C14BAA"/>
    <w:rsid w:val="00C156F5"/>
    <w:rsid w:val="00C15B41"/>
    <w:rsid w:val="00C1669D"/>
    <w:rsid w:val="00C16D73"/>
    <w:rsid w:val="00C17142"/>
    <w:rsid w:val="00C1768C"/>
    <w:rsid w:val="00C17B14"/>
    <w:rsid w:val="00C218F1"/>
    <w:rsid w:val="00C226F2"/>
    <w:rsid w:val="00C22E4B"/>
    <w:rsid w:val="00C241DB"/>
    <w:rsid w:val="00C247A7"/>
    <w:rsid w:val="00C2528A"/>
    <w:rsid w:val="00C25418"/>
    <w:rsid w:val="00C25D9C"/>
    <w:rsid w:val="00C26DE1"/>
    <w:rsid w:val="00C310AA"/>
    <w:rsid w:val="00C31649"/>
    <w:rsid w:val="00C3271A"/>
    <w:rsid w:val="00C3301E"/>
    <w:rsid w:val="00C33AD1"/>
    <w:rsid w:val="00C33CCE"/>
    <w:rsid w:val="00C34EFB"/>
    <w:rsid w:val="00C35584"/>
    <w:rsid w:val="00C35DFA"/>
    <w:rsid w:val="00C37AE2"/>
    <w:rsid w:val="00C37C10"/>
    <w:rsid w:val="00C37F03"/>
    <w:rsid w:val="00C40385"/>
    <w:rsid w:val="00C41ADE"/>
    <w:rsid w:val="00C425E9"/>
    <w:rsid w:val="00C4269D"/>
    <w:rsid w:val="00C42D2A"/>
    <w:rsid w:val="00C42DC4"/>
    <w:rsid w:val="00C45137"/>
    <w:rsid w:val="00C45304"/>
    <w:rsid w:val="00C455F8"/>
    <w:rsid w:val="00C46A32"/>
    <w:rsid w:val="00C5077D"/>
    <w:rsid w:val="00C53B61"/>
    <w:rsid w:val="00C546D1"/>
    <w:rsid w:val="00C5486E"/>
    <w:rsid w:val="00C615D6"/>
    <w:rsid w:val="00C62B74"/>
    <w:rsid w:val="00C649EB"/>
    <w:rsid w:val="00C64C41"/>
    <w:rsid w:val="00C6506C"/>
    <w:rsid w:val="00C65576"/>
    <w:rsid w:val="00C65DBB"/>
    <w:rsid w:val="00C66165"/>
    <w:rsid w:val="00C67A35"/>
    <w:rsid w:val="00C67DD8"/>
    <w:rsid w:val="00C70BC4"/>
    <w:rsid w:val="00C71D1E"/>
    <w:rsid w:val="00C71ED6"/>
    <w:rsid w:val="00C7449B"/>
    <w:rsid w:val="00C752B1"/>
    <w:rsid w:val="00C7596F"/>
    <w:rsid w:val="00C760F2"/>
    <w:rsid w:val="00C76629"/>
    <w:rsid w:val="00C76814"/>
    <w:rsid w:val="00C77625"/>
    <w:rsid w:val="00C8213F"/>
    <w:rsid w:val="00C82992"/>
    <w:rsid w:val="00C82ECB"/>
    <w:rsid w:val="00C840B7"/>
    <w:rsid w:val="00C84A57"/>
    <w:rsid w:val="00C85790"/>
    <w:rsid w:val="00C86E70"/>
    <w:rsid w:val="00C8797A"/>
    <w:rsid w:val="00C87ABE"/>
    <w:rsid w:val="00C90A3B"/>
    <w:rsid w:val="00C91744"/>
    <w:rsid w:val="00C93375"/>
    <w:rsid w:val="00C938CF"/>
    <w:rsid w:val="00C971EF"/>
    <w:rsid w:val="00C9790B"/>
    <w:rsid w:val="00C97B14"/>
    <w:rsid w:val="00CA0C5F"/>
    <w:rsid w:val="00CA2EA5"/>
    <w:rsid w:val="00CA3FDD"/>
    <w:rsid w:val="00CA418B"/>
    <w:rsid w:val="00CA45C9"/>
    <w:rsid w:val="00CA4ECB"/>
    <w:rsid w:val="00CA5245"/>
    <w:rsid w:val="00CA5494"/>
    <w:rsid w:val="00CA58E9"/>
    <w:rsid w:val="00CA78E1"/>
    <w:rsid w:val="00CA7B09"/>
    <w:rsid w:val="00CB039E"/>
    <w:rsid w:val="00CB0DDB"/>
    <w:rsid w:val="00CB2BE2"/>
    <w:rsid w:val="00CB3DC7"/>
    <w:rsid w:val="00CB3FE8"/>
    <w:rsid w:val="00CB4D2B"/>
    <w:rsid w:val="00CB5013"/>
    <w:rsid w:val="00CB5AFD"/>
    <w:rsid w:val="00CB5B1A"/>
    <w:rsid w:val="00CB6AC8"/>
    <w:rsid w:val="00CC0E4B"/>
    <w:rsid w:val="00CC238E"/>
    <w:rsid w:val="00CC5DE8"/>
    <w:rsid w:val="00CC6DB2"/>
    <w:rsid w:val="00CD038C"/>
    <w:rsid w:val="00CD1E3F"/>
    <w:rsid w:val="00CD23A0"/>
    <w:rsid w:val="00CD2F9A"/>
    <w:rsid w:val="00CD4A67"/>
    <w:rsid w:val="00CD6172"/>
    <w:rsid w:val="00CD6ADC"/>
    <w:rsid w:val="00CD7664"/>
    <w:rsid w:val="00CE022A"/>
    <w:rsid w:val="00CE02EC"/>
    <w:rsid w:val="00CE0473"/>
    <w:rsid w:val="00CE1069"/>
    <w:rsid w:val="00CE13BB"/>
    <w:rsid w:val="00CE1A88"/>
    <w:rsid w:val="00CE215D"/>
    <w:rsid w:val="00CE3F86"/>
    <w:rsid w:val="00CE52EE"/>
    <w:rsid w:val="00CE5B92"/>
    <w:rsid w:val="00CE5C9E"/>
    <w:rsid w:val="00CE6274"/>
    <w:rsid w:val="00CE737B"/>
    <w:rsid w:val="00CE73C2"/>
    <w:rsid w:val="00CE77DE"/>
    <w:rsid w:val="00CE7ECF"/>
    <w:rsid w:val="00CF362C"/>
    <w:rsid w:val="00CF3D53"/>
    <w:rsid w:val="00CF3E19"/>
    <w:rsid w:val="00CF41A4"/>
    <w:rsid w:val="00CF456B"/>
    <w:rsid w:val="00CF4668"/>
    <w:rsid w:val="00CF5A22"/>
    <w:rsid w:val="00CF5A80"/>
    <w:rsid w:val="00CF639C"/>
    <w:rsid w:val="00CF7259"/>
    <w:rsid w:val="00CF7FE8"/>
    <w:rsid w:val="00D01269"/>
    <w:rsid w:val="00D022F7"/>
    <w:rsid w:val="00D023FB"/>
    <w:rsid w:val="00D0262E"/>
    <w:rsid w:val="00D03426"/>
    <w:rsid w:val="00D04C42"/>
    <w:rsid w:val="00D05318"/>
    <w:rsid w:val="00D06FD4"/>
    <w:rsid w:val="00D0723C"/>
    <w:rsid w:val="00D077E1"/>
    <w:rsid w:val="00D07EFF"/>
    <w:rsid w:val="00D110BD"/>
    <w:rsid w:val="00D113AB"/>
    <w:rsid w:val="00D116D4"/>
    <w:rsid w:val="00D12AF5"/>
    <w:rsid w:val="00D1346D"/>
    <w:rsid w:val="00D1574C"/>
    <w:rsid w:val="00D15809"/>
    <w:rsid w:val="00D15A60"/>
    <w:rsid w:val="00D17D27"/>
    <w:rsid w:val="00D17D6C"/>
    <w:rsid w:val="00D20841"/>
    <w:rsid w:val="00D22474"/>
    <w:rsid w:val="00D22584"/>
    <w:rsid w:val="00D233E9"/>
    <w:rsid w:val="00D23906"/>
    <w:rsid w:val="00D2430A"/>
    <w:rsid w:val="00D244AB"/>
    <w:rsid w:val="00D24AF3"/>
    <w:rsid w:val="00D25270"/>
    <w:rsid w:val="00D25DDC"/>
    <w:rsid w:val="00D26398"/>
    <w:rsid w:val="00D26869"/>
    <w:rsid w:val="00D26E71"/>
    <w:rsid w:val="00D26FD8"/>
    <w:rsid w:val="00D30E17"/>
    <w:rsid w:val="00D317FB"/>
    <w:rsid w:val="00D31B30"/>
    <w:rsid w:val="00D31EAA"/>
    <w:rsid w:val="00D32418"/>
    <w:rsid w:val="00D32EF5"/>
    <w:rsid w:val="00D33AC6"/>
    <w:rsid w:val="00D3432C"/>
    <w:rsid w:val="00D349B7"/>
    <w:rsid w:val="00D3532E"/>
    <w:rsid w:val="00D35B7D"/>
    <w:rsid w:val="00D35D52"/>
    <w:rsid w:val="00D36397"/>
    <w:rsid w:val="00D4143C"/>
    <w:rsid w:val="00D423CA"/>
    <w:rsid w:val="00D42DD3"/>
    <w:rsid w:val="00D43276"/>
    <w:rsid w:val="00D43603"/>
    <w:rsid w:val="00D43D36"/>
    <w:rsid w:val="00D44408"/>
    <w:rsid w:val="00D466F3"/>
    <w:rsid w:val="00D47A23"/>
    <w:rsid w:val="00D512D4"/>
    <w:rsid w:val="00D5229F"/>
    <w:rsid w:val="00D5231F"/>
    <w:rsid w:val="00D5275E"/>
    <w:rsid w:val="00D52FBC"/>
    <w:rsid w:val="00D53512"/>
    <w:rsid w:val="00D57A62"/>
    <w:rsid w:val="00D57D2C"/>
    <w:rsid w:val="00D57D72"/>
    <w:rsid w:val="00D631E5"/>
    <w:rsid w:val="00D63205"/>
    <w:rsid w:val="00D637EA"/>
    <w:rsid w:val="00D67604"/>
    <w:rsid w:val="00D709F2"/>
    <w:rsid w:val="00D71D8A"/>
    <w:rsid w:val="00D7238A"/>
    <w:rsid w:val="00D72450"/>
    <w:rsid w:val="00D7379F"/>
    <w:rsid w:val="00D75605"/>
    <w:rsid w:val="00D7588D"/>
    <w:rsid w:val="00D763E7"/>
    <w:rsid w:val="00D76A44"/>
    <w:rsid w:val="00D76F20"/>
    <w:rsid w:val="00D7731F"/>
    <w:rsid w:val="00D8019A"/>
    <w:rsid w:val="00D80D5D"/>
    <w:rsid w:val="00D819E9"/>
    <w:rsid w:val="00D81FEF"/>
    <w:rsid w:val="00D82C7B"/>
    <w:rsid w:val="00D848AB"/>
    <w:rsid w:val="00D8502E"/>
    <w:rsid w:val="00D85E28"/>
    <w:rsid w:val="00D86034"/>
    <w:rsid w:val="00D86B30"/>
    <w:rsid w:val="00D873EE"/>
    <w:rsid w:val="00D907C2"/>
    <w:rsid w:val="00D907E3"/>
    <w:rsid w:val="00D9139E"/>
    <w:rsid w:val="00D91C6C"/>
    <w:rsid w:val="00D93294"/>
    <w:rsid w:val="00D932FA"/>
    <w:rsid w:val="00D93753"/>
    <w:rsid w:val="00D939A9"/>
    <w:rsid w:val="00D9461B"/>
    <w:rsid w:val="00D94C12"/>
    <w:rsid w:val="00DA0A53"/>
    <w:rsid w:val="00DA0CD6"/>
    <w:rsid w:val="00DA0D5D"/>
    <w:rsid w:val="00DA2352"/>
    <w:rsid w:val="00DA251F"/>
    <w:rsid w:val="00DA37AB"/>
    <w:rsid w:val="00DA3995"/>
    <w:rsid w:val="00DA44FE"/>
    <w:rsid w:val="00DA46A8"/>
    <w:rsid w:val="00DA5619"/>
    <w:rsid w:val="00DA77A5"/>
    <w:rsid w:val="00DB0234"/>
    <w:rsid w:val="00DB0311"/>
    <w:rsid w:val="00DB1CCC"/>
    <w:rsid w:val="00DB24E3"/>
    <w:rsid w:val="00DB30B0"/>
    <w:rsid w:val="00DB3653"/>
    <w:rsid w:val="00DB4D8A"/>
    <w:rsid w:val="00DB4DA2"/>
    <w:rsid w:val="00DB53B5"/>
    <w:rsid w:val="00DB550C"/>
    <w:rsid w:val="00DB5D9A"/>
    <w:rsid w:val="00DB64FD"/>
    <w:rsid w:val="00DB7C4E"/>
    <w:rsid w:val="00DC00B5"/>
    <w:rsid w:val="00DC0ED8"/>
    <w:rsid w:val="00DC1A89"/>
    <w:rsid w:val="00DC2084"/>
    <w:rsid w:val="00DC2E78"/>
    <w:rsid w:val="00DC4C40"/>
    <w:rsid w:val="00DC4DA7"/>
    <w:rsid w:val="00DC4E10"/>
    <w:rsid w:val="00DC5501"/>
    <w:rsid w:val="00DC567F"/>
    <w:rsid w:val="00DC5EF3"/>
    <w:rsid w:val="00DC60BC"/>
    <w:rsid w:val="00DD017A"/>
    <w:rsid w:val="00DD038C"/>
    <w:rsid w:val="00DD1596"/>
    <w:rsid w:val="00DD2072"/>
    <w:rsid w:val="00DD22A2"/>
    <w:rsid w:val="00DD2449"/>
    <w:rsid w:val="00DD3897"/>
    <w:rsid w:val="00DD3ABE"/>
    <w:rsid w:val="00DD3DC5"/>
    <w:rsid w:val="00DD3F28"/>
    <w:rsid w:val="00DD40B4"/>
    <w:rsid w:val="00DD4192"/>
    <w:rsid w:val="00DD4537"/>
    <w:rsid w:val="00DD4613"/>
    <w:rsid w:val="00DD4AAA"/>
    <w:rsid w:val="00DD4E15"/>
    <w:rsid w:val="00DD64A0"/>
    <w:rsid w:val="00DE1D5D"/>
    <w:rsid w:val="00DE2B96"/>
    <w:rsid w:val="00DE38D4"/>
    <w:rsid w:val="00DE4FCB"/>
    <w:rsid w:val="00DE6BC2"/>
    <w:rsid w:val="00DE6D11"/>
    <w:rsid w:val="00DE6DEC"/>
    <w:rsid w:val="00DE7E09"/>
    <w:rsid w:val="00DF0E2A"/>
    <w:rsid w:val="00DF10F0"/>
    <w:rsid w:val="00DF1ADB"/>
    <w:rsid w:val="00DF1DF9"/>
    <w:rsid w:val="00DF4312"/>
    <w:rsid w:val="00DF45B9"/>
    <w:rsid w:val="00DF7761"/>
    <w:rsid w:val="00DF7AED"/>
    <w:rsid w:val="00E00478"/>
    <w:rsid w:val="00E008ED"/>
    <w:rsid w:val="00E011DA"/>
    <w:rsid w:val="00E01B3E"/>
    <w:rsid w:val="00E027DA"/>
    <w:rsid w:val="00E03255"/>
    <w:rsid w:val="00E0329E"/>
    <w:rsid w:val="00E070ED"/>
    <w:rsid w:val="00E10149"/>
    <w:rsid w:val="00E1134F"/>
    <w:rsid w:val="00E11378"/>
    <w:rsid w:val="00E11946"/>
    <w:rsid w:val="00E14AEC"/>
    <w:rsid w:val="00E14D66"/>
    <w:rsid w:val="00E1624B"/>
    <w:rsid w:val="00E16372"/>
    <w:rsid w:val="00E172B0"/>
    <w:rsid w:val="00E20BDB"/>
    <w:rsid w:val="00E20ED6"/>
    <w:rsid w:val="00E21358"/>
    <w:rsid w:val="00E2249B"/>
    <w:rsid w:val="00E22A74"/>
    <w:rsid w:val="00E23128"/>
    <w:rsid w:val="00E242DE"/>
    <w:rsid w:val="00E2433E"/>
    <w:rsid w:val="00E243D4"/>
    <w:rsid w:val="00E24966"/>
    <w:rsid w:val="00E24FB9"/>
    <w:rsid w:val="00E258C7"/>
    <w:rsid w:val="00E26BB2"/>
    <w:rsid w:val="00E26F95"/>
    <w:rsid w:val="00E276F1"/>
    <w:rsid w:val="00E2771E"/>
    <w:rsid w:val="00E30269"/>
    <w:rsid w:val="00E30CCC"/>
    <w:rsid w:val="00E31FA4"/>
    <w:rsid w:val="00E32D9B"/>
    <w:rsid w:val="00E33283"/>
    <w:rsid w:val="00E3360D"/>
    <w:rsid w:val="00E34776"/>
    <w:rsid w:val="00E3531F"/>
    <w:rsid w:val="00E35A3D"/>
    <w:rsid w:val="00E35B34"/>
    <w:rsid w:val="00E3616F"/>
    <w:rsid w:val="00E37569"/>
    <w:rsid w:val="00E40EC4"/>
    <w:rsid w:val="00E41E30"/>
    <w:rsid w:val="00E41EBD"/>
    <w:rsid w:val="00E439EA"/>
    <w:rsid w:val="00E44A32"/>
    <w:rsid w:val="00E44E60"/>
    <w:rsid w:val="00E46969"/>
    <w:rsid w:val="00E469F4"/>
    <w:rsid w:val="00E47B2C"/>
    <w:rsid w:val="00E50C0E"/>
    <w:rsid w:val="00E51886"/>
    <w:rsid w:val="00E5194F"/>
    <w:rsid w:val="00E5452C"/>
    <w:rsid w:val="00E54915"/>
    <w:rsid w:val="00E54F51"/>
    <w:rsid w:val="00E55424"/>
    <w:rsid w:val="00E56A91"/>
    <w:rsid w:val="00E57678"/>
    <w:rsid w:val="00E57E78"/>
    <w:rsid w:val="00E6277B"/>
    <w:rsid w:val="00E62FDE"/>
    <w:rsid w:val="00E63176"/>
    <w:rsid w:val="00E63D6D"/>
    <w:rsid w:val="00E65E79"/>
    <w:rsid w:val="00E67416"/>
    <w:rsid w:val="00E6782E"/>
    <w:rsid w:val="00E67AEF"/>
    <w:rsid w:val="00E718B6"/>
    <w:rsid w:val="00E71A31"/>
    <w:rsid w:val="00E7201A"/>
    <w:rsid w:val="00E7272A"/>
    <w:rsid w:val="00E73028"/>
    <w:rsid w:val="00E73581"/>
    <w:rsid w:val="00E75E3F"/>
    <w:rsid w:val="00E76752"/>
    <w:rsid w:val="00E7754C"/>
    <w:rsid w:val="00E77988"/>
    <w:rsid w:val="00E806F7"/>
    <w:rsid w:val="00E831F6"/>
    <w:rsid w:val="00E83617"/>
    <w:rsid w:val="00E83BDF"/>
    <w:rsid w:val="00E86F05"/>
    <w:rsid w:val="00E87125"/>
    <w:rsid w:val="00E87961"/>
    <w:rsid w:val="00E879AB"/>
    <w:rsid w:val="00E87D24"/>
    <w:rsid w:val="00E907F0"/>
    <w:rsid w:val="00E914E8"/>
    <w:rsid w:val="00E915E2"/>
    <w:rsid w:val="00E945D3"/>
    <w:rsid w:val="00E94650"/>
    <w:rsid w:val="00E97CF2"/>
    <w:rsid w:val="00EA0737"/>
    <w:rsid w:val="00EA2657"/>
    <w:rsid w:val="00EA3864"/>
    <w:rsid w:val="00EA3DFE"/>
    <w:rsid w:val="00EA3F21"/>
    <w:rsid w:val="00EA41F6"/>
    <w:rsid w:val="00EA462E"/>
    <w:rsid w:val="00EB1304"/>
    <w:rsid w:val="00EB1D7E"/>
    <w:rsid w:val="00EB3DE7"/>
    <w:rsid w:val="00EB52DA"/>
    <w:rsid w:val="00EB574E"/>
    <w:rsid w:val="00EB58D3"/>
    <w:rsid w:val="00EB6119"/>
    <w:rsid w:val="00EB6C57"/>
    <w:rsid w:val="00EC00C9"/>
    <w:rsid w:val="00EC0782"/>
    <w:rsid w:val="00EC3540"/>
    <w:rsid w:val="00EC51A0"/>
    <w:rsid w:val="00EC51C3"/>
    <w:rsid w:val="00EC6084"/>
    <w:rsid w:val="00EC74FC"/>
    <w:rsid w:val="00ED1006"/>
    <w:rsid w:val="00ED11C9"/>
    <w:rsid w:val="00ED16AD"/>
    <w:rsid w:val="00ED17F7"/>
    <w:rsid w:val="00ED2F3C"/>
    <w:rsid w:val="00ED359B"/>
    <w:rsid w:val="00ED4024"/>
    <w:rsid w:val="00ED521D"/>
    <w:rsid w:val="00ED573F"/>
    <w:rsid w:val="00ED6325"/>
    <w:rsid w:val="00EE0363"/>
    <w:rsid w:val="00EE0658"/>
    <w:rsid w:val="00EE07D3"/>
    <w:rsid w:val="00EE17FA"/>
    <w:rsid w:val="00EE3016"/>
    <w:rsid w:val="00EE3D7D"/>
    <w:rsid w:val="00EE3EEF"/>
    <w:rsid w:val="00EE69C6"/>
    <w:rsid w:val="00EF2A51"/>
    <w:rsid w:val="00EF32F7"/>
    <w:rsid w:val="00EF3AF7"/>
    <w:rsid w:val="00EF4EFD"/>
    <w:rsid w:val="00EF4F61"/>
    <w:rsid w:val="00EF5BB3"/>
    <w:rsid w:val="00EF60BC"/>
    <w:rsid w:val="00EF6438"/>
    <w:rsid w:val="00F000F5"/>
    <w:rsid w:val="00F01513"/>
    <w:rsid w:val="00F03205"/>
    <w:rsid w:val="00F03685"/>
    <w:rsid w:val="00F0503B"/>
    <w:rsid w:val="00F058C9"/>
    <w:rsid w:val="00F067A2"/>
    <w:rsid w:val="00F06CF7"/>
    <w:rsid w:val="00F11C32"/>
    <w:rsid w:val="00F12725"/>
    <w:rsid w:val="00F12B03"/>
    <w:rsid w:val="00F13F79"/>
    <w:rsid w:val="00F1491F"/>
    <w:rsid w:val="00F14F46"/>
    <w:rsid w:val="00F15CA1"/>
    <w:rsid w:val="00F2042E"/>
    <w:rsid w:val="00F23470"/>
    <w:rsid w:val="00F24837"/>
    <w:rsid w:val="00F2575F"/>
    <w:rsid w:val="00F26156"/>
    <w:rsid w:val="00F26EA7"/>
    <w:rsid w:val="00F30417"/>
    <w:rsid w:val="00F30E08"/>
    <w:rsid w:val="00F3154E"/>
    <w:rsid w:val="00F31DC1"/>
    <w:rsid w:val="00F3230A"/>
    <w:rsid w:val="00F32445"/>
    <w:rsid w:val="00F338FF"/>
    <w:rsid w:val="00F33D7A"/>
    <w:rsid w:val="00F33DE9"/>
    <w:rsid w:val="00F33ECE"/>
    <w:rsid w:val="00F34189"/>
    <w:rsid w:val="00F35125"/>
    <w:rsid w:val="00F3541F"/>
    <w:rsid w:val="00F3619A"/>
    <w:rsid w:val="00F3725D"/>
    <w:rsid w:val="00F37C70"/>
    <w:rsid w:val="00F4094F"/>
    <w:rsid w:val="00F414F4"/>
    <w:rsid w:val="00F4157D"/>
    <w:rsid w:val="00F416C4"/>
    <w:rsid w:val="00F41C4D"/>
    <w:rsid w:val="00F42215"/>
    <w:rsid w:val="00F42C00"/>
    <w:rsid w:val="00F4459A"/>
    <w:rsid w:val="00F45F74"/>
    <w:rsid w:val="00F462E3"/>
    <w:rsid w:val="00F46CB6"/>
    <w:rsid w:val="00F47C87"/>
    <w:rsid w:val="00F53C28"/>
    <w:rsid w:val="00F53DAC"/>
    <w:rsid w:val="00F5449A"/>
    <w:rsid w:val="00F54572"/>
    <w:rsid w:val="00F54A95"/>
    <w:rsid w:val="00F5536C"/>
    <w:rsid w:val="00F55629"/>
    <w:rsid w:val="00F559E0"/>
    <w:rsid w:val="00F55E73"/>
    <w:rsid w:val="00F56809"/>
    <w:rsid w:val="00F57518"/>
    <w:rsid w:val="00F60836"/>
    <w:rsid w:val="00F6138B"/>
    <w:rsid w:val="00F64D4C"/>
    <w:rsid w:val="00F67903"/>
    <w:rsid w:val="00F72A26"/>
    <w:rsid w:val="00F72E12"/>
    <w:rsid w:val="00F73D6E"/>
    <w:rsid w:val="00F77DE4"/>
    <w:rsid w:val="00F80E5D"/>
    <w:rsid w:val="00F8119A"/>
    <w:rsid w:val="00F813FA"/>
    <w:rsid w:val="00F83C0D"/>
    <w:rsid w:val="00F84CB7"/>
    <w:rsid w:val="00F851CE"/>
    <w:rsid w:val="00F85D7C"/>
    <w:rsid w:val="00F87B1B"/>
    <w:rsid w:val="00F921C2"/>
    <w:rsid w:val="00F932A5"/>
    <w:rsid w:val="00F93A97"/>
    <w:rsid w:val="00F93CE9"/>
    <w:rsid w:val="00F948D4"/>
    <w:rsid w:val="00F94BDE"/>
    <w:rsid w:val="00F94EB8"/>
    <w:rsid w:val="00F94FEC"/>
    <w:rsid w:val="00F95642"/>
    <w:rsid w:val="00F96094"/>
    <w:rsid w:val="00F96ADE"/>
    <w:rsid w:val="00F96C7D"/>
    <w:rsid w:val="00F9702A"/>
    <w:rsid w:val="00F97390"/>
    <w:rsid w:val="00F9758C"/>
    <w:rsid w:val="00F97A78"/>
    <w:rsid w:val="00FA041E"/>
    <w:rsid w:val="00FA0D81"/>
    <w:rsid w:val="00FA24BA"/>
    <w:rsid w:val="00FA2D89"/>
    <w:rsid w:val="00FA2DCD"/>
    <w:rsid w:val="00FA2DF5"/>
    <w:rsid w:val="00FA394F"/>
    <w:rsid w:val="00FA3D4A"/>
    <w:rsid w:val="00FA533F"/>
    <w:rsid w:val="00FA602D"/>
    <w:rsid w:val="00FA745F"/>
    <w:rsid w:val="00FA7569"/>
    <w:rsid w:val="00FB0396"/>
    <w:rsid w:val="00FB0A4C"/>
    <w:rsid w:val="00FB0FC4"/>
    <w:rsid w:val="00FB2FCB"/>
    <w:rsid w:val="00FB38E6"/>
    <w:rsid w:val="00FB3E6E"/>
    <w:rsid w:val="00FB4255"/>
    <w:rsid w:val="00FB4858"/>
    <w:rsid w:val="00FB6C10"/>
    <w:rsid w:val="00FB7313"/>
    <w:rsid w:val="00FB7EFB"/>
    <w:rsid w:val="00FC0B08"/>
    <w:rsid w:val="00FC0CB6"/>
    <w:rsid w:val="00FC1074"/>
    <w:rsid w:val="00FC147A"/>
    <w:rsid w:val="00FC1884"/>
    <w:rsid w:val="00FC1B09"/>
    <w:rsid w:val="00FC1CCE"/>
    <w:rsid w:val="00FC2781"/>
    <w:rsid w:val="00FC3012"/>
    <w:rsid w:val="00FC34CC"/>
    <w:rsid w:val="00FC3A9A"/>
    <w:rsid w:val="00FC646E"/>
    <w:rsid w:val="00FC68EA"/>
    <w:rsid w:val="00FC6D8D"/>
    <w:rsid w:val="00FC793F"/>
    <w:rsid w:val="00FC7C2B"/>
    <w:rsid w:val="00FD08CF"/>
    <w:rsid w:val="00FD1668"/>
    <w:rsid w:val="00FD2100"/>
    <w:rsid w:val="00FD23C4"/>
    <w:rsid w:val="00FD4333"/>
    <w:rsid w:val="00FD446D"/>
    <w:rsid w:val="00FD4C19"/>
    <w:rsid w:val="00FD5E16"/>
    <w:rsid w:val="00FD64B5"/>
    <w:rsid w:val="00FD66E3"/>
    <w:rsid w:val="00FD691D"/>
    <w:rsid w:val="00FE0A0D"/>
    <w:rsid w:val="00FE0AED"/>
    <w:rsid w:val="00FE10B9"/>
    <w:rsid w:val="00FE1A82"/>
    <w:rsid w:val="00FE25A6"/>
    <w:rsid w:val="00FE2793"/>
    <w:rsid w:val="00FE2883"/>
    <w:rsid w:val="00FE3AC2"/>
    <w:rsid w:val="00FE4B0B"/>
    <w:rsid w:val="00FE4CFB"/>
    <w:rsid w:val="00FE507C"/>
    <w:rsid w:val="00FE5570"/>
    <w:rsid w:val="00FE70B2"/>
    <w:rsid w:val="00FE7FE7"/>
    <w:rsid w:val="00FF0995"/>
    <w:rsid w:val="00FF0CE6"/>
    <w:rsid w:val="00FF12C0"/>
    <w:rsid w:val="00FF22D9"/>
    <w:rsid w:val="00FF2DCB"/>
    <w:rsid w:val="00FF3057"/>
    <w:rsid w:val="00FF3DCF"/>
    <w:rsid w:val="00FF47BB"/>
    <w:rsid w:val="00FF5016"/>
    <w:rsid w:val="00FF50FF"/>
    <w:rsid w:val="00FF54B4"/>
    <w:rsid w:val="00FF5AA3"/>
    <w:rsid w:val="00FF6301"/>
    <w:rsid w:val="00FF7C0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7"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qFormat="1"/>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nhideWhenUsed="0"/>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425E9"/>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B23721"/>
    <w:pPr>
      <w:ind w:left="720" w:hanging="720"/>
      <w:outlineLvl w:val="0"/>
    </w:pPr>
    <w:rPr>
      <w:rFonts w:ascii="Arial Bold" w:hAnsi="Arial Bold"/>
      <w:b/>
      <w:sz w:val="28"/>
    </w:rPr>
  </w:style>
  <w:style w:type="paragraph" w:styleId="Heading2">
    <w:name w:val="heading 2"/>
    <w:basedOn w:val="PBACheading1"/>
    <w:next w:val="Normal"/>
    <w:link w:val="Heading2Char"/>
    <w:qFormat/>
    <w:rsid w:val="009905CA"/>
    <w:pPr>
      <w:keepNext/>
      <w:outlineLvl w:val="1"/>
    </w:pPr>
  </w:style>
  <w:style w:type="paragraph" w:styleId="Heading3">
    <w:name w:val="heading 3"/>
    <w:basedOn w:val="Normal"/>
    <w:next w:val="Normal"/>
    <w:link w:val="Heading3Char"/>
    <w:qFormat/>
    <w:rsid w:val="009905CA"/>
    <w:pPr>
      <w:outlineLvl w:val="2"/>
    </w:pPr>
    <w:rPr>
      <w:b/>
      <w:i/>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szCs w:val="22"/>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905CA"/>
    <w:rPr>
      <w:rFonts w:ascii="Arial" w:hAnsi="Arial" w:cs="Arial"/>
      <w:b/>
      <w:snapToGrid w:val="0"/>
      <w:sz w:val="22"/>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customStyle="1" w:styleId="TableFooter">
    <w:name w:val="Table Footer"/>
    <w:basedOn w:val="Normal"/>
    <w:uiPriority w:val="4"/>
    <w:qFormat/>
    <w:rsid w:val="00C425E9"/>
    <w:rPr>
      <w:rFonts w:ascii="Arial Narrow" w:hAnsi="Arial Narrow"/>
      <w:sz w:val="18"/>
    </w:rPr>
  </w:style>
  <w:style w:type="paragraph" w:styleId="BalloonText">
    <w:name w:val="Balloon Text"/>
    <w:basedOn w:val="Normal"/>
    <w:link w:val="BalloonTextChar"/>
    <w:uiPriority w:val="99"/>
    <w:unhideWhenUsed/>
    <w:rsid w:val="00C425E9"/>
    <w:rPr>
      <w:rFonts w:ascii="Segoe UI" w:hAnsi="Segoe UI" w:cs="Segoe UI"/>
      <w:sz w:val="18"/>
      <w:szCs w:val="18"/>
    </w:rPr>
  </w:style>
  <w:style w:type="character" w:customStyle="1" w:styleId="BalloonTextChar">
    <w:name w:val="Balloon Text Char"/>
    <w:basedOn w:val="DefaultParagraphFont"/>
    <w:link w:val="BalloonText"/>
    <w:uiPriority w:val="99"/>
    <w:rsid w:val="00C425E9"/>
    <w:rPr>
      <w:rFonts w:ascii="Segoe UI" w:hAnsi="Segoe UI" w:cs="Segoe UI"/>
      <w:snapToGrid w:val="0"/>
      <w:sz w:val="18"/>
      <w:szCs w:val="18"/>
      <w:lang w:eastAsia="en-US"/>
    </w:rPr>
  </w:style>
  <w:style w:type="paragraph" w:styleId="Caption">
    <w:name w:val="caption"/>
    <w:aliases w:val="Caption Char1 Char,Caption Char Char Char,Caption Char1 Char Char Char,Caption Char Char Char Char Char,Caption Char Char1 Char,Caption Char1 Char1,Caption Char Char Char1,Caption Char Char,Bayer Caption,IB Caption,Medical Caption,CSR Caption"/>
    <w:basedOn w:val="Normal"/>
    <w:next w:val="Normal"/>
    <w:link w:val="CaptionChar"/>
    <w:uiPriority w:val="7"/>
    <w:unhideWhenUsed/>
    <w:qFormat/>
    <w:rsid w:val="00C310AA"/>
    <w:rPr>
      <w:b/>
      <w:bCs/>
      <w:sz w:val="20"/>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 Char Char2"/>
    <w:link w:val="Caption"/>
    <w:uiPriority w:val="7"/>
    <w:rsid w:val="00C310AA"/>
    <w:rPr>
      <w:rFonts w:ascii="Arial" w:hAnsi="Arial" w:cs="Arial"/>
      <w:b/>
      <w:bCs/>
      <w:snapToGrid w:val="0"/>
      <w:lang w:eastAsia="en-US"/>
    </w:rPr>
  </w:style>
  <w:style w:type="paragraph" w:styleId="TOC1">
    <w:name w:val="toc 1"/>
    <w:basedOn w:val="Normal"/>
    <w:next w:val="Normal"/>
    <w:autoRedefine/>
    <w:uiPriority w:val="39"/>
    <w:unhideWhenUsed/>
    <w:qFormat/>
    <w:rsid w:val="00640B23"/>
    <w:pPr>
      <w:tabs>
        <w:tab w:val="left" w:pos="440"/>
        <w:tab w:val="right" w:leader="dot" w:pos="9016"/>
      </w:tabs>
      <w:spacing w:after="100"/>
      <w:ind w:left="426" w:hanging="426"/>
    </w:pPr>
  </w:style>
  <w:style w:type="paragraph" w:styleId="TOC2">
    <w:name w:val="toc 2"/>
    <w:basedOn w:val="Normal"/>
    <w:next w:val="Normal"/>
    <w:autoRedefine/>
    <w:uiPriority w:val="39"/>
    <w:unhideWhenUsed/>
    <w:qFormat/>
    <w:rsid w:val="00C425E9"/>
    <w:pPr>
      <w:spacing w:after="100"/>
      <w:ind w:left="220"/>
    </w:pPr>
  </w:style>
  <w:style w:type="paragraph" w:customStyle="1" w:styleId="Tabletext">
    <w:name w:val="Table text"/>
    <w:basedOn w:val="Normal"/>
    <w:link w:val="TabletextChar"/>
    <w:uiPriority w:val="99"/>
    <w:qFormat/>
    <w:rsid w:val="00C425E9"/>
    <w:pPr>
      <w:widowControl/>
      <w:jc w:val="left"/>
    </w:pPr>
    <w:rPr>
      <w:rFonts w:ascii="Arial Narrow" w:hAnsi="Arial Narrow"/>
      <w:snapToGrid/>
      <w:sz w:val="20"/>
    </w:rPr>
  </w:style>
  <w:style w:type="character" w:customStyle="1" w:styleId="TabletextChar">
    <w:name w:val="Table text Char"/>
    <w:link w:val="Tabletext"/>
    <w:uiPriority w:val="99"/>
    <w:rsid w:val="00C425E9"/>
    <w:rPr>
      <w:rFonts w:ascii="Arial Narrow" w:hAnsi="Arial Narrow" w:cs="Arial"/>
      <w:lang w:eastAsia="en-US"/>
    </w:rPr>
  </w:style>
  <w:style w:type="character" w:styleId="Hyperlink">
    <w:name w:val="Hyperlink"/>
    <w:basedOn w:val="DefaultParagraphFont"/>
    <w:uiPriority w:val="99"/>
    <w:unhideWhenUsed/>
    <w:rsid w:val="00621477"/>
    <w:rPr>
      <w:color w:val="0000FF" w:themeColor="hyperlink"/>
      <w:u w:val="single"/>
    </w:rPr>
  </w:style>
  <w:style w:type="paragraph" w:styleId="Revision">
    <w:name w:val="Revision"/>
    <w:hidden/>
    <w:uiPriority w:val="99"/>
    <w:semiHidden/>
    <w:rsid w:val="00043C37"/>
    <w:rPr>
      <w:rFonts w:ascii="Arial" w:hAnsi="Arial" w:cs="Arial"/>
      <w:snapToGrid w:val="0"/>
      <w:sz w:val="22"/>
      <w:lang w:eastAsia="en-US"/>
    </w:rPr>
  </w:style>
  <w:style w:type="paragraph" w:customStyle="1" w:styleId="EndNoteBibliographyTitle">
    <w:name w:val="EndNote Bibliography Title"/>
    <w:basedOn w:val="Normal"/>
    <w:link w:val="EndNoteBibliographyTitleChar"/>
    <w:rsid w:val="00D7588D"/>
    <w:pPr>
      <w:jc w:val="center"/>
    </w:pPr>
    <w:rPr>
      <w:noProof/>
      <w:lang w:val="en-US"/>
    </w:rPr>
  </w:style>
  <w:style w:type="character" w:customStyle="1" w:styleId="EndNoteBibliographyTitleChar">
    <w:name w:val="EndNote Bibliography Title Char"/>
    <w:basedOn w:val="DefaultParagraphFont"/>
    <w:link w:val="EndNoteBibliographyTitle"/>
    <w:rsid w:val="00C425E9"/>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D7588D"/>
    <w:rPr>
      <w:noProof/>
      <w:lang w:val="en-US"/>
    </w:rPr>
  </w:style>
  <w:style w:type="character" w:customStyle="1" w:styleId="EndNoteBibliographyChar">
    <w:name w:val="EndNote Bibliography Char"/>
    <w:basedOn w:val="DefaultParagraphFont"/>
    <w:link w:val="EndNoteBibliography"/>
    <w:rsid w:val="00C425E9"/>
    <w:rPr>
      <w:rFonts w:ascii="Arial" w:hAnsi="Arial" w:cs="Arial"/>
      <w:noProof/>
      <w:snapToGrid w:val="0"/>
      <w:sz w:val="22"/>
      <w:lang w:val="en-US" w:eastAsia="en-US"/>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Arial" w:hAnsi="Arial" w:cs="Arial"/>
      <w:snapToGrid w:val="0"/>
      <w:lang w:eastAsia="en-US"/>
    </w:rPr>
  </w:style>
  <w:style w:type="character" w:styleId="CommentReference">
    <w:name w:val="annotation reference"/>
    <w:aliases w:val="Table Title"/>
    <w:basedOn w:val="DefaultParagraphFont"/>
    <w:uiPriority w:val="99"/>
    <w:unhideWhenUsed/>
    <w:qFormat/>
    <w:rPr>
      <w:sz w:val="16"/>
      <w:szCs w:val="16"/>
    </w:rPr>
  </w:style>
  <w:style w:type="paragraph" w:styleId="FootnoteText">
    <w:name w:val="footnote text"/>
    <w:basedOn w:val="Normal"/>
    <w:link w:val="FootnoteTextChar"/>
    <w:uiPriority w:val="99"/>
    <w:semiHidden/>
    <w:unhideWhenUsed/>
    <w:rsid w:val="00A14867"/>
    <w:rPr>
      <w:sz w:val="20"/>
    </w:rPr>
  </w:style>
  <w:style w:type="character" w:customStyle="1" w:styleId="FootnoteTextChar">
    <w:name w:val="Footnote Text Char"/>
    <w:basedOn w:val="DefaultParagraphFont"/>
    <w:link w:val="FootnoteText"/>
    <w:uiPriority w:val="99"/>
    <w:semiHidden/>
    <w:rsid w:val="00A14867"/>
    <w:rPr>
      <w:rFonts w:ascii="Arial" w:hAnsi="Arial" w:cs="Arial"/>
      <w:snapToGrid w:val="0"/>
      <w:lang w:eastAsia="en-US"/>
    </w:rPr>
  </w:style>
  <w:style w:type="character" w:styleId="FootnoteReference">
    <w:name w:val="footnote reference"/>
    <w:basedOn w:val="DefaultParagraphFont"/>
    <w:semiHidden/>
    <w:unhideWhenUsed/>
    <w:rsid w:val="00A14867"/>
    <w:rPr>
      <w:vertAlign w:val="superscript"/>
    </w:rPr>
  </w:style>
  <w:style w:type="paragraph" w:styleId="ListParagraph">
    <w:name w:val="List Paragraph"/>
    <w:aliases w:val="BulletPoints"/>
    <w:basedOn w:val="Normal"/>
    <w:link w:val="ListParagraphChar"/>
    <w:uiPriority w:val="72"/>
    <w:qFormat/>
    <w:rsid w:val="00CE0473"/>
    <w:pPr>
      <w:ind w:left="720"/>
      <w:contextualSpacing/>
    </w:pPr>
  </w:style>
  <w:style w:type="character" w:customStyle="1" w:styleId="ListParagraphChar">
    <w:name w:val="List Paragraph Char"/>
    <w:aliases w:val="BulletPoints Char"/>
    <w:link w:val="ListParagraph"/>
    <w:uiPriority w:val="72"/>
    <w:rsid w:val="00CE0473"/>
    <w:rPr>
      <w:rFonts w:ascii="Arial" w:hAnsi="Arial" w:cs="Arial"/>
      <w:snapToGrid w:val="0"/>
      <w:sz w:val="22"/>
      <w:lang w:eastAsia="en-US"/>
    </w:rPr>
  </w:style>
  <w:style w:type="table" w:customStyle="1" w:styleId="TableGrid1">
    <w:name w:val="Table Grid1"/>
    <w:basedOn w:val="TableNormal"/>
    <w:next w:val="TableGrid"/>
    <w:uiPriority w:val="59"/>
    <w:rsid w:val="009C3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0"/>
    <w:qFormat/>
    <w:rsid w:val="009C3F44"/>
    <w:pPr>
      <w:keepNext/>
      <w:keepLines/>
      <w:widowControl/>
      <w:spacing w:before="60" w:after="40"/>
    </w:pPr>
    <w:rPr>
      <w:rFonts w:ascii="Arial Narrow" w:hAnsi="Arial Narrow" w:cs="Times New Roman"/>
      <w:snapToGrid/>
      <w:sz w:val="20"/>
      <w:lang w:eastAsia="en-AU"/>
    </w:rPr>
  </w:style>
  <w:style w:type="character" w:customStyle="1" w:styleId="TableTextChar0">
    <w:name w:val="Table Text Char"/>
    <w:link w:val="TableText0"/>
    <w:locked/>
    <w:rsid w:val="009C3F44"/>
    <w:rPr>
      <w:rFonts w:ascii="Arial Narrow" w:hAnsi="Arial Narrow"/>
    </w:rPr>
  </w:style>
  <w:style w:type="table" w:styleId="TableGrid">
    <w:name w:val="Table Grid"/>
    <w:aliases w:val="Table Gridbeth,Summary box"/>
    <w:basedOn w:val="TableNormal"/>
    <w:uiPriority w:val="59"/>
    <w:rsid w:val="009C3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5435D4"/>
    <w:rPr>
      <w:b/>
      <w:bCs/>
    </w:rPr>
  </w:style>
  <w:style w:type="character" w:customStyle="1" w:styleId="CommentSubjectChar">
    <w:name w:val="Comment Subject Char"/>
    <w:basedOn w:val="CommentTextChar"/>
    <w:link w:val="CommentSubject"/>
    <w:uiPriority w:val="99"/>
    <w:rsid w:val="005435D4"/>
    <w:rPr>
      <w:rFonts w:ascii="Arial" w:hAnsi="Arial" w:cs="Arial"/>
      <w:b/>
      <w:bCs/>
      <w:snapToGrid w:val="0"/>
      <w:lang w:eastAsia="en-US"/>
    </w:rPr>
  </w:style>
  <w:style w:type="paragraph" w:styleId="BodyText">
    <w:name w:val="Body Text"/>
    <w:basedOn w:val="Normal"/>
    <w:link w:val="BodyTextChar"/>
    <w:uiPriority w:val="99"/>
    <w:qFormat/>
    <w:rsid w:val="006D1764"/>
    <w:pPr>
      <w:jc w:val="center"/>
    </w:pPr>
    <w:rPr>
      <w:rFonts w:cs="Times New Roman"/>
      <w:b/>
      <w:sz w:val="20"/>
    </w:rPr>
  </w:style>
  <w:style w:type="character" w:customStyle="1" w:styleId="BodyTextChar">
    <w:name w:val="Body Text Char"/>
    <w:basedOn w:val="DefaultParagraphFont"/>
    <w:link w:val="BodyText"/>
    <w:uiPriority w:val="99"/>
    <w:rsid w:val="006D1764"/>
    <w:rPr>
      <w:rFonts w:ascii="Arial" w:hAnsi="Arial"/>
      <w:b/>
      <w:snapToGrid w:val="0"/>
      <w:lang w:eastAsia="en-US"/>
    </w:rPr>
  </w:style>
  <w:style w:type="paragraph" w:customStyle="1" w:styleId="TableHeader">
    <w:name w:val="Table Header"/>
    <w:basedOn w:val="Normal"/>
    <w:next w:val="Normal"/>
    <w:uiPriority w:val="3"/>
    <w:qFormat/>
    <w:rsid w:val="00D75605"/>
    <w:rPr>
      <w:b/>
      <w:sz w:val="20"/>
    </w:rPr>
  </w:style>
  <w:style w:type="character" w:customStyle="1" w:styleId="Heading3Char">
    <w:name w:val="Heading 3 Char"/>
    <w:basedOn w:val="DefaultParagraphFont"/>
    <w:link w:val="Heading3"/>
    <w:rsid w:val="009905CA"/>
    <w:rPr>
      <w:rFonts w:ascii="Arial" w:hAnsi="Arial" w:cs="Arial"/>
      <w:b/>
      <w:i/>
      <w:snapToGrid w:val="0"/>
      <w:sz w:val="22"/>
      <w:lang w:eastAsia="en-US"/>
    </w:rPr>
  </w:style>
  <w:style w:type="paragraph" w:customStyle="1" w:styleId="PBACheading1">
    <w:name w:val="PBAC heading 1"/>
    <w:qFormat/>
    <w:rsid w:val="000148E9"/>
    <w:pPr>
      <w:numPr>
        <w:numId w:val="4"/>
      </w:numPr>
    </w:pPr>
    <w:rPr>
      <w:rFonts w:ascii="Arial" w:hAnsi="Arial" w:cs="Arial"/>
      <w:b/>
      <w:snapToGrid w:val="0"/>
      <w:sz w:val="22"/>
      <w:szCs w:val="22"/>
      <w:lang w:eastAsia="en-US"/>
    </w:rPr>
  </w:style>
  <w:style w:type="paragraph" w:customStyle="1" w:styleId="PBACHeading10">
    <w:name w:val="PBAC Heading 1"/>
    <w:qFormat/>
    <w:rsid w:val="003D0DF4"/>
    <w:pPr>
      <w:ind w:left="720" w:hanging="720"/>
    </w:pPr>
    <w:rPr>
      <w:rFonts w:ascii="Arial" w:hAnsi="Arial" w:cs="Arial"/>
      <w:b/>
      <w:snapToGrid w:val="0"/>
      <w:sz w:val="22"/>
      <w:szCs w:val="22"/>
      <w:lang w:eastAsia="en-US"/>
    </w:rPr>
  </w:style>
  <w:style w:type="paragraph" w:customStyle="1" w:styleId="BodyText1">
    <w:name w:val="Body Text1"/>
    <w:basedOn w:val="Normal"/>
    <w:link w:val="BodytextChar0"/>
    <w:uiPriority w:val="99"/>
    <w:qFormat/>
    <w:rsid w:val="000E26D3"/>
    <w:pPr>
      <w:widowControl/>
      <w:spacing w:after="240" w:line="360" w:lineRule="auto"/>
      <w:jc w:val="left"/>
    </w:pPr>
    <w:rPr>
      <w:rFonts w:cs="Times New Roman"/>
      <w:snapToGrid/>
    </w:rPr>
  </w:style>
  <w:style w:type="character" w:customStyle="1" w:styleId="BodytextChar0">
    <w:name w:val="Body text Char"/>
    <w:link w:val="BodyText1"/>
    <w:uiPriority w:val="99"/>
    <w:locked/>
    <w:rsid w:val="000E26D3"/>
    <w:rPr>
      <w:rFonts w:ascii="Arial" w:hAnsi="Arial"/>
      <w:sz w:val="22"/>
      <w:lang w:eastAsia="en-US"/>
    </w:rPr>
  </w:style>
  <w:style w:type="table" w:customStyle="1" w:styleId="TableGridbeth1">
    <w:name w:val="Table Gridbeth1"/>
    <w:basedOn w:val="TableNormal"/>
    <w:next w:val="TableGrid"/>
    <w:uiPriority w:val="59"/>
    <w:rsid w:val="00C82992"/>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23721"/>
    <w:rPr>
      <w:rFonts w:ascii="Arial Bold" w:hAnsi="Arial Bold" w:cs="Arial"/>
      <w:b/>
      <w:snapToGrid w:val="0"/>
      <w:sz w:val="28"/>
      <w:lang w:eastAsia="en-US"/>
    </w:rPr>
  </w:style>
  <w:style w:type="character" w:customStyle="1" w:styleId="Heading4Char">
    <w:name w:val="Heading 4 Char"/>
    <w:basedOn w:val="DefaultParagraphFont"/>
    <w:link w:val="Heading4"/>
    <w:rsid w:val="00FB0396"/>
    <w:rPr>
      <w:rFonts w:ascii="Arial" w:hAnsi="Arial" w:cs="Arial"/>
      <w:b/>
      <w:bCs/>
      <w:i/>
      <w:snapToGrid w:val="0"/>
      <w:sz w:val="26"/>
      <w:szCs w:val="28"/>
      <w:lang w:eastAsia="en-US"/>
    </w:rPr>
  </w:style>
  <w:style w:type="character" w:customStyle="1" w:styleId="Heading5Char">
    <w:name w:val="Heading 5 Char"/>
    <w:basedOn w:val="DefaultParagraphFont"/>
    <w:link w:val="Heading5"/>
    <w:rsid w:val="00FB0396"/>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FB0396"/>
    <w:rPr>
      <w:rFonts w:ascii="Arial" w:hAnsi="Arial" w:cs="Arial"/>
      <w:b/>
      <w:bCs/>
      <w:i/>
      <w:snapToGrid w:val="0"/>
      <w:sz w:val="22"/>
      <w:szCs w:val="22"/>
      <w:lang w:eastAsia="en-US"/>
    </w:rPr>
  </w:style>
  <w:style w:type="paragraph" w:styleId="Title">
    <w:name w:val="Title"/>
    <w:basedOn w:val="Normal"/>
    <w:next w:val="Normal"/>
    <w:link w:val="TitleChar"/>
    <w:uiPriority w:val="99"/>
    <w:qFormat/>
    <w:rsid w:val="00FB039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FB0396"/>
    <w:rPr>
      <w:rFonts w:ascii="Cambria" w:hAnsi="Cambria" w:cs="Arial"/>
      <w:b/>
      <w:bCs/>
      <w:snapToGrid w:val="0"/>
      <w:kern w:val="28"/>
      <w:sz w:val="32"/>
      <w:szCs w:val="32"/>
      <w:lang w:eastAsia="en-US"/>
    </w:rPr>
  </w:style>
  <w:style w:type="paragraph" w:customStyle="1" w:styleId="RegularText">
    <w:name w:val="Regular Text"/>
    <w:basedOn w:val="BodyText"/>
    <w:link w:val="RegularTextChar"/>
    <w:rsid w:val="00FB0396"/>
    <w:pPr>
      <w:jc w:val="left"/>
    </w:pPr>
    <w:rPr>
      <w:rFonts w:cs="Arial"/>
      <w:sz w:val="22"/>
    </w:rPr>
  </w:style>
  <w:style w:type="character" w:customStyle="1" w:styleId="RegularTextChar">
    <w:name w:val="Regular Text Char"/>
    <w:basedOn w:val="BodyTextChar"/>
    <w:link w:val="RegularText"/>
    <w:rsid w:val="00FB0396"/>
    <w:rPr>
      <w:rFonts w:ascii="Arial" w:hAnsi="Arial" w:cs="Arial"/>
      <w:b/>
      <w:snapToGrid w:val="0"/>
      <w:sz w:val="22"/>
      <w:lang w:eastAsia="en-US"/>
    </w:rPr>
  </w:style>
  <w:style w:type="paragraph" w:styleId="NoSpacing">
    <w:name w:val="No Spacing"/>
    <w:uiPriority w:val="1"/>
    <w:qFormat/>
    <w:rsid w:val="00FB0396"/>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FB0396"/>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FB0396"/>
    <w:rPr>
      <w:rFonts w:ascii="Arial" w:hAnsi="Arial" w:cs="Arial"/>
      <w:snapToGrid w:val="0"/>
      <w:sz w:val="22"/>
      <w:lang w:eastAsia="en-US"/>
    </w:rPr>
  </w:style>
  <w:style w:type="paragraph" w:styleId="Footer">
    <w:name w:val="footer"/>
    <w:basedOn w:val="Normal"/>
    <w:link w:val="FooterChar"/>
    <w:uiPriority w:val="99"/>
    <w:rsid w:val="00FB0396"/>
    <w:pPr>
      <w:tabs>
        <w:tab w:val="center" w:pos="4513"/>
        <w:tab w:val="right" w:pos="9026"/>
      </w:tabs>
    </w:pPr>
  </w:style>
  <w:style w:type="character" w:customStyle="1" w:styleId="FooterChar">
    <w:name w:val="Footer Char"/>
    <w:basedOn w:val="DefaultParagraphFont"/>
    <w:link w:val="Footer"/>
    <w:uiPriority w:val="99"/>
    <w:rsid w:val="00FB0396"/>
    <w:rPr>
      <w:rFonts w:ascii="Arial" w:hAnsi="Arial" w:cs="Arial"/>
      <w:snapToGrid w:val="0"/>
      <w:sz w:val="22"/>
      <w:lang w:eastAsia="en-US"/>
    </w:rPr>
  </w:style>
  <w:style w:type="paragraph" w:customStyle="1" w:styleId="TableHeading">
    <w:name w:val="TableHeading"/>
    <w:basedOn w:val="Normal"/>
    <w:uiPriority w:val="99"/>
    <w:rsid w:val="00FB0396"/>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FB0396"/>
    <w:pPr>
      <w:widowControl/>
      <w:jc w:val="both"/>
    </w:pPr>
    <w:rPr>
      <w:rFonts w:ascii="Times" w:hAnsi="Times"/>
      <w:b w:val="0"/>
      <w:snapToGrid/>
      <w:sz w:val="24"/>
      <w:lang w:val="en-US"/>
    </w:rPr>
  </w:style>
  <w:style w:type="paragraph" w:styleId="NormalWeb">
    <w:name w:val="Normal (Web)"/>
    <w:basedOn w:val="Normal"/>
    <w:uiPriority w:val="99"/>
    <w:rsid w:val="00FB0396"/>
    <w:pPr>
      <w:widowControl/>
      <w:spacing w:before="100" w:after="100"/>
      <w:jc w:val="left"/>
    </w:pPr>
    <w:rPr>
      <w:rFonts w:ascii="Times New Roman" w:hAnsi="Times New Roman" w:cs="Times New Roman"/>
      <w:snapToGrid/>
      <w:sz w:val="24"/>
      <w:lang w:val="en-GB"/>
    </w:rPr>
  </w:style>
  <w:style w:type="paragraph" w:styleId="TOCHeading">
    <w:name w:val="TOC Heading"/>
    <w:basedOn w:val="Heading1"/>
    <w:next w:val="Normal"/>
    <w:uiPriority w:val="39"/>
    <w:unhideWhenUsed/>
    <w:qFormat/>
    <w:rsid w:val="00FB0396"/>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Cs w:val="28"/>
      <w:lang w:val="en-US" w:eastAsia="ja-JP"/>
    </w:rPr>
  </w:style>
  <w:style w:type="paragraph" w:styleId="TOC3">
    <w:name w:val="toc 3"/>
    <w:basedOn w:val="Normal"/>
    <w:next w:val="Normal"/>
    <w:autoRedefine/>
    <w:uiPriority w:val="39"/>
    <w:unhideWhenUsed/>
    <w:qFormat/>
    <w:rsid w:val="00FB0396"/>
    <w:pPr>
      <w:ind w:left="440"/>
      <w:jc w:val="left"/>
    </w:pPr>
    <w:rPr>
      <w:rFonts w:asciiTheme="minorHAnsi" w:hAnsiTheme="minorHAnsi"/>
      <w:sz w:val="20"/>
    </w:rPr>
  </w:style>
  <w:style w:type="paragraph" w:styleId="BodyText3">
    <w:name w:val="Body Text 3"/>
    <w:basedOn w:val="Normal"/>
    <w:link w:val="BodyText3Char"/>
    <w:uiPriority w:val="99"/>
    <w:rsid w:val="00FB0396"/>
    <w:pPr>
      <w:spacing w:after="120"/>
    </w:pPr>
    <w:rPr>
      <w:sz w:val="16"/>
      <w:szCs w:val="16"/>
    </w:rPr>
  </w:style>
  <w:style w:type="character" w:customStyle="1" w:styleId="BodyText3Char">
    <w:name w:val="Body Text 3 Char"/>
    <w:basedOn w:val="DefaultParagraphFont"/>
    <w:link w:val="BodyText3"/>
    <w:uiPriority w:val="99"/>
    <w:rsid w:val="00FB0396"/>
    <w:rPr>
      <w:rFonts w:ascii="Arial" w:hAnsi="Arial" w:cs="Arial"/>
      <w:snapToGrid w:val="0"/>
      <w:sz w:val="16"/>
      <w:szCs w:val="16"/>
      <w:lang w:eastAsia="en-US"/>
    </w:rPr>
  </w:style>
  <w:style w:type="paragraph" w:styleId="TOC4">
    <w:name w:val="toc 4"/>
    <w:basedOn w:val="Normal"/>
    <w:next w:val="Normal"/>
    <w:autoRedefine/>
    <w:uiPriority w:val="39"/>
    <w:rsid w:val="00FB0396"/>
    <w:pPr>
      <w:ind w:left="660"/>
      <w:jc w:val="left"/>
    </w:pPr>
    <w:rPr>
      <w:rFonts w:asciiTheme="minorHAnsi" w:hAnsiTheme="minorHAnsi"/>
      <w:sz w:val="20"/>
    </w:rPr>
  </w:style>
  <w:style w:type="paragraph" w:styleId="TOC5">
    <w:name w:val="toc 5"/>
    <w:basedOn w:val="Normal"/>
    <w:next w:val="Normal"/>
    <w:autoRedefine/>
    <w:uiPriority w:val="39"/>
    <w:rsid w:val="00FB0396"/>
    <w:pPr>
      <w:ind w:left="880"/>
      <w:jc w:val="left"/>
    </w:pPr>
    <w:rPr>
      <w:rFonts w:asciiTheme="minorHAnsi" w:hAnsiTheme="minorHAnsi"/>
      <w:sz w:val="20"/>
    </w:rPr>
  </w:style>
  <w:style w:type="paragraph" w:styleId="TOC6">
    <w:name w:val="toc 6"/>
    <w:basedOn w:val="Normal"/>
    <w:next w:val="Normal"/>
    <w:autoRedefine/>
    <w:uiPriority w:val="39"/>
    <w:rsid w:val="00FB0396"/>
    <w:pPr>
      <w:ind w:left="1100"/>
      <w:jc w:val="left"/>
    </w:pPr>
    <w:rPr>
      <w:rFonts w:asciiTheme="minorHAnsi" w:hAnsiTheme="minorHAnsi"/>
      <w:sz w:val="20"/>
    </w:rPr>
  </w:style>
  <w:style w:type="paragraph" w:styleId="TOC7">
    <w:name w:val="toc 7"/>
    <w:basedOn w:val="Normal"/>
    <w:next w:val="Normal"/>
    <w:autoRedefine/>
    <w:uiPriority w:val="39"/>
    <w:rsid w:val="00FB0396"/>
    <w:pPr>
      <w:ind w:left="1320"/>
      <w:jc w:val="left"/>
    </w:pPr>
    <w:rPr>
      <w:rFonts w:asciiTheme="minorHAnsi" w:hAnsiTheme="minorHAnsi"/>
      <w:sz w:val="20"/>
    </w:rPr>
  </w:style>
  <w:style w:type="paragraph" w:styleId="TOC8">
    <w:name w:val="toc 8"/>
    <w:basedOn w:val="Normal"/>
    <w:next w:val="Normal"/>
    <w:autoRedefine/>
    <w:uiPriority w:val="39"/>
    <w:rsid w:val="00FB0396"/>
    <w:pPr>
      <w:ind w:left="1540"/>
      <w:jc w:val="left"/>
    </w:pPr>
    <w:rPr>
      <w:rFonts w:asciiTheme="minorHAnsi" w:hAnsiTheme="minorHAnsi"/>
      <w:sz w:val="20"/>
    </w:rPr>
  </w:style>
  <w:style w:type="paragraph" w:styleId="TOC9">
    <w:name w:val="toc 9"/>
    <w:basedOn w:val="Normal"/>
    <w:next w:val="Normal"/>
    <w:autoRedefine/>
    <w:uiPriority w:val="39"/>
    <w:rsid w:val="00FB0396"/>
    <w:pPr>
      <w:ind w:left="1760"/>
      <w:jc w:val="left"/>
    </w:pPr>
    <w:rPr>
      <w:rFonts w:asciiTheme="minorHAnsi" w:hAnsiTheme="minorHAnsi"/>
      <w:sz w:val="20"/>
    </w:rPr>
  </w:style>
  <w:style w:type="paragraph" w:styleId="BodyText2">
    <w:name w:val="Body Text 2"/>
    <w:basedOn w:val="Normal"/>
    <w:link w:val="BodyText2Char"/>
    <w:uiPriority w:val="99"/>
    <w:rsid w:val="00FB0396"/>
    <w:pPr>
      <w:spacing w:after="120" w:line="480" w:lineRule="auto"/>
    </w:pPr>
  </w:style>
  <w:style w:type="character" w:customStyle="1" w:styleId="BodyText2Char">
    <w:name w:val="Body Text 2 Char"/>
    <w:basedOn w:val="DefaultParagraphFont"/>
    <w:link w:val="BodyText2"/>
    <w:uiPriority w:val="99"/>
    <w:rsid w:val="00FB0396"/>
    <w:rPr>
      <w:rFonts w:ascii="Arial" w:hAnsi="Arial" w:cs="Arial"/>
      <w:snapToGrid w:val="0"/>
      <w:sz w:val="22"/>
      <w:lang w:eastAsia="en-US"/>
    </w:rPr>
  </w:style>
  <w:style w:type="paragraph" w:customStyle="1" w:styleId="TableText1">
    <w:name w:val="TableText"/>
    <w:basedOn w:val="Normal"/>
    <w:link w:val="TableTextChar1"/>
    <w:uiPriority w:val="99"/>
    <w:qFormat/>
    <w:rsid w:val="00FB0396"/>
    <w:pPr>
      <w:keepNext/>
      <w:widowControl/>
      <w:spacing w:before="40" w:after="40"/>
      <w:jc w:val="left"/>
    </w:pPr>
    <w:rPr>
      <w:rFonts w:ascii="Arial Narrow" w:hAnsi="Arial Narrow" w:cs="Arial Narrow"/>
      <w:snapToGrid/>
      <w:sz w:val="20"/>
    </w:rPr>
  </w:style>
  <w:style w:type="character" w:customStyle="1" w:styleId="TableTextChar1">
    <w:name w:val="TableText Char"/>
    <w:link w:val="TableText1"/>
    <w:uiPriority w:val="99"/>
    <w:rsid w:val="00FB0396"/>
    <w:rPr>
      <w:rFonts w:ascii="Arial Narrow" w:hAnsi="Arial Narrow" w:cs="Arial Narrow"/>
      <w:lang w:eastAsia="en-US"/>
    </w:rPr>
  </w:style>
  <w:style w:type="paragraph" w:customStyle="1" w:styleId="TableName">
    <w:name w:val="TableName"/>
    <w:basedOn w:val="Normal"/>
    <w:uiPriority w:val="99"/>
    <w:rsid w:val="00FB0396"/>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1"/>
    <w:uiPriority w:val="99"/>
    <w:rsid w:val="00FB0396"/>
    <w:pPr>
      <w:keepNext w:val="0"/>
      <w:keepLines/>
      <w:spacing w:before="0" w:after="360"/>
      <w:ind w:left="720"/>
    </w:pPr>
    <w:rPr>
      <w:sz w:val="18"/>
      <w:szCs w:val="18"/>
    </w:rPr>
  </w:style>
  <w:style w:type="paragraph" w:customStyle="1" w:styleId="TableNotes0">
    <w:name w:val="TableNotes+0"/>
    <w:basedOn w:val="TableNotes18"/>
    <w:uiPriority w:val="99"/>
    <w:rsid w:val="00FB0396"/>
    <w:pPr>
      <w:keepNext/>
      <w:spacing w:after="0"/>
    </w:pPr>
  </w:style>
  <w:style w:type="paragraph" w:styleId="BodyTextIndent">
    <w:name w:val="Body Text Indent"/>
    <w:basedOn w:val="Normal"/>
    <w:link w:val="BodyTextIndentChar"/>
    <w:uiPriority w:val="99"/>
    <w:rsid w:val="00FB0396"/>
    <w:pPr>
      <w:spacing w:after="120"/>
      <w:ind w:left="283"/>
    </w:pPr>
  </w:style>
  <w:style w:type="character" w:customStyle="1" w:styleId="BodyTextIndentChar">
    <w:name w:val="Body Text Indent Char"/>
    <w:basedOn w:val="DefaultParagraphFont"/>
    <w:link w:val="BodyTextIndent"/>
    <w:uiPriority w:val="99"/>
    <w:rsid w:val="00FB0396"/>
    <w:rPr>
      <w:rFonts w:ascii="Arial" w:hAnsi="Arial" w:cs="Arial"/>
      <w:snapToGrid w:val="0"/>
      <w:sz w:val="22"/>
      <w:lang w:eastAsia="en-US"/>
    </w:rPr>
  </w:style>
  <w:style w:type="paragraph" w:customStyle="1" w:styleId="Char1CharCharChar">
    <w:name w:val="Char1 Char Char Char"/>
    <w:basedOn w:val="Normal"/>
    <w:uiPriority w:val="99"/>
    <w:rsid w:val="00FB0396"/>
    <w:pPr>
      <w:widowControl/>
      <w:spacing w:after="160" w:line="240" w:lineRule="exact"/>
      <w:jc w:val="left"/>
    </w:pPr>
    <w:rPr>
      <w:rFonts w:ascii="Verdana" w:eastAsia="MS Mincho" w:hAnsi="Verdana" w:cs="Verdana"/>
      <w:snapToGrid/>
      <w:sz w:val="20"/>
      <w:lang w:val="en-US"/>
    </w:rPr>
  </w:style>
  <w:style w:type="paragraph" w:customStyle="1" w:styleId="Tablename0">
    <w:name w:val="Table name"/>
    <w:basedOn w:val="Normal"/>
    <w:link w:val="TablenameChar"/>
    <w:rsid w:val="00FB0396"/>
    <w:pPr>
      <w:keepNext/>
    </w:pPr>
    <w:rPr>
      <w:b/>
    </w:rPr>
  </w:style>
  <w:style w:type="character" w:customStyle="1" w:styleId="TablenameChar">
    <w:name w:val="Table name Char"/>
    <w:basedOn w:val="DefaultParagraphFont"/>
    <w:link w:val="Tablename0"/>
    <w:rsid w:val="00FB0396"/>
    <w:rPr>
      <w:rFonts w:ascii="Arial" w:hAnsi="Arial" w:cs="Arial"/>
      <w:b/>
      <w:snapToGrid w:val="0"/>
      <w:sz w:val="22"/>
      <w:lang w:eastAsia="en-US"/>
    </w:rPr>
  </w:style>
  <w:style w:type="paragraph" w:customStyle="1" w:styleId="Tablecontent">
    <w:name w:val="Table content"/>
    <w:basedOn w:val="Normal"/>
    <w:link w:val="TablecontentChar"/>
    <w:qFormat/>
    <w:rsid w:val="00FB0396"/>
    <w:pPr>
      <w:widowControl/>
      <w:jc w:val="left"/>
    </w:pPr>
    <w:rPr>
      <w:rFonts w:ascii="Arial Narrow" w:hAnsi="Arial Narrow"/>
      <w:snapToGrid/>
      <w:sz w:val="20"/>
    </w:rPr>
  </w:style>
  <w:style w:type="character" w:customStyle="1" w:styleId="TablecontentChar">
    <w:name w:val="Table content Char"/>
    <w:basedOn w:val="DefaultParagraphFont"/>
    <w:link w:val="Tablecontent"/>
    <w:rsid w:val="00FB0396"/>
    <w:rPr>
      <w:rFonts w:ascii="Arial Narrow" w:hAnsi="Arial Narrow" w:cs="Arial"/>
      <w:lang w:eastAsia="en-US"/>
    </w:rPr>
  </w:style>
  <w:style w:type="paragraph" w:customStyle="1" w:styleId="Tablefont">
    <w:name w:val="Table font"/>
    <w:basedOn w:val="Normal"/>
    <w:link w:val="TablefontChar"/>
    <w:rsid w:val="00FB0396"/>
    <w:pPr>
      <w:widowControl/>
      <w:jc w:val="left"/>
    </w:pPr>
    <w:rPr>
      <w:rFonts w:ascii="Arial Narrow" w:hAnsi="Arial Narrow"/>
      <w:snapToGrid/>
      <w:sz w:val="18"/>
    </w:rPr>
  </w:style>
  <w:style w:type="character" w:customStyle="1" w:styleId="TablefontChar">
    <w:name w:val="Table font Char"/>
    <w:basedOn w:val="DefaultParagraphFont"/>
    <w:link w:val="Tablefont"/>
    <w:rsid w:val="00FB0396"/>
    <w:rPr>
      <w:rFonts w:ascii="Arial Narrow" w:hAnsi="Arial Narrow" w:cs="Arial"/>
      <w:sz w:val="18"/>
      <w:lang w:eastAsia="en-US"/>
    </w:rPr>
  </w:style>
  <w:style w:type="table" w:customStyle="1" w:styleId="TableGridbeth14">
    <w:name w:val="Table Gridbeth14"/>
    <w:basedOn w:val="TableNormal"/>
    <w:next w:val="TableGrid"/>
    <w:uiPriority w:val="59"/>
    <w:rsid w:val="00FB0396"/>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4">
    <w:name w:val="Table Gridbeth4"/>
    <w:basedOn w:val="TableNormal"/>
    <w:next w:val="TableGrid"/>
    <w:uiPriority w:val="59"/>
    <w:rsid w:val="00FB0396"/>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FB0396"/>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FB0396"/>
    <w:rPr>
      <w:rFonts w:ascii="Candara" w:eastAsiaTheme="majorEastAsia" w:hAnsi="Candara" w:cstheme="majorBidi"/>
      <w:szCs w:val="22"/>
      <w:lang w:eastAsia="en-US" w:bidi="en-US"/>
    </w:rPr>
  </w:style>
  <w:style w:type="paragraph" w:customStyle="1" w:styleId="CaptionFootnote">
    <w:name w:val="Caption Footnote"/>
    <w:basedOn w:val="TableHeader"/>
    <w:uiPriority w:val="99"/>
    <w:qFormat/>
    <w:rsid w:val="00FB0396"/>
    <w:rPr>
      <w:bCs/>
    </w:rPr>
  </w:style>
  <w:style w:type="paragraph" w:customStyle="1" w:styleId="TableNotes">
    <w:name w:val="Table Notes"/>
    <w:basedOn w:val="Normal"/>
    <w:next w:val="Normal"/>
    <w:link w:val="TableNotesChar"/>
    <w:uiPriority w:val="99"/>
    <w:qFormat/>
    <w:rsid w:val="00FB0396"/>
    <w:pPr>
      <w:keepLines/>
      <w:widowControl/>
      <w:spacing w:after="360"/>
      <w:contextualSpacing/>
      <w:jc w:val="left"/>
    </w:pPr>
    <w:rPr>
      <w:rFonts w:cs="Times New Roman"/>
      <w:snapToGrid/>
      <w:sz w:val="16"/>
      <w:szCs w:val="16"/>
      <w:lang w:eastAsia="en-AU"/>
    </w:rPr>
  </w:style>
  <w:style w:type="character" w:customStyle="1" w:styleId="TableNotesChar">
    <w:name w:val="Table Notes Char"/>
    <w:link w:val="TableNotes"/>
    <w:uiPriority w:val="99"/>
    <w:rsid w:val="00FB0396"/>
    <w:rPr>
      <w:rFonts w:ascii="Arial" w:hAnsi="Arial"/>
      <w:sz w:val="16"/>
      <w:szCs w:val="16"/>
    </w:rPr>
  </w:style>
  <w:style w:type="paragraph" w:customStyle="1" w:styleId="BMSBodyText">
    <w:name w:val="BMS Body Text"/>
    <w:link w:val="BMSBodyTextChar"/>
    <w:qFormat/>
    <w:rsid w:val="00FB0396"/>
    <w:pPr>
      <w:spacing w:after="200" w:line="360" w:lineRule="auto"/>
    </w:pPr>
    <w:rPr>
      <w:rFonts w:ascii="Arial" w:hAnsi="Arial"/>
      <w:color w:val="000000"/>
      <w:sz w:val="22"/>
      <w:szCs w:val="24"/>
      <w:lang w:val="en-US" w:eastAsia="en-US"/>
    </w:rPr>
  </w:style>
  <w:style w:type="character" w:customStyle="1" w:styleId="BMSBodyTextChar">
    <w:name w:val="BMS Body Text Char"/>
    <w:basedOn w:val="DefaultParagraphFont"/>
    <w:link w:val="BMSBodyText"/>
    <w:locked/>
    <w:rsid w:val="00FB0396"/>
    <w:rPr>
      <w:rFonts w:ascii="Arial" w:hAnsi="Arial"/>
      <w:color w:val="000000"/>
      <w:sz w:val="22"/>
      <w:szCs w:val="24"/>
      <w:lang w:val="en-US" w:eastAsia="en-US"/>
    </w:rPr>
  </w:style>
  <w:style w:type="character" w:styleId="Emphasis">
    <w:name w:val="Emphasis"/>
    <w:basedOn w:val="DefaultParagraphFont"/>
    <w:uiPriority w:val="20"/>
    <w:qFormat/>
    <w:rsid w:val="00FB0396"/>
    <w:rPr>
      <w:i/>
      <w:iCs/>
    </w:rPr>
  </w:style>
  <w:style w:type="table" w:customStyle="1" w:styleId="TableGridbeth18">
    <w:name w:val="Table Gridbeth18"/>
    <w:basedOn w:val="TableNormal"/>
    <w:next w:val="TableGrid"/>
    <w:uiPriority w:val="59"/>
    <w:rsid w:val="00FB0396"/>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D0723C"/>
    <w:pPr>
      <w:widowControl/>
      <w:spacing w:after="160" w:line="240" w:lineRule="exact"/>
      <w:jc w:val="left"/>
    </w:pPr>
    <w:rPr>
      <w:rFonts w:ascii="Verdana" w:eastAsia="MS Mincho" w:hAnsi="Verdana" w:cs="Verdana"/>
      <w:snapToGrid/>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7"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qFormat="1"/>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nhideWhenUsed="0"/>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425E9"/>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B23721"/>
    <w:pPr>
      <w:ind w:left="720" w:hanging="720"/>
      <w:outlineLvl w:val="0"/>
    </w:pPr>
    <w:rPr>
      <w:rFonts w:ascii="Arial Bold" w:hAnsi="Arial Bold"/>
      <w:b/>
      <w:sz w:val="28"/>
    </w:rPr>
  </w:style>
  <w:style w:type="paragraph" w:styleId="Heading2">
    <w:name w:val="heading 2"/>
    <w:basedOn w:val="PBACheading1"/>
    <w:next w:val="Normal"/>
    <w:link w:val="Heading2Char"/>
    <w:qFormat/>
    <w:rsid w:val="009905CA"/>
    <w:pPr>
      <w:keepNext/>
      <w:outlineLvl w:val="1"/>
    </w:pPr>
  </w:style>
  <w:style w:type="paragraph" w:styleId="Heading3">
    <w:name w:val="heading 3"/>
    <w:basedOn w:val="Normal"/>
    <w:next w:val="Normal"/>
    <w:link w:val="Heading3Char"/>
    <w:qFormat/>
    <w:rsid w:val="009905CA"/>
    <w:pPr>
      <w:outlineLvl w:val="2"/>
    </w:pPr>
    <w:rPr>
      <w:b/>
      <w:i/>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szCs w:val="22"/>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905CA"/>
    <w:rPr>
      <w:rFonts w:ascii="Arial" w:hAnsi="Arial" w:cs="Arial"/>
      <w:b/>
      <w:snapToGrid w:val="0"/>
      <w:sz w:val="22"/>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customStyle="1" w:styleId="TableFooter">
    <w:name w:val="Table Footer"/>
    <w:basedOn w:val="Normal"/>
    <w:uiPriority w:val="4"/>
    <w:qFormat/>
    <w:rsid w:val="00C425E9"/>
    <w:rPr>
      <w:rFonts w:ascii="Arial Narrow" w:hAnsi="Arial Narrow"/>
      <w:sz w:val="18"/>
    </w:rPr>
  </w:style>
  <w:style w:type="paragraph" w:styleId="BalloonText">
    <w:name w:val="Balloon Text"/>
    <w:basedOn w:val="Normal"/>
    <w:link w:val="BalloonTextChar"/>
    <w:uiPriority w:val="99"/>
    <w:unhideWhenUsed/>
    <w:rsid w:val="00C425E9"/>
    <w:rPr>
      <w:rFonts w:ascii="Segoe UI" w:hAnsi="Segoe UI" w:cs="Segoe UI"/>
      <w:sz w:val="18"/>
      <w:szCs w:val="18"/>
    </w:rPr>
  </w:style>
  <w:style w:type="character" w:customStyle="1" w:styleId="BalloonTextChar">
    <w:name w:val="Balloon Text Char"/>
    <w:basedOn w:val="DefaultParagraphFont"/>
    <w:link w:val="BalloonText"/>
    <w:uiPriority w:val="99"/>
    <w:rsid w:val="00C425E9"/>
    <w:rPr>
      <w:rFonts w:ascii="Segoe UI" w:hAnsi="Segoe UI" w:cs="Segoe UI"/>
      <w:snapToGrid w:val="0"/>
      <w:sz w:val="18"/>
      <w:szCs w:val="18"/>
      <w:lang w:eastAsia="en-US"/>
    </w:rPr>
  </w:style>
  <w:style w:type="paragraph" w:styleId="Caption">
    <w:name w:val="caption"/>
    <w:aliases w:val="Caption Char1 Char,Caption Char Char Char,Caption Char1 Char Char Char,Caption Char Char Char Char Char,Caption Char Char1 Char,Caption Char1 Char1,Caption Char Char Char1,Caption Char Char,Bayer Caption,IB Caption,Medical Caption,CSR Caption"/>
    <w:basedOn w:val="Normal"/>
    <w:next w:val="Normal"/>
    <w:link w:val="CaptionChar"/>
    <w:uiPriority w:val="7"/>
    <w:unhideWhenUsed/>
    <w:qFormat/>
    <w:rsid w:val="00C310AA"/>
    <w:rPr>
      <w:b/>
      <w:bCs/>
      <w:sz w:val="20"/>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 Char Char2"/>
    <w:link w:val="Caption"/>
    <w:uiPriority w:val="7"/>
    <w:rsid w:val="00C310AA"/>
    <w:rPr>
      <w:rFonts w:ascii="Arial" w:hAnsi="Arial" w:cs="Arial"/>
      <w:b/>
      <w:bCs/>
      <w:snapToGrid w:val="0"/>
      <w:lang w:eastAsia="en-US"/>
    </w:rPr>
  </w:style>
  <w:style w:type="paragraph" w:styleId="TOC1">
    <w:name w:val="toc 1"/>
    <w:basedOn w:val="Normal"/>
    <w:next w:val="Normal"/>
    <w:autoRedefine/>
    <w:uiPriority w:val="39"/>
    <w:unhideWhenUsed/>
    <w:qFormat/>
    <w:rsid w:val="00640B23"/>
    <w:pPr>
      <w:tabs>
        <w:tab w:val="left" w:pos="440"/>
        <w:tab w:val="right" w:leader="dot" w:pos="9016"/>
      </w:tabs>
      <w:spacing w:after="100"/>
      <w:ind w:left="426" w:hanging="426"/>
    </w:pPr>
  </w:style>
  <w:style w:type="paragraph" w:styleId="TOC2">
    <w:name w:val="toc 2"/>
    <w:basedOn w:val="Normal"/>
    <w:next w:val="Normal"/>
    <w:autoRedefine/>
    <w:uiPriority w:val="39"/>
    <w:unhideWhenUsed/>
    <w:qFormat/>
    <w:rsid w:val="00C425E9"/>
    <w:pPr>
      <w:spacing w:after="100"/>
      <w:ind w:left="220"/>
    </w:pPr>
  </w:style>
  <w:style w:type="paragraph" w:customStyle="1" w:styleId="Tabletext">
    <w:name w:val="Table text"/>
    <w:basedOn w:val="Normal"/>
    <w:link w:val="TabletextChar"/>
    <w:uiPriority w:val="99"/>
    <w:qFormat/>
    <w:rsid w:val="00C425E9"/>
    <w:pPr>
      <w:widowControl/>
      <w:jc w:val="left"/>
    </w:pPr>
    <w:rPr>
      <w:rFonts w:ascii="Arial Narrow" w:hAnsi="Arial Narrow"/>
      <w:snapToGrid/>
      <w:sz w:val="20"/>
    </w:rPr>
  </w:style>
  <w:style w:type="character" w:customStyle="1" w:styleId="TabletextChar">
    <w:name w:val="Table text Char"/>
    <w:link w:val="Tabletext"/>
    <w:uiPriority w:val="99"/>
    <w:rsid w:val="00C425E9"/>
    <w:rPr>
      <w:rFonts w:ascii="Arial Narrow" w:hAnsi="Arial Narrow" w:cs="Arial"/>
      <w:lang w:eastAsia="en-US"/>
    </w:rPr>
  </w:style>
  <w:style w:type="character" w:styleId="Hyperlink">
    <w:name w:val="Hyperlink"/>
    <w:basedOn w:val="DefaultParagraphFont"/>
    <w:uiPriority w:val="99"/>
    <w:unhideWhenUsed/>
    <w:rsid w:val="00621477"/>
    <w:rPr>
      <w:color w:val="0000FF" w:themeColor="hyperlink"/>
      <w:u w:val="single"/>
    </w:rPr>
  </w:style>
  <w:style w:type="paragraph" w:styleId="Revision">
    <w:name w:val="Revision"/>
    <w:hidden/>
    <w:uiPriority w:val="99"/>
    <w:semiHidden/>
    <w:rsid w:val="00043C37"/>
    <w:rPr>
      <w:rFonts w:ascii="Arial" w:hAnsi="Arial" w:cs="Arial"/>
      <w:snapToGrid w:val="0"/>
      <w:sz w:val="22"/>
      <w:lang w:eastAsia="en-US"/>
    </w:rPr>
  </w:style>
  <w:style w:type="paragraph" w:customStyle="1" w:styleId="EndNoteBibliographyTitle">
    <w:name w:val="EndNote Bibliography Title"/>
    <w:basedOn w:val="Normal"/>
    <w:link w:val="EndNoteBibliographyTitleChar"/>
    <w:rsid w:val="00D7588D"/>
    <w:pPr>
      <w:jc w:val="center"/>
    </w:pPr>
    <w:rPr>
      <w:noProof/>
      <w:lang w:val="en-US"/>
    </w:rPr>
  </w:style>
  <w:style w:type="character" w:customStyle="1" w:styleId="EndNoteBibliographyTitleChar">
    <w:name w:val="EndNote Bibliography Title Char"/>
    <w:basedOn w:val="DefaultParagraphFont"/>
    <w:link w:val="EndNoteBibliographyTitle"/>
    <w:rsid w:val="00C425E9"/>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D7588D"/>
    <w:rPr>
      <w:noProof/>
      <w:lang w:val="en-US"/>
    </w:rPr>
  </w:style>
  <w:style w:type="character" w:customStyle="1" w:styleId="EndNoteBibliographyChar">
    <w:name w:val="EndNote Bibliography Char"/>
    <w:basedOn w:val="DefaultParagraphFont"/>
    <w:link w:val="EndNoteBibliography"/>
    <w:rsid w:val="00C425E9"/>
    <w:rPr>
      <w:rFonts w:ascii="Arial" w:hAnsi="Arial" w:cs="Arial"/>
      <w:noProof/>
      <w:snapToGrid w:val="0"/>
      <w:sz w:val="22"/>
      <w:lang w:val="en-US" w:eastAsia="en-US"/>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Arial" w:hAnsi="Arial" w:cs="Arial"/>
      <w:snapToGrid w:val="0"/>
      <w:lang w:eastAsia="en-US"/>
    </w:rPr>
  </w:style>
  <w:style w:type="character" w:styleId="CommentReference">
    <w:name w:val="annotation reference"/>
    <w:aliases w:val="Table Title"/>
    <w:basedOn w:val="DefaultParagraphFont"/>
    <w:uiPriority w:val="99"/>
    <w:unhideWhenUsed/>
    <w:qFormat/>
    <w:rPr>
      <w:sz w:val="16"/>
      <w:szCs w:val="16"/>
    </w:rPr>
  </w:style>
  <w:style w:type="paragraph" w:styleId="FootnoteText">
    <w:name w:val="footnote text"/>
    <w:basedOn w:val="Normal"/>
    <w:link w:val="FootnoteTextChar"/>
    <w:uiPriority w:val="99"/>
    <w:semiHidden/>
    <w:unhideWhenUsed/>
    <w:rsid w:val="00A14867"/>
    <w:rPr>
      <w:sz w:val="20"/>
    </w:rPr>
  </w:style>
  <w:style w:type="character" w:customStyle="1" w:styleId="FootnoteTextChar">
    <w:name w:val="Footnote Text Char"/>
    <w:basedOn w:val="DefaultParagraphFont"/>
    <w:link w:val="FootnoteText"/>
    <w:uiPriority w:val="99"/>
    <w:semiHidden/>
    <w:rsid w:val="00A14867"/>
    <w:rPr>
      <w:rFonts w:ascii="Arial" w:hAnsi="Arial" w:cs="Arial"/>
      <w:snapToGrid w:val="0"/>
      <w:lang w:eastAsia="en-US"/>
    </w:rPr>
  </w:style>
  <w:style w:type="character" w:styleId="FootnoteReference">
    <w:name w:val="footnote reference"/>
    <w:basedOn w:val="DefaultParagraphFont"/>
    <w:semiHidden/>
    <w:unhideWhenUsed/>
    <w:rsid w:val="00A14867"/>
    <w:rPr>
      <w:vertAlign w:val="superscript"/>
    </w:rPr>
  </w:style>
  <w:style w:type="paragraph" w:styleId="ListParagraph">
    <w:name w:val="List Paragraph"/>
    <w:aliases w:val="BulletPoints"/>
    <w:basedOn w:val="Normal"/>
    <w:link w:val="ListParagraphChar"/>
    <w:uiPriority w:val="72"/>
    <w:qFormat/>
    <w:rsid w:val="00CE0473"/>
    <w:pPr>
      <w:ind w:left="720"/>
      <w:contextualSpacing/>
    </w:pPr>
  </w:style>
  <w:style w:type="character" w:customStyle="1" w:styleId="ListParagraphChar">
    <w:name w:val="List Paragraph Char"/>
    <w:aliases w:val="BulletPoints Char"/>
    <w:link w:val="ListParagraph"/>
    <w:uiPriority w:val="72"/>
    <w:rsid w:val="00CE0473"/>
    <w:rPr>
      <w:rFonts w:ascii="Arial" w:hAnsi="Arial" w:cs="Arial"/>
      <w:snapToGrid w:val="0"/>
      <w:sz w:val="22"/>
      <w:lang w:eastAsia="en-US"/>
    </w:rPr>
  </w:style>
  <w:style w:type="table" w:customStyle="1" w:styleId="TableGrid1">
    <w:name w:val="Table Grid1"/>
    <w:basedOn w:val="TableNormal"/>
    <w:next w:val="TableGrid"/>
    <w:uiPriority w:val="59"/>
    <w:rsid w:val="009C3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0"/>
    <w:qFormat/>
    <w:rsid w:val="009C3F44"/>
    <w:pPr>
      <w:keepNext/>
      <w:keepLines/>
      <w:widowControl/>
      <w:spacing w:before="60" w:after="40"/>
    </w:pPr>
    <w:rPr>
      <w:rFonts w:ascii="Arial Narrow" w:hAnsi="Arial Narrow" w:cs="Times New Roman"/>
      <w:snapToGrid/>
      <w:sz w:val="20"/>
      <w:lang w:eastAsia="en-AU"/>
    </w:rPr>
  </w:style>
  <w:style w:type="character" w:customStyle="1" w:styleId="TableTextChar0">
    <w:name w:val="Table Text Char"/>
    <w:link w:val="TableText0"/>
    <w:locked/>
    <w:rsid w:val="009C3F44"/>
    <w:rPr>
      <w:rFonts w:ascii="Arial Narrow" w:hAnsi="Arial Narrow"/>
    </w:rPr>
  </w:style>
  <w:style w:type="table" w:styleId="TableGrid">
    <w:name w:val="Table Grid"/>
    <w:aliases w:val="Table Gridbeth,Summary box"/>
    <w:basedOn w:val="TableNormal"/>
    <w:uiPriority w:val="59"/>
    <w:rsid w:val="009C3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5435D4"/>
    <w:rPr>
      <w:b/>
      <w:bCs/>
    </w:rPr>
  </w:style>
  <w:style w:type="character" w:customStyle="1" w:styleId="CommentSubjectChar">
    <w:name w:val="Comment Subject Char"/>
    <w:basedOn w:val="CommentTextChar"/>
    <w:link w:val="CommentSubject"/>
    <w:uiPriority w:val="99"/>
    <w:rsid w:val="005435D4"/>
    <w:rPr>
      <w:rFonts w:ascii="Arial" w:hAnsi="Arial" w:cs="Arial"/>
      <w:b/>
      <w:bCs/>
      <w:snapToGrid w:val="0"/>
      <w:lang w:eastAsia="en-US"/>
    </w:rPr>
  </w:style>
  <w:style w:type="paragraph" w:styleId="BodyText">
    <w:name w:val="Body Text"/>
    <w:basedOn w:val="Normal"/>
    <w:link w:val="BodyTextChar"/>
    <w:uiPriority w:val="99"/>
    <w:qFormat/>
    <w:rsid w:val="006D1764"/>
    <w:pPr>
      <w:jc w:val="center"/>
    </w:pPr>
    <w:rPr>
      <w:rFonts w:cs="Times New Roman"/>
      <w:b/>
      <w:sz w:val="20"/>
    </w:rPr>
  </w:style>
  <w:style w:type="character" w:customStyle="1" w:styleId="BodyTextChar">
    <w:name w:val="Body Text Char"/>
    <w:basedOn w:val="DefaultParagraphFont"/>
    <w:link w:val="BodyText"/>
    <w:uiPriority w:val="99"/>
    <w:rsid w:val="006D1764"/>
    <w:rPr>
      <w:rFonts w:ascii="Arial" w:hAnsi="Arial"/>
      <w:b/>
      <w:snapToGrid w:val="0"/>
      <w:lang w:eastAsia="en-US"/>
    </w:rPr>
  </w:style>
  <w:style w:type="paragraph" w:customStyle="1" w:styleId="TableHeader">
    <w:name w:val="Table Header"/>
    <w:basedOn w:val="Normal"/>
    <w:next w:val="Normal"/>
    <w:uiPriority w:val="3"/>
    <w:qFormat/>
    <w:rsid w:val="00D75605"/>
    <w:rPr>
      <w:b/>
      <w:sz w:val="20"/>
    </w:rPr>
  </w:style>
  <w:style w:type="character" w:customStyle="1" w:styleId="Heading3Char">
    <w:name w:val="Heading 3 Char"/>
    <w:basedOn w:val="DefaultParagraphFont"/>
    <w:link w:val="Heading3"/>
    <w:rsid w:val="009905CA"/>
    <w:rPr>
      <w:rFonts w:ascii="Arial" w:hAnsi="Arial" w:cs="Arial"/>
      <w:b/>
      <w:i/>
      <w:snapToGrid w:val="0"/>
      <w:sz w:val="22"/>
      <w:lang w:eastAsia="en-US"/>
    </w:rPr>
  </w:style>
  <w:style w:type="paragraph" w:customStyle="1" w:styleId="PBACheading1">
    <w:name w:val="PBAC heading 1"/>
    <w:qFormat/>
    <w:rsid w:val="000148E9"/>
    <w:pPr>
      <w:numPr>
        <w:numId w:val="4"/>
      </w:numPr>
    </w:pPr>
    <w:rPr>
      <w:rFonts w:ascii="Arial" w:hAnsi="Arial" w:cs="Arial"/>
      <w:b/>
      <w:snapToGrid w:val="0"/>
      <w:sz w:val="22"/>
      <w:szCs w:val="22"/>
      <w:lang w:eastAsia="en-US"/>
    </w:rPr>
  </w:style>
  <w:style w:type="paragraph" w:customStyle="1" w:styleId="PBACHeading10">
    <w:name w:val="PBAC Heading 1"/>
    <w:qFormat/>
    <w:rsid w:val="003D0DF4"/>
    <w:pPr>
      <w:ind w:left="720" w:hanging="720"/>
    </w:pPr>
    <w:rPr>
      <w:rFonts w:ascii="Arial" w:hAnsi="Arial" w:cs="Arial"/>
      <w:b/>
      <w:snapToGrid w:val="0"/>
      <w:sz w:val="22"/>
      <w:szCs w:val="22"/>
      <w:lang w:eastAsia="en-US"/>
    </w:rPr>
  </w:style>
  <w:style w:type="paragraph" w:customStyle="1" w:styleId="BodyText1">
    <w:name w:val="Body Text1"/>
    <w:basedOn w:val="Normal"/>
    <w:link w:val="BodytextChar0"/>
    <w:uiPriority w:val="99"/>
    <w:qFormat/>
    <w:rsid w:val="000E26D3"/>
    <w:pPr>
      <w:widowControl/>
      <w:spacing w:after="240" w:line="360" w:lineRule="auto"/>
      <w:jc w:val="left"/>
    </w:pPr>
    <w:rPr>
      <w:rFonts w:cs="Times New Roman"/>
      <w:snapToGrid/>
    </w:rPr>
  </w:style>
  <w:style w:type="character" w:customStyle="1" w:styleId="BodytextChar0">
    <w:name w:val="Body text Char"/>
    <w:link w:val="BodyText1"/>
    <w:uiPriority w:val="99"/>
    <w:locked/>
    <w:rsid w:val="000E26D3"/>
    <w:rPr>
      <w:rFonts w:ascii="Arial" w:hAnsi="Arial"/>
      <w:sz w:val="22"/>
      <w:lang w:eastAsia="en-US"/>
    </w:rPr>
  </w:style>
  <w:style w:type="table" w:customStyle="1" w:styleId="TableGridbeth1">
    <w:name w:val="Table Gridbeth1"/>
    <w:basedOn w:val="TableNormal"/>
    <w:next w:val="TableGrid"/>
    <w:uiPriority w:val="59"/>
    <w:rsid w:val="00C82992"/>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23721"/>
    <w:rPr>
      <w:rFonts w:ascii="Arial Bold" w:hAnsi="Arial Bold" w:cs="Arial"/>
      <w:b/>
      <w:snapToGrid w:val="0"/>
      <w:sz w:val="28"/>
      <w:lang w:eastAsia="en-US"/>
    </w:rPr>
  </w:style>
  <w:style w:type="character" w:customStyle="1" w:styleId="Heading4Char">
    <w:name w:val="Heading 4 Char"/>
    <w:basedOn w:val="DefaultParagraphFont"/>
    <w:link w:val="Heading4"/>
    <w:rsid w:val="00FB0396"/>
    <w:rPr>
      <w:rFonts w:ascii="Arial" w:hAnsi="Arial" w:cs="Arial"/>
      <w:b/>
      <w:bCs/>
      <w:i/>
      <w:snapToGrid w:val="0"/>
      <w:sz w:val="26"/>
      <w:szCs w:val="28"/>
      <w:lang w:eastAsia="en-US"/>
    </w:rPr>
  </w:style>
  <w:style w:type="character" w:customStyle="1" w:styleId="Heading5Char">
    <w:name w:val="Heading 5 Char"/>
    <w:basedOn w:val="DefaultParagraphFont"/>
    <w:link w:val="Heading5"/>
    <w:rsid w:val="00FB0396"/>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FB0396"/>
    <w:rPr>
      <w:rFonts w:ascii="Arial" w:hAnsi="Arial" w:cs="Arial"/>
      <w:b/>
      <w:bCs/>
      <w:i/>
      <w:snapToGrid w:val="0"/>
      <w:sz w:val="22"/>
      <w:szCs w:val="22"/>
      <w:lang w:eastAsia="en-US"/>
    </w:rPr>
  </w:style>
  <w:style w:type="paragraph" w:styleId="Title">
    <w:name w:val="Title"/>
    <w:basedOn w:val="Normal"/>
    <w:next w:val="Normal"/>
    <w:link w:val="TitleChar"/>
    <w:uiPriority w:val="99"/>
    <w:qFormat/>
    <w:rsid w:val="00FB039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FB0396"/>
    <w:rPr>
      <w:rFonts w:ascii="Cambria" w:hAnsi="Cambria" w:cs="Arial"/>
      <w:b/>
      <w:bCs/>
      <w:snapToGrid w:val="0"/>
      <w:kern w:val="28"/>
      <w:sz w:val="32"/>
      <w:szCs w:val="32"/>
      <w:lang w:eastAsia="en-US"/>
    </w:rPr>
  </w:style>
  <w:style w:type="paragraph" w:customStyle="1" w:styleId="RegularText">
    <w:name w:val="Regular Text"/>
    <w:basedOn w:val="BodyText"/>
    <w:link w:val="RegularTextChar"/>
    <w:rsid w:val="00FB0396"/>
    <w:pPr>
      <w:jc w:val="left"/>
    </w:pPr>
    <w:rPr>
      <w:rFonts w:cs="Arial"/>
      <w:sz w:val="22"/>
    </w:rPr>
  </w:style>
  <w:style w:type="character" w:customStyle="1" w:styleId="RegularTextChar">
    <w:name w:val="Regular Text Char"/>
    <w:basedOn w:val="BodyTextChar"/>
    <w:link w:val="RegularText"/>
    <w:rsid w:val="00FB0396"/>
    <w:rPr>
      <w:rFonts w:ascii="Arial" w:hAnsi="Arial" w:cs="Arial"/>
      <w:b/>
      <w:snapToGrid w:val="0"/>
      <w:sz w:val="22"/>
      <w:lang w:eastAsia="en-US"/>
    </w:rPr>
  </w:style>
  <w:style w:type="paragraph" w:styleId="NoSpacing">
    <w:name w:val="No Spacing"/>
    <w:uiPriority w:val="1"/>
    <w:qFormat/>
    <w:rsid w:val="00FB0396"/>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FB0396"/>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FB0396"/>
    <w:rPr>
      <w:rFonts w:ascii="Arial" w:hAnsi="Arial" w:cs="Arial"/>
      <w:snapToGrid w:val="0"/>
      <w:sz w:val="22"/>
      <w:lang w:eastAsia="en-US"/>
    </w:rPr>
  </w:style>
  <w:style w:type="paragraph" w:styleId="Footer">
    <w:name w:val="footer"/>
    <w:basedOn w:val="Normal"/>
    <w:link w:val="FooterChar"/>
    <w:uiPriority w:val="99"/>
    <w:rsid w:val="00FB0396"/>
    <w:pPr>
      <w:tabs>
        <w:tab w:val="center" w:pos="4513"/>
        <w:tab w:val="right" w:pos="9026"/>
      </w:tabs>
    </w:pPr>
  </w:style>
  <w:style w:type="character" w:customStyle="1" w:styleId="FooterChar">
    <w:name w:val="Footer Char"/>
    <w:basedOn w:val="DefaultParagraphFont"/>
    <w:link w:val="Footer"/>
    <w:uiPriority w:val="99"/>
    <w:rsid w:val="00FB0396"/>
    <w:rPr>
      <w:rFonts w:ascii="Arial" w:hAnsi="Arial" w:cs="Arial"/>
      <w:snapToGrid w:val="0"/>
      <w:sz w:val="22"/>
      <w:lang w:eastAsia="en-US"/>
    </w:rPr>
  </w:style>
  <w:style w:type="paragraph" w:customStyle="1" w:styleId="TableHeading">
    <w:name w:val="TableHeading"/>
    <w:basedOn w:val="Normal"/>
    <w:uiPriority w:val="99"/>
    <w:rsid w:val="00FB0396"/>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FB0396"/>
    <w:pPr>
      <w:widowControl/>
      <w:jc w:val="both"/>
    </w:pPr>
    <w:rPr>
      <w:rFonts w:ascii="Times" w:hAnsi="Times"/>
      <w:b w:val="0"/>
      <w:snapToGrid/>
      <w:sz w:val="24"/>
      <w:lang w:val="en-US"/>
    </w:rPr>
  </w:style>
  <w:style w:type="paragraph" w:styleId="NormalWeb">
    <w:name w:val="Normal (Web)"/>
    <w:basedOn w:val="Normal"/>
    <w:uiPriority w:val="99"/>
    <w:rsid w:val="00FB0396"/>
    <w:pPr>
      <w:widowControl/>
      <w:spacing w:before="100" w:after="100"/>
      <w:jc w:val="left"/>
    </w:pPr>
    <w:rPr>
      <w:rFonts w:ascii="Times New Roman" w:hAnsi="Times New Roman" w:cs="Times New Roman"/>
      <w:snapToGrid/>
      <w:sz w:val="24"/>
      <w:lang w:val="en-GB"/>
    </w:rPr>
  </w:style>
  <w:style w:type="paragraph" w:styleId="TOCHeading">
    <w:name w:val="TOC Heading"/>
    <w:basedOn w:val="Heading1"/>
    <w:next w:val="Normal"/>
    <w:uiPriority w:val="39"/>
    <w:unhideWhenUsed/>
    <w:qFormat/>
    <w:rsid w:val="00FB0396"/>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Cs w:val="28"/>
      <w:lang w:val="en-US" w:eastAsia="ja-JP"/>
    </w:rPr>
  </w:style>
  <w:style w:type="paragraph" w:styleId="TOC3">
    <w:name w:val="toc 3"/>
    <w:basedOn w:val="Normal"/>
    <w:next w:val="Normal"/>
    <w:autoRedefine/>
    <w:uiPriority w:val="39"/>
    <w:unhideWhenUsed/>
    <w:qFormat/>
    <w:rsid w:val="00FB0396"/>
    <w:pPr>
      <w:ind w:left="440"/>
      <w:jc w:val="left"/>
    </w:pPr>
    <w:rPr>
      <w:rFonts w:asciiTheme="minorHAnsi" w:hAnsiTheme="minorHAnsi"/>
      <w:sz w:val="20"/>
    </w:rPr>
  </w:style>
  <w:style w:type="paragraph" w:styleId="BodyText3">
    <w:name w:val="Body Text 3"/>
    <w:basedOn w:val="Normal"/>
    <w:link w:val="BodyText3Char"/>
    <w:uiPriority w:val="99"/>
    <w:rsid w:val="00FB0396"/>
    <w:pPr>
      <w:spacing w:after="120"/>
    </w:pPr>
    <w:rPr>
      <w:sz w:val="16"/>
      <w:szCs w:val="16"/>
    </w:rPr>
  </w:style>
  <w:style w:type="character" w:customStyle="1" w:styleId="BodyText3Char">
    <w:name w:val="Body Text 3 Char"/>
    <w:basedOn w:val="DefaultParagraphFont"/>
    <w:link w:val="BodyText3"/>
    <w:uiPriority w:val="99"/>
    <w:rsid w:val="00FB0396"/>
    <w:rPr>
      <w:rFonts w:ascii="Arial" w:hAnsi="Arial" w:cs="Arial"/>
      <w:snapToGrid w:val="0"/>
      <w:sz w:val="16"/>
      <w:szCs w:val="16"/>
      <w:lang w:eastAsia="en-US"/>
    </w:rPr>
  </w:style>
  <w:style w:type="paragraph" w:styleId="TOC4">
    <w:name w:val="toc 4"/>
    <w:basedOn w:val="Normal"/>
    <w:next w:val="Normal"/>
    <w:autoRedefine/>
    <w:uiPriority w:val="39"/>
    <w:rsid w:val="00FB0396"/>
    <w:pPr>
      <w:ind w:left="660"/>
      <w:jc w:val="left"/>
    </w:pPr>
    <w:rPr>
      <w:rFonts w:asciiTheme="minorHAnsi" w:hAnsiTheme="minorHAnsi"/>
      <w:sz w:val="20"/>
    </w:rPr>
  </w:style>
  <w:style w:type="paragraph" w:styleId="TOC5">
    <w:name w:val="toc 5"/>
    <w:basedOn w:val="Normal"/>
    <w:next w:val="Normal"/>
    <w:autoRedefine/>
    <w:uiPriority w:val="39"/>
    <w:rsid w:val="00FB0396"/>
    <w:pPr>
      <w:ind w:left="880"/>
      <w:jc w:val="left"/>
    </w:pPr>
    <w:rPr>
      <w:rFonts w:asciiTheme="minorHAnsi" w:hAnsiTheme="minorHAnsi"/>
      <w:sz w:val="20"/>
    </w:rPr>
  </w:style>
  <w:style w:type="paragraph" w:styleId="TOC6">
    <w:name w:val="toc 6"/>
    <w:basedOn w:val="Normal"/>
    <w:next w:val="Normal"/>
    <w:autoRedefine/>
    <w:uiPriority w:val="39"/>
    <w:rsid w:val="00FB0396"/>
    <w:pPr>
      <w:ind w:left="1100"/>
      <w:jc w:val="left"/>
    </w:pPr>
    <w:rPr>
      <w:rFonts w:asciiTheme="minorHAnsi" w:hAnsiTheme="minorHAnsi"/>
      <w:sz w:val="20"/>
    </w:rPr>
  </w:style>
  <w:style w:type="paragraph" w:styleId="TOC7">
    <w:name w:val="toc 7"/>
    <w:basedOn w:val="Normal"/>
    <w:next w:val="Normal"/>
    <w:autoRedefine/>
    <w:uiPriority w:val="39"/>
    <w:rsid w:val="00FB0396"/>
    <w:pPr>
      <w:ind w:left="1320"/>
      <w:jc w:val="left"/>
    </w:pPr>
    <w:rPr>
      <w:rFonts w:asciiTheme="minorHAnsi" w:hAnsiTheme="minorHAnsi"/>
      <w:sz w:val="20"/>
    </w:rPr>
  </w:style>
  <w:style w:type="paragraph" w:styleId="TOC8">
    <w:name w:val="toc 8"/>
    <w:basedOn w:val="Normal"/>
    <w:next w:val="Normal"/>
    <w:autoRedefine/>
    <w:uiPriority w:val="39"/>
    <w:rsid w:val="00FB0396"/>
    <w:pPr>
      <w:ind w:left="1540"/>
      <w:jc w:val="left"/>
    </w:pPr>
    <w:rPr>
      <w:rFonts w:asciiTheme="minorHAnsi" w:hAnsiTheme="minorHAnsi"/>
      <w:sz w:val="20"/>
    </w:rPr>
  </w:style>
  <w:style w:type="paragraph" w:styleId="TOC9">
    <w:name w:val="toc 9"/>
    <w:basedOn w:val="Normal"/>
    <w:next w:val="Normal"/>
    <w:autoRedefine/>
    <w:uiPriority w:val="39"/>
    <w:rsid w:val="00FB0396"/>
    <w:pPr>
      <w:ind w:left="1760"/>
      <w:jc w:val="left"/>
    </w:pPr>
    <w:rPr>
      <w:rFonts w:asciiTheme="minorHAnsi" w:hAnsiTheme="minorHAnsi"/>
      <w:sz w:val="20"/>
    </w:rPr>
  </w:style>
  <w:style w:type="paragraph" w:styleId="BodyText2">
    <w:name w:val="Body Text 2"/>
    <w:basedOn w:val="Normal"/>
    <w:link w:val="BodyText2Char"/>
    <w:uiPriority w:val="99"/>
    <w:rsid w:val="00FB0396"/>
    <w:pPr>
      <w:spacing w:after="120" w:line="480" w:lineRule="auto"/>
    </w:pPr>
  </w:style>
  <w:style w:type="character" w:customStyle="1" w:styleId="BodyText2Char">
    <w:name w:val="Body Text 2 Char"/>
    <w:basedOn w:val="DefaultParagraphFont"/>
    <w:link w:val="BodyText2"/>
    <w:uiPriority w:val="99"/>
    <w:rsid w:val="00FB0396"/>
    <w:rPr>
      <w:rFonts w:ascii="Arial" w:hAnsi="Arial" w:cs="Arial"/>
      <w:snapToGrid w:val="0"/>
      <w:sz w:val="22"/>
      <w:lang w:eastAsia="en-US"/>
    </w:rPr>
  </w:style>
  <w:style w:type="paragraph" w:customStyle="1" w:styleId="TableText1">
    <w:name w:val="TableText"/>
    <w:basedOn w:val="Normal"/>
    <w:link w:val="TableTextChar1"/>
    <w:uiPriority w:val="99"/>
    <w:qFormat/>
    <w:rsid w:val="00FB0396"/>
    <w:pPr>
      <w:keepNext/>
      <w:widowControl/>
      <w:spacing w:before="40" w:after="40"/>
      <w:jc w:val="left"/>
    </w:pPr>
    <w:rPr>
      <w:rFonts w:ascii="Arial Narrow" w:hAnsi="Arial Narrow" w:cs="Arial Narrow"/>
      <w:snapToGrid/>
      <w:sz w:val="20"/>
    </w:rPr>
  </w:style>
  <w:style w:type="character" w:customStyle="1" w:styleId="TableTextChar1">
    <w:name w:val="TableText Char"/>
    <w:link w:val="TableText1"/>
    <w:uiPriority w:val="99"/>
    <w:rsid w:val="00FB0396"/>
    <w:rPr>
      <w:rFonts w:ascii="Arial Narrow" w:hAnsi="Arial Narrow" w:cs="Arial Narrow"/>
      <w:lang w:eastAsia="en-US"/>
    </w:rPr>
  </w:style>
  <w:style w:type="paragraph" w:customStyle="1" w:styleId="TableName">
    <w:name w:val="TableName"/>
    <w:basedOn w:val="Normal"/>
    <w:uiPriority w:val="99"/>
    <w:rsid w:val="00FB0396"/>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1"/>
    <w:uiPriority w:val="99"/>
    <w:rsid w:val="00FB0396"/>
    <w:pPr>
      <w:keepNext w:val="0"/>
      <w:keepLines/>
      <w:spacing w:before="0" w:after="360"/>
      <w:ind w:left="720"/>
    </w:pPr>
    <w:rPr>
      <w:sz w:val="18"/>
      <w:szCs w:val="18"/>
    </w:rPr>
  </w:style>
  <w:style w:type="paragraph" w:customStyle="1" w:styleId="TableNotes0">
    <w:name w:val="TableNotes+0"/>
    <w:basedOn w:val="TableNotes18"/>
    <w:uiPriority w:val="99"/>
    <w:rsid w:val="00FB0396"/>
    <w:pPr>
      <w:keepNext/>
      <w:spacing w:after="0"/>
    </w:pPr>
  </w:style>
  <w:style w:type="paragraph" w:styleId="BodyTextIndent">
    <w:name w:val="Body Text Indent"/>
    <w:basedOn w:val="Normal"/>
    <w:link w:val="BodyTextIndentChar"/>
    <w:uiPriority w:val="99"/>
    <w:rsid w:val="00FB0396"/>
    <w:pPr>
      <w:spacing w:after="120"/>
      <w:ind w:left="283"/>
    </w:pPr>
  </w:style>
  <w:style w:type="character" w:customStyle="1" w:styleId="BodyTextIndentChar">
    <w:name w:val="Body Text Indent Char"/>
    <w:basedOn w:val="DefaultParagraphFont"/>
    <w:link w:val="BodyTextIndent"/>
    <w:uiPriority w:val="99"/>
    <w:rsid w:val="00FB0396"/>
    <w:rPr>
      <w:rFonts w:ascii="Arial" w:hAnsi="Arial" w:cs="Arial"/>
      <w:snapToGrid w:val="0"/>
      <w:sz w:val="22"/>
      <w:lang w:eastAsia="en-US"/>
    </w:rPr>
  </w:style>
  <w:style w:type="paragraph" w:customStyle="1" w:styleId="Char1CharCharChar">
    <w:name w:val="Char1 Char Char Char"/>
    <w:basedOn w:val="Normal"/>
    <w:uiPriority w:val="99"/>
    <w:rsid w:val="00FB0396"/>
    <w:pPr>
      <w:widowControl/>
      <w:spacing w:after="160" w:line="240" w:lineRule="exact"/>
      <w:jc w:val="left"/>
    </w:pPr>
    <w:rPr>
      <w:rFonts w:ascii="Verdana" w:eastAsia="MS Mincho" w:hAnsi="Verdana" w:cs="Verdana"/>
      <w:snapToGrid/>
      <w:sz w:val="20"/>
      <w:lang w:val="en-US"/>
    </w:rPr>
  </w:style>
  <w:style w:type="paragraph" w:customStyle="1" w:styleId="Tablename0">
    <w:name w:val="Table name"/>
    <w:basedOn w:val="Normal"/>
    <w:link w:val="TablenameChar"/>
    <w:rsid w:val="00FB0396"/>
    <w:pPr>
      <w:keepNext/>
    </w:pPr>
    <w:rPr>
      <w:b/>
    </w:rPr>
  </w:style>
  <w:style w:type="character" w:customStyle="1" w:styleId="TablenameChar">
    <w:name w:val="Table name Char"/>
    <w:basedOn w:val="DefaultParagraphFont"/>
    <w:link w:val="Tablename0"/>
    <w:rsid w:val="00FB0396"/>
    <w:rPr>
      <w:rFonts w:ascii="Arial" w:hAnsi="Arial" w:cs="Arial"/>
      <w:b/>
      <w:snapToGrid w:val="0"/>
      <w:sz w:val="22"/>
      <w:lang w:eastAsia="en-US"/>
    </w:rPr>
  </w:style>
  <w:style w:type="paragraph" w:customStyle="1" w:styleId="Tablecontent">
    <w:name w:val="Table content"/>
    <w:basedOn w:val="Normal"/>
    <w:link w:val="TablecontentChar"/>
    <w:qFormat/>
    <w:rsid w:val="00FB0396"/>
    <w:pPr>
      <w:widowControl/>
      <w:jc w:val="left"/>
    </w:pPr>
    <w:rPr>
      <w:rFonts w:ascii="Arial Narrow" w:hAnsi="Arial Narrow"/>
      <w:snapToGrid/>
      <w:sz w:val="20"/>
    </w:rPr>
  </w:style>
  <w:style w:type="character" w:customStyle="1" w:styleId="TablecontentChar">
    <w:name w:val="Table content Char"/>
    <w:basedOn w:val="DefaultParagraphFont"/>
    <w:link w:val="Tablecontent"/>
    <w:rsid w:val="00FB0396"/>
    <w:rPr>
      <w:rFonts w:ascii="Arial Narrow" w:hAnsi="Arial Narrow" w:cs="Arial"/>
      <w:lang w:eastAsia="en-US"/>
    </w:rPr>
  </w:style>
  <w:style w:type="paragraph" w:customStyle="1" w:styleId="Tablefont">
    <w:name w:val="Table font"/>
    <w:basedOn w:val="Normal"/>
    <w:link w:val="TablefontChar"/>
    <w:rsid w:val="00FB0396"/>
    <w:pPr>
      <w:widowControl/>
      <w:jc w:val="left"/>
    </w:pPr>
    <w:rPr>
      <w:rFonts w:ascii="Arial Narrow" w:hAnsi="Arial Narrow"/>
      <w:snapToGrid/>
      <w:sz w:val="18"/>
    </w:rPr>
  </w:style>
  <w:style w:type="character" w:customStyle="1" w:styleId="TablefontChar">
    <w:name w:val="Table font Char"/>
    <w:basedOn w:val="DefaultParagraphFont"/>
    <w:link w:val="Tablefont"/>
    <w:rsid w:val="00FB0396"/>
    <w:rPr>
      <w:rFonts w:ascii="Arial Narrow" w:hAnsi="Arial Narrow" w:cs="Arial"/>
      <w:sz w:val="18"/>
      <w:lang w:eastAsia="en-US"/>
    </w:rPr>
  </w:style>
  <w:style w:type="table" w:customStyle="1" w:styleId="TableGridbeth14">
    <w:name w:val="Table Gridbeth14"/>
    <w:basedOn w:val="TableNormal"/>
    <w:next w:val="TableGrid"/>
    <w:uiPriority w:val="59"/>
    <w:rsid w:val="00FB0396"/>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4">
    <w:name w:val="Table Gridbeth4"/>
    <w:basedOn w:val="TableNormal"/>
    <w:next w:val="TableGrid"/>
    <w:uiPriority w:val="59"/>
    <w:rsid w:val="00FB0396"/>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FB0396"/>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FB0396"/>
    <w:rPr>
      <w:rFonts w:ascii="Candara" w:eastAsiaTheme="majorEastAsia" w:hAnsi="Candara" w:cstheme="majorBidi"/>
      <w:szCs w:val="22"/>
      <w:lang w:eastAsia="en-US" w:bidi="en-US"/>
    </w:rPr>
  </w:style>
  <w:style w:type="paragraph" w:customStyle="1" w:styleId="CaptionFootnote">
    <w:name w:val="Caption Footnote"/>
    <w:basedOn w:val="TableHeader"/>
    <w:uiPriority w:val="99"/>
    <w:qFormat/>
    <w:rsid w:val="00FB0396"/>
    <w:rPr>
      <w:bCs/>
    </w:rPr>
  </w:style>
  <w:style w:type="paragraph" w:customStyle="1" w:styleId="TableNotes">
    <w:name w:val="Table Notes"/>
    <w:basedOn w:val="Normal"/>
    <w:next w:val="Normal"/>
    <w:link w:val="TableNotesChar"/>
    <w:uiPriority w:val="99"/>
    <w:qFormat/>
    <w:rsid w:val="00FB0396"/>
    <w:pPr>
      <w:keepLines/>
      <w:widowControl/>
      <w:spacing w:after="360"/>
      <w:contextualSpacing/>
      <w:jc w:val="left"/>
    </w:pPr>
    <w:rPr>
      <w:rFonts w:cs="Times New Roman"/>
      <w:snapToGrid/>
      <w:sz w:val="16"/>
      <w:szCs w:val="16"/>
      <w:lang w:eastAsia="en-AU"/>
    </w:rPr>
  </w:style>
  <w:style w:type="character" w:customStyle="1" w:styleId="TableNotesChar">
    <w:name w:val="Table Notes Char"/>
    <w:link w:val="TableNotes"/>
    <w:uiPriority w:val="99"/>
    <w:rsid w:val="00FB0396"/>
    <w:rPr>
      <w:rFonts w:ascii="Arial" w:hAnsi="Arial"/>
      <w:sz w:val="16"/>
      <w:szCs w:val="16"/>
    </w:rPr>
  </w:style>
  <w:style w:type="paragraph" w:customStyle="1" w:styleId="BMSBodyText">
    <w:name w:val="BMS Body Text"/>
    <w:link w:val="BMSBodyTextChar"/>
    <w:qFormat/>
    <w:rsid w:val="00FB0396"/>
    <w:pPr>
      <w:spacing w:after="200" w:line="360" w:lineRule="auto"/>
    </w:pPr>
    <w:rPr>
      <w:rFonts w:ascii="Arial" w:hAnsi="Arial"/>
      <w:color w:val="000000"/>
      <w:sz w:val="22"/>
      <w:szCs w:val="24"/>
      <w:lang w:val="en-US" w:eastAsia="en-US"/>
    </w:rPr>
  </w:style>
  <w:style w:type="character" w:customStyle="1" w:styleId="BMSBodyTextChar">
    <w:name w:val="BMS Body Text Char"/>
    <w:basedOn w:val="DefaultParagraphFont"/>
    <w:link w:val="BMSBodyText"/>
    <w:locked/>
    <w:rsid w:val="00FB0396"/>
    <w:rPr>
      <w:rFonts w:ascii="Arial" w:hAnsi="Arial"/>
      <w:color w:val="000000"/>
      <w:sz w:val="22"/>
      <w:szCs w:val="24"/>
      <w:lang w:val="en-US" w:eastAsia="en-US"/>
    </w:rPr>
  </w:style>
  <w:style w:type="character" w:styleId="Emphasis">
    <w:name w:val="Emphasis"/>
    <w:basedOn w:val="DefaultParagraphFont"/>
    <w:uiPriority w:val="20"/>
    <w:qFormat/>
    <w:rsid w:val="00FB0396"/>
    <w:rPr>
      <w:i/>
      <w:iCs/>
    </w:rPr>
  </w:style>
  <w:style w:type="table" w:customStyle="1" w:styleId="TableGridbeth18">
    <w:name w:val="Table Gridbeth18"/>
    <w:basedOn w:val="TableNormal"/>
    <w:next w:val="TableGrid"/>
    <w:uiPriority w:val="59"/>
    <w:rsid w:val="00FB0396"/>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D0723C"/>
    <w:pPr>
      <w:widowControl/>
      <w:spacing w:after="160" w:line="240" w:lineRule="exact"/>
      <w:jc w:val="left"/>
    </w:pPr>
    <w:rPr>
      <w:rFonts w:ascii="Verdana" w:eastAsia="MS Mincho" w:hAnsi="Verdana" w:cs="Verdana"/>
      <w:snapToGrid/>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8C597-F971-49A0-A539-64EF6376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8380</Words>
  <Characters>48437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2017-03-21T21:59:00Z</dcterms:created>
  <dcterms:modified xsi:type="dcterms:W3CDTF">2017-03-21T22:02:00Z</dcterms:modified>
</cp:coreProperties>
</file>